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B637A" w14:textId="62134D98" w:rsidR="00C705A9" w:rsidRDefault="00BD5B75">
      <w:pPr>
        <w:spacing w:line="600" w:lineRule="exact"/>
        <w:jc w:val="center"/>
        <w:outlineLvl w:val="0"/>
        <w:rPr>
          <w:rFonts w:ascii="宋体" w:hAnsi="宋体" w:cs="宋体"/>
          <w:color w:val="000000"/>
          <w:sz w:val="72"/>
          <w:szCs w:val="72"/>
        </w:rPr>
      </w:pPr>
      <w:bookmarkStart w:id="0" w:name="_Toc15306267"/>
      <w:r>
        <w:rPr>
          <w:rFonts w:ascii="宋体" w:hAnsi="宋体" w:cs="宋体" w:hint="eastAsia"/>
          <w:color w:val="000000"/>
          <w:sz w:val="72"/>
          <w:szCs w:val="72"/>
        </w:rPr>
        <w:t xml:space="preserve"> </w:t>
      </w:r>
    </w:p>
    <w:p w14:paraId="06F406A8" w14:textId="77777777" w:rsidR="00C705A9" w:rsidRDefault="00C705A9">
      <w:pPr>
        <w:spacing w:line="600" w:lineRule="exact"/>
        <w:jc w:val="center"/>
        <w:outlineLvl w:val="0"/>
        <w:rPr>
          <w:rFonts w:ascii="宋体" w:hAnsi="宋体" w:cs="宋体"/>
          <w:color w:val="000000"/>
          <w:sz w:val="72"/>
          <w:szCs w:val="72"/>
        </w:rPr>
      </w:pPr>
    </w:p>
    <w:p w14:paraId="5AB00B82" w14:textId="77777777" w:rsidR="00C705A9" w:rsidRDefault="00C705A9">
      <w:pPr>
        <w:spacing w:line="600" w:lineRule="exact"/>
        <w:jc w:val="center"/>
        <w:outlineLvl w:val="0"/>
        <w:rPr>
          <w:rFonts w:ascii="宋体" w:hAnsi="宋体" w:cs="宋体"/>
          <w:color w:val="000000"/>
          <w:sz w:val="72"/>
          <w:szCs w:val="72"/>
        </w:rPr>
      </w:pPr>
    </w:p>
    <w:p w14:paraId="2EB66813" w14:textId="77777777" w:rsidR="00C705A9" w:rsidRDefault="00C705A9">
      <w:pPr>
        <w:spacing w:line="600" w:lineRule="exact"/>
        <w:jc w:val="center"/>
        <w:outlineLvl w:val="0"/>
        <w:rPr>
          <w:rFonts w:ascii="宋体" w:hAnsi="宋体" w:cs="宋体"/>
          <w:color w:val="000000"/>
          <w:sz w:val="44"/>
          <w:szCs w:val="44"/>
        </w:rPr>
      </w:pPr>
    </w:p>
    <w:p w14:paraId="26C35F52" w14:textId="77777777" w:rsidR="00C705A9" w:rsidRDefault="00000000">
      <w:pPr>
        <w:adjustRightInd w:val="0"/>
        <w:snapToGrid w:val="0"/>
        <w:spacing w:line="360" w:lineRule="auto"/>
        <w:jc w:val="center"/>
        <w:outlineLvl w:val="0"/>
        <w:rPr>
          <w:rFonts w:ascii="宋体" w:hAnsi="宋体" w:cs="宋体"/>
          <w:color w:val="000000"/>
          <w:sz w:val="44"/>
          <w:szCs w:val="44"/>
        </w:rPr>
      </w:pPr>
      <w:bookmarkStart w:id="1" w:name="_Toc15396475"/>
      <w:bookmarkStart w:id="2" w:name="_Toc15377425"/>
      <w:bookmarkStart w:id="3" w:name="_Toc15378441"/>
      <w:bookmarkStart w:id="4" w:name="_Toc15377193"/>
      <w:bookmarkStart w:id="5" w:name="_Toc15396597"/>
      <w:r>
        <w:rPr>
          <w:rFonts w:ascii="宋体" w:hAnsi="宋体" w:cs="宋体" w:hint="eastAsia"/>
          <w:color w:val="000000"/>
          <w:sz w:val="44"/>
          <w:szCs w:val="44"/>
        </w:rPr>
        <w:t>2022年度</w:t>
      </w:r>
      <w:bookmarkEnd w:id="1"/>
      <w:bookmarkEnd w:id="2"/>
      <w:bookmarkEnd w:id="3"/>
      <w:bookmarkEnd w:id="4"/>
      <w:bookmarkEnd w:id="5"/>
    </w:p>
    <w:p w14:paraId="302C8C08" w14:textId="77777777" w:rsidR="00C705A9" w:rsidRDefault="00000000">
      <w:pPr>
        <w:adjustRightInd w:val="0"/>
        <w:snapToGrid w:val="0"/>
        <w:spacing w:line="360" w:lineRule="auto"/>
        <w:jc w:val="center"/>
        <w:outlineLvl w:val="0"/>
        <w:rPr>
          <w:rFonts w:ascii="宋体" w:hAnsi="宋体" w:cs="宋体"/>
          <w:color w:val="000000"/>
          <w:sz w:val="44"/>
          <w:szCs w:val="44"/>
        </w:rPr>
      </w:pPr>
      <w:bookmarkStart w:id="6" w:name="_Toc15377194"/>
      <w:bookmarkStart w:id="7" w:name="_Toc15378442"/>
      <w:bookmarkStart w:id="8" w:name="_Toc15396476"/>
      <w:bookmarkStart w:id="9" w:name="_Toc15396598"/>
      <w:bookmarkStart w:id="10" w:name="_Toc15377426"/>
      <w:r>
        <w:rPr>
          <w:rFonts w:ascii="宋体" w:hAnsi="宋体" w:cs="宋体" w:hint="eastAsia"/>
          <w:color w:val="000000"/>
          <w:sz w:val="44"/>
          <w:szCs w:val="44"/>
        </w:rPr>
        <w:t>四川省</w:t>
      </w:r>
      <w:bookmarkStart w:id="11" w:name="_Toc15306268"/>
      <w:bookmarkEnd w:id="0"/>
      <w:r>
        <w:rPr>
          <w:rFonts w:ascii="宋体" w:hAnsi="宋体" w:cs="宋体" w:hint="eastAsia"/>
          <w:color w:val="000000"/>
          <w:sz w:val="44"/>
          <w:szCs w:val="44"/>
        </w:rPr>
        <w:t>开江县广福镇卫生院</w:t>
      </w:r>
    </w:p>
    <w:p w14:paraId="3804CE12" w14:textId="77777777" w:rsidR="00C705A9" w:rsidRDefault="00000000">
      <w:pPr>
        <w:adjustRightInd w:val="0"/>
        <w:snapToGrid w:val="0"/>
        <w:spacing w:line="360" w:lineRule="auto"/>
        <w:jc w:val="center"/>
        <w:outlineLvl w:val="0"/>
        <w:rPr>
          <w:rFonts w:ascii="宋体" w:hAnsi="宋体" w:cs="宋体"/>
          <w:color w:val="000000"/>
          <w:sz w:val="44"/>
          <w:szCs w:val="44"/>
        </w:rPr>
      </w:pPr>
      <w:r>
        <w:rPr>
          <w:rFonts w:ascii="宋体" w:hAnsi="宋体" w:cs="宋体" w:hint="eastAsia"/>
          <w:color w:val="000000"/>
          <w:sz w:val="44"/>
          <w:szCs w:val="44"/>
        </w:rPr>
        <w:t>部门决算</w:t>
      </w:r>
      <w:bookmarkEnd w:id="6"/>
      <w:bookmarkEnd w:id="7"/>
      <w:bookmarkEnd w:id="8"/>
      <w:bookmarkEnd w:id="9"/>
      <w:bookmarkEnd w:id="10"/>
      <w:bookmarkEnd w:id="11"/>
      <w:r>
        <w:rPr>
          <w:rFonts w:ascii="宋体" w:hAnsi="宋体" w:cs="宋体" w:hint="eastAsia"/>
          <w:color w:val="000000"/>
          <w:sz w:val="44"/>
          <w:szCs w:val="44"/>
        </w:rPr>
        <w:t>编制说明</w:t>
      </w:r>
    </w:p>
    <w:p w14:paraId="2B62671A" w14:textId="77777777" w:rsidR="00C705A9" w:rsidRDefault="00000000">
      <w:pPr>
        <w:widowControl/>
        <w:jc w:val="center"/>
        <w:rPr>
          <w:rFonts w:ascii="宋体" w:hAnsi="宋体" w:cs="宋体"/>
          <w:color w:val="000000"/>
          <w:sz w:val="48"/>
          <w:szCs w:val="48"/>
        </w:rPr>
      </w:pPr>
      <w:r>
        <w:rPr>
          <w:rFonts w:ascii="宋体" w:hAnsi="宋体" w:cs="宋体" w:hint="eastAsia"/>
          <w:color w:val="000000"/>
          <w:sz w:val="36"/>
          <w:szCs w:val="36"/>
        </w:rPr>
        <w:br w:type="page"/>
      </w:r>
      <w:r>
        <w:rPr>
          <w:rFonts w:ascii="宋体" w:hAnsi="宋体" w:cs="宋体" w:hint="eastAsia"/>
          <w:color w:val="000000"/>
          <w:sz w:val="48"/>
          <w:szCs w:val="48"/>
        </w:rPr>
        <w:lastRenderedPageBreak/>
        <w:t>目录</w:t>
      </w:r>
    </w:p>
    <w:p w14:paraId="791A0CC2" w14:textId="77777777" w:rsidR="00C705A9" w:rsidRDefault="00C705A9">
      <w:pPr>
        <w:widowControl/>
        <w:jc w:val="center"/>
        <w:rPr>
          <w:rFonts w:ascii="宋体" w:hAnsi="宋体" w:cs="宋体"/>
          <w:sz w:val="28"/>
          <w:szCs w:val="28"/>
        </w:rPr>
      </w:pPr>
    </w:p>
    <w:p w14:paraId="77687725" w14:textId="77777777" w:rsidR="00C705A9" w:rsidRDefault="00000000">
      <w:pPr>
        <w:pStyle w:val="TOC1"/>
        <w:rPr>
          <w:rFonts w:ascii="宋体" w:eastAsia="宋体" w:hAnsi="宋体" w:cs="宋体"/>
        </w:rPr>
      </w:pPr>
      <w:r>
        <w:rPr>
          <w:rFonts w:ascii="宋体" w:eastAsia="宋体" w:hAnsi="宋体" w:cs="宋体" w:hint="eastAsia"/>
        </w:rPr>
        <w:t>公开时间：2022年10月9日</w:t>
      </w:r>
    </w:p>
    <w:p w14:paraId="7DAFAC44" w14:textId="77777777" w:rsidR="00C705A9" w:rsidRDefault="00C705A9">
      <w:pPr>
        <w:rPr>
          <w:rFonts w:ascii="宋体" w:hAnsi="宋体" w:cs="宋体"/>
        </w:rPr>
      </w:pPr>
    </w:p>
    <w:p w14:paraId="5770A736" w14:textId="77777777" w:rsidR="00C705A9" w:rsidRDefault="00000000">
      <w:pPr>
        <w:pStyle w:val="TOC1"/>
        <w:adjustRightInd w:val="0"/>
        <w:snapToGrid w:val="0"/>
        <w:spacing w:before="0" w:line="440" w:lineRule="exact"/>
        <w:jc w:val="left"/>
        <w:rPr>
          <w:rFonts w:ascii="宋体" w:eastAsia="宋体" w:hAnsi="宋体" w:cs="宋体"/>
          <w:sz w:val="24"/>
          <w:szCs w:val="24"/>
        </w:rPr>
      </w:pPr>
      <w:r>
        <w:rPr>
          <w:rFonts w:ascii="宋体" w:eastAsia="宋体" w:hAnsi="宋体" w:cs="宋体" w:hint="eastAsia"/>
          <w:sz w:val="24"/>
        </w:rPr>
        <w:t>第一部分 部门概况</w:t>
      </w:r>
    </w:p>
    <w:p w14:paraId="17CB9BDC" w14:textId="77777777" w:rsidR="00C705A9" w:rsidRDefault="00000000">
      <w:pPr>
        <w:pStyle w:val="TOC2"/>
        <w:adjustRightInd w:val="0"/>
        <w:snapToGrid w:val="0"/>
        <w:spacing w:line="440" w:lineRule="exact"/>
        <w:jc w:val="left"/>
        <w:rPr>
          <w:rFonts w:ascii="宋体" w:hAnsi="宋体" w:cs="宋体"/>
          <w:sz w:val="24"/>
        </w:rPr>
      </w:pPr>
      <w:r>
        <w:rPr>
          <w:rFonts w:ascii="宋体" w:hAnsi="宋体" w:cs="宋体" w:hint="eastAsia"/>
          <w:sz w:val="24"/>
        </w:rPr>
        <w:t>一、基本职能及主要工作</w:t>
      </w:r>
    </w:p>
    <w:p w14:paraId="79270735" w14:textId="77777777" w:rsidR="00C705A9" w:rsidRDefault="00000000">
      <w:pPr>
        <w:pStyle w:val="TOC2"/>
        <w:adjustRightInd w:val="0"/>
        <w:snapToGrid w:val="0"/>
        <w:spacing w:line="440" w:lineRule="exact"/>
        <w:jc w:val="left"/>
        <w:rPr>
          <w:rFonts w:ascii="宋体" w:hAnsi="宋体" w:cs="宋体"/>
          <w:sz w:val="24"/>
        </w:rPr>
      </w:pPr>
      <w:r>
        <w:rPr>
          <w:rFonts w:ascii="宋体" w:hAnsi="宋体" w:cs="宋体" w:hint="eastAsia"/>
          <w:sz w:val="24"/>
        </w:rPr>
        <w:t>二、机构设置</w:t>
      </w:r>
    </w:p>
    <w:p w14:paraId="694C769C" w14:textId="77777777" w:rsidR="00C705A9" w:rsidRDefault="00000000">
      <w:pPr>
        <w:pStyle w:val="TOC1"/>
        <w:adjustRightInd w:val="0"/>
        <w:snapToGrid w:val="0"/>
        <w:spacing w:before="0" w:line="440" w:lineRule="exact"/>
        <w:jc w:val="left"/>
        <w:rPr>
          <w:rFonts w:ascii="宋体" w:eastAsia="宋体" w:hAnsi="宋体" w:cs="宋体"/>
          <w:sz w:val="24"/>
          <w:szCs w:val="24"/>
        </w:rPr>
      </w:pPr>
      <w:r>
        <w:rPr>
          <w:rFonts w:ascii="宋体" w:eastAsia="宋体" w:hAnsi="宋体" w:cs="宋体" w:hint="eastAsia"/>
          <w:sz w:val="24"/>
        </w:rPr>
        <w:t>第二部分</w:t>
      </w:r>
      <w:proofErr w:type="gramStart"/>
      <w:r>
        <w:rPr>
          <w:rFonts w:ascii="宋体" w:eastAsia="宋体" w:hAnsi="宋体" w:cs="宋体" w:hint="eastAsia"/>
          <w:sz w:val="24"/>
        </w:rPr>
        <w:t>度部门</w:t>
      </w:r>
      <w:proofErr w:type="gramEnd"/>
      <w:r>
        <w:rPr>
          <w:rFonts w:ascii="宋体" w:eastAsia="宋体" w:hAnsi="宋体" w:cs="宋体" w:hint="eastAsia"/>
          <w:sz w:val="24"/>
        </w:rPr>
        <w:t>决算情况说明</w:t>
      </w:r>
    </w:p>
    <w:p w14:paraId="356F3057" w14:textId="77777777" w:rsidR="00C705A9" w:rsidRDefault="00000000">
      <w:pPr>
        <w:pStyle w:val="TOC2"/>
        <w:adjustRightInd w:val="0"/>
        <w:snapToGrid w:val="0"/>
        <w:spacing w:line="440" w:lineRule="exact"/>
        <w:jc w:val="left"/>
        <w:rPr>
          <w:rFonts w:ascii="宋体" w:hAnsi="宋体" w:cs="宋体"/>
          <w:sz w:val="24"/>
        </w:rPr>
      </w:pPr>
      <w:r>
        <w:rPr>
          <w:rFonts w:ascii="宋体" w:hAnsi="宋体" w:cs="宋体" w:hint="eastAsia"/>
          <w:sz w:val="24"/>
        </w:rPr>
        <w:t>一、收入支出决算总体情况说明</w:t>
      </w:r>
    </w:p>
    <w:p w14:paraId="059E4224" w14:textId="77777777" w:rsidR="00C705A9" w:rsidRDefault="00000000">
      <w:pPr>
        <w:pStyle w:val="TOC2"/>
        <w:adjustRightInd w:val="0"/>
        <w:snapToGrid w:val="0"/>
        <w:spacing w:line="440" w:lineRule="exact"/>
        <w:jc w:val="left"/>
        <w:rPr>
          <w:rFonts w:ascii="宋体" w:hAnsi="宋体" w:cs="宋体"/>
          <w:sz w:val="24"/>
        </w:rPr>
      </w:pPr>
      <w:r>
        <w:rPr>
          <w:rFonts w:ascii="宋体" w:hAnsi="宋体" w:cs="宋体" w:hint="eastAsia"/>
          <w:sz w:val="24"/>
        </w:rPr>
        <w:t>二、收入决算情况说明</w:t>
      </w:r>
    </w:p>
    <w:p w14:paraId="235C0BF6" w14:textId="77777777" w:rsidR="00C705A9" w:rsidRDefault="00000000">
      <w:pPr>
        <w:pStyle w:val="TOC2"/>
        <w:adjustRightInd w:val="0"/>
        <w:snapToGrid w:val="0"/>
        <w:spacing w:line="440" w:lineRule="exact"/>
        <w:jc w:val="left"/>
        <w:rPr>
          <w:rFonts w:ascii="宋体" w:hAnsi="宋体" w:cs="宋体"/>
          <w:sz w:val="24"/>
        </w:rPr>
      </w:pPr>
      <w:r>
        <w:rPr>
          <w:rFonts w:ascii="宋体" w:hAnsi="宋体" w:cs="宋体" w:hint="eastAsia"/>
          <w:sz w:val="24"/>
        </w:rPr>
        <w:t>三、支出决算情况说明</w:t>
      </w:r>
    </w:p>
    <w:p w14:paraId="1D43AEA4" w14:textId="77777777" w:rsidR="00C705A9" w:rsidRDefault="00000000">
      <w:pPr>
        <w:pStyle w:val="TOC2"/>
        <w:adjustRightInd w:val="0"/>
        <w:snapToGrid w:val="0"/>
        <w:spacing w:line="440" w:lineRule="exact"/>
        <w:jc w:val="left"/>
        <w:rPr>
          <w:rFonts w:ascii="宋体" w:hAnsi="宋体" w:cs="宋体"/>
          <w:sz w:val="24"/>
        </w:rPr>
      </w:pPr>
      <w:r>
        <w:rPr>
          <w:rFonts w:ascii="宋体" w:hAnsi="宋体" w:cs="宋体" w:hint="eastAsia"/>
          <w:sz w:val="24"/>
        </w:rPr>
        <w:t>四、财政拨款收入支出决算总体情况说明</w:t>
      </w:r>
    </w:p>
    <w:p w14:paraId="488F8DFD" w14:textId="77777777" w:rsidR="00C705A9" w:rsidRDefault="00000000">
      <w:pPr>
        <w:pStyle w:val="TOC2"/>
        <w:adjustRightInd w:val="0"/>
        <w:snapToGrid w:val="0"/>
        <w:spacing w:line="440" w:lineRule="exact"/>
        <w:jc w:val="left"/>
        <w:rPr>
          <w:rFonts w:ascii="宋体" w:hAnsi="宋体" w:cs="宋体"/>
          <w:sz w:val="24"/>
        </w:rPr>
      </w:pPr>
      <w:r>
        <w:rPr>
          <w:rFonts w:ascii="宋体" w:hAnsi="宋体" w:cs="宋体" w:hint="eastAsia"/>
          <w:sz w:val="24"/>
        </w:rPr>
        <w:t>五、一般公共预算财政拨款支出决算情况说明</w:t>
      </w:r>
    </w:p>
    <w:p w14:paraId="4646F688" w14:textId="77777777" w:rsidR="00C705A9" w:rsidRDefault="00000000">
      <w:pPr>
        <w:pStyle w:val="TOC2"/>
        <w:adjustRightInd w:val="0"/>
        <w:snapToGrid w:val="0"/>
        <w:spacing w:line="440" w:lineRule="exact"/>
        <w:jc w:val="left"/>
        <w:rPr>
          <w:rFonts w:ascii="宋体" w:hAnsi="宋体" w:cs="宋体"/>
          <w:sz w:val="24"/>
        </w:rPr>
      </w:pPr>
      <w:r>
        <w:rPr>
          <w:rFonts w:ascii="宋体" w:hAnsi="宋体" w:cs="宋体" w:hint="eastAsia"/>
          <w:sz w:val="24"/>
        </w:rPr>
        <w:t>六、一般公共预算财政拨款基本支出决算情况说明</w:t>
      </w:r>
    </w:p>
    <w:p w14:paraId="2B6C8E28" w14:textId="77777777" w:rsidR="00C705A9" w:rsidRDefault="00000000">
      <w:pPr>
        <w:pStyle w:val="TOC2"/>
        <w:adjustRightInd w:val="0"/>
        <w:snapToGrid w:val="0"/>
        <w:spacing w:line="440" w:lineRule="exact"/>
        <w:jc w:val="left"/>
        <w:rPr>
          <w:rFonts w:ascii="宋体" w:hAnsi="宋体" w:cs="宋体"/>
          <w:sz w:val="24"/>
        </w:rPr>
      </w:pPr>
      <w:r>
        <w:rPr>
          <w:rFonts w:ascii="宋体" w:hAnsi="宋体" w:cs="宋体" w:hint="eastAsia"/>
          <w:sz w:val="24"/>
        </w:rPr>
        <w:t>七、“三公”经费财政拨款支出决算情况说明</w:t>
      </w:r>
    </w:p>
    <w:p w14:paraId="7E966AB2" w14:textId="77777777" w:rsidR="00C705A9" w:rsidRDefault="00000000">
      <w:pPr>
        <w:pStyle w:val="TOC2"/>
        <w:adjustRightInd w:val="0"/>
        <w:snapToGrid w:val="0"/>
        <w:spacing w:line="440" w:lineRule="exact"/>
        <w:jc w:val="left"/>
        <w:rPr>
          <w:rFonts w:ascii="宋体" w:hAnsi="宋体" w:cs="宋体"/>
          <w:sz w:val="24"/>
        </w:rPr>
      </w:pPr>
      <w:r>
        <w:rPr>
          <w:rFonts w:ascii="宋体" w:hAnsi="宋体" w:cs="宋体" w:hint="eastAsia"/>
          <w:sz w:val="24"/>
        </w:rPr>
        <w:t>八、政府性基金预算支出决算情况说明</w:t>
      </w:r>
    </w:p>
    <w:p w14:paraId="6B882A85" w14:textId="77777777" w:rsidR="00C705A9" w:rsidRDefault="00000000">
      <w:pPr>
        <w:pStyle w:val="TOC2"/>
        <w:adjustRightInd w:val="0"/>
        <w:snapToGrid w:val="0"/>
        <w:spacing w:line="440" w:lineRule="exact"/>
        <w:ind w:leftChars="0"/>
        <w:jc w:val="left"/>
        <w:rPr>
          <w:rFonts w:ascii="宋体" w:hAnsi="宋体" w:cs="宋体"/>
          <w:sz w:val="24"/>
        </w:rPr>
      </w:pPr>
      <w:r>
        <w:rPr>
          <w:rFonts w:ascii="宋体" w:hAnsi="宋体" w:cs="宋体" w:hint="eastAsia"/>
          <w:sz w:val="24"/>
        </w:rPr>
        <w:t>九、 国有资本经营预算支出决算情况说明</w:t>
      </w:r>
    </w:p>
    <w:p w14:paraId="61D413E5" w14:textId="77777777" w:rsidR="00C705A9" w:rsidRDefault="00000000">
      <w:pPr>
        <w:adjustRightInd w:val="0"/>
        <w:snapToGrid w:val="0"/>
        <w:spacing w:line="440" w:lineRule="exact"/>
        <w:ind w:firstLineChars="200" w:firstLine="480"/>
        <w:jc w:val="left"/>
        <w:rPr>
          <w:rFonts w:ascii="宋体" w:hAnsi="宋体" w:cs="宋体"/>
          <w:sz w:val="24"/>
        </w:rPr>
      </w:pPr>
      <w:r>
        <w:rPr>
          <w:rStyle w:val="ad"/>
          <w:rFonts w:ascii="宋体" w:hAnsi="宋体" w:cs="宋体" w:hint="eastAsia"/>
          <w:color w:val="000000" w:themeColor="text1"/>
          <w:sz w:val="24"/>
          <w:u w:val="none"/>
        </w:rPr>
        <w:t>十、</w:t>
      </w:r>
      <w:r>
        <w:rPr>
          <w:rFonts w:ascii="宋体" w:hAnsi="宋体" w:cs="宋体" w:hint="eastAsia"/>
          <w:sz w:val="24"/>
        </w:rPr>
        <w:t>其他重要事项的情况说明</w:t>
      </w:r>
      <w:r>
        <w:rPr>
          <w:rFonts w:ascii="宋体" w:hAnsi="宋体" w:cs="宋体" w:hint="eastAsia"/>
          <w:sz w:val="24"/>
        </w:rPr>
        <w:tab/>
      </w:r>
    </w:p>
    <w:p w14:paraId="200C2178" w14:textId="77777777" w:rsidR="00C705A9" w:rsidRDefault="00000000">
      <w:pPr>
        <w:pStyle w:val="TOC1"/>
        <w:adjustRightInd w:val="0"/>
        <w:snapToGrid w:val="0"/>
        <w:spacing w:before="0" w:line="440" w:lineRule="exact"/>
        <w:jc w:val="left"/>
        <w:rPr>
          <w:rFonts w:ascii="宋体" w:eastAsia="宋体" w:hAnsi="宋体" w:cs="宋体"/>
          <w:sz w:val="24"/>
          <w:szCs w:val="24"/>
        </w:rPr>
      </w:pPr>
      <w:r>
        <w:rPr>
          <w:rFonts w:ascii="宋体" w:eastAsia="宋体" w:hAnsi="宋体" w:cs="宋体" w:hint="eastAsia"/>
          <w:sz w:val="24"/>
        </w:rPr>
        <w:t>第三部分 名词解释</w:t>
      </w:r>
    </w:p>
    <w:p w14:paraId="0C6CB3F1" w14:textId="77777777" w:rsidR="00C705A9" w:rsidRDefault="00000000">
      <w:pPr>
        <w:pStyle w:val="TOC1"/>
        <w:adjustRightInd w:val="0"/>
        <w:snapToGrid w:val="0"/>
        <w:spacing w:before="0" w:line="440" w:lineRule="exact"/>
        <w:jc w:val="left"/>
        <w:rPr>
          <w:rFonts w:ascii="宋体" w:eastAsia="宋体" w:hAnsi="宋体" w:cs="宋体"/>
          <w:sz w:val="24"/>
          <w:szCs w:val="24"/>
        </w:rPr>
      </w:pPr>
      <w:r>
        <w:rPr>
          <w:rFonts w:ascii="宋体" w:eastAsia="宋体" w:hAnsi="宋体" w:cs="宋体" w:hint="eastAsia"/>
          <w:sz w:val="24"/>
        </w:rPr>
        <w:t>第四部分 附件</w:t>
      </w:r>
    </w:p>
    <w:p w14:paraId="413FD2A2" w14:textId="77777777" w:rsidR="00C705A9" w:rsidRDefault="00000000">
      <w:pPr>
        <w:pStyle w:val="TOC2"/>
        <w:adjustRightInd w:val="0"/>
        <w:snapToGrid w:val="0"/>
        <w:spacing w:line="440" w:lineRule="exact"/>
        <w:jc w:val="left"/>
        <w:rPr>
          <w:rFonts w:ascii="宋体" w:hAnsi="宋体" w:cs="宋体"/>
          <w:sz w:val="24"/>
        </w:rPr>
      </w:pPr>
      <w:r>
        <w:rPr>
          <w:rFonts w:ascii="宋体" w:hAnsi="宋体" w:cs="宋体" w:hint="eastAsia"/>
          <w:sz w:val="24"/>
        </w:rPr>
        <w:t>附件1</w:t>
      </w:r>
    </w:p>
    <w:p w14:paraId="48805F87" w14:textId="77777777" w:rsidR="00C705A9" w:rsidRDefault="00000000">
      <w:pPr>
        <w:pStyle w:val="TOC2"/>
        <w:adjustRightInd w:val="0"/>
        <w:snapToGrid w:val="0"/>
        <w:spacing w:line="440" w:lineRule="exact"/>
        <w:jc w:val="left"/>
        <w:rPr>
          <w:rFonts w:ascii="宋体" w:hAnsi="宋体" w:cs="宋体"/>
          <w:sz w:val="24"/>
        </w:rPr>
      </w:pPr>
      <w:r>
        <w:rPr>
          <w:rFonts w:ascii="宋体" w:hAnsi="宋体" w:cs="宋体" w:hint="eastAsia"/>
          <w:sz w:val="24"/>
        </w:rPr>
        <w:t>附件2</w:t>
      </w:r>
    </w:p>
    <w:p w14:paraId="7FDD8D3D" w14:textId="77777777" w:rsidR="00C705A9" w:rsidRDefault="00000000">
      <w:pPr>
        <w:pStyle w:val="TOC1"/>
        <w:adjustRightInd w:val="0"/>
        <w:snapToGrid w:val="0"/>
        <w:spacing w:before="0" w:line="440" w:lineRule="exact"/>
        <w:jc w:val="left"/>
        <w:rPr>
          <w:rFonts w:ascii="宋体" w:eastAsia="宋体" w:hAnsi="宋体" w:cs="宋体"/>
          <w:sz w:val="24"/>
          <w:szCs w:val="24"/>
        </w:rPr>
      </w:pPr>
      <w:r>
        <w:rPr>
          <w:rFonts w:ascii="宋体" w:eastAsia="宋体" w:hAnsi="宋体" w:cs="宋体" w:hint="eastAsia"/>
          <w:sz w:val="24"/>
        </w:rPr>
        <w:t>第五部分 附表</w:t>
      </w:r>
    </w:p>
    <w:p w14:paraId="71805D23" w14:textId="77777777" w:rsidR="00C705A9" w:rsidRDefault="00000000">
      <w:pPr>
        <w:pStyle w:val="TOC2"/>
        <w:adjustRightInd w:val="0"/>
        <w:snapToGrid w:val="0"/>
        <w:spacing w:line="440" w:lineRule="exact"/>
        <w:jc w:val="left"/>
        <w:rPr>
          <w:rFonts w:ascii="宋体" w:hAnsi="宋体" w:cs="宋体"/>
          <w:sz w:val="24"/>
        </w:rPr>
      </w:pPr>
      <w:r>
        <w:rPr>
          <w:rFonts w:ascii="宋体" w:hAnsi="宋体" w:cs="宋体" w:hint="eastAsia"/>
          <w:sz w:val="24"/>
        </w:rPr>
        <w:t>一、收入支出决算总表</w:t>
      </w:r>
    </w:p>
    <w:p w14:paraId="6481EAD8" w14:textId="77777777" w:rsidR="00C705A9" w:rsidRDefault="00000000">
      <w:pPr>
        <w:pStyle w:val="TOC2"/>
        <w:adjustRightInd w:val="0"/>
        <w:snapToGrid w:val="0"/>
        <w:spacing w:line="440" w:lineRule="exact"/>
        <w:jc w:val="left"/>
        <w:rPr>
          <w:rFonts w:ascii="宋体" w:hAnsi="宋体" w:cs="宋体"/>
          <w:sz w:val="24"/>
        </w:rPr>
      </w:pPr>
      <w:r>
        <w:rPr>
          <w:rFonts w:ascii="宋体" w:hAnsi="宋体" w:cs="宋体" w:hint="eastAsia"/>
          <w:sz w:val="24"/>
        </w:rPr>
        <w:t>二、收入决算表</w:t>
      </w:r>
    </w:p>
    <w:p w14:paraId="671B464B" w14:textId="77777777" w:rsidR="00C705A9" w:rsidRDefault="00000000">
      <w:pPr>
        <w:pStyle w:val="TOC2"/>
        <w:adjustRightInd w:val="0"/>
        <w:snapToGrid w:val="0"/>
        <w:spacing w:line="440" w:lineRule="exact"/>
        <w:jc w:val="left"/>
        <w:rPr>
          <w:rFonts w:ascii="宋体" w:hAnsi="宋体" w:cs="宋体"/>
          <w:sz w:val="24"/>
        </w:rPr>
      </w:pPr>
      <w:r>
        <w:rPr>
          <w:rFonts w:ascii="宋体" w:hAnsi="宋体" w:cs="宋体" w:hint="eastAsia"/>
          <w:sz w:val="24"/>
        </w:rPr>
        <w:t>三、支出决算表</w:t>
      </w:r>
    </w:p>
    <w:p w14:paraId="1C64A5AE" w14:textId="77777777" w:rsidR="00C705A9" w:rsidRDefault="00000000">
      <w:pPr>
        <w:pStyle w:val="TOC2"/>
        <w:adjustRightInd w:val="0"/>
        <w:snapToGrid w:val="0"/>
        <w:spacing w:line="440" w:lineRule="exact"/>
        <w:jc w:val="left"/>
        <w:rPr>
          <w:rFonts w:ascii="宋体" w:hAnsi="宋体" w:cs="宋体"/>
          <w:sz w:val="24"/>
        </w:rPr>
      </w:pPr>
      <w:r>
        <w:rPr>
          <w:rFonts w:ascii="宋体" w:hAnsi="宋体" w:cs="宋体" w:hint="eastAsia"/>
          <w:sz w:val="24"/>
        </w:rPr>
        <w:t>四、财政拨款收入支出决算总表</w:t>
      </w:r>
    </w:p>
    <w:p w14:paraId="5C34D668" w14:textId="77777777" w:rsidR="00C705A9" w:rsidRDefault="00000000">
      <w:pPr>
        <w:pStyle w:val="TOC2"/>
        <w:adjustRightInd w:val="0"/>
        <w:snapToGrid w:val="0"/>
        <w:spacing w:line="440" w:lineRule="exact"/>
        <w:jc w:val="left"/>
        <w:rPr>
          <w:rFonts w:ascii="宋体" w:hAnsi="宋体" w:cs="宋体"/>
          <w:sz w:val="24"/>
        </w:rPr>
      </w:pPr>
      <w:r>
        <w:rPr>
          <w:rFonts w:ascii="宋体" w:hAnsi="宋体" w:cs="宋体" w:hint="eastAsia"/>
          <w:sz w:val="24"/>
        </w:rPr>
        <w:t>五、财政拨款支出决算明细表</w:t>
      </w:r>
    </w:p>
    <w:p w14:paraId="72123795" w14:textId="77777777" w:rsidR="00C705A9" w:rsidRDefault="00000000">
      <w:pPr>
        <w:pStyle w:val="TOC2"/>
        <w:adjustRightInd w:val="0"/>
        <w:snapToGrid w:val="0"/>
        <w:spacing w:line="440" w:lineRule="exact"/>
        <w:jc w:val="left"/>
        <w:rPr>
          <w:rFonts w:ascii="宋体" w:hAnsi="宋体" w:cs="宋体"/>
          <w:sz w:val="24"/>
        </w:rPr>
      </w:pPr>
      <w:r>
        <w:rPr>
          <w:rFonts w:ascii="宋体" w:hAnsi="宋体" w:cs="宋体" w:hint="eastAsia"/>
          <w:sz w:val="24"/>
        </w:rPr>
        <w:t>六、一般公共预算财政拨款支出决算表</w:t>
      </w:r>
    </w:p>
    <w:p w14:paraId="3FEB4D3C" w14:textId="77777777" w:rsidR="00C705A9" w:rsidRDefault="00000000">
      <w:pPr>
        <w:pStyle w:val="TOC2"/>
        <w:adjustRightInd w:val="0"/>
        <w:snapToGrid w:val="0"/>
        <w:spacing w:line="440" w:lineRule="exact"/>
        <w:jc w:val="left"/>
        <w:rPr>
          <w:rFonts w:ascii="宋体" w:hAnsi="宋体" w:cs="宋体"/>
          <w:sz w:val="24"/>
        </w:rPr>
      </w:pPr>
      <w:r>
        <w:rPr>
          <w:rFonts w:ascii="宋体" w:hAnsi="宋体" w:cs="宋体" w:hint="eastAsia"/>
          <w:sz w:val="24"/>
        </w:rPr>
        <w:t>七、一般公共预算财政拨款支出决算明细表</w:t>
      </w:r>
    </w:p>
    <w:p w14:paraId="40FEC53F" w14:textId="77777777" w:rsidR="00C705A9" w:rsidRDefault="00000000">
      <w:pPr>
        <w:pStyle w:val="TOC2"/>
        <w:adjustRightInd w:val="0"/>
        <w:snapToGrid w:val="0"/>
        <w:spacing w:line="440" w:lineRule="exact"/>
        <w:jc w:val="left"/>
        <w:rPr>
          <w:rFonts w:ascii="宋体" w:hAnsi="宋体" w:cs="宋体"/>
          <w:sz w:val="24"/>
        </w:rPr>
      </w:pPr>
      <w:r>
        <w:rPr>
          <w:rFonts w:ascii="宋体" w:hAnsi="宋体" w:cs="宋体" w:hint="eastAsia"/>
          <w:sz w:val="24"/>
        </w:rPr>
        <w:lastRenderedPageBreak/>
        <w:t>八、一般公共预算财政拨款基本支出决算表</w:t>
      </w:r>
    </w:p>
    <w:p w14:paraId="08E1E28C" w14:textId="77777777" w:rsidR="00C705A9" w:rsidRDefault="00000000">
      <w:pPr>
        <w:pStyle w:val="TOC2"/>
        <w:adjustRightInd w:val="0"/>
        <w:snapToGrid w:val="0"/>
        <w:spacing w:line="440" w:lineRule="exact"/>
        <w:jc w:val="left"/>
        <w:rPr>
          <w:rFonts w:ascii="宋体" w:hAnsi="宋体" w:cs="宋体"/>
          <w:sz w:val="24"/>
        </w:rPr>
      </w:pPr>
      <w:r>
        <w:rPr>
          <w:rFonts w:ascii="宋体" w:hAnsi="宋体" w:cs="宋体" w:hint="eastAsia"/>
          <w:sz w:val="24"/>
        </w:rPr>
        <w:t>九、一般公共预算财政拨款项目支出决算表</w:t>
      </w:r>
    </w:p>
    <w:p w14:paraId="5CBCD479" w14:textId="77777777" w:rsidR="00C705A9" w:rsidRDefault="00000000">
      <w:pPr>
        <w:pStyle w:val="TOC2"/>
        <w:adjustRightInd w:val="0"/>
        <w:snapToGrid w:val="0"/>
        <w:spacing w:line="440" w:lineRule="exact"/>
        <w:jc w:val="left"/>
        <w:rPr>
          <w:rFonts w:ascii="宋体" w:hAnsi="宋体" w:cs="宋体"/>
          <w:sz w:val="24"/>
        </w:rPr>
      </w:pPr>
      <w:r>
        <w:rPr>
          <w:rFonts w:ascii="宋体" w:hAnsi="宋体" w:cs="宋体" w:hint="eastAsia"/>
          <w:sz w:val="24"/>
        </w:rPr>
        <w:t>十、一般公共预算财政拨款“三公”经费支出决算表</w:t>
      </w:r>
    </w:p>
    <w:p w14:paraId="533007F6" w14:textId="77777777" w:rsidR="00C705A9" w:rsidRDefault="00000000">
      <w:pPr>
        <w:pStyle w:val="TOC2"/>
        <w:adjustRightInd w:val="0"/>
        <w:snapToGrid w:val="0"/>
        <w:spacing w:line="440" w:lineRule="exact"/>
        <w:jc w:val="left"/>
        <w:rPr>
          <w:rFonts w:ascii="宋体" w:hAnsi="宋体" w:cs="宋体"/>
          <w:sz w:val="24"/>
        </w:rPr>
      </w:pPr>
      <w:r>
        <w:rPr>
          <w:rFonts w:ascii="宋体" w:hAnsi="宋体" w:cs="宋体" w:hint="eastAsia"/>
          <w:sz w:val="24"/>
        </w:rPr>
        <w:t>十一、政府性基金预算财政拨款收入支出决算表</w:t>
      </w:r>
    </w:p>
    <w:p w14:paraId="74AE58AF" w14:textId="77777777" w:rsidR="00C705A9" w:rsidRDefault="00000000">
      <w:pPr>
        <w:pStyle w:val="TOC2"/>
        <w:adjustRightInd w:val="0"/>
        <w:snapToGrid w:val="0"/>
        <w:spacing w:line="440" w:lineRule="exact"/>
        <w:jc w:val="left"/>
        <w:rPr>
          <w:rFonts w:ascii="宋体" w:hAnsi="宋体" w:cs="宋体"/>
          <w:sz w:val="24"/>
        </w:rPr>
      </w:pPr>
      <w:r>
        <w:rPr>
          <w:rFonts w:ascii="宋体" w:hAnsi="宋体" w:cs="宋体" w:hint="eastAsia"/>
          <w:sz w:val="24"/>
        </w:rPr>
        <w:t>十二、政府性基金预算财政拨款“三公”经费支出决算表</w:t>
      </w:r>
    </w:p>
    <w:p w14:paraId="5F8D1620" w14:textId="77777777" w:rsidR="00C705A9" w:rsidRDefault="00000000">
      <w:pPr>
        <w:pStyle w:val="TOC2"/>
        <w:adjustRightInd w:val="0"/>
        <w:snapToGrid w:val="0"/>
        <w:spacing w:line="440" w:lineRule="exact"/>
        <w:jc w:val="left"/>
        <w:rPr>
          <w:rFonts w:ascii="宋体" w:hAnsi="宋体" w:cs="宋体"/>
          <w:sz w:val="24"/>
        </w:rPr>
      </w:pPr>
      <w:r>
        <w:rPr>
          <w:rFonts w:ascii="宋体" w:hAnsi="宋体" w:cs="宋体" w:hint="eastAsia"/>
          <w:sz w:val="24"/>
        </w:rPr>
        <w:t>十三、国有资本经营预算支出决算表</w:t>
      </w:r>
    </w:p>
    <w:p w14:paraId="4296C0D6" w14:textId="77777777" w:rsidR="00C705A9" w:rsidRDefault="00000000">
      <w:pPr>
        <w:widowControl/>
        <w:adjustRightInd w:val="0"/>
        <w:snapToGrid w:val="0"/>
        <w:spacing w:line="440" w:lineRule="exact"/>
        <w:ind w:firstLineChars="550" w:firstLine="1320"/>
        <w:jc w:val="left"/>
        <w:rPr>
          <w:rFonts w:ascii="宋体" w:hAnsi="宋体" w:cs="宋体"/>
          <w:color w:val="FF0000"/>
          <w:sz w:val="24"/>
        </w:rPr>
      </w:pPr>
      <w:r>
        <w:rPr>
          <w:rFonts w:ascii="宋体" w:hAnsi="宋体" w:cs="宋体" w:hint="eastAsia"/>
          <w:color w:val="FF0000"/>
          <w:sz w:val="24"/>
        </w:rPr>
        <w:t>(注：</w:t>
      </w:r>
      <w:proofErr w:type="gramStart"/>
      <w:r>
        <w:rPr>
          <w:rFonts w:ascii="宋体" w:hAnsi="宋体" w:cs="宋体" w:hint="eastAsia"/>
          <w:color w:val="FF0000"/>
          <w:sz w:val="24"/>
        </w:rPr>
        <w:t>请部门</w:t>
      </w:r>
      <w:proofErr w:type="gramEnd"/>
      <w:r>
        <w:rPr>
          <w:rFonts w:ascii="宋体" w:hAnsi="宋体" w:cs="宋体" w:hint="eastAsia"/>
          <w:color w:val="FF0000"/>
          <w:sz w:val="24"/>
        </w:rPr>
        <w:t>根据实际注明页码)</w:t>
      </w:r>
    </w:p>
    <w:p w14:paraId="2C70AB35" w14:textId="77777777" w:rsidR="00C705A9" w:rsidRDefault="00000000">
      <w:pPr>
        <w:widowControl/>
        <w:spacing w:line="440" w:lineRule="exact"/>
        <w:jc w:val="left"/>
        <w:rPr>
          <w:rFonts w:ascii="宋体" w:hAnsi="宋体" w:cs="宋体"/>
          <w:kern w:val="44"/>
          <w:sz w:val="24"/>
        </w:rPr>
      </w:pPr>
      <w:bookmarkStart w:id="12" w:name="_Toc15377196"/>
      <w:bookmarkStart w:id="13" w:name="_Toc15396599"/>
      <w:r>
        <w:rPr>
          <w:rFonts w:ascii="宋体" w:hAnsi="宋体" w:cs="宋体" w:hint="eastAsia"/>
          <w:sz w:val="24"/>
        </w:rPr>
        <w:br w:type="page"/>
      </w:r>
    </w:p>
    <w:p w14:paraId="7964E572" w14:textId="77777777" w:rsidR="00C705A9" w:rsidRDefault="00000000">
      <w:pPr>
        <w:pStyle w:val="1"/>
        <w:jc w:val="center"/>
        <w:rPr>
          <w:rStyle w:val="1Char"/>
          <w:rFonts w:ascii="宋体" w:hAnsi="宋体" w:cs="宋体"/>
        </w:rPr>
      </w:pPr>
      <w:r>
        <w:rPr>
          <w:rFonts w:ascii="宋体" w:hAnsi="宋体" w:cs="宋体" w:hint="eastAsia"/>
          <w:b w:val="0"/>
          <w:bCs w:val="0"/>
        </w:rPr>
        <w:lastRenderedPageBreak/>
        <w:t xml:space="preserve">第一部分 </w:t>
      </w:r>
      <w:r>
        <w:rPr>
          <w:rStyle w:val="1Char"/>
          <w:rFonts w:ascii="宋体" w:hAnsi="宋体" w:cs="宋体" w:hint="eastAsia"/>
        </w:rPr>
        <w:t>部门概况</w:t>
      </w:r>
      <w:bookmarkEnd w:id="12"/>
      <w:bookmarkEnd w:id="13"/>
    </w:p>
    <w:p w14:paraId="2EC33469" w14:textId="77777777" w:rsidR="00C705A9" w:rsidRDefault="00C705A9">
      <w:pPr>
        <w:widowControl/>
        <w:jc w:val="left"/>
        <w:rPr>
          <w:rFonts w:ascii="宋体" w:hAnsi="宋体" w:cs="宋体"/>
          <w:color w:val="000000"/>
          <w:sz w:val="32"/>
          <w:szCs w:val="32"/>
        </w:rPr>
      </w:pPr>
    </w:p>
    <w:p w14:paraId="11BE6C80" w14:textId="77777777" w:rsidR="00C705A9" w:rsidRDefault="00000000">
      <w:pPr>
        <w:pStyle w:val="2"/>
        <w:rPr>
          <w:rStyle w:val="2Char"/>
          <w:rFonts w:ascii="宋体" w:eastAsia="宋体" w:hAnsi="宋体" w:cs="宋体"/>
        </w:rPr>
      </w:pPr>
      <w:bookmarkStart w:id="14" w:name="_Toc15396600"/>
      <w:bookmarkStart w:id="15" w:name="_Toc15377197"/>
      <w:r>
        <w:rPr>
          <w:rFonts w:ascii="宋体" w:eastAsia="宋体" w:hAnsi="宋体" w:cs="宋体" w:hint="eastAsia"/>
          <w:b w:val="0"/>
          <w:bCs w:val="0"/>
          <w:color w:val="000000"/>
        </w:rPr>
        <w:t>一、基</w:t>
      </w:r>
      <w:r>
        <w:rPr>
          <w:rStyle w:val="2Char"/>
          <w:rFonts w:ascii="宋体" w:eastAsia="宋体" w:hAnsi="宋体" w:cs="宋体" w:hint="eastAsia"/>
        </w:rPr>
        <w:t>本职能及主要工作</w:t>
      </w:r>
      <w:bookmarkEnd w:id="14"/>
      <w:bookmarkEnd w:id="15"/>
    </w:p>
    <w:p w14:paraId="5155217F" w14:textId="77777777" w:rsidR="00C705A9" w:rsidRDefault="00000000">
      <w:pPr>
        <w:pStyle w:val="a0"/>
        <w:adjustRightInd w:val="0"/>
        <w:snapToGrid w:val="0"/>
        <w:spacing w:before="93" w:line="600" w:lineRule="exact"/>
        <w:ind w:firstLineChars="210" w:firstLine="672"/>
        <w:outlineLvl w:val="2"/>
        <w:rPr>
          <w:rFonts w:ascii="宋体" w:eastAsia="宋体" w:hAnsi="宋体" w:cs="宋体"/>
          <w:color w:val="000000"/>
          <w:sz w:val="32"/>
          <w:szCs w:val="32"/>
        </w:rPr>
      </w:pPr>
      <w:bookmarkStart w:id="16" w:name="_Toc15378445"/>
      <w:bookmarkStart w:id="17" w:name="_Toc15377198"/>
      <w:r>
        <w:rPr>
          <w:rFonts w:ascii="宋体" w:eastAsia="宋体" w:hAnsi="宋体" w:cs="宋体" w:hint="eastAsia"/>
          <w:color w:val="000000"/>
          <w:sz w:val="32"/>
          <w:szCs w:val="32"/>
        </w:rPr>
        <w:t>（一）主要职能。</w:t>
      </w:r>
      <w:bookmarkEnd w:id="16"/>
      <w:bookmarkEnd w:id="17"/>
    </w:p>
    <w:p w14:paraId="49F2EB6A" w14:textId="77777777" w:rsidR="00C705A9" w:rsidRDefault="00000000">
      <w:pPr>
        <w:widowControl/>
        <w:spacing w:line="540" w:lineRule="exact"/>
        <w:ind w:firstLine="720"/>
        <w:jc w:val="left"/>
        <w:rPr>
          <w:rFonts w:ascii="宋体" w:hAnsi="宋体" w:cs="宋体"/>
          <w:color w:val="000000"/>
          <w:sz w:val="32"/>
          <w:szCs w:val="32"/>
        </w:rPr>
      </w:pPr>
      <w:r>
        <w:rPr>
          <w:rFonts w:ascii="宋体" w:hAnsi="宋体" w:cs="宋体" w:hint="eastAsia"/>
          <w:sz w:val="32"/>
          <w:szCs w:val="32"/>
        </w:rPr>
        <w:t>广福镇卫生院属乡镇卫生院，辖区服务人口2万余人。卫生院设有内科、外科、中医科、防保科，检验科、护理、药房等科室，承担着本乡的公共卫生、预防保健、健康教育和常见病、多发病的防治以及周边乡镇人口的常见病、多发病防治。现在编在职人员13人，自收自支及差额拨款13人，退休人员5人。</w:t>
      </w:r>
    </w:p>
    <w:p w14:paraId="073E1907" w14:textId="77777777" w:rsidR="00C705A9" w:rsidRDefault="00000000">
      <w:pPr>
        <w:pStyle w:val="a0"/>
        <w:adjustRightInd w:val="0"/>
        <w:snapToGrid w:val="0"/>
        <w:spacing w:before="93" w:line="600" w:lineRule="exact"/>
        <w:ind w:firstLineChars="210" w:firstLine="672"/>
        <w:outlineLvl w:val="2"/>
        <w:rPr>
          <w:rFonts w:ascii="宋体" w:eastAsia="宋体" w:hAnsi="宋体" w:cs="宋体"/>
          <w:color w:val="000000"/>
          <w:sz w:val="32"/>
          <w:szCs w:val="32"/>
        </w:rPr>
      </w:pPr>
      <w:bookmarkStart w:id="18" w:name="_Toc15377199"/>
      <w:bookmarkStart w:id="19" w:name="_Toc15378446"/>
      <w:r>
        <w:rPr>
          <w:rFonts w:ascii="宋体" w:eastAsia="宋体" w:hAnsi="宋体" w:cs="宋体" w:hint="eastAsia"/>
          <w:color w:val="000000"/>
          <w:sz w:val="32"/>
          <w:szCs w:val="32"/>
        </w:rPr>
        <w:t>（二）2022年重点工作完成情况。</w:t>
      </w:r>
      <w:bookmarkEnd w:id="18"/>
      <w:bookmarkEnd w:id="19"/>
    </w:p>
    <w:p w14:paraId="7452DB03" w14:textId="618D8886" w:rsidR="00C705A9" w:rsidRDefault="00000000">
      <w:pPr>
        <w:snapToGrid w:val="0"/>
        <w:spacing w:line="520" w:lineRule="exact"/>
        <w:ind w:firstLineChars="200" w:firstLine="640"/>
        <w:rPr>
          <w:rFonts w:ascii="宋体" w:hAnsi="宋体" w:cs="宋体"/>
          <w:sz w:val="32"/>
          <w:szCs w:val="32"/>
        </w:rPr>
      </w:pPr>
      <w:r>
        <w:rPr>
          <w:rFonts w:ascii="宋体" w:hAnsi="宋体" w:cs="宋体" w:hint="eastAsia"/>
          <w:sz w:val="32"/>
          <w:szCs w:val="32"/>
        </w:rPr>
        <w:t>开江县广福镇卫生院</w:t>
      </w:r>
      <w:proofErr w:type="gramStart"/>
      <w:r>
        <w:rPr>
          <w:rFonts w:ascii="宋体" w:hAnsi="宋体" w:cs="宋体" w:hint="eastAsia"/>
          <w:sz w:val="32"/>
          <w:szCs w:val="32"/>
        </w:rPr>
        <w:t>按坚持</w:t>
      </w:r>
      <w:proofErr w:type="gramEnd"/>
      <w:r>
        <w:rPr>
          <w:rFonts w:ascii="宋体" w:hAnsi="宋体" w:cs="宋体" w:hint="eastAsia"/>
          <w:sz w:val="32"/>
          <w:szCs w:val="32"/>
        </w:rPr>
        <w:t>把加快发展卫生事业、保障群众健康作为最大的民生，作为老百姓共享发展成果的最大体现，以推进公立医院综合体制改革、规范公立医院运行管理为切入点，深入实施“卫生健民工程”，实现了门诊和住院业务量、业务收入、技术服务水平、群众满意率等“四个提升”，医疗收费标准、平均就医费用、不合理费用比例、单病种费用等“四个降低”，使公立医院的机制活起来、功能全起来、服务水平高起来、药价降下来、群众得到的实惠多起来，积极探索出一条西部欠发达地区推进公立医院改革、保障人民健康幸福的新路子。</w:t>
      </w:r>
    </w:p>
    <w:p w14:paraId="29A8E825" w14:textId="77777777" w:rsidR="00C705A9" w:rsidRDefault="00C705A9">
      <w:pPr>
        <w:pStyle w:val="a0"/>
        <w:adjustRightInd w:val="0"/>
        <w:snapToGrid w:val="0"/>
        <w:spacing w:before="93" w:line="600" w:lineRule="exact"/>
        <w:ind w:firstLineChars="210" w:firstLine="672"/>
        <w:outlineLvl w:val="2"/>
        <w:rPr>
          <w:rFonts w:ascii="宋体" w:eastAsia="宋体" w:hAnsi="宋体" w:cs="宋体"/>
          <w:color w:val="000000"/>
          <w:sz w:val="32"/>
          <w:szCs w:val="32"/>
        </w:rPr>
      </w:pPr>
    </w:p>
    <w:p w14:paraId="4FDE9634" w14:textId="77777777" w:rsidR="00C705A9" w:rsidRDefault="00000000">
      <w:pPr>
        <w:pStyle w:val="2"/>
        <w:rPr>
          <w:rStyle w:val="2Char"/>
          <w:rFonts w:ascii="宋体" w:eastAsia="宋体" w:hAnsi="宋体" w:cs="宋体"/>
        </w:rPr>
      </w:pPr>
      <w:bookmarkStart w:id="20" w:name="_Toc15396601"/>
      <w:bookmarkStart w:id="21" w:name="_Toc15377200"/>
      <w:r>
        <w:rPr>
          <w:rFonts w:ascii="宋体" w:eastAsia="宋体" w:hAnsi="宋体" w:cs="宋体" w:hint="eastAsia"/>
          <w:b w:val="0"/>
          <w:bCs w:val="0"/>
          <w:color w:val="000000"/>
        </w:rPr>
        <w:lastRenderedPageBreak/>
        <w:t>二、机</w:t>
      </w:r>
      <w:r>
        <w:rPr>
          <w:rStyle w:val="2Char"/>
          <w:rFonts w:ascii="宋体" w:eastAsia="宋体" w:hAnsi="宋体" w:cs="宋体" w:hint="eastAsia"/>
        </w:rPr>
        <w:t>构设置</w:t>
      </w:r>
      <w:bookmarkEnd w:id="20"/>
      <w:bookmarkEnd w:id="21"/>
    </w:p>
    <w:p w14:paraId="29351CAA" w14:textId="77777777" w:rsidR="00C705A9" w:rsidRDefault="00000000">
      <w:pPr>
        <w:pStyle w:val="2"/>
        <w:ind w:firstLineChars="200" w:firstLine="640"/>
        <w:rPr>
          <w:rFonts w:ascii="宋体" w:eastAsia="宋体" w:hAnsi="宋体" w:cs="宋体"/>
          <w:b w:val="0"/>
          <w:bCs w:val="0"/>
        </w:rPr>
      </w:pPr>
      <w:r>
        <w:rPr>
          <w:rFonts w:ascii="宋体" w:eastAsia="宋体" w:hAnsi="宋体" w:cs="宋体" w:hint="eastAsia"/>
          <w:b w:val="0"/>
          <w:bCs w:val="0"/>
          <w:kern w:val="0"/>
        </w:rPr>
        <w:t>开江县广福镇卫生院是一级预算单位,</w:t>
      </w:r>
      <w:r>
        <w:rPr>
          <w:rFonts w:ascii="宋体" w:eastAsia="宋体" w:hAnsi="宋体" w:cs="宋体" w:hint="eastAsia"/>
          <w:b w:val="0"/>
          <w:bCs w:val="0"/>
        </w:rPr>
        <w:t>为开江县卫生健康局举办的差额拨款事业单位，位于开江县广福镇，法定代表人：徐才铸。</w:t>
      </w:r>
    </w:p>
    <w:p w14:paraId="75995C14" w14:textId="77777777" w:rsidR="00C705A9" w:rsidRDefault="00C705A9">
      <w:pPr>
        <w:rPr>
          <w:rFonts w:ascii="宋体" w:hAnsi="宋体" w:cs="宋体"/>
        </w:rPr>
      </w:pPr>
    </w:p>
    <w:p w14:paraId="176E5F8F" w14:textId="77777777" w:rsidR="00C705A9" w:rsidRDefault="00000000">
      <w:pPr>
        <w:pStyle w:val="1"/>
        <w:ind w:right="440"/>
        <w:jc w:val="center"/>
        <w:rPr>
          <w:rStyle w:val="1Char"/>
          <w:rFonts w:ascii="宋体" w:hAnsi="宋体" w:cs="宋体"/>
        </w:rPr>
      </w:pPr>
      <w:bookmarkStart w:id="22" w:name="_Toc15377204"/>
      <w:bookmarkStart w:id="23" w:name="_Toc15396602"/>
      <w:r>
        <w:rPr>
          <w:rFonts w:ascii="宋体" w:hAnsi="宋体" w:cs="宋体" w:hint="eastAsia"/>
          <w:b w:val="0"/>
          <w:bCs w:val="0"/>
          <w:color w:val="000000"/>
        </w:rPr>
        <w:t xml:space="preserve">第二部分 </w:t>
      </w:r>
      <w:r>
        <w:rPr>
          <w:rStyle w:val="1Char"/>
          <w:rFonts w:ascii="宋体" w:hAnsi="宋体" w:cs="宋体" w:hint="eastAsia"/>
        </w:rPr>
        <w:t>2022年度部门决算情况说明</w:t>
      </w:r>
      <w:bookmarkEnd w:id="22"/>
      <w:bookmarkEnd w:id="23"/>
    </w:p>
    <w:p w14:paraId="0054A0D5" w14:textId="77777777" w:rsidR="00C705A9" w:rsidRDefault="00C705A9">
      <w:pPr>
        <w:rPr>
          <w:rFonts w:ascii="仿宋_GB2312" w:eastAsia="仿宋_GB2312" w:hAnsi="仿宋_GB2312" w:cs="仿宋_GB2312"/>
        </w:rPr>
      </w:pPr>
    </w:p>
    <w:p w14:paraId="49AAC17A" w14:textId="77777777" w:rsidR="00C705A9" w:rsidRDefault="00000000">
      <w:pPr>
        <w:pStyle w:val="ae"/>
        <w:numPr>
          <w:ilvl w:val="0"/>
          <w:numId w:val="1"/>
        </w:numPr>
        <w:spacing w:line="600" w:lineRule="exact"/>
        <w:ind w:firstLineChars="0"/>
        <w:outlineLvl w:val="1"/>
        <w:rPr>
          <w:rStyle w:val="2Char"/>
          <w:rFonts w:ascii="宋体" w:eastAsia="宋体" w:hAnsi="宋体" w:cs="宋体"/>
          <w:b w:val="0"/>
          <w:bCs w:val="0"/>
        </w:rPr>
      </w:pPr>
      <w:bookmarkStart w:id="24" w:name="_Toc15396603"/>
      <w:bookmarkStart w:id="25" w:name="_Toc15377205"/>
      <w:r>
        <w:rPr>
          <w:rFonts w:ascii="宋体" w:hAnsi="宋体" w:cs="宋体" w:hint="eastAsia"/>
          <w:color w:val="000000"/>
          <w:sz w:val="32"/>
          <w:szCs w:val="32"/>
        </w:rPr>
        <w:t>收</w:t>
      </w:r>
      <w:r>
        <w:rPr>
          <w:rStyle w:val="2Char"/>
          <w:rFonts w:ascii="宋体" w:eastAsia="宋体" w:hAnsi="宋体" w:cs="宋体" w:hint="eastAsia"/>
          <w:b w:val="0"/>
          <w:bCs w:val="0"/>
        </w:rPr>
        <w:t>入支出决算总体情况说明</w:t>
      </w:r>
      <w:bookmarkEnd w:id="24"/>
      <w:bookmarkEnd w:id="25"/>
    </w:p>
    <w:p w14:paraId="36CD44B5" w14:textId="77777777" w:rsidR="00C705A9" w:rsidRDefault="00000000">
      <w:pPr>
        <w:spacing w:line="600" w:lineRule="exact"/>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t>（图1：收、支决算总计变动情况图）（柱状图）</w:t>
      </w:r>
    </w:p>
    <w:p w14:paraId="7BD19E61" w14:textId="71039C4D" w:rsidR="00C705A9" w:rsidRDefault="00000000">
      <w:pPr>
        <w:snapToGrid w:val="0"/>
        <w:spacing w:line="520" w:lineRule="exact"/>
        <w:ind w:firstLineChars="200" w:firstLine="420"/>
        <w:rPr>
          <w:rFonts w:ascii="宋体" w:hAnsi="宋体" w:cs="宋体"/>
          <w:sz w:val="32"/>
          <w:szCs w:val="32"/>
        </w:rPr>
      </w:pPr>
      <w:r>
        <w:rPr>
          <w:rFonts w:eastAsiaTheme="minorEastAsia" w:hint="eastAsia"/>
          <w:noProof/>
        </w:rPr>
        <w:drawing>
          <wp:anchor distT="0" distB="0" distL="114300" distR="114300" simplePos="0" relativeHeight="251664384" behindDoc="0" locked="0" layoutInCell="1" allowOverlap="1" wp14:anchorId="45B0E802" wp14:editId="2EC15D2F">
            <wp:simplePos x="0" y="0"/>
            <wp:positionH relativeFrom="column">
              <wp:posOffset>137795</wp:posOffset>
            </wp:positionH>
            <wp:positionV relativeFrom="paragraph">
              <wp:posOffset>73660</wp:posOffset>
            </wp:positionV>
            <wp:extent cx="4841875" cy="2306955"/>
            <wp:effectExtent l="4445" t="4445" r="11430" b="1270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宋体" w:hAnsi="宋体" w:cs="宋体" w:hint="eastAsia"/>
          <w:sz w:val="32"/>
          <w:szCs w:val="32"/>
        </w:rPr>
        <w:t>2022年收入382.10万元，其中财政补助收入225.15万元，事业收入156.95万元，对比2021年总收入增加63.21万元。2022总支出382.10万元，对比2021年总支出增加63.21万元，收入对比上年增加原因为医疗收入增加40.2万元，财政补助收入增加23.01万元（基本公共卫生服务项目财政补助收入和基层医疗卫生机构增加）。总支出比上年增加63.21万元主要原因为商品和服务支出增加。</w:t>
      </w:r>
    </w:p>
    <w:p w14:paraId="33B5EC25" w14:textId="77777777" w:rsidR="00C705A9" w:rsidRDefault="00000000">
      <w:pPr>
        <w:pStyle w:val="ae"/>
        <w:spacing w:line="600" w:lineRule="exact"/>
        <w:ind w:left="640" w:firstLineChars="0" w:firstLine="0"/>
        <w:outlineLvl w:val="1"/>
        <w:rPr>
          <w:rStyle w:val="2Char"/>
          <w:rFonts w:ascii="宋体" w:eastAsia="宋体" w:hAnsi="宋体" w:cs="宋体"/>
          <w:b w:val="0"/>
          <w:bCs w:val="0"/>
        </w:rPr>
      </w:pPr>
      <w:bookmarkStart w:id="26" w:name="_Toc15396604"/>
      <w:bookmarkStart w:id="27" w:name="_Toc15377206"/>
      <w:r>
        <w:rPr>
          <w:rFonts w:ascii="宋体" w:hAnsi="宋体" w:cs="宋体" w:hint="eastAsia"/>
          <w:color w:val="000000"/>
          <w:sz w:val="32"/>
          <w:szCs w:val="32"/>
        </w:rPr>
        <w:lastRenderedPageBreak/>
        <w:t>二、收</w:t>
      </w:r>
      <w:r>
        <w:rPr>
          <w:rStyle w:val="2Char"/>
          <w:rFonts w:ascii="宋体" w:eastAsia="宋体" w:hAnsi="宋体" w:cs="宋体" w:hint="eastAsia"/>
          <w:b w:val="0"/>
          <w:bCs w:val="0"/>
        </w:rPr>
        <w:t>入决算情况说明</w:t>
      </w:r>
      <w:bookmarkEnd w:id="26"/>
      <w:bookmarkEnd w:id="27"/>
    </w:p>
    <w:p w14:paraId="6531197C" w14:textId="77777777" w:rsidR="00C705A9" w:rsidRDefault="00000000">
      <w:pPr>
        <w:spacing w:line="600" w:lineRule="exact"/>
        <w:ind w:firstLineChars="200" w:firstLine="640"/>
        <w:outlineLvl w:val="1"/>
        <w:rPr>
          <w:rFonts w:ascii="宋体" w:hAnsi="宋体" w:cs="宋体"/>
          <w:color w:val="000000"/>
          <w:sz w:val="32"/>
          <w:szCs w:val="32"/>
        </w:rPr>
      </w:pPr>
      <w:r>
        <w:rPr>
          <w:rFonts w:ascii="宋体" w:hAnsi="宋体" w:cs="宋体" w:hint="eastAsia"/>
          <w:color w:val="000000"/>
          <w:sz w:val="32"/>
          <w:szCs w:val="32"/>
        </w:rPr>
        <w:t>2022年本年收入合计382.10万元，其中：一般公共预算财政拨款收入225.15万元，占58.92%；政府性基金预算财政拨款收入0万元，占0%；</w:t>
      </w:r>
      <w:r>
        <w:rPr>
          <w:rFonts w:ascii="宋体" w:hAnsi="宋体" w:cs="宋体" w:hint="eastAsia"/>
          <w:color w:val="000000" w:themeColor="text1"/>
          <w:sz w:val="32"/>
          <w:szCs w:val="32"/>
        </w:rPr>
        <w:t>上级补助收入0</w:t>
      </w:r>
      <w:r>
        <w:rPr>
          <w:rFonts w:ascii="宋体" w:hAnsi="宋体" w:cs="宋体" w:hint="eastAsia"/>
          <w:color w:val="000000"/>
          <w:sz w:val="32"/>
          <w:szCs w:val="32"/>
        </w:rPr>
        <w:t>万元，占0%；事业收入156.95万元，占41.08%；经营收入0万元，占0%；附属单位上缴收入0万元，占0%；其他收入0万元，占0%。</w:t>
      </w:r>
    </w:p>
    <w:p w14:paraId="27ABA648" w14:textId="77777777" w:rsidR="00C705A9" w:rsidRDefault="00C705A9">
      <w:pPr>
        <w:spacing w:line="600" w:lineRule="exact"/>
        <w:ind w:firstLineChars="200" w:firstLine="640"/>
        <w:outlineLvl w:val="1"/>
        <w:rPr>
          <w:rFonts w:ascii="宋体" w:hAnsi="宋体" w:cs="宋体"/>
          <w:color w:val="000000"/>
          <w:sz w:val="32"/>
          <w:szCs w:val="32"/>
        </w:rPr>
      </w:pPr>
    </w:p>
    <w:p w14:paraId="7F16D1C6" w14:textId="77777777" w:rsidR="00C705A9" w:rsidRDefault="00000000">
      <w:pPr>
        <w:spacing w:line="600" w:lineRule="exact"/>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t>（图2：收入决算结构图）（饼状图）</w:t>
      </w:r>
    </w:p>
    <w:p w14:paraId="297A8CEC" w14:textId="77777777" w:rsidR="00C705A9" w:rsidRDefault="00000000">
      <w:pPr>
        <w:spacing w:line="600" w:lineRule="exact"/>
        <w:ind w:firstLineChars="200" w:firstLine="420"/>
        <w:rPr>
          <w:rFonts w:ascii="宋体" w:hAnsi="宋体" w:cs="宋体"/>
          <w:color w:val="FF0000"/>
          <w:sz w:val="32"/>
          <w:szCs w:val="32"/>
        </w:rPr>
      </w:pPr>
      <w:r>
        <w:rPr>
          <w:rFonts w:eastAsiaTheme="minorEastAsia" w:hint="eastAsia"/>
          <w:noProof/>
        </w:rPr>
        <w:drawing>
          <wp:anchor distT="0" distB="0" distL="114300" distR="114300" simplePos="0" relativeHeight="251659264" behindDoc="0" locked="0" layoutInCell="1" allowOverlap="1" wp14:anchorId="4B20A05A" wp14:editId="3DB47317">
            <wp:simplePos x="0" y="0"/>
            <wp:positionH relativeFrom="column">
              <wp:posOffset>366395</wp:posOffset>
            </wp:positionH>
            <wp:positionV relativeFrom="paragraph">
              <wp:posOffset>201295</wp:posOffset>
            </wp:positionV>
            <wp:extent cx="3642360" cy="1992630"/>
            <wp:effectExtent l="4445" t="4445" r="10795" b="2222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5D7CF41A" w14:textId="77777777" w:rsidR="00C705A9" w:rsidRDefault="00000000">
      <w:pPr>
        <w:pStyle w:val="ae"/>
        <w:numPr>
          <w:ilvl w:val="0"/>
          <w:numId w:val="1"/>
        </w:numPr>
        <w:spacing w:line="600" w:lineRule="exact"/>
        <w:ind w:firstLineChars="0"/>
        <w:outlineLvl w:val="1"/>
        <w:rPr>
          <w:rStyle w:val="2Char"/>
          <w:rFonts w:ascii="宋体" w:eastAsia="宋体" w:hAnsi="宋体" w:cs="宋体"/>
          <w:b w:val="0"/>
          <w:bCs w:val="0"/>
        </w:rPr>
      </w:pPr>
      <w:bookmarkStart w:id="28" w:name="_Toc15396605"/>
      <w:bookmarkStart w:id="29" w:name="_Toc15377207"/>
      <w:r>
        <w:rPr>
          <w:rFonts w:ascii="宋体" w:hAnsi="宋体" w:cs="宋体" w:hint="eastAsia"/>
          <w:color w:val="000000"/>
          <w:sz w:val="32"/>
          <w:szCs w:val="32"/>
        </w:rPr>
        <w:t>支</w:t>
      </w:r>
      <w:r>
        <w:rPr>
          <w:rStyle w:val="2Char"/>
          <w:rFonts w:ascii="宋体" w:eastAsia="宋体" w:hAnsi="宋体" w:cs="宋体" w:hint="eastAsia"/>
          <w:b w:val="0"/>
          <w:bCs w:val="0"/>
        </w:rPr>
        <w:t>出决算情况说明</w:t>
      </w:r>
      <w:bookmarkEnd w:id="28"/>
      <w:bookmarkEnd w:id="29"/>
    </w:p>
    <w:p w14:paraId="1DAD7665" w14:textId="77777777" w:rsidR="00C705A9" w:rsidRDefault="00000000">
      <w:pPr>
        <w:spacing w:line="600" w:lineRule="exact"/>
        <w:ind w:firstLineChars="200" w:firstLine="640"/>
        <w:outlineLvl w:val="1"/>
        <w:rPr>
          <w:rFonts w:ascii="宋体" w:hAnsi="宋体" w:cs="宋体"/>
          <w:color w:val="000000"/>
          <w:sz w:val="32"/>
          <w:szCs w:val="32"/>
        </w:rPr>
      </w:pPr>
      <w:r>
        <w:rPr>
          <w:rFonts w:ascii="宋体" w:hAnsi="宋体" w:cs="宋体" w:hint="eastAsia"/>
          <w:color w:val="000000"/>
          <w:sz w:val="32"/>
          <w:szCs w:val="32"/>
        </w:rPr>
        <w:t>2022年本年支出合计382.10万元，其中：基本支出266.12万元，占69.65%；项目支出115.98万元，占30.35%；上缴上级支出0万元，占0%；经营支出0万元，占0%；对附属单位补助支出0万元，占0%。</w:t>
      </w:r>
    </w:p>
    <w:p w14:paraId="22A3B837" w14:textId="77777777" w:rsidR="00C705A9" w:rsidRDefault="00000000">
      <w:pPr>
        <w:spacing w:line="600" w:lineRule="exact"/>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t>（图3：支出决算结构图）（饼状图）</w:t>
      </w:r>
    </w:p>
    <w:p w14:paraId="7DDEE04E" w14:textId="77777777" w:rsidR="00C705A9" w:rsidRDefault="00000000">
      <w:pPr>
        <w:spacing w:line="600" w:lineRule="exact"/>
        <w:ind w:firstLineChars="200" w:firstLine="420"/>
        <w:rPr>
          <w:rFonts w:ascii="宋体" w:hAnsi="宋体" w:cs="宋体"/>
          <w:color w:val="FF0000"/>
          <w:sz w:val="32"/>
          <w:szCs w:val="32"/>
        </w:rPr>
      </w:pPr>
      <w:r>
        <w:rPr>
          <w:rFonts w:eastAsiaTheme="minorEastAsia" w:hint="eastAsia"/>
          <w:noProof/>
        </w:rPr>
        <w:lastRenderedPageBreak/>
        <w:drawing>
          <wp:anchor distT="0" distB="0" distL="114300" distR="114300" simplePos="0" relativeHeight="251660288" behindDoc="0" locked="0" layoutInCell="1" allowOverlap="1" wp14:anchorId="4EAFFD64" wp14:editId="5098BC78">
            <wp:simplePos x="0" y="0"/>
            <wp:positionH relativeFrom="column">
              <wp:posOffset>290195</wp:posOffset>
            </wp:positionH>
            <wp:positionV relativeFrom="paragraph">
              <wp:posOffset>-7578090</wp:posOffset>
            </wp:positionV>
            <wp:extent cx="3671570" cy="1734820"/>
            <wp:effectExtent l="4445" t="4445" r="19685" b="1333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6A5017BB" w14:textId="77777777" w:rsidR="00C705A9" w:rsidRDefault="00000000">
      <w:pPr>
        <w:spacing w:line="600" w:lineRule="exact"/>
        <w:ind w:firstLineChars="200" w:firstLine="640"/>
        <w:outlineLvl w:val="1"/>
        <w:rPr>
          <w:rStyle w:val="2Char"/>
          <w:rFonts w:ascii="宋体" w:eastAsia="宋体" w:hAnsi="宋体" w:cs="宋体"/>
          <w:b w:val="0"/>
          <w:bCs w:val="0"/>
        </w:rPr>
      </w:pPr>
      <w:bookmarkStart w:id="30" w:name="_Toc15377208"/>
      <w:bookmarkStart w:id="31" w:name="_Toc15396606"/>
      <w:r>
        <w:rPr>
          <w:rFonts w:ascii="宋体" w:hAnsi="宋体" w:cs="宋体" w:hint="eastAsia"/>
          <w:color w:val="000000"/>
          <w:sz w:val="32"/>
          <w:szCs w:val="32"/>
        </w:rPr>
        <w:t>四、财</w:t>
      </w:r>
      <w:r>
        <w:rPr>
          <w:rStyle w:val="2Char"/>
          <w:rFonts w:ascii="宋体" w:eastAsia="宋体" w:hAnsi="宋体" w:cs="宋体" w:hint="eastAsia"/>
          <w:b w:val="0"/>
          <w:bCs w:val="0"/>
        </w:rPr>
        <w:t>政拨款收入支出决算总体情况说明</w:t>
      </w:r>
      <w:bookmarkEnd w:id="30"/>
      <w:bookmarkEnd w:id="31"/>
    </w:p>
    <w:p w14:paraId="1DAB4377" w14:textId="77777777" w:rsidR="00C705A9" w:rsidRDefault="00000000">
      <w:pPr>
        <w:spacing w:line="600" w:lineRule="exact"/>
        <w:ind w:firstLine="640"/>
        <w:rPr>
          <w:rFonts w:ascii="宋体" w:hAnsi="宋体" w:cs="宋体"/>
          <w:color w:val="000000"/>
          <w:sz w:val="32"/>
          <w:szCs w:val="32"/>
        </w:rPr>
      </w:pPr>
      <w:r>
        <w:rPr>
          <w:rFonts w:ascii="宋体" w:hAnsi="宋体" w:cs="宋体" w:hint="eastAsia"/>
          <w:color w:val="000000"/>
          <w:sz w:val="32"/>
          <w:szCs w:val="32"/>
        </w:rPr>
        <w:t>2022年财政拨款收、支总计225.15万元。与2021年相比，财政拨款收、支总计各增加23.01万元，增长10.21%。主要变动原因是项目收入增加。</w:t>
      </w:r>
    </w:p>
    <w:p w14:paraId="4E480099" w14:textId="77777777" w:rsidR="00C705A9" w:rsidRDefault="00C705A9">
      <w:pPr>
        <w:spacing w:line="600" w:lineRule="exact"/>
        <w:rPr>
          <w:rFonts w:ascii="宋体" w:hAnsi="宋体" w:cs="宋体"/>
          <w:color w:val="000000"/>
          <w:sz w:val="32"/>
          <w:szCs w:val="32"/>
        </w:rPr>
      </w:pPr>
    </w:p>
    <w:p w14:paraId="3B4BDBA7" w14:textId="77777777" w:rsidR="00C705A9" w:rsidRDefault="00000000">
      <w:pPr>
        <w:spacing w:line="600" w:lineRule="exact"/>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t>（图4：财政拨款收、支决算总计变动情况）（柱状图）</w:t>
      </w:r>
    </w:p>
    <w:p w14:paraId="683668FC" w14:textId="77777777" w:rsidR="00C705A9" w:rsidRDefault="00000000">
      <w:pPr>
        <w:spacing w:line="600" w:lineRule="exact"/>
        <w:ind w:firstLine="640"/>
        <w:rPr>
          <w:rFonts w:ascii="宋体" w:hAnsi="宋体" w:cs="宋体"/>
          <w:color w:val="00B050"/>
          <w:sz w:val="32"/>
          <w:szCs w:val="32"/>
        </w:rPr>
      </w:pPr>
      <w:r>
        <w:rPr>
          <w:rFonts w:eastAsiaTheme="minorEastAsia" w:hint="eastAsia"/>
          <w:noProof/>
        </w:rPr>
        <w:drawing>
          <wp:anchor distT="0" distB="0" distL="114300" distR="114300" simplePos="0" relativeHeight="251662336" behindDoc="0" locked="0" layoutInCell="1" allowOverlap="1" wp14:anchorId="0E832AF4" wp14:editId="59138092">
            <wp:simplePos x="0" y="0"/>
            <wp:positionH relativeFrom="column">
              <wp:posOffset>401320</wp:posOffset>
            </wp:positionH>
            <wp:positionV relativeFrom="paragraph">
              <wp:posOffset>165735</wp:posOffset>
            </wp:positionV>
            <wp:extent cx="4755515" cy="3192145"/>
            <wp:effectExtent l="4445" t="4445" r="21590" b="2286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A668B27" w14:textId="77777777" w:rsidR="00C705A9" w:rsidRDefault="00000000">
      <w:pPr>
        <w:spacing w:line="600" w:lineRule="exact"/>
        <w:ind w:firstLineChars="200" w:firstLine="640"/>
        <w:outlineLvl w:val="1"/>
        <w:rPr>
          <w:rStyle w:val="2Char"/>
          <w:rFonts w:ascii="宋体" w:eastAsia="宋体" w:hAnsi="宋体" w:cs="宋体"/>
          <w:b w:val="0"/>
          <w:bCs w:val="0"/>
        </w:rPr>
      </w:pPr>
      <w:bookmarkStart w:id="32" w:name="_Toc15377209"/>
      <w:bookmarkStart w:id="33" w:name="_Toc15396607"/>
      <w:r>
        <w:rPr>
          <w:rFonts w:ascii="宋体" w:hAnsi="宋体" w:cs="宋体" w:hint="eastAsia"/>
          <w:color w:val="000000"/>
          <w:sz w:val="32"/>
          <w:szCs w:val="32"/>
        </w:rPr>
        <w:t>五、一</w:t>
      </w:r>
      <w:r>
        <w:rPr>
          <w:rStyle w:val="2Char"/>
          <w:rFonts w:ascii="宋体" w:eastAsia="宋体" w:hAnsi="宋体" w:cs="宋体" w:hint="eastAsia"/>
          <w:b w:val="0"/>
          <w:bCs w:val="0"/>
        </w:rPr>
        <w:t>般公共预算财政拨款支出决算情况说明</w:t>
      </w:r>
      <w:bookmarkEnd w:id="32"/>
      <w:bookmarkEnd w:id="33"/>
    </w:p>
    <w:p w14:paraId="1AF51776" w14:textId="77777777" w:rsidR="00C705A9" w:rsidRDefault="00000000">
      <w:pPr>
        <w:spacing w:line="600" w:lineRule="exact"/>
        <w:ind w:firstLineChars="200" w:firstLine="640"/>
        <w:outlineLvl w:val="2"/>
        <w:rPr>
          <w:rFonts w:ascii="宋体" w:hAnsi="宋体" w:cs="宋体"/>
          <w:color w:val="000000"/>
          <w:sz w:val="32"/>
          <w:szCs w:val="32"/>
        </w:rPr>
      </w:pPr>
      <w:bookmarkStart w:id="34" w:name="_Toc15377210"/>
      <w:r>
        <w:rPr>
          <w:rFonts w:ascii="宋体" w:hAnsi="宋体" w:cs="宋体" w:hint="eastAsia"/>
          <w:color w:val="000000"/>
          <w:sz w:val="32"/>
          <w:szCs w:val="32"/>
        </w:rPr>
        <w:t>（一）一般公共预算财政拨款支出决算总体情况</w:t>
      </w:r>
      <w:bookmarkEnd w:id="34"/>
    </w:p>
    <w:p w14:paraId="4791B780" w14:textId="77777777" w:rsidR="00C705A9" w:rsidRDefault="00000000">
      <w:pPr>
        <w:spacing w:line="600" w:lineRule="exact"/>
        <w:ind w:firstLineChars="200" w:firstLine="640"/>
        <w:rPr>
          <w:rFonts w:ascii="宋体" w:hAnsi="宋体" w:cs="宋体"/>
          <w:color w:val="000000"/>
          <w:sz w:val="32"/>
          <w:szCs w:val="32"/>
        </w:rPr>
      </w:pPr>
      <w:r>
        <w:rPr>
          <w:rFonts w:ascii="宋体" w:hAnsi="宋体" w:cs="宋体" w:hint="eastAsia"/>
          <w:color w:val="000000"/>
          <w:sz w:val="32"/>
          <w:szCs w:val="32"/>
        </w:rPr>
        <w:t>2022年一般公共预算财政拨款支出225.15万元，占本年支出合计的69.65%。与2021年相比，一般公共预算财政</w:t>
      </w:r>
      <w:r>
        <w:rPr>
          <w:rFonts w:ascii="宋体" w:hAnsi="宋体" w:cs="宋体" w:hint="eastAsia"/>
          <w:color w:val="000000"/>
          <w:sz w:val="32"/>
          <w:szCs w:val="32"/>
        </w:rPr>
        <w:lastRenderedPageBreak/>
        <w:t>拨款增加23.01万元，增长10.21%。主要变动原因是项目支出增加。</w:t>
      </w:r>
    </w:p>
    <w:p w14:paraId="3C3974BB" w14:textId="77777777" w:rsidR="00C705A9" w:rsidRDefault="00C705A9">
      <w:pPr>
        <w:spacing w:line="600" w:lineRule="exact"/>
        <w:ind w:firstLineChars="200" w:firstLine="640"/>
        <w:rPr>
          <w:rFonts w:ascii="宋体" w:hAnsi="宋体" w:cs="宋体"/>
          <w:color w:val="000000"/>
          <w:sz w:val="32"/>
          <w:szCs w:val="32"/>
        </w:rPr>
      </w:pPr>
    </w:p>
    <w:p w14:paraId="033FEB80" w14:textId="77777777" w:rsidR="00C705A9" w:rsidRDefault="00000000">
      <w:pPr>
        <w:spacing w:line="600" w:lineRule="exact"/>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t>（图5：一般公共预算财政拨款支出决算变动情况）（柱状图）</w:t>
      </w:r>
    </w:p>
    <w:p w14:paraId="463A3E81" w14:textId="77777777" w:rsidR="00C705A9" w:rsidRDefault="00000000">
      <w:pPr>
        <w:spacing w:line="600" w:lineRule="exact"/>
        <w:ind w:firstLineChars="200" w:firstLine="420"/>
        <w:rPr>
          <w:rFonts w:ascii="宋体" w:hAnsi="宋体" w:cs="宋体"/>
          <w:color w:val="000000" w:themeColor="text1"/>
          <w:sz w:val="32"/>
          <w:szCs w:val="32"/>
        </w:rPr>
      </w:pPr>
      <w:r>
        <w:rPr>
          <w:rFonts w:eastAsiaTheme="minorEastAsia" w:hint="eastAsia"/>
          <w:noProof/>
        </w:rPr>
        <w:drawing>
          <wp:anchor distT="0" distB="0" distL="114300" distR="114300" simplePos="0" relativeHeight="251663360" behindDoc="0" locked="0" layoutInCell="1" allowOverlap="1" wp14:anchorId="5C384824" wp14:editId="76346484">
            <wp:simplePos x="0" y="0"/>
            <wp:positionH relativeFrom="column">
              <wp:posOffset>471170</wp:posOffset>
            </wp:positionH>
            <wp:positionV relativeFrom="paragraph">
              <wp:posOffset>113665</wp:posOffset>
            </wp:positionV>
            <wp:extent cx="4557395" cy="3018790"/>
            <wp:effectExtent l="4445" t="4445" r="10160" b="571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37CACC3" w14:textId="77777777" w:rsidR="00C705A9" w:rsidRDefault="00000000">
      <w:pPr>
        <w:spacing w:line="600" w:lineRule="exact"/>
        <w:ind w:firstLineChars="200" w:firstLine="640"/>
        <w:outlineLvl w:val="2"/>
        <w:rPr>
          <w:rFonts w:ascii="宋体" w:hAnsi="宋体" w:cs="宋体"/>
          <w:color w:val="000000"/>
          <w:sz w:val="32"/>
          <w:szCs w:val="32"/>
        </w:rPr>
      </w:pPr>
      <w:bookmarkStart w:id="35" w:name="_Toc15377211"/>
      <w:r>
        <w:rPr>
          <w:rFonts w:ascii="宋体" w:hAnsi="宋体" w:cs="宋体" w:hint="eastAsia"/>
          <w:color w:val="000000"/>
          <w:sz w:val="32"/>
          <w:szCs w:val="32"/>
        </w:rPr>
        <w:t>（二）一般公共预算财政拨款支出决算结构情况</w:t>
      </w:r>
      <w:bookmarkEnd w:id="35"/>
    </w:p>
    <w:p w14:paraId="20FC93C7" w14:textId="77777777" w:rsidR="00C705A9" w:rsidRDefault="00000000">
      <w:pPr>
        <w:spacing w:line="600" w:lineRule="exact"/>
        <w:ind w:firstLine="640"/>
        <w:rPr>
          <w:rFonts w:ascii="宋体" w:hAnsi="宋体" w:cs="宋体"/>
          <w:color w:val="000000" w:themeColor="text1"/>
          <w:sz w:val="32"/>
          <w:szCs w:val="32"/>
        </w:rPr>
      </w:pPr>
      <w:r>
        <w:rPr>
          <w:rFonts w:ascii="宋体" w:hAnsi="宋体" w:cs="宋体" w:hint="eastAsia"/>
          <w:color w:val="000000"/>
          <w:sz w:val="32"/>
          <w:szCs w:val="32"/>
        </w:rPr>
        <w:t>2022年一般公共预算财</w:t>
      </w:r>
      <w:r>
        <w:rPr>
          <w:rFonts w:ascii="宋体" w:hAnsi="宋体" w:cs="宋体" w:hint="eastAsia"/>
          <w:color w:val="000000" w:themeColor="text1"/>
          <w:sz w:val="32"/>
          <w:szCs w:val="32"/>
        </w:rPr>
        <w:t>政拨款支出225.15万元，主要用于以下方面:一般公共服务（类）支出115.98万元，占51.5%；  基层医疗卫生机构97.18万元，占43.15%；事业单位医疗2.0万元，占0.9%；机关事业单位基本养老保险缴费支出8.0万元，占3.55%；住房保障支出2.0万元，占0.9%；</w:t>
      </w:r>
    </w:p>
    <w:p w14:paraId="14BDF217" w14:textId="77777777" w:rsidR="00C705A9" w:rsidRDefault="00C705A9">
      <w:pPr>
        <w:spacing w:line="600" w:lineRule="exact"/>
        <w:ind w:firstLine="640"/>
        <w:rPr>
          <w:rFonts w:ascii="宋体" w:hAnsi="宋体" w:cs="宋体"/>
          <w:color w:val="000000" w:themeColor="text1"/>
          <w:sz w:val="32"/>
          <w:szCs w:val="32"/>
        </w:rPr>
      </w:pPr>
    </w:p>
    <w:p w14:paraId="55FD2A0E" w14:textId="77777777" w:rsidR="00C705A9" w:rsidRDefault="00000000">
      <w:pPr>
        <w:spacing w:line="600" w:lineRule="exact"/>
        <w:ind w:firstLineChars="200" w:firstLine="640"/>
        <w:rPr>
          <w:rFonts w:ascii="宋体" w:hAnsi="宋体" w:cs="宋体"/>
          <w:color w:val="000000"/>
          <w:sz w:val="32"/>
          <w:szCs w:val="32"/>
        </w:rPr>
      </w:pPr>
      <w:r>
        <w:rPr>
          <w:rFonts w:ascii="宋体" w:hAnsi="宋体" w:cs="宋体" w:hint="eastAsia"/>
          <w:color w:val="000000"/>
          <w:sz w:val="32"/>
          <w:szCs w:val="32"/>
        </w:rPr>
        <w:t>（图6：一般公共预算财政拨款支出决算结构）（饼状图）</w:t>
      </w:r>
    </w:p>
    <w:p w14:paraId="6C4342C9" w14:textId="77777777" w:rsidR="00C705A9" w:rsidRDefault="00000000">
      <w:pPr>
        <w:spacing w:line="600" w:lineRule="exact"/>
        <w:ind w:firstLineChars="200" w:firstLine="420"/>
        <w:rPr>
          <w:rFonts w:ascii="宋体" w:hAnsi="宋体" w:cs="宋体"/>
          <w:color w:val="000000"/>
          <w:sz w:val="32"/>
          <w:szCs w:val="32"/>
        </w:rPr>
      </w:pPr>
      <w:r>
        <w:rPr>
          <w:rFonts w:eastAsiaTheme="minorEastAsia" w:hint="eastAsia"/>
          <w:noProof/>
        </w:rPr>
        <w:lastRenderedPageBreak/>
        <w:drawing>
          <wp:anchor distT="0" distB="0" distL="114300" distR="114300" simplePos="0" relativeHeight="251661312" behindDoc="0" locked="0" layoutInCell="1" allowOverlap="1" wp14:anchorId="53011B2E" wp14:editId="6C7C9E08">
            <wp:simplePos x="0" y="0"/>
            <wp:positionH relativeFrom="column">
              <wp:posOffset>326390</wp:posOffset>
            </wp:positionH>
            <wp:positionV relativeFrom="paragraph">
              <wp:posOffset>196850</wp:posOffset>
            </wp:positionV>
            <wp:extent cx="5080000" cy="2867025"/>
            <wp:effectExtent l="4445" t="4445" r="20955" b="8128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B6601D8" w14:textId="77777777" w:rsidR="00C705A9" w:rsidRDefault="00000000">
      <w:pPr>
        <w:spacing w:line="600" w:lineRule="exact"/>
        <w:ind w:firstLineChars="200" w:firstLine="640"/>
        <w:outlineLvl w:val="2"/>
        <w:rPr>
          <w:rFonts w:ascii="宋体" w:hAnsi="宋体" w:cs="宋体"/>
          <w:color w:val="000000"/>
          <w:sz w:val="32"/>
          <w:szCs w:val="32"/>
        </w:rPr>
      </w:pPr>
      <w:bookmarkStart w:id="36" w:name="_Toc15377212"/>
      <w:r>
        <w:rPr>
          <w:rFonts w:ascii="宋体" w:hAnsi="宋体" w:cs="宋体" w:hint="eastAsia"/>
          <w:color w:val="000000"/>
          <w:sz w:val="32"/>
          <w:szCs w:val="32"/>
        </w:rPr>
        <w:t>（三）一般公共预算财政拨款支出决算具体情况</w:t>
      </w:r>
      <w:bookmarkEnd w:id="36"/>
    </w:p>
    <w:p w14:paraId="436199CE" w14:textId="77777777" w:rsidR="00C705A9" w:rsidRDefault="00000000">
      <w:pPr>
        <w:spacing w:line="600" w:lineRule="exact"/>
        <w:ind w:firstLineChars="200" w:firstLine="640"/>
        <w:outlineLvl w:val="2"/>
        <w:rPr>
          <w:rFonts w:ascii="宋体" w:hAnsi="宋体" w:cs="宋体"/>
          <w:color w:val="FF0000"/>
          <w:sz w:val="32"/>
          <w:szCs w:val="32"/>
        </w:rPr>
      </w:pPr>
      <w:bookmarkStart w:id="37" w:name="_Toc15378460"/>
      <w:bookmarkStart w:id="38" w:name="_Toc15377213"/>
      <w:bookmarkStart w:id="39" w:name="_Toc15377444"/>
      <w:r>
        <w:rPr>
          <w:rFonts w:ascii="宋体" w:hAnsi="宋体" w:cs="宋体" w:hint="eastAsia"/>
          <w:color w:val="000000" w:themeColor="text1"/>
          <w:sz w:val="32"/>
          <w:szCs w:val="32"/>
        </w:rPr>
        <w:t>2022年般公共预算支出决算数为115.98，</w:t>
      </w:r>
      <w:r>
        <w:rPr>
          <w:rStyle w:val="ac"/>
          <w:rFonts w:ascii="宋体" w:hAnsi="宋体" w:cs="宋体" w:hint="eastAsia"/>
          <w:b w:val="0"/>
          <w:color w:val="000000" w:themeColor="text1"/>
          <w:sz w:val="32"/>
          <w:szCs w:val="32"/>
        </w:rPr>
        <w:t>完成</w:t>
      </w:r>
      <w:r>
        <w:rPr>
          <w:rStyle w:val="ac"/>
          <w:rFonts w:ascii="宋体" w:hAnsi="宋体" w:cs="宋体" w:hint="eastAsia"/>
          <w:b w:val="0"/>
          <w:color w:val="000000"/>
          <w:sz w:val="32"/>
          <w:szCs w:val="32"/>
        </w:rPr>
        <w:t>预算100%。其中：</w:t>
      </w:r>
      <w:bookmarkEnd w:id="37"/>
      <w:bookmarkEnd w:id="38"/>
      <w:bookmarkEnd w:id="39"/>
    </w:p>
    <w:p w14:paraId="125641B1"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r>
        <w:rPr>
          <w:rFonts w:ascii="宋体" w:hAnsi="宋体" w:cs="宋体" w:hint="eastAsia"/>
          <w:color w:val="333333"/>
          <w:sz w:val="32"/>
          <w:szCs w:val="32"/>
          <w:shd w:val="clear" w:color="auto" w:fill="FFFFFF"/>
        </w:rPr>
        <w:t>1.一般公共服务（类）公共卫生（款）基本公共卫生服务及重大公共卫生服务（项）: 支出决算为115.98万元，完成预算100%。</w:t>
      </w:r>
    </w:p>
    <w:p w14:paraId="1222CC37"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r>
        <w:rPr>
          <w:rFonts w:ascii="宋体" w:hAnsi="宋体" w:cs="宋体" w:hint="eastAsia"/>
          <w:color w:val="333333"/>
          <w:sz w:val="32"/>
          <w:szCs w:val="32"/>
          <w:shd w:val="clear" w:color="auto" w:fill="FFFFFF"/>
        </w:rPr>
        <w:t>2.社会保障和就业（类）机关事业单位基本养老保险缴费: 支出决算为8万元，完成预算100%。</w:t>
      </w:r>
    </w:p>
    <w:p w14:paraId="5C011433"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r>
        <w:rPr>
          <w:rFonts w:ascii="宋体" w:hAnsi="宋体" w:cs="宋体" w:hint="eastAsia"/>
          <w:color w:val="333333"/>
          <w:sz w:val="32"/>
          <w:szCs w:val="32"/>
          <w:shd w:val="clear" w:color="auto" w:fill="FFFFFF"/>
        </w:rPr>
        <w:t>3.医疗卫生与计划生育（类）基层医疗卫生机构（款）乡镇卫生院（项）:支出决算为68.88万元，完成预算100%，医疗卫生与计划生育（类）基层医疗卫生机构（款）其他基</w:t>
      </w:r>
      <w:r>
        <w:rPr>
          <w:rFonts w:ascii="宋体" w:hAnsi="宋体" w:cs="宋体" w:hint="eastAsia"/>
          <w:color w:val="333333"/>
          <w:sz w:val="32"/>
          <w:szCs w:val="32"/>
          <w:shd w:val="clear" w:color="auto" w:fill="FFFFFF"/>
        </w:rPr>
        <w:lastRenderedPageBreak/>
        <w:t>层医疗卫生机构支出（项）:支出决算为29.3万元，完成预算100%。</w:t>
      </w:r>
    </w:p>
    <w:p w14:paraId="3070C78A"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r>
        <w:rPr>
          <w:rFonts w:ascii="宋体" w:hAnsi="宋体" w:cs="宋体" w:hint="eastAsia"/>
          <w:color w:val="333333"/>
          <w:sz w:val="32"/>
          <w:szCs w:val="32"/>
          <w:shd w:val="clear" w:color="auto" w:fill="FFFFFF"/>
        </w:rPr>
        <w:t>4. 住房保障（类）住房改革（款）住房公积金（项）：支出决算为2万元，完成预算100%。</w:t>
      </w:r>
    </w:p>
    <w:p w14:paraId="71A3B8E5" w14:textId="77777777" w:rsidR="00C705A9" w:rsidRDefault="00000000">
      <w:pPr>
        <w:pStyle w:val="ab"/>
        <w:widowControl/>
        <w:shd w:val="clear" w:color="auto" w:fill="FFFFFF"/>
        <w:spacing w:before="225" w:beforeAutospacing="0" w:after="225" w:afterAutospacing="0"/>
        <w:ind w:firstLine="420"/>
        <w:rPr>
          <w:rFonts w:ascii="宋体" w:hAnsi="宋体" w:cs="宋体"/>
          <w:color w:val="000000"/>
          <w:sz w:val="32"/>
          <w:szCs w:val="32"/>
        </w:rPr>
      </w:pPr>
      <w:r>
        <w:rPr>
          <w:rFonts w:ascii="宋体" w:hAnsi="宋体" w:cs="宋体" w:hint="eastAsia"/>
          <w:color w:val="333333"/>
          <w:sz w:val="32"/>
          <w:szCs w:val="32"/>
          <w:shd w:val="clear" w:color="auto" w:fill="FFFFFF"/>
        </w:rPr>
        <w:t>5. 行政事业单位医疗（类）事业单位医疗（项）：支出决算为2万元，完成预算100%。</w:t>
      </w:r>
    </w:p>
    <w:p w14:paraId="30F91923" w14:textId="77777777" w:rsidR="00C705A9" w:rsidRDefault="00000000">
      <w:pPr>
        <w:tabs>
          <w:tab w:val="right" w:pos="8306"/>
        </w:tabs>
        <w:spacing w:line="600" w:lineRule="exact"/>
        <w:ind w:firstLine="640"/>
        <w:outlineLvl w:val="1"/>
        <w:rPr>
          <w:rStyle w:val="2Char"/>
          <w:rFonts w:ascii="宋体" w:eastAsia="宋体" w:hAnsi="宋体" w:cs="宋体"/>
          <w:b w:val="0"/>
          <w:bCs w:val="0"/>
        </w:rPr>
      </w:pPr>
      <w:bookmarkStart w:id="40" w:name="_Toc15377214"/>
      <w:bookmarkStart w:id="41" w:name="_Toc15396608"/>
      <w:r>
        <w:rPr>
          <w:rFonts w:ascii="宋体" w:hAnsi="宋体" w:cs="宋体" w:hint="eastAsia"/>
          <w:color w:val="000000"/>
          <w:sz w:val="32"/>
          <w:szCs w:val="32"/>
        </w:rPr>
        <w:t>六、一</w:t>
      </w:r>
      <w:r>
        <w:rPr>
          <w:rStyle w:val="2Char"/>
          <w:rFonts w:ascii="宋体" w:eastAsia="宋体" w:hAnsi="宋体" w:cs="宋体" w:hint="eastAsia"/>
          <w:b w:val="0"/>
          <w:bCs w:val="0"/>
        </w:rPr>
        <w:t>般公共预算财政拨款基本支出决算情况说明</w:t>
      </w:r>
      <w:bookmarkEnd w:id="40"/>
      <w:bookmarkEnd w:id="41"/>
      <w:r>
        <w:rPr>
          <w:rStyle w:val="2Char"/>
          <w:rFonts w:ascii="宋体" w:eastAsia="宋体" w:hAnsi="宋体" w:cs="宋体" w:hint="eastAsia"/>
          <w:b w:val="0"/>
          <w:bCs w:val="0"/>
        </w:rPr>
        <w:tab/>
      </w:r>
    </w:p>
    <w:p w14:paraId="5F461593" w14:textId="77777777" w:rsidR="00C705A9" w:rsidRDefault="00000000">
      <w:pPr>
        <w:spacing w:line="600" w:lineRule="exact"/>
        <w:ind w:firstLine="645"/>
        <w:rPr>
          <w:rFonts w:ascii="宋体" w:hAnsi="宋体" w:cs="宋体"/>
          <w:color w:val="000000"/>
          <w:sz w:val="32"/>
          <w:szCs w:val="32"/>
        </w:rPr>
      </w:pPr>
      <w:r>
        <w:rPr>
          <w:rFonts w:ascii="宋体" w:hAnsi="宋体" w:cs="宋体" w:hint="eastAsia"/>
          <w:color w:val="000000"/>
          <w:sz w:val="32"/>
          <w:szCs w:val="32"/>
        </w:rPr>
        <w:t>2022年一般公共预算财政拨款基本支出225.15万元，其中：</w:t>
      </w:r>
    </w:p>
    <w:p w14:paraId="1EB69BA5" w14:textId="77777777" w:rsidR="00C705A9" w:rsidRDefault="00000000">
      <w:pPr>
        <w:spacing w:line="600" w:lineRule="exact"/>
        <w:ind w:firstLine="645"/>
        <w:rPr>
          <w:rFonts w:ascii="宋体" w:hAnsi="宋体" w:cs="宋体"/>
          <w:color w:val="000000"/>
          <w:sz w:val="32"/>
          <w:szCs w:val="32"/>
        </w:rPr>
      </w:pPr>
      <w:r>
        <w:rPr>
          <w:rFonts w:ascii="宋体" w:hAnsi="宋体" w:cs="宋体" w:hint="eastAsia"/>
          <w:color w:val="000000"/>
          <w:sz w:val="32"/>
          <w:szCs w:val="32"/>
        </w:rPr>
        <w:t>人员经费86.46万元，主要包括：基本工资29.18万元、津贴补贴.0.15万元、奖金17.44万元、绩效工资18.72万元、机关事业单位基本养老保险缴费8万元、职工基本医疗保险缴费2万元、住房公积金2万元、其他工资福利支出8.97万元等。</w:t>
      </w:r>
    </w:p>
    <w:p w14:paraId="5E7DCA5A" w14:textId="77777777" w:rsidR="00C705A9" w:rsidRDefault="00000000">
      <w:pPr>
        <w:spacing w:line="600" w:lineRule="exact"/>
        <w:ind w:firstLine="645"/>
        <w:rPr>
          <w:rFonts w:ascii="宋体" w:hAnsi="宋体" w:cs="宋体"/>
          <w:color w:val="000000"/>
          <w:sz w:val="32"/>
          <w:szCs w:val="32"/>
        </w:rPr>
      </w:pPr>
      <w:r>
        <w:rPr>
          <w:rFonts w:ascii="宋体" w:hAnsi="宋体" w:cs="宋体" w:hint="eastAsia"/>
          <w:color w:val="000000"/>
          <w:sz w:val="32"/>
          <w:szCs w:val="32"/>
        </w:rPr>
        <w:t xml:space="preserve">　　公用经费138.7万元，主要包括：办公费11.52万元、印刷费13.14万元、手续费0.13万元、水费0.36万元、电费3.43万元、邮电费1.36万元、差旅费16.67万元、维修（护）费7.65万元、专用材料费64.45万元、劳务费15.02万元、其它商品和服务支出4.97万元。</w:t>
      </w:r>
    </w:p>
    <w:p w14:paraId="1AC8CE7E" w14:textId="77777777" w:rsidR="00C705A9" w:rsidRDefault="00000000">
      <w:pPr>
        <w:spacing w:line="600" w:lineRule="exact"/>
        <w:ind w:firstLine="640"/>
        <w:outlineLvl w:val="1"/>
        <w:rPr>
          <w:rStyle w:val="2Char"/>
          <w:rFonts w:ascii="宋体" w:eastAsia="宋体" w:hAnsi="宋体" w:cs="宋体"/>
          <w:b w:val="0"/>
          <w:bCs w:val="0"/>
        </w:rPr>
      </w:pPr>
      <w:bookmarkStart w:id="42" w:name="_Toc15377215"/>
      <w:bookmarkStart w:id="43" w:name="_Toc15396609"/>
      <w:r>
        <w:rPr>
          <w:rFonts w:ascii="宋体" w:hAnsi="宋体" w:cs="宋体" w:hint="eastAsia"/>
          <w:color w:val="000000"/>
          <w:sz w:val="32"/>
          <w:szCs w:val="32"/>
        </w:rPr>
        <w:t>七、</w:t>
      </w:r>
      <w:r>
        <w:rPr>
          <w:rStyle w:val="2Char"/>
          <w:rFonts w:ascii="宋体" w:eastAsia="宋体" w:hAnsi="宋体" w:cs="宋体" w:hint="eastAsia"/>
          <w:b w:val="0"/>
          <w:bCs w:val="0"/>
        </w:rPr>
        <w:t>“三公”经费财政拨款支出决算情况说明</w:t>
      </w:r>
      <w:bookmarkEnd w:id="42"/>
      <w:bookmarkEnd w:id="43"/>
    </w:p>
    <w:p w14:paraId="24A66B8D"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bookmarkStart w:id="44" w:name="_Toc15377216"/>
      <w:r>
        <w:rPr>
          <w:rFonts w:ascii="宋体" w:hAnsi="宋体" w:cs="宋体" w:hint="eastAsia"/>
          <w:color w:val="333333"/>
          <w:sz w:val="32"/>
          <w:szCs w:val="32"/>
          <w:shd w:val="clear" w:color="auto" w:fill="FFFFFF"/>
        </w:rPr>
        <w:t>（一）“三公”经费财政拨款支出决算总体情况说明</w:t>
      </w:r>
    </w:p>
    <w:p w14:paraId="1F78C768"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r>
        <w:rPr>
          <w:rFonts w:ascii="宋体" w:hAnsi="宋体" w:cs="宋体" w:hint="eastAsia"/>
          <w:color w:val="333333"/>
          <w:sz w:val="32"/>
          <w:szCs w:val="32"/>
          <w:shd w:val="clear" w:color="auto" w:fill="FFFFFF"/>
        </w:rPr>
        <w:lastRenderedPageBreak/>
        <w:t>2022年“三公”经费财政拨款支出决算为0万元，完成预算100%。</w:t>
      </w:r>
    </w:p>
    <w:p w14:paraId="7786A9AF"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r>
        <w:rPr>
          <w:rFonts w:ascii="宋体" w:hAnsi="宋体" w:cs="宋体" w:hint="eastAsia"/>
          <w:color w:val="333333"/>
          <w:sz w:val="32"/>
          <w:szCs w:val="32"/>
          <w:shd w:val="clear" w:color="auto" w:fill="FFFFFF"/>
        </w:rPr>
        <w:t>（二）“三公”经费财政拨款支出决算具体情况说明</w:t>
      </w:r>
    </w:p>
    <w:p w14:paraId="042894AA"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r>
        <w:rPr>
          <w:rFonts w:ascii="宋体" w:hAnsi="宋体" w:cs="宋体" w:hint="eastAsia"/>
          <w:color w:val="333333"/>
          <w:sz w:val="32"/>
          <w:szCs w:val="32"/>
          <w:shd w:val="clear" w:color="auto" w:fill="FFFFFF"/>
        </w:rPr>
        <w:t>2022年“三公”经费财政拨款支出决算中，因公出国（境）费支出决算0万元，占0%；公务用车购置及运行维护费支出决算0万元，占0%；公务接待费支出决算0万元，占0%。具体情况如下：</w:t>
      </w:r>
    </w:p>
    <w:p w14:paraId="23DBFB6D"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r>
        <w:rPr>
          <w:rFonts w:ascii="宋体" w:hAnsi="宋体" w:cs="宋体" w:hint="eastAsia"/>
          <w:color w:val="333333"/>
          <w:sz w:val="32"/>
          <w:szCs w:val="32"/>
          <w:shd w:val="clear" w:color="auto" w:fill="FFFFFF"/>
        </w:rPr>
        <w:t>1.因公出国（境）经费支出0万元，完成预算100%。全年安排因公出国（境）团组0次，出国（境）0人。因公出国（境）支出决算比2021年相等。</w:t>
      </w:r>
    </w:p>
    <w:p w14:paraId="49494AE1"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r>
        <w:rPr>
          <w:rFonts w:ascii="宋体" w:hAnsi="宋体" w:cs="宋体" w:hint="eastAsia"/>
          <w:color w:val="333333"/>
          <w:sz w:val="32"/>
          <w:szCs w:val="32"/>
          <w:shd w:val="clear" w:color="auto" w:fill="FFFFFF"/>
        </w:rPr>
        <w:t>2.公务用车购置及运行维护费支出0万元,完成预算100%。公务用车购置及运行维护费支出决算比2021年相等。</w:t>
      </w:r>
    </w:p>
    <w:p w14:paraId="1BCA821E"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r>
        <w:rPr>
          <w:rFonts w:ascii="宋体" w:hAnsi="宋体" w:cs="宋体" w:hint="eastAsia"/>
          <w:color w:val="333333"/>
          <w:sz w:val="32"/>
          <w:szCs w:val="32"/>
          <w:shd w:val="clear" w:color="auto" w:fill="FFFFFF"/>
        </w:rPr>
        <w:t>其中：公务用车购置支出0万元。</w:t>
      </w:r>
    </w:p>
    <w:p w14:paraId="42EE6D59"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r>
        <w:rPr>
          <w:rFonts w:ascii="宋体" w:hAnsi="宋体" w:cs="宋体" w:hint="eastAsia"/>
          <w:color w:val="333333"/>
          <w:sz w:val="32"/>
          <w:szCs w:val="32"/>
          <w:shd w:val="clear" w:color="auto" w:fill="FFFFFF"/>
        </w:rPr>
        <w:t>公务用车运行维护费支出0万元。</w:t>
      </w:r>
    </w:p>
    <w:p w14:paraId="4FE5CEDD"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r>
        <w:rPr>
          <w:rFonts w:ascii="宋体" w:hAnsi="宋体" w:cs="宋体" w:hint="eastAsia"/>
          <w:color w:val="333333"/>
          <w:sz w:val="32"/>
          <w:szCs w:val="32"/>
          <w:shd w:val="clear" w:color="auto" w:fill="FFFFFF"/>
        </w:rPr>
        <w:t>3.公务接待费支出0万元，完成预算100%。公务接待费支出决算比2021年相等。</w:t>
      </w:r>
    </w:p>
    <w:p w14:paraId="3E3DE4D4"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r>
        <w:rPr>
          <w:rFonts w:ascii="宋体" w:hAnsi="宋体" w:cs="宋体" w:hint="eastAsia"/>
          <w:color w:val="333333"/>
          <w:sz w:val="32"/>
          <w:szCs w:val="32"/>
          <w:shd w:val="clear" w:color="auto" w:fill="FFFFFF"/>
        </w:rPr>
        <w:t>八、政府性基金预算支出决算情况说明</w:t>
      </w:r>
    </w:p>
    <w:p w14:paraId="67806C1C"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r>
        <w:rPr>
          <w:rFonts w:ascii="宋体" w:hAnsi="宋体" w:cs="宋体" w:hint="eastAsia"/>
          <w:color w:val="333333"/>
          <w:sz w:val="32"/>
          <w:szCs w:val="32"/>
          <w:shd w:val="clear" w:color="auto" w:fill="FFFFFF"/>
        </w:rPr>
        <w:t>2022年政府性基金预算拨款支出0万元。</w:t>
      </w:r>
    </w:p>
    <w:p w14:paraId="44C058DF" w14:textId="77777777" w:rsidR="00C705A9" w:rsidRDefault="00000000">
      <w:pPr>
        <w:pStyle w:val="ab"/>
        <w:widowControl/>
        <w:shd w:val="clear" w:color="auto" w:fill="FFFFFF"/>
        <w:spacing w:before="225" w:beforeAutospacing="0" w:after="225" w:afterAutospacing="0"/>
        <w:ind w:firstLineChars="200" w:firstLine="640"/>
        <w:rPr>
          <w:rFonts w:ascii="宋体" w:hAnsi="宋体" w:cs="宋体"/>
          <w:color w:val="333333"/>
          <w:sz w:val="32"/>
          <w:szCs w:val="32"/>
        </w:rPr>
      </w:pPr>
      <w:r>
        <w:rPr>
          <w:rFonts w:ascii="宋体" w:hAnsi="宋体" w:cs="宋体" w:hint="eastAsia"/>
          <w:color w:val="333333"/>
          <w:sz w:val="32"/>
          <w:szCs w:val="32"/>
          <w:shd w:val="clear" w:color="auto" w:fill="FFFFFF"/>
        </w:rPr>
        <w:lastRenderedPageBreak/>
        <w:t>九、国有资本经营预算支出决算情况说明</w:t>
      </w:r>
    </w:p>
    <w:p w14:paraId="221E2FAA" w14:textId="77777777" w:rsidR="00C705A9" w:rsidRDefault="00000000">
      <w:pPr>
        <w:pStyle w:val="ab"/>
        <w:widowControl/>
        <w:shd w:val="clear" w:color="auto" w:fill="FFFFFF"/>
        <w:spacing w:before="225" w:beforeAutospacing="0" w:after="225" w:afterAutospacing="0"/>
        <w:ind w:firstLineChars="200" w:firstLine="640"/>
        <w:rPr>
          <w:rFonts w:ascii="宋体" w:hAnsi="宋体" w:cs="宋体"/>
          <w:color w:val="333333"/>
          <w:sz w:val="32"/>
          <w:szCs w:val="32"/>
        </w:rPr>
      </w:pPr>
      <w:r>
        <w:rPr>
          <w:rFonts w:ascii="宋体" w:hAnsi="宋体" w:cs="宋体" w:hint="eastAsia"/>
          <w:color w:val="333333"/>
          <w:sz w:val="32"/>
          <w:szCs w:val="32"/>
          <w:shd w:val="clear" w:color="auto" w:fill="FFFFFF"/>
        </w:rPr>
        <w:t>2022年国有资本经营预算拨款支出0万元。</w:t>
      </w:r>
    </w:p>
    <w:p w14:paraId="7B175FA0" w14:textId="77777777" w:rsidR="00C705A9" w:rsidRDefault="00000000">
      <w:pPr>
        <w:spacing w:line="600" w:lineRule="exact"/>
        <w:ind w:firstLineChars="250" w:firstLine="800"/>
        <w:outlineLvl w:val="1"/>
        <w:rPr>
          <w:rStyle w:val="2Char"/>
          <w:rFonts w:ascii="宋体" w:eastAsia="宋体" w:hAnsi="宋体" w:cs="宋体"/>
          <w:b w:val="0"/>
          <w:bCs w:val="0"/>
        </w:rPr>
      </w:pPr>
      <w:bookmarkStart w:id="45" w:name="_Toc15377221"/>
      <w:bookmarkStart w:id="46" w:name="_Toc15396612"/>
      <w:bookmarkEnd w:id="44"/>
      <w:r>
        <w:rPr>
          <w:rFonts w:ascii="宋体" w:hAnsi="宋体" w:cs="宋体" w:hint="eastAsia"/>
          <w:color w:val="000000"/>
          <w:sz w:val="32"/>
          <w:szCs w:val="32"/>
        </w:rPr>
        <w:t>十</w:t>
      </w:r>
      <w:r>
        <w:rPr>
          <w:rStyle w:val="2Char"/>
          <w:rFonts w:ascii="宋体" w:eastAsia="宋体" w:hAnsi="宋体" w:cs="宋体" w:hint="eastAsia"/>
          <w:b w:val="0"/>
          <w:bCs w:val="0"/>
        </w:rPr>
        <w:t>、其他重要事项的情况说明</w:t>
      </w:r>
      <w:bookmarkEnd w:id="45"/>
      <w:bookmarkEnd w:id="46"/>
    </w:p>
    <w:p w14:paraId="4ABC7948" w14:textId="77777777" w:rsidR="00C705A9" w:rsidRDefault="00000000">
      <w:pPr>
        <w:spacing w:line="600" w:lineRule="exact"/>
        <w:ind w:firstLineChars="200" w:firstLine="640"/>
        <w:outlineLvl w:val="2"/>
        <w:rPr>
          <w:rFonts w:ascii="宋体" w:hAnsi="宋体" w:cs="宋体"/>
          <w:color w:val="000000"/>
          <w:sz w:val="32"/>
          <w:szCs w:val="32"/>
        </w:rPr>
      </w:pPr>
      <w:bookmarkStart w:id="47" w:name="_Toc15377222"/>
      <w:r>
        <w:rPr>
          <w:rFonts w:ascii="宋体" w:hAnsi="宋体" w:cs="宋体" w:hint="eastAsia"/>
          <w:color w:val="000000"/>
          <w:sz w:val="32"/>
          <w:szCs w:val="32"/>
        </w:rPr>
        <w:t>（一）机关运行经费支出情况</w:t>
      </w:r>
      <w:bookmarkEnd w:id="47"/>
    </w:p>
    <w:p w14:paraId="3B85983F" w14:textId="77777777" w:rsidR="00C705A9" w:rsidRDefault="00000000">
      <w:pPr>
        <w:spacing w:line="600" w:lineRule="exact"/>
        <w:ind w:firstLineChars="200" w:firstLine="640"/>
        <w:rPr>
          <w:rFonts w:ascii="宋体" w:hAnsi="宋体" w:cs="宋体"/>
          <w:color w:val="000000" w:themeColor="text1"/>
          <w:sz w:val="32"/>
          <w:szCs w:val="32"/>
        </w:rPr>
      </w:pPr>
      <w:r>
        <w:rPr>
          <w:rFonts w:ascii="宋体" w:hAnsi="宋体" w:cs="宋体" w:hint="eastAsia"/>
          <w:color w:val="000000"/>
          <w:sz w:val="32"/>
          <w:szCs w:val="32"/>
        </w:rPr>
        <w:t>2022年，开江县广福镇卫生院运行经费支出0万元，与2021年决算数持平。</w:t>
      </w:r>
    </w:p>
    <w:p w14:paraId="0F2E819B" w14:textId="77777777" w:rsidR="00C705A9" w:rsidRDefault="00000000">
      <w:pPr>
        <w:autoSpaceDE w:val="0"/>
        <w:autoSpaceDN w:val="0"/>
        <w:adjustRightInd w:val="0"/>
        <w:spacing w:line="600" w:lineRule="exact"/>
        <w:ind w:firstLineChars="200" w:firstLine="640"/>
        <w:jc w:val="left"/>
        <w:outlineLvl w:val="2"/>
        <w:rPr>
          <w:rFonts w:ascii="宋体" w:hAnsi="宋体" w:cs="宋体"/>
          <w:color w:val="000000"/>
          <w:sz w:val="32"/>
          <w:szCs w:val="32"/>
        </w:rPr>
      </w:pPr>
      <w:bookmarkStart w:id="48" w:name="_Toc15377223"/>
      <w:r>
        <w:rPr>
          <w:rFonts w:ascii="宋体" w:hAnsi="宋体" w:cs="宋体" w:hint="eastAsia"/>
          <w:color w:val="000000"/>
          <w:sz w:val="32"/>
          <w:szCs w:val="32"/>
        </w:rPr>
        <w:t>（二）政府采购支出情况</w:t>
      </w:r>
      <w:bookmarkEnd w:id="48"/>
    </w:p>
    <w:p w14:paraId="062ECD30" w14:textId="77777777" w:rsidR="00C705A9" w:rsidRDefault="00000000">
      <w:pPr>
        <w:spacing w:line="600" w:lineRule="exact"/>
        <w:ind w:firstLineChars="200" w:firstLine="640"/>
        <w:rPr>
          <w:rFonts w:ascii="宋体" w:hAnsi="宋体" w:cs="宋体"/>
          <w:color w:val="FF0000"/>
          <w:sz w:val="32"/>
          <w:szCs w:val="32"/>
        </w:rPr>
      </w:pPr>
      <w:r>
        <w:rPr>
          <w:rFonts w:ascii="宋体" w:hAnsi="宋体" w:cs="宋体" w:hint="eastAsia"/>
          <w:color w:val="000000"/>
          <w:sz w:val="32"/>
          <w:szCs w:val="32"/>
        </w:rPr>
        <w:t>2022年，开江县广福镇卫生院政府采购支出总额0万元，</w:t>
      </w:r>
    </w:p>
    <w:p w14:paraId="4C824E8D" w14:textId="77777777" w:rsidR="00C705A9" w:rsidRDefault="00000000">
      <w:pPr>
        <w:autoSpaceDE w:val="0"/>
        <w:autoSpaceDN w:val="0"/>
        <w:adjustRightInd w:val="0"/>
        <w:spacing w:line="600" w:lineRule="exact"/>
        <w:ind w:firstLineChars="200" w:firstLine="640"/>
        <w:jc w:val="left"/>
        <w:outlineLvl w:val="2"/>
        <w:rPr>
          <w:rFonts w:ascii="宋体" w:hAnsi="宋体" w:cs="宋体"/>
          <w:color w:val="000000"/>
          <w:sz w:val="32"/>
          <w:szCs w:val="32"/>
        </w:rPr>
      </w:pPr>
      <w:bookmarkStart w:id="49" w:name="_Toc15377224"/>
      <w:r>
        <w:rPr>
          <w:rFonts w:ascii="宋体" w:hAnsi="宋体" w:cs="宋体" w:hint="eastAsia"/>
          <w:color w:val="000000"/>
          <w:sz w:val="32"/>
          <w:szCs w:val="32"/>
        </w:rPr>
        <w:t>（三）国有资产占有使用情况</w:t>
      </w:r>
      <w:bookmarkEnd w:id="49"/>
    </w:p>
    <w:p w14:paraId="3E0C6631" w14:textId="77777777" w:rsidR="00C705A9" w:rsidRDefault="00000000">
      <w:pPr>
        <w:autoSpaceDE w:val="0"/>
        <w:autoSpaceDN w:val="0"/>
        <w:adjustRightInd w:val="0"/>
        <w:spacing w:line="600" w:lineRule="exact"/>
        <w:ind w:firstLineChars="200" w:firstLine="640"/>
        <w:jc w:val="left"/>
        <w:rPr>
          <w:rFonts w:ascii="宋体" w:hAnsi="宋体" w:cs="宋体"/>
          <w:color w:val="FF0000"/>
          <w:sz w:val="32"/>
          <w:szCs w:val="32"/>
        </w:rPr>
      </w:pPr>
      <w:r>
        <w:rPr>
          <w:rFonts w:ascii="宋体" w:hAnsi="宋体" w:cs="宋体" w:hint="eastAsia"/>
          <w:color w:val="000000"/>
          <w:sz w:val="32"/>
          <w:szCs w:val="32"/>
        </w:rPr>
        <w:t>截至2022年12月31日，广福镇卫生院共有车辆1辆，其中：救护车一辆。</w:t>
      </w:r>
    </w:p>
    <w:p w14:paraId="7CB94003" w14:textId="77777777" w:rsidR="00C705A9" w:rsidRDefault="00000000">
      <w:pPr>
        <w:numPr>
          <w:ilvl w:val="0"/>
          <w:numId w:val="2"/>
        </w:numPr>
        <w:autoSpaceDE w:val="0"/>
        <w:autoSpaceDN w:val="0"/>
        <w:adjustRightInd w:val="0"/>
        <w:spacing w:line="600" w:lineRule="exact"/>
        <w:ind w:firstLineChars="200" w:firstLine="640"/>
        <w:jc w:val="left"/>
        <w:outlineLvl w:val="2"/>
        <w:rPr>
          <w:rFonts w:ascii="宋体" w:hAnsi="宋体" w:cs="宋体"/>
          <w:color w:val="000000"/>
          <w:sz w:val="32"/>
          <w:szCs w:val="32"/>
        </w:rPr>
      </w:pPr>
      <w:r>
        <w:rPr>
          <w:rFonts w:ascii="宋体" w:hAnsi="宋体" w:cs="宋体" w:hint="eastAsia"/>
          <w:color w:val="000000"/>
          <w:sz w:val="32"/>
          <w:szCs w:val="32"/>
        </w:rPr>
        <w:t>预算绩效管理情况。</w:t>
      </w:r>
    </w:p>
    <w:p w14:paraId="69D9A79A" w14:textId="77777777" w:rsidR="00C705A9" w:rsidRDefault="00000000">
      <w:pPr>
        <w:autoSpaceDE w:val="0"/>
        <w:autoSpaceDN w:val="0"/>
        <w:adjustRightInd w:val="0"/>
        <w:spacing w:line="600" w:lineRule="exact"/>
        <w:ind w:firstLineChars="200" w:firstLine="640"/>
        <w:jc w:val="left"/>
        <w:outlineLvl w:val="2"/>
        <w:rPr>
          <w:rFonts w:ascii="宋体" w:hAnsi="宋体" w:cs="宋体"/>
          <w:color w:val="333333"/>
          <w:sz w:val="32"/>
          <w:szCs w:val="32"/>
        </w:rPr>
      </w:pPr>
      <w:r>
        <w:rPr>
          <w:rFonts w:ascii="宋体" w:hAnsi="宋体" w:cs="宋体" w:hint="eastAsia"/>
          <w:color w:val="333333"/>
          <w:sz w:val="32"/>
          <w:szCs w:val="32"/>
          <w:shd w:val="clear" w:color="auto" w:fill="FFFFFF"/>
        </w:rPr>
        <w:t>（一）预算绩效管理工作开展情况。</w:t>
      </w:r>
    </w:p>
    <w:p w14:paraId="5DFFAA2B" w14:textId="77777777" w:rsidR="00C705A9" w:rsidRDefault="00000000">
      <w:pPr>
        <w:pStyle w:val="ab"/>
        <w:widowControl/>
        <w:shd w:val="clear" w:color="auto" w:fill="FFFFFF"/>
        <w:spacing w:before="225" w:beforeAutospacing="0" w:after="225" w:afterAutospacing="0"/>
        <w:ind w:firstLineChars="200" w:firstLine="640"/>
        <w:rPr>
          <w:rFonts w:ascii="宋体" w:hAnsi="宋体" w:cs="宋体"/>
          <w:color w:val="333333"/>
          <w:sz w:val="32"/>
          <w:szCs w:val="32"/>
        </w:rPr>
      </w:pPr>
      <w:r>
        <w:rPr>
          <w:rFonts w:ascii="宋体" w:hAnsi="宋体" w:cs="宋体" w:hint="eastAsia"/>
          <w:color w:val="333333"/>
          <w:sz w:val="32"/>
          <w:szCs w:val="32"/>
          <w:shd w:val="clear" w:color="auto" w:fill="FFFFFF"/>
        </w:rPr>
        <w:t>根据预算绩效管理要求，本单位在年初预算编制阶段，组织对基层医疗机构财政定额补助项目开展了预算事前绩效评估，对基层医疗机构财政定额补助项目编制了绩效目标，预算执行过程中，选取基层医疗机构财政定额补助项目开展绩效监控，年终执行完毕后，对基层医疗机构财政定额补助项目开展了绩效目标完成情况梳理填报。</w:t>
      </w:r>
    </w:p>
    <w:p w14:paraId="34300AB0" w14:textId="77777777" w:rsidR="00C705A9" w:rsidRDefault="00000000">
      <w:pPr>
        <w:pStyle w:val="ab"/>
        <w:widowControl/>
        <w:shd w:val="clear" w:color="auto" w:fill="FFFFFF"/>
        <w:spacing w:before="225" w:beforeAutospacing="0" w:after="225" w:afterAutospacing="0"/>
        <w:ind w:firstLineChars="200" w:firstLine="640"/>
        <w:rPr>
          <w:rFonts w:ascii="宋体" w:hAnsi="宋体" w:cs="宋体"/>
          <w:color w:val="333333"/>
          <w:sz w:val="32"/>
          <w:szCs w:val="32"/>
          <w:shd w:val="clear" w:color="auto" w:fill="FFFFFF"/>
        </w:rPr>
      </w:pPr>
      <w:r>
        <w:rPr>
          <w:rFonts w:ascii="宋体" w:hAnsi="宋体" w:cs="宋体" w:hint="eastAsia"/>
          <w:color w:val="333333"/>
          <w:sz w:val="32"/>
          <w:szCs w:val="32"/>
          <w:shd w:val="clear" w:color="auto" w:fill="FFFFFF"/>
        </w:rPr>
        <w:t>本部门按要求对2022年部门整体支出开展绩效自评，从评价情况来看在制度建设方面，严格资金管理，切实保障</w:t>
      </w:r>
      <w:r>
        <w:rPr>
          <w:rFonts w:ascii="宋体" w:hAnsi="宋体" w:cs="宋体" w:hint="eastAsia"/>
          <w:color w:val="333333"/>
          <w:sz w:val="32"/>
          <w:szCs w:val="32"/>
          <w:shd w:val="clear" w:color="auto" w:fill="FFFFFF"/>
        </w:rPr>
        <w:lastRenderedPageBreak/>
        <w:t>基层医疗机构财政定额补助资金的安全、规范；在资金拨付和发放方面，严格审批程序，确保手续完备。基层医疗机构财政定额补助专款专用，专户管理。</w:t>
      </w:r>
    </w:p>
    <w:p w14:paraId="3216DE53" w14:textId="77777777" w:rsidR="00C705A9" w:rsidRDefault="00000000">
      <w:pPr>
        <w:pStyle w:val="ab"/>
        <w:widowControl/>
        <w:shd w:val="clear" w:color="auto" w:fill="FFFFFF"/>
        <w:spacing w:before="225" w:beforeAutospacing="0" w:after="225" w:afterAutospacing="0"/>
        <w:ind w:firstLineChars="200" w:firstLine="640"/>
        <w:rPr>
          <w:rFonts w:ascii="宋体" w:hAnsi="宋体" w:cs="宋体"/>
          <w:color w:val="333333"/>
          <w:sz w:val="32"/>
          <w:szCs w:val="32"/>
          <w:shd w:val="clear" w:color="auto" w:fill="FFFFFF"/>
        </w:rPr>
      </w:pPr>
      <w:r>
        <w:rPr>
          <w:rFonts w:ascii="宋体" w:hAnsi="宋体" w:cs="宋体" w:hint="eastAsia"/>
          <w:color w:val="333333"/>
          <w:sz w:val="32"/>
          <w:szCs w:val="32"/>
          <w:shd w:val="clear" w:color="auto" w:fill="FFFFFF"/>
        </w:rPr>
        <w:t>（二）项目绩效目标完成情况。   </w:t>
      </w:r>
    </w:p>
    <w:p w14:paraId="325BEE92" w14:textId="77777777" w:rsidR="00C705A9" w:rsidRDefault="00000000">
      <w:pPr>
        <w:pStyle w:val="ab"/>
        <w:widowControl/>
        <w:shd w:val="clear" w:color="auto" w:fill="FFFFFF"/>
        <w:spacing w:before="225" w:beforeAutospacing="0" w:after="225" w:afterAutospacing="0"/>
        <w:ind w:left="420"/>
        <w:rPr>
          <w:rFonts w:ascii="宋体" w:hAnsi="宋体" w:cs="宋体"/>
          <w:color w:val="333333"/>
          <w:sz w:val="32"/>
          <w:szCs w:val="32"/>
        </w:rPr>
      </w:pPr>
      <w:r>
        <w:rPr>
          <w:rFonts w:ascii="宋体" w:hAnsi="宋体" w:cs="宋体" w:hint="eastAsia"/>
          <w:color w:val="333333"/>
          <w:sz w:val="32"/>
          <w:szCs w:val="32"/>
          <w:shd w:val="clear" w:color="auto" w:fill="FFFFFF"/>
        </w:rPr>
        <w:t> 本部门在2022年度部门决算中反映“基层医疗机构财政定额补助项目绩效目标实际完成情况。</w:t>
      </w:r>
    </w:p>
    <w:p w14:paraId="0BDC1768" w14:textId="5E0E759D" w:rsidR="00C705A9" w:rsidRDefault="00000000">
      <w:pPr>
        <w:pStyle w:val="ab"/>
        <w:widowControl/>
        <w:shd w:val="clear" w:color="auto" w:fill="FFFFFF"/>
        <w:spacing w:before="225" w:beforeAutospacing="0" w:after="225" w:afterAutospacing="0"/>
        <w:ind w:firstLineChars="200" w:firstLine="640"/>
        <w:rPr>
          <w:rFonts w:ascii="宋体" w:hAnsi="宋体" w:cs="宋体"/>
          <w:color w:val="333333"/>
          <w:sz w:val="32"/>
          <w:szCs w:val="32"/>
        </w:rPr>
      </w:pPr>
      <w:r>
        <w:rPr>
          <w:rFonts w:ascii="宋体" w:hAnsi="宋体" w:cs="宋体" w:hint="eastAsia"/>
          <w:color w:val="333333"/>
          <w:sz w:val="32"/>
          <w:szCs w:val="32"/>
          <w:shd w:val="clear" w:color="auto" w:fill="FFFFFF"/>
        </w:rPr>
        <w:t>1. 基层医疗机构财政定额补助项目绩效目标完成情况综述。项目全年预算数67.88万元，执行数为67.88万元，完成预算的100%。通过项目实施，保障了卫生院工作人员经费，确保医疗保障覆盖率达100%，促进了基层医疗卫生事业有序发展，减少疾病发生并加强农村基本防治、可持续性：已持续改进健康水平并指导辖区群众改善卫生条件，建立良好卫生习惯。</w:t>
      </w:r>
    </w:p>
    <w:p w14:paraId="157AA562" w14:textId="77777777" w:rsidR="00C705A9" w:rsidRDefault="00C705A9">
      <w:pPr>
        <w:spacing w:line="580" w:lineRule="exact"/>
        <w:ind w:firstLineChars="200" w:firstLine="640"/>
        <w:rPr>
          <w:rFonts w:ascii="宋体" w:hAnsi="宋体" w:cs="宋体"/>
          <w:sz w:val="32"/>
          <w:szCs w:val="32"/>
        </w:rPr>
      </w:pPr>
    </w:p>
    <w:p w14:paraId="1D2767B6" w14:textId="77777777" w:rsidR="00C705A9" w:rsidRDefault="00C705A9">
      <w:pPr>
        <w:spacing w:line="580" w:lineRule="exact"/>
        <w:ind w:firstLineChars="200" w:firstLine="640"/>
        <w:rPr>
          <w:rFonts w:ascii="宋体" w:hAnsi="宋体" w:cs="宋体"/>
          <w:sz w:val="32"/>
          <w:szCs w:val="32"/>
        </w:rPr>
      </w:pPr>
    </w:p>
    <w:p w14:paraId="0BC2730F" w14:textId="77777777" w:rsidR="00C705A9" w:rsidRDefault="00C705A9">
      <w:pPr>
        <w:spacing w:line="580" w:lineRule="exact"/>
        <w:ind w:firstLineChars="200" w:firstLine="640"/>
        <w:rPr>
          <w:rFonts w:ascii="宋体" w:hAnsi="宋体" w:cs="宋体"/>
          <w:sz w:val="32"/>
          <w:szCs w:val="32"/>
        </w:rPr>
      </w:pPr>
    </w:p>
    <w:p w14:paraId="3DC4B3EE" w14:textId="77777777" w:rsidR="00C705A9" w:rsidRDefault="00C705A9">
      <w:pPr>
        <w:spacing w:line="580" w:lineRule="exact"/>
        <w:ind w:firstLineChars="200" w:firstLine="640"/>
        <w:rPr>
          <w:rFonts w:ascii="宋体" w:hAnsi="宋体" w:cs="宋体"/>
          <w:sz w:val="32"/>
          <w:szCs w:val="32"/>
        </w:rPr>
      </w:pPr>
    </w:p>
    <w:p w14:paraId="3E37951E" w14:textId="77777777" w:rsidR="00C705A9" w:rsidRDefault="00C705A9">
      <w:pPr>
        <w:spacing w:line="580" w:lineRule="exact"/>
        <w:ind w:firstLineChars="200" w:firstLine="640"/>
        <w:rPr>
          <w:rFonts w:ascii="宋体" w:hAnsi="宋体" w:cs="宋体"/>
          <w:sz w:val="32"/>
          <w:szCs w:val="32"/>
        </w:rPr>
      </w:pPr>
    </w:p>
    <w:p w14:paraId="756069B3" w14:textId="77777777" w:rsidR="00C705A9" w:rsidRDefault="00C705A9">
      <w:pPr>
        <w:pStyle w:val="a0"/>
        <w:spacing w:before="93"/>
        <w:rPr>
          <w:rFonts w:ascii="宋体" w:eastAsia="宋体" w:hAnsi="宋体" w:cs="宋体"/>
          <w:sz w:val="32"/>
          <w:szCs w:val="32"/>
        </w:rPr>
      </w:pPr>
    </w:p>
    <w:p w14:paraId="0EC3F503" w14:textId="77777777" w:rsidR="00C705A9" w:rsidRDefault="00C705A9">
      <w:pPr>
        <w:pStyle w:val="a0"/>
        <w:spacing w:before="93"/>
        <w:rPr>
          <w:rFonts w:ascii="宋体" w:eastAsia="宋体" w:hAnsi="宋体" w:cs="宋体"/>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C705A9" w14:paraId="08BEB40A" w14:textId="77777777">
        <w:trPr>
          <w:trHeight w:val="1034"/>
          <w:jc w:val="center"/>
        </w:trPr>
        <w:tc>
          <w:tcPr>
            <w:tcW w:w="9960" w:type="dxa"/>
            <w:gridSpan w:val="6"/>
            <w:tcBorders>
              <w:top w:val="nil"/>
              <w:left w:val="nil"/>
              <w:bottom w:val="nil"/>
              <w:right w:val="nil"/>
            </w:tcBorders>
            <w:tcMar>
              <w:top w:w="15" w:type="dxa"/>
              <w:left w:w="15" w:type="dxa"/>
              <w:right w:w="15" w:type="dxa"/>
            </w:tcMar>
            <w:vAlign w:val="center"/>
          </w:tcPr>
          <w:p w14:paraId="0E9B26AB" w14:textId="77777777" w:rsidR="00C705A9" w:rsidRDefault="00000000">
            <w:pPr>
              <w:widowControl/>
              <w:jc w:val="center"/>
              <w:textAlignment w:val="center"/>
              <w:rPr>
                <w:rFonts w:ascii="宋体" w:hAnsi="宋体" w:cs="宋体"/>
                <w:color w:val="000000"/>
                <w:kern w:val="0"/>
                <w:sz w:val="36"/>
                <w:szCs w:val="36"/>
              </w:rPr>
            </w:pPr>
            <w:r>
              <w:rPr>
                <w:rFonts w:ascii="宋体" w:hAnsi="宋体" w:cs="宋体" w:hint="eastAsia"/>
                <w:color w:val="000000"/>
                <w:kern w:val="0"/>
                <w:sz w:val="36"/>
                <w:szCs w:val="36"/>
              </w:rPr>
              <w:lastRenderedPageBreak/>
              <w:t>项目绩效目标完成情况表</w:t>
            </w:r>
          </w:p>
          <w:p w14:paraId="712738E6" w14:textId="77777777" w:rsidR="00C705A9" w:rsidRDefault="00000000">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rPr>
              <w:t>(2022 年度)</w:t>
            </w:r>
          </w:p>
        </w:tc>
      </w:tr>
      <w:tr w:rsidR="00C705A9" w14:paraId="13175942" w14:textId="7777777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0D8714"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03BA84"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基层卫生医疗机构财政定额补助</w:t>
            </w:r>
          </w:p>
        </w:tc>
      </w:tr>
      <w:tr w:rsidR="00C705A9" w14:paraId="69BBE5D7" w14:textId="7777777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C803D6"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47C776"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开江县广福镇卫生院</w:t>
            </w:r>
          </w:p>
        </w:tc>
      </w:tr>
      <w:tr w:rsidR="00C705A9" w14:paraId="0076A695" w14:textId="7777777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6D5021"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A7F8D3"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0193A3"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67.88万元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89BE04"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4B6535"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67.88万元</w:t>
            </w:r>
          </w:p>
        </w:tc>
      </w:tr>
      <w:tr w:rsidR="00C705A9" w14:paraId="159E66A8" w14:textId="77777777">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E14D36" w14:textId="77777777" w:rsidR="00C705A9" w:rsidRDefault="00C705A9">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5BFB77"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CAEA48"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67.88万元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8AB548"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595F01"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67.88万元</w:t>
            </w:r>
          </w:p>
        </w:tc>
      </w:tr>
      <w:tr w:rsidR="00C705A9" w14:paraId="7F0A1D79" w14:textId="77777777">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D504D5" w14:textId="77777777" w:rsidR="00C705A9" w:rsidRDefault="00C705A9">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275C5D"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0F0E5D" w14:textId="77777777" w:rsidR="00C705A9" w:rsidRDefault="00C705A9">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A6D091"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9C08CA" w14:textId="77777777" w:rsidR="00C705A9" w:rsidRDefault="00C705A9">
            <w:pPr>
              <w:jc w:val="center"/>
              <w:rPr>
                <w:rFonts w:ascii="宋体" w:hAnsi="宋体" w:cs="宋体"/>
                <w:color w:val="000000"/>
                <w:sz w:val="24"/>
              </w:rPr>
            </w:pPr>
          </w:p>
        </w:tc>
      </w:tr>
      <w:tr w:rsidR="00C705A9" w14:paraId="5AEC69DD" w14:textId="7777777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19A0F8"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41273A"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8AD3CF"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C705A9" w14:paraId="7F5F701E" w14:textId="77777777">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A62FEF" w14:textId="77777777" w:rsidR="00C705A9" w:rsidRDefault="00C705A9">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89A5D7"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为辖区居民的身体健康提供医疗与预防保健服务，为辖区居民提供基本公共卫生服务。</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ABDD8D"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为辖区居民的身体健康提供医疗与预防保健服务，为辖区居民提供基本公共卫生服务。</w:t>
            </w:r>
          </w:p>
        </w:tc>
      </w:tr>
      <w:tr w:rsidR="00C705A9" w14:paraId="763DE490" w14:textId="77777777">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0B5D1F85"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8EE518"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F790E7"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7EB6D3"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388C60"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6E22E8"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C705A9" w14:paraId="74820EEC" w14:textId="77777777">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3F7650B0" w14:textId="77777777" w:rsidR="00C705A9" w:rsidRDefault="00C705A9">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024AD4"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FD6728"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6B2F97"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保障人员经费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0D8754"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13人</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0D6254"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13人</w:t>
            </w:r>
          </w:p>
        </w:tc>
      </w:tr>
      <w:tr w:rsidR="00C705A9" w14:paraId="756F9315" w14:textId="77777777">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3C836ED8" w14:textId="77777777" w:rsidR="00C705A9" w:rsidRDefault="00C705A9">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4018BB"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01839E"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 xml:space="preserve">质量指标 </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231B65"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保障办公经费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DEA0C0"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2022年1-12月</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C99BEC"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2022年1-12月</w:t>
            </w:r>
          </w:p>
        </w:tc>
      </w:tr>
      <w:tr w:rsidR="00C705A9" w14:paraId="70E725D6" w14:textId="7777777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546A91A0" w14:textId="77777777" w:rsidR="00C705A9" w:rsidRDefault="00C705A9">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6190DA"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FEB9FD"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 xml:space="preserve">时效指标 </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31DAA2"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经费下达及时性</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9D236A"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645394"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100%</w:t>
            </w:r>
          </w:p>
        </w:tc>
      </w:tr>
      <w:tr w:rsidR="00C705A9" w14:paraId="15A5E765" w14:textId="7777777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6EA3711C" w14:textId="77777777" w:rsidR="00C705A9" w:rsidRDefault="00C705A9">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372E72" w14:textId="77777777" w:rsidR="00C705A9" w:rsidRDefault="00000000">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FD74D9"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7893D4"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总经费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CC148B"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67.88万元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3CDAE3"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67.88万元</w:t>
            </w:r>
          </w:p>
        </w:tc>
      </w:tr>
      <w:tr w:rsidR="00C705A9" w14:paraId="73C725EF" w14:textId="7777777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18AAD89F" w14:textId="77777777" w:rsidR="00C705A9" w:rsidRDefault="00C705A9">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4517D0"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AF6E6B" w14:textId="77777777" w:rsidR="00C705A9" w:rsidRDefault="00C705A9">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2BA90D" w14:textId="77777777" w:rsidR="00C705A9" w:rsidRDefault="00C705A9">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01620A" w14:textId="77777777" w:rsidR="00C705A9" w:rsidRDefault="00C705A9">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1AFF76" w14:textId="77777777" w:rsidR="00C705A9" w:rsidRDefault="00C705A9">
            <w:pPr>
              <w:widowControl/>
              <w:jc w:val="center"/>
              <w:textAlignment w:val="center"/>
              <w:rPr>
                <w:rFonts w:ascii="宋体" w:hAnsi="宋体" w:cs="宋体"/>
                <w:color w:val="000000"/>
                <w:sz w:val="24"/>
              </w:rPr>
            </w:pPr>
          </w:p>
        </w:tc>
      </w:tr>
      <w:tr w:rsidR="00C705A9" w14:paraId="5BF2E98B" w14:textId="7777777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3A073A62" w14:textId="77777777" w:rsidR="00C705A9" w:rsidRDefault="00C705A9">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57A57B"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743E65"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经济效益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8A72F3"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全年医疗收入</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6887FB"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156.95万元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356866"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156.95万元</w:t>
            </w:r>
          </w:p>
        </w:tc>
      </w:tr>
      <w:tr w:rsidR="00C705A9" w14:paraId="33BFF494" w14:textId="7777777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10F66732" w14:textId="77777777" w:rsidR="00C705A9" w:rsidRDefault="00C705A9">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E199A4"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D0166D"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社会效益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F91203"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医疗服务收益人群</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34E2B2"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解决辖区2.0万余人医疗保障</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E985D4"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解决辖区2.0万余人医疗保障</w:t>
            </w:r>
          </w:p>
        </w:tc>
      </w:tr>
      <w:tr w:rsidR="00C705A9" w14:paraId="4D0EFD87" w14:textId="77777777">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66168E15" w14:textId="77777777" w:rsidR="00C705A9" w:rsidRDefault="00C705A9">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559DF0" w14:textId="77777777" w:rsidR="00C705A9" w:rsidRDefault="00000000">
            <w:pPr>
              <w:widowControl/>
              <w:jc w:val="center"/>
              <w:textAlignment w:val="center"/>
              <w:rPr>
                <w:rFonts w:ascii="宋体" w:hAnsi="宋体" w:cs="宋体"/>
                <w:color w:val="000000"/>
                <w:kern w:val="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98BFA8"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生态效益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FD3DBD"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减少疾病发生</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364DDC"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改善辖区居民2.0万余人健康水平</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55AE5E"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改善辖区居民2.0万余人健康水平</w:t>
            </w:r>
          </w:p>
        </w:tc>
      </w:tr>
      <w:tr w:rsidR="00C705A9" w14:paraId="07569BB0" w14:textId="77777777">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5320F26B" w14:textId="77777777" w:rsidR="00C705A9" w:rsidRDefault="00C705A9">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00CC90" w14:textId="77777777" w:rsidR="00C705A9" w:rsidRDefault="00000000">
            <w:pPr>
              <w:widowControl/>
              <w:jc w:val="center"/>
              <w:textAlignment w:val="center"/>
              <w:rPr>
                <w:rFonts w:ascii="宋体" w:hAnsi="宋体" w:cs="宋体"/>
                <w:color w:val="000000"/>
                <w:kern w:val="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B4740C"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可持续影响</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D4D1FE"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持续改进健康水平</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88CAC0"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体现政策导向，长期保障辖区2.0万余人健康状况</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D6FA8C"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体现政策导向，长期保障辖区2.0万余人健康状况</w:t>
            </w:r>
          </w:p>
        </w:tc>
      </w:tr>
      <w:tr w:rsidR="00C705A9" w14:paraId="1BFCCB8C" w14:textId="77777777">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209F65B6" w14:textId="77777777" w:rsidR="00C705A9" w:rsidRDefault="00C705A9">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0DC87E"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D1474B"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A8C098"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患者满意度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F15178"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95%</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CF6905" w14:textId="77777777" w:rsidR="00C705A9" w:rsidRDefault="00000000">
            <w:pPr>
              <w:widowControl/>
              <w:jc w:val="center"/>
              <w:textAlignment w:val="center"/>
              <w:rPr>
                <w:rFonts w:ascii="宋体" w:hAnsi="宋体" w:cs="宋体"/>
                <w:color w:val="000000"/>
                <w:sz w:val="24"/>
              </w:rPr>
            </w:pPr>
            <w:r>
              <w:rPr>
                <w:rFonts w:ascii="宋体" w:hAnsi="宋体" w:cs="宋体" w:hint="eastAsia"/>
                <w:color w:val="000000"/>
                <w:sz w:val="24"/>
              </w:rPr>
              <w:t>95%</w:t>
            </w:r>
          </w:p>
        </w:tc>
      </w:tr>
    </w:tbl>
    <w:p w14:paraId="4C196E75" w14:textId="77777777" w:rsidR="00C705A9" w:rsidRDefault="00C705A9">
      <w:pPr>
        <w:spacing w:line="580" w:lineRule="exact"/>
        <w:rPr>
          <w:rFonts w:ascii="宋体" w:hAnsi="宋体" w:cs="宋体"/>
          <w:sz w:val="32"/>
          <w:szCs w:val="32"/>
        </w:rPr>
      </w:pPr>
    </w:p>
    <w:p w14:paraId="06AF6BFA" w14:textId="77777777" w:rsidR="00C705A9" w:rsidRDefault="00000000">
      <w:pPr>
        <w:spacing w:line="580" w:lineRule="exact"/>
        <w:rPr>
          <w:rFonts w:ascii="宋体" w:hAnsi="宋体" w:cs="宋体"/>
          <w:sz w:val="32"/>
          <w:szCs w:val="32"/>
        </w:rPr>
      </w:pPr>
      <w:r>
        <w:rPr>
          <w:rFonts w:ascii="宋体" w:hAnsi="宋体" w:cs="宋体" w:hint="eastAsia"/>
          <w:sz w:val="32"/>
          <w:szCs w:val="32"/>
        </w:rPr>
        <w:t>2.部门绩效评价结果。</w:t>
      </w:r>
    </w:p>
    <w:p w14:paraId="12CE17C3" w14:textId="77777777" w:rsidR="00C705A9" w:rsidRDefault="00000000">
      <w:pPr>
        <w:spacing w:line="580" w:lineRule="exact"/>
        <w:ind w:firstLineChars="200" w:firstLine="640"/>
        <w:rPr>
          <w:rFonts w:ascii="宋体" w:hAnsi="宋体" w:cs="宋体"/>
          <w:sz w:val="32"/>
          <w:szCs w:val="32"/>
        </w:rPr>
      </w:pPr>
      <w:r>
        <w:rPr>
          <w:rFonts w:ascii="宋体" w:hAnsi="宋体" w:cs="宋体" w:hint="eastAsia"/>
          <w:sz w:val="32"/>
          <w:szCs w:val="32"/>
        </w:rPr>
        <w:t>（三）部门开展绩效评价结果。</w:t>
      </w:r>
    </w:p>
    <w:p w14:paraId="07724153" w14:textId="77777777" w:rsidR="00C705A9" w:rsidRDefault="00000000">
      <w:pPr>
        <w:spacing w:line="580" w:lineRule="exact"/>
        <w:ind w:firstLineChars="200" w:firstLine="640"/>
        <w:rPr>
          <w:rFonts w:ascii="宋体" w:hAnsi="宋体" w:cs="宋体"/>
          <w:sz w:val="32"/>
          <w:szCs w:val="32"/>
        </w:rPr>
      </w:pPr>
      <w:r>
        <w:rPr>
          <w:rFonts w:ascii="宋体" w:hAnsi="宋体" w:cs="宋体" w:hint="eastAsia"/>
          <w:sz w:val="32"/>
          <w:szCs w:val="32"/>
        </w:rPr>
        <w:t>本部门按要求对2022年部门整体支出绩效评价情况开展自评，《开江县广福镇卫生院部门2022年部门整体支出绩效评价报告》见附件1。</w:t>
      </w:r>
    </w:p>
    <w:p w14:paraId="4540CA72" w14:textId="77777777" w:rsidR="00C705A9" w:rsidRDefault="00000000">
      <w:pPr>
        <w:spacing w:line="580" w:lineRule="exact"/>
        <w:ind w:firstLineChars="200" w:firstLine="640"/>
        <w:rPr>
          <w:rFonts w:ascii="宋体" w:hAnsi="宋体" w:cs="宋体"/>
          <w:sz w:val="32"/>
          <w:szCs w:val="32"/>
        </w:rPr>
      </w:pPr>
      <w:r>
        <w:rPr>
          <w:rFonts w:ascii="宋体" w:hAnsi="宋体" w:cs="宋体" w:hint="eastAsia"/>
          <w:sz w:val="32"/>
          <w:szCs w:val="32"/>
        </w:rPr>
        <w:t>本部门自行组织对基层卫生医疗机构财政定额补助开展了绩效评价，《基层卫生医疗机构财政定额补助项目2022年绩效评价报告》见附件2。</w:t>
      </w:r>
    </w:p>
    <w:p w14:paraId="61A34137" w14:textId="77777777" w:rsidR="00C705A9" w:rsidRDefault="00000000">
      <w:pPr>
        <w:numPr>
          <w:ilvl w:val="0"/>
          <w:numId w:val="3"/>
        </w:numPr>
        <w:spacing w:line="600" w:lineRule="exact"/>
        <w:ind w:firstLineChars="150" w:firstLine="660"/>
        <w:jc w:val="center"/>
        <w:outlineLvl w:val="0"/>
        <w:rPr>
          <w:rStyle w:val="1Char"/>
          <w:rFonts w:ascii="宋体" w:hAnsi="宋体" w:cs="宋体"/>
          <w:b w:val="0"/>
          <w:bCs w:val="0"/>
        </w:rPr>
      </w:pPr>
      <w:bookmarkStart w:id="50" w:name="_Toc15396613"/>
      <w:bookmarkStart w:id="51" w:name="_Toc15377225"/>
      <w:r>
        <w:rPr>
          <w:rFonts w:ascii="宋体" w:hAnsi="宋体" w:cs="宋体" w:hint="eastAsia"/>
          <w:color w:val="000000"/>
          <w:sz w:val="44"/>
          <w:szCs w:val="44"/>
        </w:rPr>
        <w:t>名</w:t>
      </w:r>
      <w:r>
        <w:rPr>
          <w:rStyle w:val="1Char"/>
          <w:rFonts w:ascii="宋体" w:hAnsi="宋体" w:cs="宋体" w:hint="eastAsia"/>
          <w:b w:val="0"/>
          <w:bCs w:val="0"/>
        </w:rPr>
        <w:t>词解释</w:t>
      </w:r>
      <w:bookmarkEnd w:id="50"/>
      <w:bookmarkEnd w:id="51"/>
    </w:p>
    <w:p w14:paraId="4F09D7F6" w14:textId="77777777" w:rsidR="00C705A9" w:rsidRDefault="00C705A9">
      <w:pPr>
        <w:spacing w:line="600" w:lineRule="exact"/>
        <w:jc w:val="left"/>
        <w:rPr>
          <w:rFonts w:ascii="宋体" w:hAnsi="宋体" w:cs="宋体"/>
          <w:color w:val="000000"/>
          <w:sz w:val="44"/>
          <w:szCs w:val="44"/>
        </w:rPr>
      </w:pPr>
    </w:p>
    <w:p w14:paraId="47AED14F" w14:textId="77777777" w:rsidR="00C705A9" w:rsidRDefault="00000000">
      <w:pPr>
        <w:pStyle w:val="Default"/>
        <w:spacing w:line="560" w:lineRule="exact"/>
        <w:ind w:firstLineChars="200" w:firstLine="640"/>
        <w:rPr>
          <w:rFonts w:ascii="宋体" w:eastAsia="宋体" w:hAnsi="宋体" w:cs="宋体"/>
          <w:sz w:val="32"/>
          <w:szCs w:val="32"/>
        </w:rPr>
      </w:pPr>
      <w:r>
        <w:rPr>
          <w:rFonts w:ascii="宋体" w:eastAsia="宋体" w:hAnsi="宋体" w:cs="宋体" w:hint="eastAsia"/>
          <w:sz w:val="32"/>
          <w:szCs w:val="32"/>
        </w:rPr>
        <w:t>1.财政拨款收入：指单位从同级财政部门取得的财政预</w:t>
      </w:r>
      <w:r>
        <w:rPr>
          <w:rFonts w:ascii="宋体" w:eastAsia="宋体" w:hAnsi="宋体" w:cs="宋体" w:hint="eastAsia"/>
          <w:sz w:val="32"/>
          <w:szCs w:val="32"/>
        </w:rPr>
        <w:lastRenderedPageBreak/>
        <w:t>算资金。</w:t>
      </w:r>
    </w:p>
    <w:p w14:paraId="18A08E7B" w14:textId="77777777" w:rsidR="00C705A9" w:rsidRDefault="00000000">
      <w:pPr>
        <w:pStyle w:val="Default"/>
        <w:spacing w:line="560" w:lineRule="exact"/>
        <w:ind w:firstLineChars="200" w:firstLine="640"/>
        <w:rPr>
          <w:rFonts w:ascii="宋体" w:eastAsia="宋体" w:hAnsi="宋体" w:cs="宋体"/>
          <w:sz w:val="32"/>
          <w:szCs w:val="32"/>
        </w:rPr>
      </w:pPr>
      <w:r>
        <w:rPr>
          <w:rFonts w:ascii="宋体" w:eastAsia="宋体" w:hAnsi="宋体" w:cs="宋体" w:hint="eastAsia"/>
          <w:sz w:val="32"/>
          <w:szCs w:val="32"/>
        </w:rPr>
        <w:t>2.事业收入：指事业单位开展专业业务活动及辅助活动取得的收入。如…（二级预算单位事业收入情况）等。</w:t>
      </w:r>
    </w:p>
    <w:p w14:paraId="6286C2CC" w14:textId="77777777" w:rsidR="00C705A9" w:rsidRDefault="00000000">
      <w:pPr>
        <w:pStyle w:val="Default"/>
        <w:spacing w:line="560" w:lineRule="exact"/>
        <w:ind w:firstLineChars="200" w:firstLine="640"/>
        <w:rPr>
          <w:rFonts w:ascii="宋体" w:eastAsia="宋体" w:hAnsi="宋体" w:cs="宋体"/>
          <w:sz w:val="32"/>
          <w:szCs w:val="32"/>
        </w:rPr>
      </w:pPr>
      <w:r>
        <w:rPr>
          <w:rFonts w:ascii="宋体" w:eastAsia="宋体" w:hAnsi="宋体" w:cs="宋体" w:hint="eastAsia"/>
          <w:sz w:val="32"/>
          <w:szCs w:val="32"/>
        </w:rPr>
        <w:t>3.经营收入：指事业单位在专业业务活动及其辅助活动之外开展非独立核算经营活动取得的收入。如…（二级预算单位经营收入情况）等。</w:t>
      </w:r>
    </w:p>
    <w:p w14:paraId="66EBFC33" w14:textId="77777777" w:rsidR="00C705A9" w:rsidRDefault="00000000">
      <w:pPr>
        <w:pStyle w:val="Default"/>
        <w:spacing w:line="560" w:lineRule="exact"/>
        <w:ind w:firstLineChars="200" w:firstLine="640"/>
        <w:rPr>
          <w:rFonts w:ascii="宋体" w:eastAsia="宋体" w:hAnsi="宋体" w:cs="宋体"/>
          <w:sz w:val="32"/>
          <w:szCs w:val="32"/>
        </w:rPr>
      </w:pPr>
      <w:r>
        <w:rPr>
          <w:rFonts w:ascii="宋体" w:eastAsia="宋体" w:hAnsi="宋体" w:cs="宋体" w:hint="eastAsia"/>
          <w:sz w:val="32"/>
          <w:szCs w:val="32"/>
        </w:rPr>
        <w:t xml:space="preserve">4.其他收入：指单位取得的除上述收入以外的各项收入。主要是…（收入类型）等。 </w:t>
      </w:r>
    </w:p>
    <w:p w14:paraId="0637268B" w14:textId="77777777" w:rsidR="00C705A9" w:rsidRDefault="00000000">
      <w:pPr>
        <w:pStyle w:val="Default"/>
        <w:spacing w:line="560" w:lineRule="exact"/>
        <w:ind w:firstLineChars="200" w:firstLine="640"/>
        <w:rPr>
          <w:rFonts w:ascii="宋体" w:eastAsia="宋体" w:hAnsi="宋体" w:cs="宋体"/>
          <w:sz w:val="32"/>
          <w:szCs w:val="32"/>
        </w:rPr>
      </w:pPr>
      <w:r>
        <w:rPr>
          <w:rFonts w:ascii="宋体" w:eastAsia="宋体" w:hAnsi="宋体" w:cs="宋体" w:hint="eastAsia"/>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0CCE5932" w14:textId="77777777" w:rsidR="00C705A9" w:rsidRDefault="00000000">
      <w:pPr>
        <w:pStyle w:val="Default"/>
        <w:spacing w:line="560" w:lineRule="exact"/>
        <w:ind w:firstLineChars="200" w:firstLine="640"/>
        <w:rPr>
          <w:rFonts w:ascii="宋体" w:eastAsia="宋体" w:hAnsi="宋体" w:cs="宋体"/>
          <w:sz w:val="32"/>
          <w:szCs w:val="32"/>
        </w:rPr>
      </w:pPr>
      <w:r>
        <w:rPr>
          <w:rFonts w:ascii="宋体" w:eastAsia="宋体" w:hAnsi="宋体" w:cs="宋体" w:hint="eastAsia"/>
          <w:sz w:val="32"/>
          <w:szCs w:val="32"/>
        </w:rPr>
        <w:t xml:space="preserve">6.年初结转和结余：指以前年度尚未完成、结转到本年按有关规定继续使用的资金。 </w:t>
      </w:r>
    </w:p>
    <w:p w14:paraId="63409D91" w14:textId="77777777" w:rsidR="00C705A9" w:rsidRDefault="00000000">
      <w:pPr>
        <w:pStyle w:val="Default"/>
        <w:spacing w:line="560" w:lineRule="exact"/>
        <w:ind w:firstLineChars="200" w:firstLine="640"/>
        <w:rPr>
          <w:rFonts w:ascii="宋体" w:eastAsia="宋体" w:hAnsi="宋体" w:cs="宋体"/>
          <w:sz w:val="32"/>
          <w:szCs w:val="32"/>
        </w:rPr>
      </w:pPr>
      <w:r>
        <w:rPr>
          <w:rFonts w:ascii="宋体" w:eastAsia="宋体" w:hAnsi="宋体" w:cs="宋体" w:hint="eastAsia"/>
          <w:sz w:val="32"/>
          <w:szCs w:val="32"/>
        </w:rPr>
        <w:t>7.结余分配：指事业单位按照事业单位会计制度的规定从非财政补助结余中分配的事业基金和职工福利基金等。</w:t>
      </w:r>
    </w:p>
    <w:p w14:paraId="40E9ABAD" w14:textId="77777777" w:rsidR="00C705A9" w:rsidRDefault="00000000">
      <w:pPr>
        <w:pStyle w:val="Default"/>
        <w:spacing w:line="560" w:lineRule="exact"/>
        <w:ind w:firstLineChars="200" w:firstLine="640"/>
        <w:rPr>
          <w:rFonts w:ascii="宋体" w:eastAsia="宋体" w:hAnsi="宋体" w:cs="宋体"/>
          <w:sz w:val="32"/>
          <w:szCs w:val="32"/>
        </w:rPr>
      </w:pPr>
      <w:r>
        <w:rPr>
          <w:rFonts w:ascii="宋体" w:eastAsia="宋体" w:hAnsi="宋体" w:cs="宋体" w:hint="eastAsia"/>
          <w:sz w:val="32"/>
          <w:szCs w:val="32"/>
        </w:rPr>
        <w:t>8、年末结转和结余：指单位按有关规定结转到下年或以后年度继续使用的资金。</w:t>
      </w:r>
    </w:p>
    <w:p w14:paraId="5F6BEA2E" w14:textId="77777777" w:rsidR="00C705A9" w:rsidRDefault="00000000">
      <w:pPr>
        <w:ind w:firstLineChars="200" w:firstLine="640"/>
        <w:rPr>
          <w:rFonts w:ascii="宋体" w:hAnsi="宋体" w:cs="宋体"/>
          <w:color w:val="000000"/>
          <w:sz w:val="32"/>
          <w:szCs w:val="32"/>
        </w:rPr>
      </w:pPr>
      <w:r>
        <w:rPr>
          <w:rFonts w:ascii="宋体" w:hAnsi="宋体" w:cs="宋体" w:hint="eastAsia"/>
          <w:color w:val="000000"/>
          <w:sz w:val="32"/>
          <w:szCs w:val="32"/>
        </w:rPr>
        <w:t>9.一般公共服务（类）…（款）…（项）：指……。</w:t>
      </w:r>
    </w:p>
    <w:p w14:paraId="4A03DAD9" w14:textId="77777777" w:rsidR="00C705A9" w:rsidRDefault="00000000">
      <w:pPr>
        <w:ind w:firstLineChars="200" w:firstLine="640"/>
        <w:rPr>
          <w:rFonts w:ascii="宋体" w:hAnsi="宋体" w:cs="宋体"/>
          <w:color w:val="000000"/>
          <w:sz w:val="32"/>
          <w:szCs w:val="32"/>
        </w:rPr>
      </w:pPr>
      <w:r>
        <w:rPr>
          <w:rFonts w:ascii="宋体" w:hAnsi="宋体" w:cs="宋体" w:hint="eastAsia"/>
          <w:color w:val="000000"/>
          <w:sz w:val="32"/>
          <w:szCs w:val="32"/>
        </w:rPr>
        <w:t>10.外交（类）…（款）…（项）：指……。</w:t>
      </w:r>
    </w:p>
    <w:p w14:paraId="10EFA581" w14:textId="77777777" w:rsidR="00C705A9" w:rsidRDefault="00000000">
      <w:pPr>
        <w:ind w:firstLineChars="200" w:firstLine="640"/>
        <w:rPr>
          <w:rFonts w:ascii="宋体" w:hAnsi="宋体" w:cs="宋体"/>
          <w:color w:val="000000"/>
          <w:sz w:val="32"/>
          <w:szCs w:val="32"/>
        </w:rPr>
      </w:pPr>
      <w:r>
        <w:rPr>
          <w:rFonts w:ascii="宋体" w:hAnsi="宋体" w:cs="宋体" w:hint="eastAsia"/>
          <w:color w:val="000000"/>
          <w:sz w:val="32"/>
          <w:szCs w:val="32"/>
        </w:rPr>
        <w:t>11.公共安全（类）…（款）…（项）：指……。</w:t>
      </w:r>
    </w:p>
    <w:p w14:paraId="54AD0434" w14:textId="77777777" w:rsidR="00C705A9" w:rsidRDefault="00000000">
      <w:pPr>
        <w:ind w:firstLineChars="200" w:firstLine="640"/>
        <w:rPr>
          <w:rFonts w:ascii="宋体" w:hAnsi="宋体" w:cs="宋体"/>
          <w:color w:val="000000"/>
          <w:sz w:val="32"/>
          <w:szCs w:val="32"/>
        </w:rPr>
      </w:pPr>
      <w:r>
        <w:rPr>
          <w:rFonts w:ascii="宋体" w:hAnsi="宋体" w:cs="宋体" w:hint="eastAsia"/>
          <w:color w:val="000000"/>
          <w:sz w:val="32"/>
          <w:szCs w:val="32"/>
        </w:rPr>
        <w:t>12.教育（类）…（款）…（项）：指……。</w:t>
      </w:r>
    </w:p>
    <w:p w14:paraId="0C871D87" w14:textId="77777777" w:rsidR="00C705A9" w:rsidRDefault="00000000">
      <w:pPr>
        <w:ind w:firstLineChars="200" w:firstLine="640"/>
        <w:rPr>
          <w:rFonts w:ascii="宋体" w:hAnsi="宋体" w:cs="宋体"/>
          <w:color w:val="000000"/>
          <w:sz w:val="32"/>
          <w:szCs w:val="32"/>
        </w:rPr>
      </w:pPr>
      <w:r>
        <w:rPr>
          <w:rFonts w:ascii="宋体" w:hAnsi="宋体" w:cs="宋体" w:hint="eastAsia"/>
          <w:color w:val="000000"/>
          <w:sz w:val="32"/>
          <w:szCs w:val="32"/>
        </w:rPr>
        <w:t>13.科学技术（类）…（款）…（项）：指……。</w:t>
      </w:r>
    </w:p>
    <w:p w14:paraId="36848754" w14:textId="77777777" w:rsidR="00C705A9" w:rsidRDefault="00000000">
      <w:pPr>
        <w:ind w:firstLineChars="200" w:firstLine="640"/>
        <w:rPr>
          <w:rFonts w:ascii="宋体" w:hAnsi="宋体" w:cs="宋体"/>
          <w:color w:val="000000"/>
          <w:sz w:val="32"/>
          <w:szCs w:val="32"/>
        </w:rPr>
      </w:pPr>
      <w:r>
        <w:rPr>
          <w:rFonts w:ascii="宋体" w:hAnsi="宋体" w:cs="宋体" w:hint="eastAsia"/>
          <w:color w:val="000000"/>
          <w:sz w:val="32"/>
          <w:szCs w:val="32"/>
        </w:rPr>
        <w:lastRenderedPageBreak/>
        <w:t>14.文化体育与传媒（类）…（款）…（项）：指……。</w:t>
      </w:r>
    </w:p>
    <w:p w14:paraId="15487FB4" w14:textId="77777777" w:rsidR="00C705A9" w:rsidRDefault="00000000">
      <w:pPr>
        <w:ind w:firstLineChars="200" w:firstLine="640"/>
        <w:rPr>
          <w:rFonts w:ascii="宋体" w:hAnsi="宋体" w:cs="宋体"/>
          <w:color w:val="000000"/>
          <w:sz w:val="32"/>
          <w:szCs w:val="32"/>
        </w:rPr>
      </w:pPr>
      <w:r>
        <w:rPr>
          <w:rFonts w:ascii="宋体" w:hAnsi="宋体" w:cs="宋体" w:hint="eastAsia"/>
          <w:color w:val="000000"/>
          <w:sz w:val="32"/>
          <w:szCs w:val="32"/>
        </w:rPr>
        <w:t>15.社会保障和就业（类）…（款）…（项）：指……。</w:t>
      </w:r>
    </w:p>
    <w:p w14:paraId="1957DC3B" w14:textId="77777777" w:rsidR="00C705A9" w:rsidRDefault="00000000">
      <w:pPr>
        <w:ind w:firstLineChars="200" w:firstLine="640"/>
        <w:rPr>
          <w:rFonts w:ascii="宋体" w:hAnsi="宋体" w:cs="宋体"/>
          <w:color w:val="000000"/>
          <w:sz w:val="32"/>
          <w:szCs w:val="32"/>
        </w:rPr>
      </w:pPr>
      <w:r>
        <w:rPr>
          <w:rFonts w:ascii="宋体" w:hAnsi="宋体" w:cs="宋体" w:hint="eastAsia"/>
          <w:color w:val="000000"/>
          <w:sz w:val="32"/>
          <w:szCs w:val="32"/>
        </w:rPr>
        <w:t>16.医疗卫生与计划生育（类）…（款）…（项）：指……。</w:t>
      </w:r>
    </w:p>
    <w:p w14:paraId="5AA893FB" w14:textId="77777777" w:rsidR="00C705A9" w:rsidRDefault="00000000">
      <w:pPr>
        <w:ind w:firstLineChars="200" w:firstLine="640"/>
        <w:rPr>
          <w:rFonts w:ascii="宋体" w:hAnsi="宋体" w:cs="宋体"/>
          <w:color w:val="000000"/>
          <w:sz w:val="32"/>
          <w:szCs w:val="32"/>
        </w:rPr>
      </w:pPr>
      <w:r>
        <w:rPr>
          <w:rFonts w:ascii="宋体" w:hAnsi="宋体" w:cs="宋体" w:hint="eastAsia"/>
          <w:color w:val="000000"/>
          <w:sz w:val="32"/>
          <w:szCs w:val="32"/>
        </w:rPr>
        <w:t>17.节能环保（类）…（款）…（项）：指……。</w:t>
      </w:r>
    </w:p>
    <w:p w14:paraId="1041E824" w14:textId="77777777" w:rsidR="00C705A9" w:rsidRDefault="00000000">
      <w:pPr>
        <w:ind w:firstLineChars="200" w:firstLine="640"/>
        <w:rPr>
          <w:rFonts w:ascii="宋体" w:hAnsi="宋体" w:cs="宋体"/>
          <w:color w:val="000000"/>
          <w:sz w:val="32"/>
          <w:szCs w:val="32"/>
        </w:rPr>
      </w:pPr>
      <w:r>
        <w:rPr>
          <w:rFonts w:ascii="宋体" w:hAnsi="宋体" w:cs="宋体" w:hint="eastAsia"/>
          <w:color w:val="000000"/>
          <w:sz w:val="32"/>
          <w:szCs w:val="32"/>
        </w:rPr>
        <w:t>18.城乡社区（类）…（款）…（项）：指……。</w:t>
      </w:r>
    </w:p>
    <w:p w14:paraId="4B736C64" w14:textId="77777777" w:rsidR="00C705A9" w:rsidRDefault="00000000">
      <w:pPr>
        <w:ind w:firstLineChars="200" w:firstLine="640"/>
        <w:rPr>
          <w:rFonts w:ascii="宋体" w:hAnsi="宋体" w:cs="宋体"/>
          <w:color w:val="000000"/>
          <w:sz w:val="32"/>
          <w:szCs w:val="32"/>
        </w:rPr>
      </w:pPr>
      <w:r>
        <w:rPr>
          <w:rFonts w:ascii="宋体" w:hAnsi="宋体" w:cs="宋体" w:hint="eastAsia"/>
          <w:color w:val="000000"/>
          <w:sz w:val="32"/>
          <w:szCs w:val="32"/>
        </w:rPr>
        <w:t>19.农林水（类）…（款）…（项）：指……。</w:t>
      </w:r>
    </w:p>
    <w:p w14:paraId="261224D4" w14:textId="77777777" w:rsidR="00C705A9" w:rsidRDefault="00000000">
      <w:pPr>
        <w:ind w:firstLineChars="200" w:firstLine="640"/>
        <w:rPr>
          <w:rFonts w:ascii="宋体" w:hAnsi="宋体" w:cs="宋体"/>
          <w:color w:val="000000"/>
          <w:sz w:val="32"/>
          <w:szCs w:val="32"/>
        </w:rPr>
      </w:pPr>
      <w:r>
        <w:rPr>
          <w:rFonts w:ascii="宋体" w:hAnsi="宋体" w:cs="宋体" w:hint="eastAsia"/>
          <w:color w:val="000000"/>
          <w:sz w:val="32"/>
          <w:szCs w:val="32"/>
        </w:rPr>
        <w:t>20.交通运输（类）…（款）…（项）：指……。</w:t>
      </w:r>
    </w:p>
    <w:p w14:paraId="211B8D18" w14:textId="77777777" w:rsidR="00C705A9" w:rsidRDefault="00000000">
      <w:pPr>
        <w:ind w:firstLineChars="200" w:firstLine="640"/>
        <w:rPr>
          <w:rFonts w:ascii="宋体" w:hAnsi="宋体" w:cs="宋体"/>
          <w:color w:val="000000"/>
          <w:sz w:val="32"/>
          <w:szCs w:val="32"/>
        </w:rPr>
      </w:pPr>
      <w:r>
        <w:rPr>
          <w:rFonts w:ascii="宋体" w:hAnsi="宋体" w:cs="宋体" w:hint="eastAsia"/>
          <w:color w:val="000000"/>
          <w:sz w:val="32"/>
          <w:szCs w:val="32"/>
        </w:rPr>
        <w:t>21.资源勘探信息等（类）…（款）…（项）：指……。</w:t>
      </w:r>
    </w:p>
    <w:p w14:paraId="39008E69" w14:textId="77777777" w:rsidR="00C705A9" w:rsidRDefault="00000000">
      <w:pPr>
        <w:ind w:firstLineChars="200" w:firstLine="640"/>
        <w:rPr>
          <w:rFonts w:ascii="宋体" w:hAnsi="宋体" w:cs="宋体"/>
          <w:color w:val="000000"/>
          <w:sz w:val="32"/>
          <w:szCs w:val="32"/>
        </w:rPr>
      </w:pPr>
      <w:r>
        <w:rPr>
          <w:rFonts w:ascii="宋体" w:hAnsi="宋体" w:cs="宋体" w:hint="eastAsia"/>
          <w:color w:val="000000"/>
          <w:sz w:val="32"/>
          <w:szCs w:val="32"/>
        </w:rPr>
        <w:t>22.商业服务业（类）…（款）…（项）：指……。</w:t>
      </w:r>
    </w:p>
    <w:p w14:paraId="656430ED" w14:textId="77777777" w:rsidR="00C705A9" w:rsidRDefault="00000000">
      <w:pPr>
        <w:ind w:firstLineChars="200" w:firstLine="640"/>
        <w:rPr>
          <w:rFonts w:ascii="宋体" w:hAnsi="宋体" w:cs="宋体"/>
          <w:color w:val="000000"/>
          <w:sz w:val="32"/>
          <w:szCs w:val="32"/>
        </w:rPr>
      </w:pPr>
      <w:r>
        <w:rPr>
          <w:rFonts w:ascii="宋体" w:hAnsi="宋体" w:cs="宋体" w:hint="eastAsia"/>
          <w:color w:val="000000"/>
          <w:sz w:val="32"/>
          <w:szCs w:val="32"/>
        </w:rPr>
        <w:t>23.金融（类）…（款）…（项）：指……。</w:t>
      </w:r>
    </w:p>
    <w:p w14:paraId="4FB5EBAF" w14:textId="77777777" w:rsidR="00C705A9" w:rsidRDefault="00000000">
      <w:pPr>
        <w:ind w:firstLineChars="200" w:firstLine="640"/>
        <w:rPr>
          <w:rFonts w:ascii="宋体" w:hAnsi="宋体" w:cs="宋体"/>
          <w:color w:val="000000"/>
          <w:sz w:val="32"/>
          <w:szCs w:val="32"/>
        </w:rPr>
      </w:pPr>
      <w:r>
        <w:rPr>
          <w:rFonts w:ascii="宋体" w:hAnsi="宋体" w:cs="宋体" w:hint="eastAsia"/>
          <w:color w:val="000000"/>
          <w:sz w:val="32"/>
          <w:szCs w:val="32"/>
        </w:rPr>
        <w:t>24.国土海洋气象等（类）…（款）…（项）：指……。</w:t>
      </w:r>
    </w:p>
    <w:p w14:paraId="111F6E85" w14:textId="77777777" w:rsidR="00C705A9" w:rsidRDefault="00000000">
      <w:pPr>
        <w:ind w:firstLineChars="200" w:firstLine="640"/>
        <w:rPr>
          <w:rFonts w:ascii="宋体" w:hAnsi="宋体" w:cs="宋体"/>
          <w:color w:val="000000"/>
          <w:sz w:val="32"/>
          <w:szCs w:val="32"/>
        </w:rPr>
      </w:pPr>
      <w:r>
        <w:rPr>
          <w:rFonts w:ascii="宋体" w:hAnsi="宋体" w:cs="宋体" w:hint="eastAsia"/>
          <w:color w:val="000000"/>
          <w:sz w:val="32"/>
          <w:szCs w:val="32"/>
        </w:rPr>
        <w:t>25.住房保障（类）…（款）…（项）：指……。</w:t>
      </w:r>
    </w:p>
    <w:p w14:paraId="7DDFA4E7" w14:textId="77777777" w:rsidR="00C705A9" w:rsidRDefault="00000000">
      <w:pPr>
        <w:ind w:firstLineChars="200" w:firstLine="640"/>
        <w:rPr>
          <w:rFonts w:ascii="宋体" w:hAnsi="宋体" w:cs="宋体"/>
          <w:color w:val="000000"/>
          <w:sz w:val="32"/>
          <w:szCs w:val="32"/>
        </w:rPr>
      </w:pPr>
      <w:r>
        <w:rPr>
          <w:rFonts w:ascii="宋体" w:hAnsi="宋体" w:cs="宋体" w:hint="eastAsia"/>
          <w:color w:val="000000"/>
          <w:sz w:val="32"/>
          <w:szCs w:val="32"/>
        </w:rPr>
        <w:t>26.粮油物资储备（类）…（款）…（项）：指……。</w:t>
      </w:r>
    </w:p>
    <w:p w14:paraId="07C621CA" w14:textId="77777777" w:rsidR="00C705A9" w:rsidRDefault="00000000">
      <w:pPr>
        <w:ind w:firstLineChars="200" w:firstLine="640"/>
        <w:rPr>
          <w:rFonts w:ascii="宋体" w:hAnsi="宋体" w:cs="宋体"/>
          <w:color w:val="000000"/>
          <w:sz w:val="32"/>
          <w:szCs w:val="32"/>
        </w:rPr>
      </w:pPr>
      <w:r>
        <w:rPr>
          <w:rFonts w:ascii="宋体" w:hAnsi="宋体" w:cs="宋体" w:hint="eastAsia"/>
          <w:color w:val="000000"/>
          <w:sz w:val="32"/>
          <w:szCs w:val="32"/>
        </w:rPr>
        <w:t>……</w:t>
      </w:r>
    </w:p>
    <w:p w14:paraId="570AFD33" w14:textId="77777777" w:rsidR="00C705A9" w:rsidRDefault="00000000">
      <w:pPr>
        <w:ind w:firstLineChars="200" w:firstLine="640"/>
        <w:rPr>
          <w:rFonts w:ascii="宋体" w:hAnsi="宋体" w:cs="宋体"/>
          <w:color w:val="000000"/>
          <w:sz w:val="32"/>
          <w:szCs w:val="32"/>
        </w:rPr>
      </w:pPr>
      <w:r>
        <w:rPr>
          <w:rFonts w:ascii="宋体" w:hAnsi="宋体" w:cs="宋体" w:hint="eastAsia"/>
          <w:color w:val="000000"/>
          <w:sz w:val="32"/>
          <w:szCs w:val="32"/>
        </w:rPr>
        <w:t>……</w:t>
      </w:r>
    </w:p>
    <w:p w14:paraId="5BA07DEB" w14:textId="77777777" w:rsidR="00C705A9" w:rsidRDefault="00000000">
      <w:pPr>
        <w:ind w:firstLineChars="200" w:firstLine="640"/>
        <w:rPr>
          <w:rFonts w:ascii="宋体" w:hAnsi="宋体" w:cs="宋体"/>
          <w:color w:val="000000"/>
          <w:sz w:val="32"/>
          <w:szCs w:val="32"/>
        </w:rPr>
      </w:pPr>
      <w:r>
        <w:rPr>
          <w:rFonts w:ascii="宋体" w:hAnsi="宋体" w:cs="宋体" w:hint="eastAsia"/>
          <w:color w:val="000000"/>
          <w:sz w:val="32"/>
          <w:szCs w:val="32"/>
        </w:rPr>
        <w:t>……</w:t>
      </w:r>
    </w:p>
    <w:p w14:paraId="370B8BE5" w14:textId="77777777" w:rsidR="00C705A9" w:rsidRDefault="00000000">
      <w:pPr>
        <w:spacing w:line="600" w:lineRule="exact"/>
        <w:ind w:firstLine="640"/>
        <w:rPr>
          <w:rFonts w:ascii="宋体" w:hAnsi="宋体" w:cs="宋体"/>
          <w:color w:val="000000"/>
          <w:sz w:val="32"/>
          <w:szCs w:val="32"/>
        </w:rPr>
      </w:pPr>
      <w:r>
        <w:rPr>
          <w:rFonts w:ascii="宋体" w:hAnsi="宋体" w:cs="宋体" w:hint="eastAsia"/>
          <w:color w:val="000000"/>
          <w:sz w:val="32"/>
          <w:szCs w:val="32"/>
        </w:rPr>
        <w:t>（解释本部门决算报表中全部功能分类科目至项级，请参照《2021年政府收支分类科目》增减内容。）</w:t>
      </w:r>
    </w:p>
    <w:p w14:paraId="51029CC4" w14:textId="77777777" w:rsidR="00C705A9" w:rsidRDefault="00000000">
      <w:pPr>
        <w:ind w:firstLineChars="200" w:firstLine="640"/>
        <w:rPr>
          <w:rFonts w:ascii="宋体" w:hAnsi="宋体" w:cs="宋体"/>
          <w:color w:val="000000"/>
          <w:sz w:val="32"/>
          <w:szCs w:val="32"/>
        </w:rPr>
      </w:pPr>
      <w:r>
        <w:rPr>
          <w:rFonts w:ascii="宋体" w:hAnsi="宋体" w:cs="宋体" w:hint="eastAsia"/>
          <w:color w:val="000000"/>
          <w:sz w:val="32"/>
          <w:szCs w:val="32"/>
        </w:rPr>
        <w:t>27.基本支出：指为保障机构正常运转、完成日常工作任务而发生的人员支出和公用支出。</w:t>
      </w:r>
    </w:p>
    <w:p w14:paraId="6C44FD77" w14:textId="77777777" w:rsidR="00C705A9" w:rsidRDefault="00000000">
      <w:pPr>
        <w:ind w:firstLineChars="200" w:firstLine="640"/>
        <w:rPr>
          <w:rFonts w:ascii="宋体" w:hAnsi="宋体" w:cs="宋体"/>
          <w:color w:val="000000"/>
          <w:sz w:val="32"/>
          <w:szCs w:val="32"/>
        </w:rPr>
      </w:pPr>
      <w:r>
        <w:rPr>
          <w:rFonts w:ascii="宋体" w:hAnsi="宋体" w:cs="宋体" w:hint="eastAsia"/>
          <w:color w:val="000000"/>
          <w:sz w:val="32"/>
          <w:szCs w:val="32"/>
        </w:rPr>
        <w:t xml:space="preserve">28.项目支出：指在基本支出之外为完成特定行政任务和事业发展目标所发生的支出。 </w:t>
      </w:r>
    </w:p>
    <w:p w14:paraId="2DBCBE82" w14:textId="77777777" w:rsidR="00C705A9" w:rsidRDefault="00000000">
      <w:pPr>
        <w:ind w:firstLineChars="200" w:firstLine="640"/>
        <w:rPr>
          <w:rFonts w:ascii="宋体" w:hAnsi="宋体" w:cs="宋体"/>
          <w:color w:val="000000"/>
          <w:sz w:val="32"/>
          <w:szCs w:val="32"/>
        </w:rPr>
      </w:pPr>
      <w:r>
        <w:rPr>
          <w:rFonts w:ascii="宋体" w:hAnsi="宋体" w:cs="宋体" w:hint="eastAsia"/>
          <w:color w:val="000000"/>
          <w:sz w:val="32"/>
          <w:szCs w:val="32"/>
        </w:rPr>
        <w:lastRenderedPageBreak/>
        <w:t>29.经营支出：指事业单位在专业业务活动及其辅助活动之外开展非独立核算经营活动发生的支出。</w:t>
      </w:r>
    </w:p>
    <w:p w14:paraId="3CE559DE" w14:textId="77777777" w:rsidR="00C705A9" w:rsidRDefault="00000000">
      <w:pPr>
        <w:pStyle w:val="Default"/>
        <w:spacing w:line="560" w:lineRule="exact"/>
        <w:ind w:firstLineChars="200" w:firstLine="640"/>
        <w:rPr>
          <w:rFonts w:ascii="宋体" w:eastAsia="宋体" w:hAnsi="宋体" w:cs="宋体"/>
          <w:sz w:val="32"/>
          <w:szCs w:val="32"/>
        </w:rPr>
      </w:pPr>
      <w:r>
        <w:rPr>
          <w:rFonts w:ascii="宋体" w:eastAsia="宋体" w:hAnsi="宋体" w:cs="宋体" w:hint="eastAsia"/>
          <w:sz w:val="32"/>
          <w:szCs w:val="32"/>
        </w:rPr>
        <w:t>30.“三公”经费：指部门用财政拨款安排的因公出国（境）费、公务用车购置及运行费和公务接待费。其中，因公出国（境）</w:t>
      </w:r>
      <w:proofErr w:type="gramStart"/>
      <w:r>
        <w:rPr>
          <w:rFonts w:ascii="宋体" w:eastAsia="宋体" w:hAnsi="宋体" w:cs="宋体" w:hint="eastAsia"/>
          <w:sz w:val="32"/>
          <w:szCs w:val="32"/>
        </w:rPr>
        <w:t>费反映</w:t>
      </w:r>
      <w:proofErr w:type="gramEnd"/>
      <w:r>
        <w:rPr>
          <w:rFonts w:ascii="宋体" w:eastAsia="宋体" w:hAnsi="宋体" w:cs="宋体" w:hint="eastAsia"/>
          <w:sz w:val="32"/>
          <w:szCs w:val="32"/>
        </w:rPr>
        <w:t>单位公务出国（境）的国际旅费、国外城市间交通费、住宿费、伙食费、培训费、公杂费等支出；公务用车购置及运行</w:t>
      </w:r>
      <w:proofErr w:type="gramStart"/>
      <w:r>
        <w:rPr>
          <w:rFonts w:ascii="宋体" w:eastAsia="宋体" w:hAnsi="宋体" w:cs="宋体" w:hint="eastAsia"/>
          <w:sz w:val="32"/>
          <w:szCs w:val="32"/>
        </w:rPr>
        <w:t>费反映</w:t>
      </w:r>
      <w:proofErr w:type="gramEnd"/>
      <w:r>
        <w:rPr>
          <w:rFonts w:ascii="宋体" w:eastAsia="宋体" w:hAnsi="宋体" w:cs="宋体" w:hint="eastAsia"/>
          <w:sz w:val="32"/>
          <w:szCs w:val="32"/>
        </w:rPr>
        <w:t>单位公务用车车辆购置支出（</w:t>
      </w:r>
      <w:proofErr w:type="gramStart"/>
      <w:r>
        <w:rPr>
          <w:rFonts w:ascii="宋体" w:eastAsia="宋体" w:hAnsi="宋体" w:cs="宋体" w:hint="eastAsia"/>
          <w:sz w:val="32"/>
          <w:szCs w:val="32"/>
        </w:rPr>
        <w:t>含车辆</w:t>
      </w:r>
      <w:proofErr w:type="gramEnd"/>
      <w:r>
        <w:rPr>
          <w:rFonts w:ascii="宋体" w:eastAsia="宋体" w:hAnsi="宋体" w:cs="宋体" w:hint="eastAsia"/>
          <w:sz w:val="32"/>
          <w:szCs w:val="32"/>
        </w:rPr>
        <w:t>购置税）及租用费、燃料费、维修费、过路过桥费、保险费等支出；公务接待</w:t>
      </w:r>
      <w:proofErr w:type="gramStart"/>
      <w:r>
        <w:rPr>
          <w:rFonts w:ascii="宋体" w:eastAsia="宋体" w:hAnsi="宋体" w:cs="宋体" w:hint="eastAsia"/>
          <w:sz w:val="32"/>
          <w:szCs w:val="32"/>
        </w:rPr>
        <w:t>费反映</w:t>
      </w:r>
      <w:proofErr w:type="gramEnd"/>
      <w:r>
        <w:rPr>
          <w:rFonts w:ascii="宋体" w:eastAsia="宋体" w:hAnsi="宋体" w:cs="宋体" w:hint="eastAsia"/>
          <w:sz w:val="32"/>
          <w:szCs w:val="32"/>
        </w:rPr>
        <w:t>单位按规定开支的各类公务接待（含外宾接待）支出。</w:t>
      </w:r>
    </w:p>
    <w:p w14:paraId="45B56EEB" w14:textId="77777777" w:rsidR="00C705A9" w:rsidRDefault="00000000">
      <w:pPr>
        <w:pStyle w:val="Default"/>
        <w:spacing w:line="560" w:lineRule="exact"/>
        <w:ind w:firstLineChars="200" w:firstLine="640"/>
        <w:rPr>
          <w:rFonts w:ascii="宋体" w:eastAsia="宋体" w:hAnsi="宋体" w:cs="宋体"/>
          <w:sz w:val="32"/>
          <w:szCs w:val="32"/>
        </w:rPr>
      </w:pPr>
      <w:r>
        <w:rPr>
          <w:rFonts w:ascii="宋体" w:eastAsia="宋体" w:hAnsi="宋体" w:cs="宋体" w:hint="eastAsia"/>
          <w:sz w:val="32"/>
          <w:szCs w:val="32"/>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C6CFBF8" w14:textId="77777777" w:rsidR="00C705A9" w:rsidRDefault="00000000">
      <w:pPr>
        <w:pStyle w:val="Default"/>
        <w:spacing w:line="560" w:lineRule="exact"/>
        <w:ind w:firstLineChars="200" w:firstLine="640"/>
        <w:rPr>
          <w:rFonts w:ascii="宋体" w:eastAsia="宋体" w:hAnsi="宋体" w:cs="宋体"/>
          <w:sz w:val="32"/>
          <w:szCs w:val="32"/>
        </w:rPr>
      </w:pPr>
      <w:r>
        <w:rPr>
          <w:rFonts w:ascii="宋体" w:eastAsia="宋体" w:hAnsi="宋体" w:cs="宋体" w:hint="eastAsia"/>
          <w:sz w:val="32"/>
          <w:szCs w:val="32"/>
        </w:rPr>
        <w:t>32.……。</w:t>
      </w:r>
    </w:p>
    <w:p w14:paraId="5C0B47B0" w14:textId="77777777" w:rsidR="00C705A9" w:rsidRDefault="00C705A9">
      <w:pPr>
        <w:pStyle w:val="Default"/>
        <w:spacing w:line="560" w:lineRule="exact"/>
        <w:ind w:firstLineChars="200" w:firstLine="640"/>
        <w:rPr>
          <w:rFonts w:ascii="宋体" w:eastAsia="宋体" w:hAnsi="宋体" w:cs="宋体"/>
          <w:sz w:val="32"/>
          <w:szCs w:val="32"/>
        </w:rPr>
      </w:pPr>
    </w:p>
    <w:p w14:paraId="37CA08AC" w14:textId="77777777" w:rsidR="00C705A9" w:rsidRDefault="00000000">
      <w:pPr>
        <w:spacing w:line="600" w:lineRule="exact"/>
        <w:jc w:val="center"/>
        <w:outlineLvl w:val="0"/>
        <w:rPr>
          <w:rStyle w:val="1Char"/>
          <w:rFonts w:ascii="宋体" w:hAnsi="宋体" w:cs="宋体"/>
          <w:b w:val="0"/>
          <w:bCs w:val="0"/>
        </w:rPr>
      </w:pPr>
      <w:bookmarkStart w:id="52" w:name="_Toc15377226"/>
      <w:r>
        <w:rPr>
          <w:rFonts w:ascii="宋体" w:hAnsi="宋体" w:cs="宋体" w:hint="eastAsia"/>
          <w:color w:val="000000"/>
          <w:sz w:val="44"/>
          <w:szCs w:val="44"/>
        </w:rPr>
        <w:br w:type="page"/>
      </w:r>
      <w:bookmarkStart w:id="53" w:name="_Toc15396614"/>
      <w:r>
        <w:rPr>
          <w:rFonts w:ascii="宋体" w:hAnsi="宋体" w:cs="宋体" w:hint="eastAsia"/>
          <w:color w:val="000000"/>
          <w:sz w:val="44"/>
          <w:szCs w:val="44"/>
        </w:rPr>
        <w:lastRenderedPageBreak/>
        <w:t>第</w:t>
      </w:r>
      <w:r>
        <w:rPr>
          <w:rStyle w:val="1Char"/>
          <w:rFonts w:ascii="宋体" w:hAnsi="宋体" w:cs="宋体" w:hint="eastAsia"/>
          <w:b w:val="0"/>
          <w:bCs w:val="0"/>
        </w:rPr>
        <w:t>四部分 附件</w:t>
      </w:r>
      <w:bookmarkEnd w:id="53"/>
    </w:p>
    <w:p w14:paraId="5CBB913D" w14:textId="77777777" w:rsidR="00C705A9" w:rsidRDefault="00000000">
      <w:pPr>
        <w:spacing w:line="600" w:lineRule="exact"/>
        <w:jc w:val="left"/>
        <w:outlineLvl w:val="0"/>
        <w:rPr>
          <w:rFonts w:ascii="宋体" w:hAnsi="宋体" w:cs="宋体"/>
          <w:sz w:val="32"/>
          <w:szCs w:val="32"/>
        </w:rPr>
      </w:pPr>
      <w:r>
        <w:rPr>
          <w:rFonts w:ascii="宋体" w:hAnsi="宋体" w:cs="宋体" w:hint="eastAsia"/>
          <w:sz w:val="32"/>
          <w:szCs w:val="32"/>
        </w:rPr>
        <w:t>附件1</w:t>
      </w:r>
    </w:p>
    <w:p w14:paraId="22BFBA70" w14:textId="77777777" w:rsidR="00C705A9" w:rsidRDefault="00C705A9">
      <w:pPr>
        <w:spacing w:line="580" w:lineRule="exact"/>
        <w:jc w:val="center"/>
        <w:rPr>
          <w:rFonts w:ascii="宋体" w:hAnsi="宋体" w:cs="宋体"/>
          <w:sz w:val="44"/>
          <w:szCs w:val="44"/>
        </w:rPr>
      </w:pPr>
    </w:p>
    <w:p w14:paraId="30601608" w14:textId="77777777" w:rsidR="00C705A9" w:rsidRDefault="00000000">
      <w:pPr>
        <w:spacing w:line="600" w:lineRule="exact"/>
        <w:jc w:val="center"/>
        <w:rPr>
          <w:rFonts w:ascii="宋体" w:hAnsi="宋体" w:cs="宋体"/>
          <w:sz w:val="44"/>
          <w:szCs w:val="44"/>
        </w:rPr>
      </w:pPr>
      <w:r>
        <w:rPr>
          <w:rFonts w:ascii="宋体" w:hAnsi="宋体" w:cs="宋体" w:hint="eastAsia"/>
          <w:sz w:val="44"/>
          <w:szCs w:val="44"/>
        </w:rPr>
        <w:t>开江县广福镇卫生院</w:t>
      </w:r>
    </w:p>
    <w:p w14:paraId="713A0559" w14:textId="77777777" w:rsidR="00C705A9" w:rsidRDefault="00000000">
      <w:pPr>
        <w:spacing w:line="600" w:lineRule="exact"/>
        <w:jc w:val="center"/>
        <w:rPr>
          <w:rFonts w:ascii="宋体" w:hAnsi="宋体" w:cs="宋体"/>
          <w:sz w:val="44"/>
          <w:szCs w:val="44"/>
        </w:rPr>
      </w:pPr>
      <w:r>
        <w:rPr>
          <w:rFonts w:ascii="宋体" w:hAnsi="宋体" w:cs="宋体" w:hint="eastAsia"/>
          <w:sz w:val="44"/>
          <w:szCs w:val="44"/>
        </w:rPr>
        <w:t>2022年部门整体支出绩效自评报告</w:t>
      </w:r>
    </w:p>
    <w:p w14:paraId="59EC1C5E" w14:textId="77777777" w:rsidR="00C705A9" w:rsidRDefault="00C705A9">
      <w:pPr>
        <w:spacing w:line="600" w:lineRule="exact"/>
        <w:jc w:val="center"/>
        <w:rPr>
          <w:rFonts w:ascii="宋体" w:hAnsi="宋体" w:cs="宋体"/>
          <w:sz w:val="44"/>
          <w:szCs w:val="44"/>
        </w:rPr>
      </w:pPr>
    </w:p>
    <w:p w14:paraId="520937DC" w14:textId="77777777" w:rsidR="00C705A9" w:rsidRDefault="00000000">
      <w:pPr>
        <w:pStyle w:val="ab"/>
        <w:shd w:val="clear" w:color="auto" w:fill="FFFFFF"/>
        <w:spacing w:line="480" w:lineRule="auto"/>
        <w:ind w:firstLine="480"/>
        <w:jc w:val="both"/>
        <w:rPr>
          <w:rFonts w:ascii="宋体" w:hAnsi="宋体" w:cs="宋体"/>
          <w:sz w:val="32"/>
          <w:szCs w:val="32"/>
        </w:rPr>
      </w:pPr>
      <w:r>
        <w:rPr>
          <w:rFonts w:ascii="宋体" w:hAnsi="宋体" w:cs="宋体" w:hint="eastAsia"/>
          <w:sz w:val="32"/>
          <w:szCs w:val="32"/>
        </w:rPr>
        <w:t>根据《开江县预算绩效管理工作考核办法》（开江府办发〔2021〕78号）文件要求文件精神，开江县广福镇卫生院对2022年部门整体支出绩效进行了自评。现将自评情况报告如下：</w:t>
      </w:r>
    </w:p>
    <w:p w14:paraId="46B0DA79" w14:textId="77777777" w:rsidR="00C705A9" w:rsidRDefault="00000000">
      <w:pPr>
        <w:pStyle w:val="ab"/>
        <w:shd w:val="clear" w:color="auto" w:fill="FFFFFF"/>
        <w:spacing w:line="480" w:lineRule="auto"/>
        <w:ind w:firstLineChars="200" w:firstLine="640"/>
        <w:jc w:val="both"/>
        <w:rPr>
          <w:rFonts w:ascii="宋体" w:hAnsi="宋体" w:cs="宋体"/>
          <w:sz w:val="32"/>
          <w:szCs w:val="32"/>
        </w:rPr>
      </w:pPr>
      <w:r>
        <w:rPr>
          <w:rFonts w:ascii="宋体" w:hAnsi="宋体" w:cs="宋体" w:hint="eastAsia"/>
          <w:sz w:val="32"/>
          <w:szCs w:val="32"/>
        </w:rPr>
        <w:t>一、部门概况</w:t>
      </w:r>
    </w:p>
    <w:p w14:paraId="09BA2ED9" w14:textId="77777777" w:rsidR="00C705A9" w:rsidRDefault="00000000">
      <w:pPr>
        <w:pStyle w:val="ab"/>
        <w:shd w:val="clear" w:color="auto" w:fill="FFFFFF"/>
        <w:spacing w:line="480" w:lineRule="auto"/>
        <w:ind w:firstLineChars="200" w:firstLine="640"/>
        <w:jc w:val="both"/>
        <w:rPr>
          <w:rFonts w:ascii="宋体" w:hAnsi="宋体" w:cs="宋体"/>
          <w:sz w:val="32"/>
          <w:szCs w:val="32"/>
        </w:rPr>
      </w:pPr>
      <w:r>
        <w:rPr>
          <w:rFonts w:ascii="宋体" w:hAnsi="宋体" w:cs="宋体" w:hint="eastAsia"/>
          <w:sz w:val="32"/>
          <w:szCs w:val="32"/>
        </w:rPr>
        <w:t>(一）主要职能职责</w:t>
      </w:r>
    </w:p>
    <w:p w14:paraId="46A3FAF8" w14:textId="77777777" w:rsidR="00C705A9" w:rsidRDefault="00000000">
      <w:pPr>
        <w:pStyle w:val="ab"/>
        <w:shd w:val="clear" w:color="auto" w:fill="FFFFFF"/>
        <w:spacing w:line="480" w:lineRule="auto"/>
        <w:ind w:firstLineChars="200" w:firstLine="640"/>
        <w:jc w:val="both"/>
        <w:rPr>
          <w:rFonts w:ascii="宋体" w:hAnsi="宋体" w:cs="宋体"/>
          <w:sz w:val="32"/>
          <w:szCs w:val="32"/>
        </w:rPr>
      </w:pPr>
      <w:r>
        <w:rPr>
          <w:rFonts w:ascii="宋体" w:hAnsi="宋体" w:cs="宋体" w:hint="eastAsia"/>
          <w:sz w:val="32"/>
          <w:szCs w:val="32"/>
        </w:rPr>
        <w:t>坚持以群众保健工作为基础，面向基层，预防为主，为群众提供医疗、护理、预防保健、健康教育，家庭医生签约等服务；在切实履行公共卫生职责的同时，开展基本医疗服务等。</w:t>
      </w:r>
    </w:p>
    <w:p w14:paraId="1BDFE884" w14:textId="77777777" w:rsidR="00C705A9" w:rsidRDefault="00000000">
      <w:pPr>
        <w:pStyle w:val="ab"/>
        <w:shd w:val="clear" w:color="auto" w:fill="FFFFFF"/>
        <w:spacing w:line="480" w:lineRule="auto"/>
        <w:ind w:firstLineChars="200" w:firstLine="640"/>
        <w:jc w:val="both"/>
        <w:rPr>
          <w:rFonts w:ascii="宋体" w:hAnsi="宋体" w:cs="宋体"/>
          <w:sz w:val="32"/>
          <w:szCs w:val="32"/>
        </w:rPr>
      </w:pPr>
      <w:r>
        <w:rPr>
          <w:rFonts w:ascii="宋体" w:hAnsi="宋体" w:cs="宋体" w:hint="eastAsia"/>
          <w:sz w:val="32"/>
          <w:szCs w:val="32"/>
        </w:rPr>
        <w:t>（二）机构、人员情况</w:t>
      </w:r>
    </w:p>
    <w:p w14:paraId="77E7E36C" w14:textId="77777777" w:rsidR="00C705A9" w:rsidRDefault="00000000">
      <w:pPr>
        <w:pStyle w:val="ab"/>
        <w:shd w:val="clear" w:color="auto" w:fill="FFFFFF"/>
        <w:spacing w:line="480" w:lineRule="auto"/>
        <w:ind w:firstLineChars="200" w:firstLine="640"/>
        <w:jc w:val="both"/>
        <w:rPr>
          <w:rFonts w:ascii="宋体" w:hAnsi="宋体" w:cs="宋体"/>
          <w:sz w:val="32"/>
          <w:szCs w:val="32"/>
        </w:rPr>
      </w:pPr>
      <w:r>
        <w:rPr>
          <w:rFonts w:ascii="宋体" w:hAnsi="宋体" w:cs="宋体" w:hint="eastAsia"/>
          <w:sz w:val="32"/>
          <w:szCs w:val="32"/>
        </w:rPr>
        <w:t>开江县广福镇卫生院内设内科、外科、中医科、康复理疗科、生化检测实验室等科室，核定编制17名。实有人员13名，其中，一般公共预算财政补助开支人数13人。 </w:t>
      </w:r>
    </w:p>
    <w:p w14:paraId="160C8D6A" w14:textId="77777777" w:rsidR="00C705A9" w:rsidRDefault="00000000">
      <w:pPr>
        <w:pStyle w:val="ab"/>
        <w:shd w:val="clear" w:color="auto" w:fill="FFFFFF"/>
        <w:spacing w:line="480" w:lineRule="auto"/>
        <w:ind w:firstLineChars="200" w:firstLine="640"/>
        <w:jc w:val="both"/>
        <w:rPr>
          <w:rFonts w:ascii="宋体" w:hAnsi="宋体" w:cs="宋体"/>
          <w:sz w:val="32"/>
          <w:szCs w:val="32"/>
        </w:rPr>
      </w:pPr>
      <w:r>
        <w:rPr>
          <w:rFonts w:ascii="宋体" w:hAnsi="宋体" w:cs="宋体" w:hint="eastAsia"/>
          <w:sz w:val="32"/>
          <w:szCs w:val="32"/>
        </w:rPr>
        <w:lastRenderedPageBreak/>
        <w:t>二、部门财政资金收支情况</w:t>
      </w:r>
    </w:p>
    <w:p w14:paraId="7A99D3A0" w14:textId="77777777" w:rsidR="00C705A9" w:rsidRDefault="00000000">
      <w:pPr>
        <w:pStyle w:val="ab"/>
        <w:shd w:val="clear" w:color="auto" w:fill="FFFFFF"/>
        <w:spacing w:line="480" w:lineRule="auto"/>
        <w:ind w:firstLineChars="200" w:firstLine="640"/>
        <w:jc w:val="both"/>
        <w:rPr>
          <w:rFonts w:ascii="宋体" w:hAnsi="宋体" w:cs="宋体"/>
          <w:sz w:val="32"/>
          <w:szCs w:val="32"/>
        </w:rPr>
      </w:pPr>
      <w:r>
        <w:rPr>
          <w:rFonts w:ascii="宋体" w:hAnsi="宋体" w:cs="宋体" w:hint="eastAsia"/>
          <w:sz w:val="32"/>
          <w:szCs w:val="32"/>
        </w:rPr>
        <w:t>（一）部门财政资金收入情况</w:t>
      </w:r>
    </w:p>
    <w:p w14:paraId="7A58A333" w14:textId="77777777" w:rsidR="00C705A9" w:rsidRDefault="00000000">
      <w:pPr>
        <w:pStyle w:val="ab"/>
        <w:shd w:val="clear" w:color="auto" w:fill="FFFFFF"/>
        <w:spacing w:line="480" w:lineRule="auto"/>
        <w:ind w:firstLineChars="200" w:firstLine="640"/>
        <w:jc w:val="both"/>
        <w:rPr>
          <w:rFonts w:ascii="宋体" w:hAnsi="宋体" w:cs="宋体"/>
          <w:sz w:val="32"/>
          <w:szCs w:val="32"/>
        </w:rPr>
      </w:pPr>
      <w:r>
        <w:rPr>
          <w:rFonts w:ascii="宋体" w:hAnsi="宋体" w:cs="宋体" w:hint="eastAsia"/>
          <w:sz w:val="32"/>
          <w:szCs w:val="32"/>
        </w:rPr>
        <w:t>2022年财政资金收入225.15万元。</w:t>
      </w:r>
    </w:p>
    <w:p w14:paraId="3579C1F5" w14:textId="77777777" w:rsidR="00C705A9" w:rsidRDefault="00000000">
      <w:pPr>
        <w:pStyle w:val="ab"/>
        <w:shd w:val="clear" w:color="auto" w:fill="FFFFFF"/>
        <w:spacing w:line="480" w:lineRule="auto"/>
        <w:ind w:firstLineChars="200" w:firstLine="640"/>
        <w:jc w:val="both"/>
        <w:rPr>
          <w:rFonts w:ascii="宋体" w:hAnsi="宋体" w:cs="宋体"/>
          <w:sz w:val="32"/>
          <w:szCs w:val="32"/>
        </w:rPr>
      </w:pPr>
      <w:r>
        <w:rPr>
          <w:rFonts w:ascii="宋体" w:hAnsi="宋体" w:cs="宋体" w:hint="eastAsia"/>
          <w:sz w:val="32"/>
          <w:szCs w:val="32"/>
        </w:rPr>
        <w:t>（二）部门财政资金支出情况</w:t>
      </w:r>
    </w:p>
    <w:p w14:paraId="1B12932C" w14:textId="77777777" w:rsidR="00C705A9" w:rsidRDefault="00000000">
      <w:pPr>
        <w:pStyle w:val="ab"/>
        <w:shd w:val="clear" w:color="auto" w:fill="FFFFFF"/>
        <w:spacing w:line="480" w:lineRule="auto"/>
        <w:ind w:firstLineChars="200" w:firstLine="640"/>
        <w:jc w:val="both"/>
        <w:rPr>
          <w:rFonts w:ascii="宋体" w:hAnsi="宋体" w:cs="宋体"/>
          <w:sz w:val="32"/>
          <w:szCs w:val="32"/>
        </w:rPr>
      </w:pPr>
      <w:r>
        <w:rPr>
          <w:rFonts w:ascii="宋体" w:hAnsi="宋体" w:cs="宋体" w:hint="eastAsia"/>
          <w:sz w:val="32"/>
          <w:szCs w:val="32"/>
        </w:rPr>
        <w:t xml:space="preserve">2022年财政资金用于基本公共卫生服务项目支出115.98万元，基本支出90.40万元，其中工资及福利支出90.40万元、商品和服务支出115.98万元， </w:t>
      </w:r>
    </w:p>
    <w:p w14:paraId="32A4B72F" w14:textId="77777777" w:rsidR="00C705A9" w:rsidRDefault="00000000">
      <w:pPr>
        <w:pStyle w:val="ab"/>
        <w:shd w:val="clear" w:color="auto" w:fill="FFFFFF"/>
        <w:spacing w:line="480" w:lineRule="auto"/>
        <w:ind w:firstLineChars="200" w:firstLine="640"/>
        <w:jc w:val="both"/>
        <w:rPr>
          <w:rFonts w:ascii="宋体" w:hAnsi="宋体" w:cs="宋体"/>
          <w:sz w:val="32"/>
          <w:szCs w:val="32"/>
        </w:rPr>
      </w:pPr>
      <w:r>
        <w:rPr>
          <w:rFonts w:ascii="宋体" w:hAnsi="宋体" w:cs="宋体" w:hint="eastAsia"/>
          <w:sz w:val="32"/>
          <w:szCs w:val="32"/>
        </w:rPr>
        <w:t>三、部门财政支出管理情况</w:t>
      </w:r>
    </w:p>
    <w:p w14:paraId="74144263" w14:textId="77777777" w:rsidR="00C705A9" w:rsidRDefault="00000000">
      <w:pPr>
        <w:pStyle w:val="ab"/>
        <w:shd w:val="clear" w:color="auto" w:fill="FFFFFF"/>
        <w:spacing w:line="480" w:lineRule="auto"/>
        <w:ind w:firstLineChars="200" w:firstLine="640"/>
        <w:jc w:val="both"/>
        <w:rPr>
          <w:rFonts w:ascii="宋体" w:hAnsi="宋体" w:cs="宋体"/>
          <w:sz w:val="32"/>
          <w:szCs w:val="32"/>
        </w:rPr>
      </w:pPr>
      <w:r>
        <w:rPr>
          <w:rFonts w:ascii="宋体" w:hAnsi="宋体" w:cs="宋体" w:hint="eastAsia"/>
          <w:sz w:val="32"/>
          <w:szCs w:val="32"/>
        </w:rPr>
        <w:t>（一）预算编制情况</w:t>
      </w:r>
    </w:p>
    <w:p w14:paraId="4843D8A2" w14:textId="77777777" w:rsidR="00C705A9" w:rsidRDefault="00000000">
      <w:pPr>
        <w:pStyle w:val="ab"/>
        <w:shd w:val="clear" w:color="auto" w:fill="FFFFFF"/>
        <w:spacing w:line="480" w:lineRule="auto"/>
        <w:ind w:firstLineChars="200" w:firstLine="640"/>
        <w:jc w:val="both"/>
        <w:rPr>
          <w:rFonts w:ascii="宋体" w:hAnsi="宋体" w:cs="宋体"/>
          <w:sz w:val="32"/>
          <w:szCs w:val="32"/>
        </w:rPr>
      </w:pPr>
      <w:r>
        <w:rPr>
          <w:rFonts w:ascii="宋体" w:hAnsi="宋体" w:cs="宋体" w:hint="eastAsia"/>
          <w:sz w:val="32"/>
          <w:szCs w:val="32"/>
        </w:rPr>
        <w:t>开江县广福镇卫生院属于差额拨款事业单位，2022年度纳入财政预算的只有工资福利支出的差额定额补助人员经费67.88万元，财政已按时全额拨付到位。2022年依据我单位履职要求和各科室年度工作计划，认真征求统计各项经费需求，参考以前年度年初预算编审、预算执行中期评估、以前年度结转和结余情况和支出绩效评价成果、资产占有和使用情况等因素，按照综合预算要求，做到各项收入、支出预算的编制合理、完整、规范，确保不重不漏，无部门预算以外保留的其他收支项目。</w:t>
      </w:r>
    </w:p>
    <w:p w14:paraId="6DDAA4AD" w14:textId="77777777" w:rsidR="00C705A9" w:rsidRDefault="00000000">
      <w:pPr>
        <w:pStyle w:val="ab"/>
        <w:shd w:val="clear" w:color="auto" w:fill="FFFFFF"/>
        <w:spacing w:line="480" w:lineRule="auto"/>
        <w:ind w:firstLineChars="200" w:firstLine="640"/>
        <w:jc w:val="both"/>
        <w:rPr>
          <w:rFonts w:ascii="宋体" w:hAnsi="宋体" w:cs="宋体"/>
          <w:sz w:val="32"/>
          <w:szCs w:val="32"/>
        </w:rPr>
      </w:pPr>
      <w:r>
        <w:rPr>
          <w:rFonts w:ascii="宋体" w:hAnsi="宋体" w:cs="宋体" w:hint="eastAsia"/>
          <w:sz w:val="32"/>
          <w:szCs w:val="32"/>
        </w:rPr>
        <w:lastRenderedPageBreak/>
        <w:t>支出预算严格按照“零基预算”方法，人员经费按标准、日常公用经费按定额、专项支出按项目分别编制。基本支出预算以2022年1月1日为基准期编制。</w:t>
      </w:r>
    </w:p>
    <w:p w14:paraId="77EC7B47" w14:textId="77777777" w:rsidR="00C705A9" w:rsidRDefault="00000000">
      <w:pPr>
        <w:pStyle w:val="ab"/>
        <w:shd w:val="clear" w:color="auto" w:fill="FFFFFF"/>
        <w:spacing w:line="480" w:lineRule="auto"/>
        <w:ind w:firstLineChars="200" w:firstLine="640"/>
        <w:jc w:val="both"/>
        <w:rPr>
          <w:rFonts w:ascii="宋体" w:hAnsi="宋体" w:cs="宋体"/>
          <w:sz w:val="32"/>
          <w:szCs w:val="32"/>
        </w:rPr>
      </w:pPr>
      <w:r>
        <w:rPr>
          <w:rFonts w:ascii="宋体" w:hAnsi="宋体" w:cs="宋体" w:hint="eastAsia"/>
          <w:sz w:val="32"/>
          <w:szCs w:val="32"/>
        </w:rPr>
        <w:t>项目支出预算编制，一是参考2021年实际支出情况并结合2022年工作安排，对符合政策规定的项目，合理界定通用项目和专用项目，纳入项目库，完整准确填报项目信息。二是项目绩效目标编制详细反映了工作任务保障完成目标、经费预算的测算过程及预期达成效果量化指标。三是按照四川省人民政府办公厅《关于印发四川省2018-2021年政府集中采购目录及采购限额标准的通知》，认真编制政府采购预算，做到</w:t>
      </w:r>
      <w:proofErr w:type="gramStart"/>
      <w:r>
        <w:rPr>
          <w:rFonts w:ascii="宋体" w:hAnsi="宋体" w:cs="宋体" w:hint="eastAsia"/>
          <w:sz w:val="32"/>
          <w:szCs w:val="32"/>
        </w:rPr>
        <w:t>应编尽编</w:t>
      </w:r>
      <w:proofErr w:type="gramEnd"/>
      <w:r>
        <w:rPr>
          <w:rFonts w:ascii="宋体" w:hAnsi="宋体" w:cs="宋体" w:hint="eastAsia"/>
          <w:sz w:val="32"/>
          <w:szCs w:val="32"/>
        </w:rPr>
        <w:t>，确保了政府采购预算的完整。四是根据2022年部门预算执行情况，对已进入政府采购程序暂未执行的专用项目按程序向财政局申请结转，按批复结转纳入2022年部门预算。五是根据我院近年支出水平、接待任务、车辆保有数量等因素，对“三公”经费预算控制数进行统筹平衡，合理分配，并在部门预算中单独编制“三公”经费预算，填报编制说明。</w:t>
      </w:r>
    </w:p>
    <w:p w14:paraId="46424B81" w14:textId="77777777" w:rsidR="00C705A9" w:rsidRDefault="00000000">
      <w:pPr>
        <w:pStyle w:val="ab"/>
        <w:shd w:val="clear" w:color="auto" w:fill="FFFFFF"/>
        <w:spacing w:line="480" w:lineRule="auto"/>
        <w:ind w:firstLineChars="200" w:firstLine="640"/>
        <w:jc w:val="both"/>
        <w:rPr>
          <w:rFonts w:ascii="宋体" w:hAnsi="宋体" w:cs="宋体"/>
          <w:sz w:val="32"/>
          <w:szCs w:val="32"/>
        </w:rPr>
      </w:pPr>
      <w:r>
        <w:rPr>
          <w:rFonts w:ascii="宋体" w:hAnsi="宋体" w:cs="宋体" w:hint="eastAsia"/>
          <w:sz w:val="32"/>
          <w:szCs w:val="32"/>
        </w:rPr>
        <w:t>（二）执行管理情况</w:t>
      </w:r>
    </w:p>
    <w:p w14:paraId="78575F50" w14:textId="77777777" w:rsidR="00C705A9" w:rsidRDefault="00000000">
      <w:pPr>
        <w:pStyle w:val="ab"/>
        <w:shd w:val="clear" w:color="auto" w:fill="FFFFFF"/>
        <w:spacing w:line="480" w:lineRule="auto"/>
        <w:ind w:firstLineChars="200" w:firstLine="640"/>
        <w:jc w:val="both"/>
        <w:rPr>
          <w:rFonts w:ascii="宋体" w:hAnsi="宋体" w:cs="宋体"/>
          <w:sz w:val="32"/>
          <w:szCs w:val="32"/>
        </w:rPr>
      </w:pPr>
      <w:r>
        <w:rPr>
          <w:rFonts w:ascii="宋体" w:hAnsi="宋体" w:cs="宋体" w:hint="eastAsia"/>
          <w:sz w:val="32"/>
          <w:szCs w:val="32"/>
        </w:rPr>
        <w:t>2022年我单位继续加强预算执行管理，严格执行批复预算，按照收支平衡的原则，合理安排各项资金，根据执行进度对基本支出按照月度均衡原则、项目支出按实际需要及时</w:t>
      </w:r>
      <w:r>
        <w:rPr>
          <w:rFonts w:ascii="宋体" w:hAnsi="宋体" w:cs="宋体" w:hint="eastAsia"/>
          <w:sz w:val="32"/>
          <w:szCs w:val="32"/>
        </w:rPr>
        <w:lastRenderedPageBreak/>
        <w:t>申请用款计划，确保足额支出安排，无超预算支出。保证了部门的正常运行和专项工作任务的顺利开展。</w:t>
      </w:r>
    </w:p>
    <w:p w14:paraId="4AF07CE5" w14:textId="77777777" w:rsidR="00C705A9" w:rsidRDefault="00000000">
      <w:pPr>
        <w:pStyle w:val="ab"/>
        <w:shd w:val="clear" w:color="auto" w:fill="FFFFFF"/>
        <w:spacing w:line="480" w:lineRule="auto"/>
        <w:ind w:firstLineChars="200" w:firstLine="640"/>
        <w:jc w:val="both"/>
        <w:rPr>
          <w:rFonts w:ascii="宋体" w:hAnsi="宋体" w:cs="宋体"/>
          <w:sz w:val="32"/>
          <w:szCs w:val="32"/>
        </w:rPr>
      </w:pPr>
      <w:r>
        <w:rPr>
          <w:rFonts w:ascii="宋体" w:hAnsi="宋体" w:cs="宋体" w:hint="eastAsia"/>
          <w:sz w:val="32"/>
          <w:szCs w:val="32"/>
        </w:rPr>
        <w:t>1、加强支出绩效管理。</w:t>
      </w:r>
    </w:p>
    <w:p w14:paraId="06F42859" w14:textId="77777777" w:rsidR="00C705A9" w:rsidRDefault="00000000">
      <w:pPr>
        <w:pStyle w:val="ab"/>
        <w:shd w:val="clear" w:color="auto" w:fill="FFFFFF"/>
        <w:spacing w:line="480" w:lineRule="auto"/>
        <w:ind w:firstLineChars="200" w:firstLine="640"/>
        <w:jc w:val="both"/>
        <w:rPr>
          <w:rFonts w:ascii="宋体" w:hAnsi="宋体" w:cs="宋体"/>
          <w:sz w:val="32"/>
          <w:szCs w:val="32"/>
        </w:rPr>
      </w:pPr>
      <w:r>
        <w:rPr>
          <w:rFonts w:ascii="宋体" w:hAnsi="宋体" w:cs="宋体" w:hint="eastAsia"/>
          <w:sz w:val="32"/>
          <w:szCs w:val="32"/>
        </w:rPr>
        <w:t>对纳入部门预算批复管理的项目经费，在年度执行中，跟踪了解每一项目的进展情况，及时申请用款计划，保证各项款项及时支付。2022年认真</w:t>
      </w:r>
      <w:proofErr w:type="gramStart"/>
      <w:r>
        <w:rPr>
          <w:rFonts w:ascii="宋体" w:hAnsi="宋体" w:cs="宋体" w:hint="eastAsia"/>
          <w:sz w:val="32"/>
          <w:szCs w:val="32"/>
        </w:rPr>
        <w:t>对上年</w:t>
      </w:r>
      <w:proofErr w:type="gramEnd"/>
      <w:r>
        <w:rPr>
          <w:rFonts w:ascii="宋体" w:hAnsi="宋体" w:cs="宋体" w:hint="eastAsia"/>
          <w:sz w:val="32"/>
          <w:szCs w:val="32"/>
        </w:rPr>
        <w:t>结转和当年预算安排的项目开展了预算执行中期评估，对经确认暂时不支出、当年执行有结余的项目予以了合理统筹，按程序办理预算调整手续，用于安排解决其他急需的项目，做到了中期评估动态调整到位，提高了资金使用效率，全年预算执行率均达到目标要求。</w:t>
      </w:r>
    </w:p>
    <w:p w14:paraId="5FBC98ED" w14:textId="77777777" w:rsidR="00C705A9" w:rsidRDefault="00000000">
      <w:pPr>
        <w:pStyle w:val="ab"/>
        <w:shd w:val="clear" w:color="auto" w:fill="FFFFFF"/>
        <w:spacing w:line="480" w:lineRule="auto"/>
        <w:ind w:firstLineChars="200" w:firstLine="640"/>
        <w:jc w:val="both"/>
        <w:rPr>
          <w:rFonts w:ascii="宋体" w:hAnsi="宋体" w:cs="宋体"/>
          <w:sz w:val="32"/>
          <w:szCs w:val="32"/>
        </w:rPr>
      </w:pPr>
      <w:r>
        <w:rPr>
          <w:rFonts w:ascii="宋体" w:hAnsi="宋体" w:cs="宋体" w:hint="eastAsia"/>
          <w:sz w:val="32"/>
          <w:szCs w:val="32"/>
        </w:rPr>
        <w:t>2、严格执行“三公经费”预算</w:t>
      </w:r>
    </w:p>
    <w:p w14:paraId="61439795" w14:textId="76A96AF0" w:rsidR="00C705A9" w:rsidRDefault="00000000">
      <w:pPr>
        <w:pStyle w:val="ab"/>
        <w:shd w:val="clear" w:color="auto" w:fill="FFFFFF"/>
        <w:spacing w:line="480" w:lineRule="auto"/>
        <w:ind w:firstLineChars="200" w:firstLine="640"/>
        <w:jc w:val="both"/>
        <w:rPr>
          <w:rFonts w:ascii="宋体" w:hAnsi="宋体" w:cs="宋体"/>
          <w:sz w:val="32"/>
          <w:szCs w:val="32"/>
        </w:rPr>
      </w:pPr>
      <w:r>
        <w:rPr>
          <w:rFonts w:ascii="宋体" w:hAnsi="宋体" w:cs="宋体" w:hint="eastAsia"/>
          <w:sz w:val="32"/>
          <w:szCs w:val="32"/>
        </w:rPr>
        <w:t>2022年我单位加强“三公”经费和会议费、培训费管理，使其支出得到有效控制。全年“三公”经费支出0万元。</w:t>
      </w:r>
    </w:p>
    <w:p w14:paraId="791B2703" w14:textId="77777777" w:rsidR="00C705A9" w:rsidRDefault="00000000">
      <w:pPr>
        <w:pStyle w:val="ab"/>
        <w:shd w:val="clear" w:color="auto" w:fill="FFFFFF"/>
        <w:spacing w:line="480" w:lineRule="auto"/>
        <w:ind w:firstLineChars="200" w:firstLine="640"/>
        <w:jc w:val="both"/>
        <w:rPr>
          <w:rFonts w:ascii="宋体" w:hAnsi="宋体" w:cs="宋体"/>
          <w:sz w:val="32"/>
          <w:szCs w:val="32"/>
        </w:rPr>
      </w:pPr>
      <w:r>
        <w:rPr>
          <w:rFonts w:ascii="宋体" w:hAnsi="宋体" w:cs="宋体" w:hint="eastAsia"/>
          <w:sz w:val="32"/>
          <w:szCs w:val="32"/>
        </w:rPr>
        <w:t>3、厉行节约，控制行政成本</w:t>
      </w:r>
    </w:p>
    <w:p w14:paraId="21B48FE8" w14:textId="77777777" w:rsidR="00C705A9" w:rsidRDefault="00000000">
      <w:pPr>
        <w:pStyle w:val="ab"/>
        <w:shd w:val="clear" w:color="auto" w:fill="FFFFFF"/>
        <w:spacing w:line="480" w:lineRule="auto"/>
        <w:ind w:firstLineChars="200" w:firstLine="640"/>
        <w:jc w:val="both"/>
        <w:rPr>
          <w:rFonts w:ascii="宋体" w:hAnsi="宋体" w:cs="宋体"/>
          <w:sz w:val="32"/>
          <w:szCs w:val="32"/>
        </w:rPr>
      </w:pPr>
      <w:r>
        <w:rPr>
          <w:rFonts w:ascii="宋体" w:hAnsi="宋体" w:cs="宋体" w:hint="eastAsia"/>
          <w:sz w:val="32"/>
          <w:szCs w:val="32"/>
        </w:rPr>
        <w:t>2022年，我单位进一步强化节能宣传、创新制度规范、完善管理手续，切实加强机关节能降耗工作力度，对单位能耗适时监控，完成省政府下达的当年度水、电、气、燃油节能降耗绩效考核任务。</w:t>
      </w:r>
    </w:p>
    <w:p w14:paraId="27018DD3" w14:textId="77777777" w:rsidR="00C705A9" w:rsidRDefault="00000000">
      <w:pPr>
        <w:widowControl/>
        <w:spacing w:line="540" w:lineRule="atLeast"/>
        <w:ind w:firstLineChars="200" w:firstLine="640"/>
        <w:jc w:val="left"/>
        <w:rPr>
          <w:rFonts w:ascii="宋体" w:hAnsi="宋体" w:cs="宋体"/>
          <w:kern w:val="0"/>
          <w:sz w:val="32"/>
          <w:szCs w:val="32"/>
        </w:rPr>
      </w:pPr>
      <w:r>
        <w:rPr>
          <w:rFonts w:ascii="宋体" w:hAnsi="宋体" w:cs="宋体" w:hint="eastAsia"/>
          <w:kern w:val="0"/>
          <w:sz w:val="32"/>
          <w:szCs w:val="32"/>
        </w:rPr>
        <w:lastRenderedPageBreak/>
        <w:t>（</w:t>
      </w:r>
      <w:r>
        <w:rPr>
          <w:rFonts w:ascii="宋体" w:hAnsi="宋体" w:cs="宋体" w:hint="eastAsia"/>
          <w:kern w:val="0"/>
          <w:sz w:val="32"/>
          <w:szCs w:val="32"/>
          <w:shd w:val="clear" w:color="auto" w:fill="FFFFFF"/>
        </w:rPr>
        <w:t>三</w:t>
      </w:r>
      <w:r>
        <w:rPr>
          <w:rFonts w:ascii="宋体" w:hAnsi="宋体" w:cs="宋体" w:hint="eastAsia"/>
          <w:kern w:val="0"/>
          <w:sz w:val="32"/>
          <w:szCs w:val="32"/>
        </w:rPr>
        <w:t>）</w:t>
      </w:r>
      <w:r>
        <w:rPr>
          <w:rFonts w:ascii="宋体" w:hAnsi="宋体" w:cs="宋体" w:hint="eastAsia"/>
          <w:kern w:val="0"/>
          <w:sz w:val="32"/>
          <w:szCs w:val="32"/>
          <w:shd w:val="clear" w:color="auto" w:fill="FFFFFF"/>
        </w:rPr>
        <w:t>综合管理情况</w:t>
      </w:r>
    </w:p>
    <w:p w14:paraId="01AAA9A1" w14:textId="6BC2E64B" w:rsidR="00C705A9" w:rsidRDefault="00000000">
      <w:pPr>
        <w:widowControl/>
        <w:spacing w:line="585" w:lineRule="atLeast"/>
        <w:jc w:val="left"/>
        <w:rPr>
          <w:rFonts w:ascii="宋体" w:hAnsi="宋体" w:cs="宋体"/>
          <w:kern w:val="0"/>
          <w:sz w:val="32"/>
          <w:szCs w:val="32"/>
        </w:rPr>
      </w:pPr>
      <w:r>
        <w:rPr>
          <w:rFonts w:ascii="宋体" w:hAnsi="宋体" w:cs="宋体" w:hint="eastAsia"/>
          <w:kern w:val="0"/>
          <w:sz w:val="32"/>
          <w:szCs w:val="32"/>
        </w:rPr>
        <w:t>2022年，我单位进一步加强财务管理工作，认真贯彻《</w:t>
      </w:r>
      <w:r w:rsidR="002F3827" w:rsidRPr="002F3827">
        <w:rPr>
          <w:rFonts w:ascii="宋体" w:hAnsi="宋体" w:cs="宋体" w:hint="eastAsia"/>
          <w:kern w:val="0"/>
          <w:sz w:val="32"/>
          <w:szCs w:val="32"/>
        </w:rPr>
        <w:t>中华人民共和国会计法</w:t>
      </w:r>
      <w:r>
        <w:rPr>
          <w:rFonts w:ascii="宋体" w:hAnsi="宋体" w:cs="宋体" w:hint="eastAsia"/>
          <w:kern w:val="0"/>
          <w:sz w:val="32"/>
          <w:szCs w:val="32"/>
        </w:rPr>
        <w:t>》《</w:t>
      </w:r>
      <w:r w:rsidR="002F3827" w:rsidRPr="002F3827">
        <w:rPr>
          <w:rFonts w:ascii="宋体" w:hAnsi="宋体" w:cs="宋体" w:hint="eastAsia"/>
          <w:kern w:val="0"/>
          <w:sz w:val="32"/>
          <w:szCs w:val="32"/>
        </w:rPr>
        <w:t>中华人民共和国预算法</w:t>
      </w:r>
      <w:r>
        <w:rPr>
          <w:rFonts w:ascii="宋体" w:hAnsi="宋体" w:cs="宋体" w:hint="eastAsia"/>
          <w:kern w:val="0"/>
          <w:sz w:val="32"/>
          <w:szCs w:val="32"/>
        </w:rPr>
        <w:t>》，严格执行《政府会计制度》及各项费用管理办法，规范资金收支管理及会计核算，强化预算管理，加强项目经费支出绩效考核，从严从紧控制和节减经费支出，规范现金报销制度，进一步加强公务卡使用管理，严格执行政府采购政策。确保了厅机关及下属单位工作任务的顺利完成，推动了节约型机关的建设。</w:t>
      </w:r>
    </w:p>
    <w:p w14:paraId="0B3A2E07" w14:textId="77777777" w:rsidR="00C705A9" w:rsidRDefault="00000000">
      <w:pPr>
        <w:widowControl/>
        <w:spacing w:line="585" w:lineRule="atLeast"/>
        <w:jc w:val="left"/>
        <w:rPr>
          <w:rFonts w:ascii="宋体" w:hAnsi="宋体" w:cs="宋体"/>
          <w:kern w:val="0"/>
          <w:sz w:val="32"/>
          <w:szCs w:val="32"/>
        </w:rPr>
      </w:pPr>
      <w:r>
        <w:rPr>
          <w:rFonts w:ascii="宋体" w:hAnsi="宋体" w:cs="宋体" w:hint="eastAsia"/>
          <w:kern w:val="0"/>
          <w:sz w:val="32"/>
          <w:szCs w:val="32"/>
        </w:rPr>
        <w:t xml:space="preserve">　　1、非</w:t>
      </w:r>
      <w:proofErr w:type="gramStart"/>
      <w:r>
        <w:rPr>
          <w:rFonts w:ascii="宋体" w:hAnsi="宋体" w:cs="宋体" w:hint="eastAsia"/>
          <w:kern w:val="0"/>
          <w:sz w:val="32"/>
          <w:szCs w:val="32"/>
        </w:rPr>
        <w:t>税收入执收</w:t>
      </w:r>
      <w:proofErr w:type="gramEnd"/>
      <w:r>
        <w:rPr>
          <w:rFonts w:ascii="宋体" w:hAnsi="宋体" w:cs="宋体" w:hint="eastAsia"/>
          <w:kern w:val="0"/>
          <w:sz w:val="32"/>
          <w:szCs w:val="32"/>
        </w:rPr>
        <w:t>情况</w:t>
      </w:r>
    </w:p>
    <w:p w14:paraId="52048049" w14:textId="77777777" w:rsidR="00C705A9" w:rsidRDefault="00000000">
      <w:pPr>
        <w:widowControl/>
        <w:spacing w:line="585" w:lineRule="atLeast"/>
        <w:ind w:firstLineChars="200" w:firstLine="640"/>
        <w:jc w:val="left"/>
        <w:rPr>
          <w:rFonts w:ascii="宋体" w:hAnsi="宋体" w:cs="宋体"/>
          <w:kern w:val="0"/>
          <w:sz w:val="32"/>
          <w:szCs w:val="32"/>
        </w:rPr>
      </w:pPr>
      <w:r>
        <w:rPr>
          <w:rFonts w:ascii="宋体" w:hAnsi="宋体" w:cs="宋体" w:hint="eastAsia"/>
          <w:kern w:val="0"/>
          <w:sz w:val="32"/>
          <w:szCs w:val="32"/>
        </w:rPr>
        <w:t>严格执行《四川省非税收入征收管理条例》，按照规定的项目、标准、征收方式执行非税收入，2022年完成非税收入156.95万元，其中：医疗收入156.95万元、一般罚没收入0万元、利息收入0.0万元、非经营性国有资产收入0万元、其他收入0.0万元。</w:t>
      </w:r>
    </w:p>
    <w:p w14:paraId="11BA54C4" w14:textId="77777777" w:rsidR="00C705A9" w:rsidRDefault="00000000">
      <w:pPr>
        <w:widowControl/>
        <w:spacing w:line="585" w:lineRule="atLeast"/>
        <w:ind w:firstLineChars="200" w:firstLine="640"/>
        <w:jc w:val="left"/>
        <w:rPr>
          <w:rFonts w:ascii="宋体" w:hAnsi="宋体" w:cs="宋体"/>
          <w:kern w:val="0"/>
          <w:sz w:val="32"/>
          <w:szCs w:val="32"/>
        </w:rPr>
      </w:pPr>
      <w:r>
        <w:rPr>
          <w:rFonts w:ascii="宋体" w:hAnsi="宋体" w:cs="宋体" w:hint="eastAsia"/>
          <w:kern w:val="0"/>
          <w:sz w:val="32"/>
          <w:szCs w:val="32"/>
        </w:rPr>
        <w:t>2、政府采购实施情况</w:t>
      </w:r>
    </w:p>
    <w:p w14:paraId="3452AF1B" w14:textId="31624BD1" w:rsidR="00C705A9" w:rsidRDefault="00000000">
      <w:pPr>
        <w:widowControl/>
        <w:spacing w:line="585" w:lineRule="atLeast"/>
        <w:ind w:firstLineChars="200" w:firstLine="640"/>
        <w:jc w:val="left"/>
        <w:rPr>
          <w:rFonts w:ascii="宋体" w:hAnsi="宋体" w:cs="宋体"/>
          <w:kern w:val="0"/>
          <w:sz w:val="32"/>
          <w:szCs w:val="32"/>
        </w:rPr>
      </w:pPr>
      <w:r>
        <w:rPr>
          <w:rFonts w:ascii="宋体" w:hAnsi="宋体" w:cs="宋体" w:hint="eastAsia"/>
          <w:kern w:val="0"/>
          <w:sz w:val="32"/>
          <w:szCs w:val="32"/>
        </w:rPr>
        <w:t>严格执行《</w:t>
      </w:r>
      <w:r w:rsidR="002F3827" w:rsidRPr="002F3827">
        <w:rPr>
          <w:rFonts w:ascii="宋体" w:hAnsi="宋体" w:cs="宋体" w:hint="eastAsia"/>
          <w:kern w:val="0"/>
          <w:sz w:val="32"/>
          <w:szCs w:val="32"/>
        </w:rPr>
        <w:t>中华人民共和国政府采购法</w:t>
      </w:r>
      <w:r>
        <w:rPr>
          <w:rFonts w:ascii="宋体" w:hAnsi="宋体" w:cs="宋体" w:hint="eastAsia"/>
          <w:kern w:val="0"/>
          <w:sz w:val="32"/>
          <w:szCs w:val="32"/>
        </w:rPr>
        <w:t>》及各项政府采购政策规定，严格按政府采购预算实施采购计划。</w:t>
      </w:r>
    </w:p>
    <w:p w14:paraId="631478B9" w14:textId="77777777" w:rsidR="00C705A9" w:rsidRDefault="00000000">
      <w:pPr>
        <w:widowControl/>
        <w:spacing w:line="585" w:lineRule="atLeast"/>
        <w:ind w:firstLineChars="200" w:firstLine="640"/>
        <w:jc w:val="left"/>
        <w:rPr>
          <w:rFonts w:ascii="宋体" w:hAnsi="宋体" w:cs="宋体"/>
          <w:kern w:val="0"/>
          <w:sz w:val="32"/>
          <w:szCs w:val="32"/>
        </w:rPr>
      </w:pPr>
      <w:r>
        <w:rPr>
          <w:rFonts w:ascii="宋体" w:hAnsi="宋体" w:cs="宋体" w:hint="eastAsia"/>
          <w:kern w:val="0"/>
          <w:sz w:val="32"/>
          <w:szCs w:val="32"/>
        </w:rPr>
        <w:t>3、资产管理情况</w:t>
      </w:r>
    </w:p>
    <w:p w14:paraId="236829D9" w14:textId="77777777" w:rsidR="00C705A9" w:rsidRDefault="00000000">
      <w:pPr>
        <w:widowControl/>
        <w:spacing w:line="585" w:lineRule="atLeast"/>
        <w:ind w:firstLineChars="200" w:firstLine="640"/>
        <w:jc w:val="left"/>
        <w:rPr>
          <w:rFonts w:ascii="宋体" w:hAnsi="宋体" w:cs="宋体"/>
          <w:kern w:val="0"/>
          <w:sz w:val="32"/>
          <w:szCs w:val="32"/>
        </w:rPr>
      </w:pPr>
      <w:r>
        <w:rPr>
          <w:rFonts w:ascii="宋体" w:hAnsi="宋体" w:cs="宋体" w:hint="eastAsia"/>
          <w:kern w:val="0"/>
          <w:sz w:val="32"/>
          <w:szCs w:val="32"/>
        </w:rPr>
        <w:t>进一步加强单位资产管理，建立完善资产配置、审批、采购及报废相关制度，全面开展固定资产清查工作，把所有固定资产全部纳入资产信息系统管理，落实专人负责，规范</w:t>
      </w:r>
      <w:r>
        <w:rPr>
          <w:rFonts w:ascii="宋体" w:hAnsi="宋体" w:cs="宋体" w:hint="eastAsia"/>
          <w:kern w:val="0"/>
          <w:sz w:val="32"/>
          <w:szCs w:val="32"/>
        </w:rPr>
        <w:lastRenderedPageBreak/>
        <w:t>程序，及时分类登记、建卡，确保账实一致，资产报表数据真实、准确、全面。</w:t>
      </w:r>
    </w:p>
    <w:p w14:paraId="6E1A3F19" w14:textId="77777777" w:rsidR="00C705A9" w:rsidRDefault="00000000">
      <w:pPr>
        <w:widowControl/>
        <w:spacing w:line="585" w:lineRule="atLeast"/>
        <w:jc w:val="left"/>
        <w:rPr>
          <w:rFonts w:ascii="宋体" w:hAnsi="宋体" w:cs="宋体"/>
          <w:kern w:val="0"/>
          <w:sz w:val="32"/>
          <w:szCs w:val="32"/>
        </w:rPr>
      </w:pPr>
      <w:r>
        <w:rPr>
          <w:rFonts w:ascii="宋体" w:hAnsi="宋体" w:cs="宋体" w:hint="eastAsia"/>
          <w:kern w:val="0"/>
          <w:sz w:val="32"/>
          <w:szCs w:val="32"/>
        </w:rPr>
        <w:t xml:space="preserve">　4、信息公开情况</w:t>
      </w:r>
    </w:p>
    <w:p w14:paraId="7FF3970B" w14:textId="77777777" w:rsidR="00C705A9" w:rsidRDefault="00000000">
      <w:pPr>
        <w:widowControl/>
        <w:spacing w:line="585" w:lineRule="atLeast"/>
        <w:ind w:firstLineChars="200" w:firstLine="640"/>
        <w:jc w:val="left"/>
        <w:rPr>
          <w:rFonts w:ascii="宋体" w:hAnsi="宋体" w:cs="宋体"/>
          <w:kern w:val="0"/>
          <w:sz w:val="32"/>
          <w:szCs w:val="32"/>
        </w:rPr>
      </w:pPr>
      <w:r>
        <w:rPr>
          <w:rFonts w:ascii="宋体" w:hAnsi="宋体" w:cs="宋体" w:hint="eastAsia"/>
          <w:kern w:val="0"/>
          <w:sz w:val="32"/>
          <w:szCs w:val="32"/>
        </w:rPr>
        <w:t>按照省政府统一部署和具体要求，在财政部门预算批复20日内，在开江县政府门户网站主动公开了2022年部门预算编制说明；在财政部门决算批复20日内，在开江县政府门户网站主动公开了2021年部门决算编制说明。向社会主动公开了部门基本情况、财政资金安排情况、“三公”经费具体使用情况、单位运行经费情况。</w:t>
      </w:r>
    </w:p>
    <w:p w14:paraId="3EF66FAA" w14:textId="77777777" w:rsidR="00C705A9" w:rsidRDefault="00000000">
      <w:pPr>
        <w:widowControl/>
        <w:spacing w:line="540" w:lineRule="atLeast"/>
        <w:ind w:firstLineChars="200" w:firstLine="640"/>
        <w:jc w:val="left"/>
        <w:rPr>
          <w:rFonts w:ascii="宋体" w:hAnsi="宋体" w:cs="宋体"/>
          <w:kern w:val="0"/>
          <w:sz w:val="32"/>
          <w:szCs w:val="32"/>
        </w:rPr>
      </w:pPr>
      <w:r>
        <w:rPr>
          <w:rFonts w:ascii="宋体" w:hAnsi="宋体" w:cs="宋体" w:hint="eastAsia"/>
          <w:kern w:val="0"/>
          <w:sz w:val="32"/>
          <w:szCs w:val="32"/>
        </w:rPr>
        <w:t>按照县财政局要求，对预决算编制情况、执行管理情况、支出绩效情况、财务管理情况、绩效管理工作开展情况认真进行了检查自评，并按要求在开江县政府门户网站公开了我单位部门预算支出绩效自评报告，接受公众监督。</w:t>
      </w:r>
    </w:p>
    <w:p w14:paraId="0F26B18A" w14:textId="77777777" w:rsidR="00C705A9" w:rsidRDefault="00000000">
      <w:pPr>
        <w:widowControl/>
        <w:spacing w:line="540" w:lineRule="atLeast"/>
        <w:jc w:val="left"/>
        <w:rPr>
          <w:rFonts w:ascii="宋体" w:hAnsi="宋体" w:cs="宋体"/>
          <w:kern w:val="0"/>
          <w:sz w:val="32"/>
          <w:szCs w:val="32"/>
        </w:rPr>
      </w:pPr>
      <w:r>
        <w:rPr>
          <w:rFonts w:ascii="宋体" w:hAnsi="宋体" w:cs="宋体" w:hint="eastAsia"/>
          <w:kern w:val="0"/>
          <w:sz w:val="32"/>
          <w:szCs w:val="32"/>
          <w:shd w:val="clear" w:color="auto" w:fill="FFFFFF"/>
        </w:rPr>
        <w:t>（四）整体绩效情</w:t>
      </w:r>
    </w:p>
    <w:p w14:paraId="5A75BA5F" w14:textId="77777777" w:rsidR="00C705A9" w:rsidRDefault="00000000">
      <w:pPr>
        <w:widowControl/>
        <w:spacing w:line="585" w:lineRule="atLeast"/>
        <w:ind w:firstLine="645"/>
        <w:jc w:val="left"/>
        <w:rPr>
          <w:rFonts w:ascii="宋体" w:hAnsi="宋体" w:cs="宋体"/>
          <w:kern w:val="0"/>
          <w:sz w:val="32"/>
          <w:szCs w:val="32"/>
        </w:rPr>
      </w:pPr>
      <w:r>
        <w:rPr>
          <w:rFonts w:ascii="宋体" w:hAnsi="宋体" w:cs="宋体" w:hint="eastAsia"/>
          <w:kern w:val="0"/>
          <w:sz w:val="32"/>
          <w:szCs w:val="32"/>
        </w:rPr>
        <w:t>2022年，在县委、县政府、</w:t>
      </w:r>
      <w:proofErr w:type="gramStart"/>
      <w:r>
        <w:rPr>
          <w:rFonts w:ascii="宋体" w:hAnsi="宋体" w:cs="宋体" w:hint="eastAsia"/>
          <w:kern w:val="0"/>
          <w:sz w:val="32"/>
          <w:szCs w:val="32"/>
        </w:rPr>
        <w:t>县卫健局</w:t>
      </w:r>
      <w:proofErr w:type="gramEnd"/>
      <w:r>
        <w:rPr>
          <w:rFonts w:ascii="宋体" w:hAnsi="宋体" w:cs="宋体" w:hint="eastAsia"/>
          <w:kern w:val="0"/>
          <w:sz w:val="32"/>
          <w:szCs w:val="32"/>
        </w:rPr>
        <w:t>的正确领导下，我单位牢牢把握发展大势，认真落实积极财政政策，狠抓增收节支，优化支出结构，深化管理改革，经受住了各方面严峻考验，为促进医疗事业发展提供了坚强保障。</w:t>
      </w:r>
    </w:p>
    <w:p w14:paraId="717BB409" w14:textId="77777777" w:rsidR="00C705A9" w:rsidRDefault="00000000">
      <w:pPr>
        <w:widowControl/>
        <w:spacing w:line="540" w:lineRule="atLeast"/>
        <w:ind w:firstLineChars="200" w:firstLine="640"/>
        <w:jc w:val="left"/>
        <w:rPr>
          <w:rFonts w:ascii="宋体" w:hAnsi="宋体" w:cs="宋体"/>
          <w:kern w:val="0"/>
          <w:sz w:val="32"/>
          <w:szCs w:val="32"/>
        </w:rPr>
      </w:pPr>
      <w:r>
        <w:rPr>
          <w:rFonts w:ascii="宋体" w:hAnsi="宋体" w:cs="宋体" w:hint="eastAsia"/>
          <w:kern w:val="0"/>
          <w:sz w:val="32"/>
          <w:szCs w:val="32"/>
        </w:rPr>
        <w:t>一是全年医疗服务辖区群众2.0万余人。二是医疗服务1700余名贫困人口。三是为辖区1.2万余人提供了免费健康体检和慢性病管理和随访服务。四是为辖区群众1800余人提供了健康知识讲座和公众咨询活动。五是开展了二十余场</w:t>
      </w:r>
      <w:r>
        <w:rPr>
          <w:rFonts w:ascii="宋体" w:hAnsi="宋体" w:cs="宋体" w:hint="eastAsia"/>
          <w:kern w:val="0"/>
          <w:sz w:val="32"/>
          <w:szCs w:val="32"/>
        </w:rPr>
        <w:lastRenderedPageBreak/>
        <w:t>次义诊和巡回医疗服务。六是为辖区群众提供了传染病防控和预防保健工作。</w:t>
      </w:r>
    </w:p>
    <w:p w14:paraId="31B6C232" w14:textId="77777777" w:rsidR="00C705A9" w:rsidRDefault="00000000">
      <w:pPr>
        <w:widowControl/>
        <w:spacing w:line="540" w:lineRule="atLeast"/>
        <w:ind w:firstLineChars="200" w:firstLine="640"/>
        <w:jc w:val="left"/>
        <w:rPr>
          <w:rFonts w:ascii="宋体" w:hAnsi="宋体" w:cs="宋体"/>
          <w:sz w:val="32"/>
          <w:szCs w:val="32"/>
        </w:rPr>
      </w:pPr>
      <w:r>
        <w:rPr>
          <w:rFonts w:ascii="宋体" w:hAnsi="宋体" w:cs="宋体" w:hint="eastAsia"/>
          <w:kern w:val="0"/>
          <w:sz w:val="32"/>
          <w:szCs w:val="32"/>
          <w:shd w:val="clear" w:color="auto" w:fill="FFFFFF"/>
        </w:rPr>
        <w:t>四、评价结论及建议</w:t>
      </w:r>
    </w:p>
    <w:p w14:paraId="4B44B4A1" w14:textId="77777777" w:rsidR="00C705A9" w:rsidRDefault="00000000">
      <w:pPr>
        <w:widowControl/>
        <w:spacing w:line="540" w:lineRule="atLeast"/>
        <w:ind w:firstLine="645"/>
        <w:jc w:val="left"/>
        <w:rPr>
          <w:rFonts w:ascii="宋体" w:hAnsi="宋体" w:cs="宋体"/>
          <w:kern w:val="0"/>
          <w:sz w:val="32"/>
          <w:szCs w:val="32"/>
          <w:shd w:val="clear" w:color="auto" w:fill="FFFFFF"/>
        </w:rPr>
      </w:pPr>
      <w:r>
        <w:rPr>
          <w:rFonts w:ascii="宋体" w:hAnsi="宋体" w:cs="宋体" w:hint="eastAsia"/>
          <w:kern w:val="0"/>
          <w:sz w:val="32"/>
          <w:szCs w:val="32"/>
          <w:shd w:val="clear" w:color="auto" w:fill="FFFFFF"/>
        </w:rPr>
        <w:t>（一）整体绩效目标完成情况</w:t>
      </w:r>
    </w:p>
    <w:p w14:paraId="25D274BC" w14:textId="77777777" w:rsidR="00C705A9" w:rsidRDefault="00000000">
      <w:pPr>
        <w:widowControl/>
        <w:spacing w:line="540" w:lineRule="atLeast"/>
        <w:ind w:firstLine="645"/>
        <w:jc w:val="left"/>
        <w:rPr>
          <w:rFonts w:ascii="宋体" w:hAnsi="宋体" w:cs="宋体"/>
          <w:kern w:val="0"/>
          <w:sz w:val="32"/>
          <w:szCs w:val="32"/>
        </w:rPr>
      </w:pPr>
      <w:r>
        <w:rPr>
          <w:rFonts w:ascii="宋体" w:hAnsi="宋体" w:cs="宋体" w:hint="eastAsia"/>
          <w:kern w:val="0"/>
          <w:sz w:val="32"/>
          <w:szCs w:val="32"/>
        </w:rPr>
        <w:t>2022年，认真做好年度财政资金的预算编制工作，按照政府采购目录及采购限额标准编制政府采购预算，做到</w:t>
      </w:r>
      <w:proofErr w:type="gramStart"/>
      <w:r>
        <w:rPr>
          <w:rFonts w:ascii="宋体" w:hAnsi="宋体" w:cs="宋体" w:hint="eastAsia"/>
          <w:kern w:val="0"/>
          <w:sz w:val="32"/>
          <w:szCs w:val="32"/>
        </w:rPr>
        <w:t>应编尽编</w:t>
      </w:r>
      <w:proofErr w:type="gramEnd"/>
      <w:r>
        <w:rPr>
          <w:rFonts w:ascii="宋体" w:hAnsi="宋体" w:cs="宋体" w:hint="eastAsia"/>
          <w:kern w:val="0"/>
          <w:sz w:val="32"/>
          <w:szCs w:val="32"/>
        </w:rPr>
        <w:t>。在资金使用和管理方面，进一步强化资金统筹，优化资金结构，明确开支范围，细化资金用途，确保部门职责任务顺利完成。资金收支管理及会计核算较规范，能够按照相关会计制度和财务管理办法进行核算。</w:t>
      </w:r>
    </w:p>
    <w:p w14:paraId="15D50786" w14:textId="77777777" w:rsidR="00C705A9" w:rsidRDefault="00000000">
      <w:pPr>
        <w:widowControl/>
        <w:spacing w:line="540" w:lineRule="atLeast"/>
        <w:ind w:firstLine="645"/>
        <w:jc w:val="left"/>
        <w:rPr>
          <w:rFonts w:ascii="宋体" w:hAnsi="宋体" w:cs="宋体"/>
          <w:kern w:val="0"/>
          <w:sz w:val="32"/>
          <w:szCs w:val="32"/>
        </w:rPr>
      </w:pPr>
      <w:r>
        <w:rPr>
          <w:rFonts w:ascii="宋体" w:hAnsi="宋体" w:cs="宋体" w:hint="eastAsia"/>
          <w:kern w:val="0"/>
          <w:sz w:val="32"/>
          <w:szCs w:val="32"/>
        </w:rPr>
        <w:t>全年基本支出保证了部门的正常运行和日常工作的正常开展。全年项目支出达到预期绩效目标。</w:t>
      </w:r>
    </w:p>
    <w:p w14:paraId="288E4E23" w14:textId="77777777" w:rsidR="00C705A9" w:rsidRDefault="00000000">
      <w:pPr>
        <w:widowControl/>
        <w:spacing w:line="540" w:lineRule="atLeast"/>
        <w:ind w:firstLineChars="200" w:firstLine="640"/>
        <w:jc w:val="left"/>
        <w:rPr>
          <w:rFonts w:ascii="宋体" w:hAnsi="宋体" w:cs="宋体"/>
          <w:kern w:val="0"/>
          <w:sz w:val="32"/>
          <w:szCs w:val="32"/>
          <w:shd w:val="clear" w:color="auto" w:fill="FFFFFF"/>
        </w:rPr>
      </w:pPr>
      <w:r>
        <w:rPr>
          <w:rFonts w:ascii="宋体" w:hAnsi="宋体" w:cs="宋体" w:hint="eastAsia"/>
          <w:kern w:val="0"/>
          <w:sz w:val="32"/>
          <w:szCs w:val="32"/>
          <w:shd w:val="clear" w:color="auto" w:fill="FFFFFF"/>
        </w:rPr>
        <w:t>（二）整体绩效目标未完成情况及原因分析</w:t>
      </w:r>
    </w:p>
    <w:p w14:paraId="76585FDD" w14:textId="77777777" w:rsidR="00C705A9" w:rsidRDefault="00000000">
      <w:pPr>
        <w:widowControl/>
        <w:spacing w:line="540" w:lineRule="atLeast"/>
        <w:ind w:firstLine="645"/>
        <w:jc w:val="left"/>
        <w:rPr>
          <w:rFonts w:ascii="宋体" w:hAnsi="宋体" w:cs="宋体"/>
          <w:kern w:val="0"/>
          <w:sz w:val="32"/>
          <w:szCs w:val="32"/>
        </w:rPr>
      </w:pPr>
      <w:r>
        <w:rPr>
          <w:rFonts w:ascii="宋体" w:hAnsi="宋体" w:cs="宋体" w:hint="eastAsia"/>
          <w:kern w:val="0"/>
          <w:sz w:val="32"/>
          <w:szCs w:val="32"/>
        </w:rPr>
        <w:t>全年整体绩效目标达到预期绩效目标。但</w:t>
      </w:r>
      <w:r>
        <w:rPr>
          <w:rFonts w:ascii="宋体" w:hAnsi="宋体" w:cs="宋体" w:hint="eastAsia"/>
          <w:kern w:val="0"/>
          <w:sz w:val="32"/>
          <w:szCs w:val="32"/>
          <w:shd w:val="clear" w:color="auto" w:fill="FFFFFF"/>
        </w:rPr>
        <w:t>本部门财务人员业务水平欠缺，尚未能掌握运用U8系统进行电子账务管理。</w:t>
      </w:r>
    </w:p>
    <w:p w14:paraId="3762A89B" w14:textId="77777777" w:rsidR="00C705A9" w:rsidRDefault="00000000">
      <w:pPr>
        <w:widowControl/>
        <w:spacing w:line="540" w:lineRule="atLeast"/>
        <w:ind w:firstLine="645"/>
        <w:jc w:val="left"/>
        <w:rPr>
          <w:rFonts w:ascii="宋体" w:hAnsi="宋体" w:cs="宋体"/>
          <w:kern w:val="0"/>
          <w:sz w:val="32"/>
          <w:szCs w:val="32"/>
        </w:rPr>
      </w:pPr>
      <w:r>
        <w:rPr>
          <w:rFonts w:ascii="宋体" w:hAnsi="宋体" w:cs="宋体" w:hint="eastAsia"/>
          <w:kern w:val="0"/>
          <w:sz w:val="32"/>
          <w:szCs w:val="32"/>
        </w:rPr>
        <w:t>（三）</w:t>
      </w:r>
      <w:r>
        <w:rPr>
          <w:rFonts w:ascii="宋体" w:hAnsi="宋体" w:cs="宋体" w:hint="eastAsia"/>
          <w:kern w:val="0"/>
          <w:sz w:val="32"/>
          <w:szCs w:val="32"/>
          <w:shd w:val="clear" w:color="auto" w:fill="FFFFFF"/>
        </w:rPr>
        <w:t>改进措施及建议</w:t>
      </w:r>
    </w:p>
    <w:p w14:paraId="5EEB1DF2" w14:textId="77777777" w:rsidR="00C705A9" w:rsidRDefault="00000000">
      <w:pPr>
        <w:widowControl/>
        <w:spacing w:line="585" w:lineRule="atLeast"/>
        <w:ind w:firstLine="645"/>
        <w:jc w:val="left"/>
        <w:rPr>
          <w:rFonts w:ascii="宋体" w:hAnsi="宋体" w:cs="宋体"/>
          <w:kern w:val="0"/>
          <w:sz w:val="32"/>
          <w:szCs w:val="32"/>
        </w:rPr>
      </w:pPr>
      <w:r>
        <w:rPr>
          <w:rFonts w:ascii="宋体" w:hAnsi="宋体" w:cs="宋体" w:hint="eastAsia"/>
          <w:kern w:val="0"/>
          <w:sz w:val="32"/>
          <w:szCs w:val="32"/>
        </w:rPr>
        <w:t>1、建议财政部门加强对县级部门财务人员业务培训，促进部门财务工作的相互交流学习。</w:t>
      </w:r>
    </w:p>
    <w:p w14:paraId="7CE8AC5F" w14:textId="77777777" w:rsidR="00C705A9" w:rsidRDefault="00000000">
      <w:pPr>
        <w:widowControl/>
        <w:spacing w:line="585" w:lineRule="atLeast"/>
        <w:ind w:firstLine="645"/>
        <w:jc w:val="left"/>
        <w:rPr>
          <w:rFonts w:ascii="宋体" w:hAnsi="宋体" w:cs="宋体"/>
          <w:sz w:val="32"/>
          <w:szCs w:val="32"/>
        </w:rPr>
      </w:pPr>
      <w:r>
        <w:rPr>
          <w:rFonts w:ascii="宋体" w:hAnsi="宋体" w:cs="宋体" w:hint="eastAsia"/>
          <w:kern w:val="0"/>
          <w:sz w:val="32"/>
          <w:szCs w:val="32"/>
        </w:rPr>
        <w:t>2、督促本部门财务人员加强自身业务学习，提高责任意识和服务意识，进一步提升财务管理水平。</w:t>
      </w:r>
    </w:p>
    <w:p w14:paraId="0529A217" w14:textId="77777777" w:rsidR="00C705A9" w:rsidRDefault="00C705A9">
      <w:pPr>
        <w:spacing w:line="580" w:lineRule="exact"/>
        <w:ind w:firstLineChars="200" w:firstLine="640"/>
        <w:rPr>
          <w:rFonts w:ascii="宋体" w:hAnsi="宋体" w:cs="宋体"/>
          <w:sz w:val="32"/>
          <w:szCs w:val="32"/>
        </w:rPr>
      </w:pPr>
    </w:p>
    <w:p w14:paraId="293BFD49" w14:textId="77777777" w:rsidR="00C705A9" w:rsidRDefault="00000000">
      <w:pPr>
        <w:spacing w:line="580" w:lineRule="exact"/>
        <w:rPr>
          <w:rFonts w:ascii="宋体" w:hAnsi="宋体" w:cs="宋体"/>
          <w:sz w:val="32"/>
          <w:szCs w:val="32"/>
        </w:rPr>
      </w:pPr>
      <w:r>
        <w:rPr>
          <w:rFonts w:ascii="宋体" w:hAnsi="宋体" w:cs="宋体" w:hint="eastAsia"/>
          <w:sz w:val="32"/>
          <w:szCs w:val="32"/>
        </w:rPr>
        <w:lastRenderedPageBreak/>
        <w:t>附件2</w:t>
      </w:r>
    </w:p>
    <w:p w14:paraId="7D70A472" w14:textId="77777777" w:rsidR="00C705A9" w:rsidRDefault="00000000">
      <w:pPr>
        <w:pStyle w:val="ab"/>
        <w:widowControl/>
        <w:shd w:val="clear" w:color="auto" w:fill="FFFFFF"/>
        <w:spacing w:before="225" w:beforeAutospacing="0" w:after="225" w:afterAutospacing="0"/>
        <w:jc w:val="center"/>
        <w:rPr>
          <w:rFonts w:ascii="宋体" w:hAnsi="宋体" w:cs="宋体"/>
          <w:color w:val="333333"/>
          <w:sz w:val="28"/>
          <w:szCs w:val="28"/>
        </w:rPr>
      </w:pPr>
      <w:r>
        <w:rPr>
          <w:rFonts w:ascii="宋体" w:hAnsi="宋体" w:cs="宋体" w:hint="eastAsia"/>
          <w:color w:val="333333"/>
          <w:sz w:val="28"/>
          <w:szCs w:val="28"/>
          <w:shd w:val="clear" w:color="auto" w:fill="FFFFFF"/>
        </w:rPr>
        <w:t>2022年基层卫生医疗机构财政定额补助项目支出绩效评价报告</w:t>
      </w:r>
    </w:p>
    <w:p w14:paraId="65619BD4"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r>
        <w:rPr>
          <w:rFonts w:ascii="宋体" w:hAnsi="宋体" w:cs="宋体" w:hint="eastAsia"/>
          <w:color w:val="333333"/>
          <w:sz w:val="32"/>
          <w:szCs w:val="32"/>
          <w:shd w:val="clear" w:color="auto" w:fill="FFFFFF"/>
        </w:rPr>
        <w:t>一、评价工作开展及项目情况</w:t>
      </w:r>
    </w:p>
    <w:p w14:paraId="6CA3FBF0"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r>
        <w:rPr>
          <w:rFonts w:ascii="宋体" w:hAnsi="宋体" w:cs="宋体" w:hint="eastAsia"/>
          <w:color w:val="333333"/>
          <w:sz w:val="32"/>
          <w:szCs w:val="32"/>
          <w:shd w:val="clear" w:color="auto" w:fill="FFFFFF"/>
        </w:rPr>
        <w:t>(</w:t>
      </w:r>
      <w:proofErr w:type="gramStart"/>
      <w:r>
        <w:rPr>
          <w:rFonts w:ascii="宋体" w:hAnsi="宋体" w:cs="宋体" w:hint="eastAsia"/>
          <w:color w:val="333333"/>
          <w:sz w:val="32"/>
          <w:szCs w:val="32"/>
          <w:shd w:val="clear" w:color="auto" w:fill="FFFFFF"/>
        </w:rPr>
        <w:t>一</w:t>
      </w:r>
      <w:proofErr w:type="gramEnd"/>
      <w:r>
        <w:rPr>
          <w:rFonts w:ascii="宋体" w:hAnsi="宋体" w:cs="宋体" w:hint="eastAsia"/>
          <w:color w:val="333333"/>
          <w:sz w:val="32"/>
          <w:szCs w:val="32"/>
          <w:shd w:val="clear" w:color="auto" w:fill="FFFFFF"/>
        </w:rPr>
        <w:t>)项目基本情况</w:t>
      </w:r>
    </w:p>
    <w:p w14:paraId="6A0523EA" w14:textId="77777777" w:rsidR="00C705A9" w:rsidRDefault="00000000">
      <w:pPr>
        <w:pStyle w:val="ab"/>
        <w:widowControl/>
        <w:shd w:val="clear" w:color="auto" w:fill="FFFFFF"/>
        <w:spacing w:before="225" w:beforeAutospacing="0" w:after="225" w:afterAutospacing="0"/>
        <w:ind w:firstLineChars="200" w:firstLine="640"/>
        <w:rPr>
          <w:rFonts w:ascii="宋体" w:hAnsi="宋体" w:cs="宋体"/>
          <w:color w:val="333333"/>
          <w:sz w:val="32"/>
          <w:szCs w:val="32"/>
        </w:rPr>
      </w:pPr>
      <w:r>
        <w:rPr>
          <w:rFonts w:ascii="宋体" w:hAnsi="宋体" w:cs="宋体" w:hint="eastAsia"/>
          <w:color w:val="333333"/>
          <w:sz w:val="32"/>
          <w:szCs w:val="32"/>
          <w:shd w:val="clear" w:color="auto" w:fill="FFFFFF"/>
        </w:rPr>
        <w:t>开江县广福镇卫生院属乡镇卫生院。承担着本乡的公共卫生、预防保健、健康教育和常见病、多发病的防治以及周边乡镇人口的常见病、多发病防治。基层卫生医疗机构财政定额补助项目是为保障开江县广福镇卫生院为辖区居民的身体健康提供医疗与预防保健服务，为辖区居民提供基本公共卫生服务的经费保障项目。</w:t>
      </w:r>
    </w:p>
    <w:p w14:paraId="623FC06A"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r>
        <w:rPr>
          <w:rFonts w:ascii="宋体" w:hAnsi="宋体" w:cs="宋体" w:hint="eastAsia"/>
          <w:color w:val="333333"/>
          <w:sz w:val="32"/>
          <w:szCs w:val="32"/>
          <w:shd w:val="clear" w:color="auto" w:fill="FFFFFF"/>
        </w:rPr>
        <w:t>(二) 评价工作开展情况</w:t>
      </w:r>
    </w:p>
    <w:p w14:paraId="42C59EBD" w14:textId="77777777" w:rsidR="00C705A9" w:rsidRDefault="00000000">
      <w:pPr>
        <w:pStyle w:val="ab"/>
        <w:widowControl/>
        <w:shd w:val="clear" w:color="auto" w:fill="FFFFFF"/>
        <w:spacing w:before="225" w:beforeAutospacing="0" w:after="225" w:afterAutospacing="0"/>
        <w:ind w:firstLineChars="200" w:firstLine="640"/>
        <w:rPr>
          <w:rFonts w:ascii="宋体" w:hAnsi="宋体" w:cs="宋体"/>
          <w:color w:val="333333"/>
          <w:sz w:val="32"/>
          <w:szCs w:val="32"/>
        </w:rPr>
      </w:pPr>
      <w:r>
        <w:rPr>
          <w:rFonts w:ascii="宋体" w:hAnsi="宋体" w:cs="宋体" w:hint="eastAsia"/>
          <w:color w:val="333333"/>
          <w:sz w:val="32"/>
          <w:szCs w:val="32"/>
          <w:shd w:val="clear" w:color="auto" w:fill="FFFFFF"/>
        </w:rPr>
        <w:t>本次的基层卫生医疗机构财政定额补助项目，包括2022年卫生院人员经费，为建档立卡贫困户提供医疗服务，提供村级医疗卫生服务，宣传疾病预防和卫生保健知识。评价工作重点从项目审批、项目实施、资金的来源及管理等方面进行。</w:t>
      </w:r>
    </w:p>
    <w:p w14:paraId="326798A5"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r>
        <w:rPr>
          <w:rFonts w:ascii="宋体" w:hAnsi="宋体" w:cs="宋体" w:hint="eastAsia"/>
          <w:color w:val="333333"/>
          <w:sz w:val="32"/>
          <w:szCs w:val="32"/>
          <w:shd w:val="clear" w:color="auto" w:fill="FFFFFF"/>
        </w:rPr>
        <w:t>（三）现场评价抽样选点情况</w:t>
      </w:r>
    </w:p>
    <w:p w14:paraId="4B57BF91"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r>
        <w:rPr>
          <w:rFonts w:ascii="宋体" w:hAnsi="宋体" w:cs="宋体" w:hint="eastAsia"/>
          <w:color w:val="333333"/>
          <w:sz w:val="32"/>
          <w:szCs w:val="32"/>
          <w:shd w:val="clear" w:color="auto" w:fill="FFFFFF"/>
        </w:rPr>
        <w:t>基层卫生医疗机构财政定额补助项目，查看了资金下达拨付、会计核算等资料。</w:t>
      </w:r>
    </w:p>
    <w:p w14:paraId="005CFE6A"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r>
        <w:rPr>
          <w:rFonts w:ascii="宋体" w:hAnsi="宋体" w:cs="宋体" w:hint="eastAsia"/>
          <w:color w:val="333333"/>
          <w:sz w:val="32"/>
          <w:szCs w:val="32"/>
          <w:shd w:val="clear" w:color="auto" w:fill="FFFFFF"/>
        </w:rPr>
        <w:lastRenderedPageBreak/>
        <w:t>二、评价结论及绩效分析</w:t>
      </w:r>
    </w:p>
    <w:p w14:paraId="0A98C8BB"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r>
        <w:rPr>
          <w:rFonts w:ascii="宋体" w:hAnsi="宋体" w:cs="宋体" w:hint="eastAsia"/>
          <w:color w:val="333333"/>
          <w:sz w:val="32"/>
          <w:szCs w:val="32"/>
          <w:shd w:val="clear" w:color="auto" w:fill="FFFFFF"/>
        </w:rPr>
        <w:t>（一）评价结论</w:t>
      </w:r>
    </w:p>
    <w:p w14:paraId="22596576" w14:textId="2F09B86B" w:rsidR="00C705A9" w:rsidRDefault="00000000">
      <w:pPr>
        <w:pStyle w:val="ab"/>
        <w:widowControl/>
        <w:shd w:val="clear" w:color="auto" w:fill="FFFFFF"/>
        <w:spacing w:before="225" w:beforeAutospacing="0" w:after="225" w:afterAutospacing="0"/>
        <w:ind w:firstLineChars="200" w:firstLine="640"/>
        <w:rPr>
          <w:rFonts w:ascii="宋体" w:hAnsi="宋体" w:cs="宋体"/>
          <w:color w:val="333333"/>
          <w:sz w:val="32"/>
          <w:szCs w:val="32"/>
          <w:shd w:val="clear" w:color="auto" w:fill="FFFFFF"/>
        </w:rPr>
      </w:pPr>
      <w:r>
        <w:rPr>
          <w:rFonts w:ascii="宋体" w:hAnsi="宋体" w:cs="宋体" w:hint="eastAsia"/>
          <w:color w:val="333333"/>
          <w:sz w:val="32"/>
          <w:szCs w:val="32"/>
          <w:shd w:val="clear" w:color="auto" w:fill="FFFFFF"/>
        </w:rPr>
        <w:t>基层卫生医疗机构财政定额补助项目，项目通过政府及相关部门的审批，项目实施依据充分，绩效目标比较明确。制定了项目实施方案，在项目实施过程中执行了相关政策规定，项目的资金拨付等程序未发现不符合政策要求的情况。</w:t>
      </w:r>
    </w:p>
    <w:p w14:paraId="5A961235"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r>
        <w:rPr>
          <w:rFonts w:ascii="宋体" w:hAnsi="宋体" w:cs="宋体" w:hint="eastAsia"/>
          <w:color w:val="333333"/>
          <w:sz w:val="32"/>
          <w:szCs w:val="32"/>
          <w:shd w:val="clear" w:color="auto" w:fill="FFFFFF"/>
        </w:rPr>
        <w:t>（二）绩效分析</w:t>
      </w:r>
    </w:p>
    <w:p w14:paraId="4A456E9B"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r>
        <w:rPr>
          <w:rFonts w:ascii="宋体" w:hAnsi="宋体" w:cs="宋体" w:hint="eastAsia"/>
          <w:color w:val="333333"/>
          <w:sz w:val="32"/>
          <w:szCs w:val="32"/>
          <w:shd w:val="clear" w:color="auto" w:fill="FFFFFF"/>
        </w:rPr>
        <w:t>1、项目决策</w:t>
      </w:r>
    </w:p>
    <w:p w14:paraId="64B10F51"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shd w:val="clear" w:color="auto" w:fill="FFFFFF"/>
        </w:rPr>
      </w:pPr>
      <w:r>
        <w:rPr>
          <w:rFonts w:ascii="宋体" w:hAnsi="宋体" w:cs="宋体" w:hint="eastAsia"/>
          <w:color w:val="333333"/>
          <w:sz w:val="32"/>
          <w:szCs w:val="32"/>
          <w:shd w:val="clear" w:color="auto" w:fill="FFFFFF"/>
        </w:rPr>
        <w:t>保障院内职工正常工资福利支出，保障日常工作正常运转。</w:t>
      </w:r>
    </w:p>
    <w:p w14:paraId="77A57C8D"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r>
        <w:rPr>
          <w:rFonts w:ascii="宋体" w:hAnsi="宋体" w:cs="宋体" w:hint="eastAsia"/>
          <w:color w:val="333333"/>
          <w:sz w:val="32"/>
          <w:szCs w:val="32"/>
          <w:shd w:val="clear" w:color="auto" w:fill="FFFFFF"/>
        </w:rPr>
        <w:t>2、项目管理</w:t>
      </w:r>
    </w:p>
    <w:p w14:paraId="22A81D2B"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r>
        <w:rPr>
          <w:rFonts w:ascii="宋体" w:hAnsi="宋体" w:cs="宋体" w:hint="eastAsia"/>
          <w:color w:val="333333"/>
          <w:sz w:val="32"/>
          <w:szCs w:val="32"/>
          <w:shd w:val="clear" w:color="auto" w:fill="FFFFFF"/>
        </w:rPr>
        <w:t>基层卫生医疗机构财政定额补助项目，政府共安排资金67.88万元，人员经费67.88万元。项目资金按专项资金管理，按项目实施进度拨付资金。</w:t>
      </w:r>
    </w:p>
    <w:p w14:paraId="2673BC7C"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r>
        <w:rPr>
          <w:rFonts w:ascii="宋体" w:hAnsi="宋体" w:cs="宋体" w:hint="eastAsia"/>
          <w:color w:val="333333"/>
          <w:sz w:val="32"/>
          <w:szCs w:val="32"/>
          <w:shd w:val="clear" w:color="auto" w:fill="FFFFFF"/>
        </w:rPr>
        <w:t>3、项目绩效</w:t>
      </w:r>
    </w:p>
    <w:p w14:paraId="4112ADEC" w14:textId="77777777" w:rsidR="00C705A9" w:rsidRDefault="00000000">
      <w:pPr>
        <w:pStyle w:val="ab"/>
        <w:widowControl/>
        <w:shd w:val="clear" w:color="auto" w:fill="FFFFFF"/>
        <w:spacing w:before="225" w:beforeAutospacing="0" w:after="225" w:afterAutospacing="0"/>
        <w:ind w:firstLineChars="200" w:firstLine="640"/>
        <w:rPr>
          <w:rFonts w:ascii="宋体" w:hAnsi="宋体" w:cs="宋体"/>
          <w:color w:val="333333"/>
          <w:sz w:val="32"/>
          <w:szCs w:val="32"/>
        </w:rPr>
      </w:pPr>
      <w:r>
        <w:rPr>
          <w:rFonts w:ascii="宋体" w:hAnsi="宋体" w:cs="宋体" w:hint="eastAsia"/>
          <w:color w:val="333333"/>
          <w:sz w:val="32"/>
          <w:szCs w:val="32"/>
          <w:shd w:val="clear" w:color="auto" w:fill="FFFFFF"/>
        </w:rPr>
        <w:t>项目有效保障了开江县广福镇卫生院医护人员、辖区群众提供医疗服务，宣传疾病预防和卫生保健知识所需经费。医疗保障覆盖率达100%、经费下达及时性100%、实现医疗收入156.95万元，医疗服务收益人群2.0万余人并持续改进辖区健康水平，服务群众满意度达95%。</w:t>
      </w:r>
    </w:p>
    <w:p w14:paraId="04A71E84"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r>
        <w:rPr>
          <w:rFonts w:ascii="宋体" w:hAnsi="宋体" w:cs="宋体" w:hint="eastAsia"/>
          <w:color w:val="333333"/>
          <w:sz w:val="32"/>
          <w:szCs w:val="32"/>
          <w:shd w:val="clear" w:color="auto" w:fill="FFFFFF"/>
        </w:rPr>
        <w:lastRenderedPageBreak/>
        <w:t>四、存在主要问题</w:t>
      </w:r>
    </w:p>
    <w:p w14:paraId="1A4A5106"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r>
        <w:rPr>
          <w:rFonts w:ascii="宋体" w:hAnsi="宋体" w:cs="宋体" w:hint="eastAsia"/>
          <w:color w:val="333333"/>
          <w:sz w:val="32"/>
          <w:szCs w:val="32"/>
          <w:shd w:val="clear" w:color="auto" w:fill="FFFFFF"/>
        </w:rPr>
        <w:t>项目实施方案中，项目绩效目标内容制定不够完整，对项目具体实施指导性不强。</w:t>
      </w:r>
    </w:p>
    <w:p w14:paraId="301306F5" w14:textId="77777777" w:rsidR="00C705A9" w:rsidRDefault="00000000">
      <w:pPr>
        <w:pStyle w:val="ab"/>
        <w:widowControl/>
        <w:shd w:val="clear" w:color="auto" w:fill="FFFFFF"/>
        <w:spacing w:before="225" w:beforeAutospacing="0" w:after="225" w:afterAutospacing="0"/>
        <w:ind w:firstLine="420"/>
        <w:rPr>
          <w:rFonts w:ascii="宋体" w:hAnsi="宋体" w:cs="宋体"/>
          <w:color w:val="333333"/>
          <w:sz w:val="32"/>
          <w:szCs w:val="32"/>
        </w:rPr>
      </w:pPr>
      <w:r>
        <w:rPr>
          <w:rFonts w:ascii="宋体" w:hAnsi="宋体" w:cs="宋体" w:hint="eastAsia"/>
          <w:color w:val="333333"/>
          <w:sz w:val="32"/>
          <w:szCs w:val="32"/>
          <w:shd w:val="clear" w:color="auto" w:fill="FFFFFF"/>
        </w:rPr>
        <w:t>五、相关措施建议</w:t>
      </w:r>
    </w:p>
    <w:p w14:paraId="64FEAC2F" w14:textId="77777777" w:rsidR="00C705A9" w:rsidRDefault="00000000">
      <w:pPr>
        <w:pStyle w:val="ab"/>
        <w:widowControl/>
        <w:shd w:val="clear" w:color="auto" w:fill="FFFFFF"/>
        <w:spacing w:before="225" w:beforeAutospacing="0" w:after="225" w:afterAutospacing="0"/>
        <w:ind w:firstLine="420"/>
        <w:rPr>
          <w:rStyle w:val="1Char"/>
          <w:rFonts w:ascii="宋体" w:hAnsi="宋体" w:cs="宋体"/>
          <w:b w:val="0"/>
          <w:bCs w:val="0"/>
        </w:rPr>
      </w:pPr>
      <w:r>
        <w:rPr>
          <w:rFonts w:ascii="宋体" w:hAnsi="宋体" w:cs="宋体" w:hint="eastAsia"/>
          <w:color w:val="333333"/>
          <w:sz w:val="32"/>
          <w:szCs w:val="32"/>
          <w:shd w:val="clear" w:color="auto" w:fill="FFFFFF"/>
        </w:rPr>
        <w:t>针对以上存在的问题，提出相关建议如下：加强项目实施方案的制定，增强实施方案对项目整个实施过程的指导，同时提高项目实施方案的可操作性。</w:t>
      </w:r>
    </w:p>
    <w:p w14:paraId="19207658" w14:textId="77777777" w:rsidR="00C705A9" w:rsidRDefault="00C705A9">
      <w:pPr>
        <w:spacing w:line="600" w:lineRule="exact"/>
        <w:jc w:val="center"/>
        <w:outlineLvl w:val="0"/>
        <w:rPr>
          <w:rFonts w:ascii="黑体" w:eastAsia="黑体" w:hAnsi="黑体"/>
          <w:sz w:val="44"/>
          <w:szCs w:val="44"/>
        </w:rPr>
      </w:pPr>
      <w:bookmarkStart w:id="54" w:name="_Toc15396618"/>
    </w:p>
    <w:p w14:paraId="0D68DDB2" w14:textId="77777777" w:rsidR="00C705A9" w:rsidRDefault="00C705A9">
      <w:pPr>
        <w:spacing w:line="600" w:lineRule="exact"/>
        <w:jc w:val="center"/>
        <w:outlineLvl w:val="0"/>
        <w:rPr>
          <w:rFonts w:ascii="黑体" w:eastAsia="黑体" w:hAnsi="黑体"/>
          <w:sz w:val="44"/>
          <w:szCs w:val="44"/>
        </w:rPr>
      </w:pPr>
    </w:p>
    <w:p w14:paraId="0B0DB355" w14:textId="77777777" w:rsidR="00C705A9" w:rsidRDefault="00000000">
      <w:pPr>
        <w:spacing w:line="600" w:lineRule="exact"/>
        <w:jc w:val="center"/>
        <w:outlineLvl w:val="0"/>
        <w:rPr>
          <w:rFonts w:ascii="仿宋" w:eastAsia="仿宋" w:hAnsi="仿宋"/>
        </w:rPr>
      </w:pPr>
      <w:r>
        <w:rPr>
          <w:rFonts w:ascii="黑体" w:eastAsia="黑体" w:hAnsi="黑体" w:hint="eastAsia"/>
          <w:sz w:val="44"/>
          <w:szCs w:val="44"/>
        </w:rPr>
        <w:t>第</w:t>
      </w:r>
      <w:r>
        <w:rPr>
          <w:rStyle w:val="1Char"/>
          <w:rFonts w:ascii="黑体" w:eastAsia="黑体" w:hAnsi="黑体" w:hint="eastAsia"/>
          <w:b w:val="0"/>
        </w:rPr>
        <w:t>五部分 附表</w:t>
      </w:r>
    </w:p>
    <w:p w14:paraId="27A58A2A" w14:textId="77777777" w:rsidR="00C705A9" w:rsidRDefault="00000000">
      <w:pPr>
        <w:pStyle w:val="2"/>
        <w:rPr>
          <w:rFonts w:ascii="仿宋" w:eastAsia="仿宋" w:hAnsi="仿宋"/>
        </w:rPr>
      </w:pPr>
      <w:r>
        <w:rPr>
          <w:rFonts w:ascii="仿宋" w:eastAsia="仿宋" w:hAnsi="仿宋" w:hint="eastAsia"/>
          <w:b w:val="0"/>
        </w:rPr>
        <w:lastRenderedPageBreak/>
        <w:t>一、收</w:t>
      </w:r>
      <w:r>
        <w:rPr>
          <w:rStyle w:val="2Char"/>
          <w:rFonts w:ascii="仿宋" w:eastAsia="仿宋" w:hAnsi="仿宋" w:hint="eastAsia"/>
        </w:rPr>
        <w:t>入支出决算总表</w:t>
      </w:r>
    </w:p>
    <w:p w14:paraId="14B22F46" w14:textId="77777777" w:rsidR="00C705A9" w:rsidRDefault="00000000">
      <w:pPr>
        <w:pStyle w:val="2"/>
        <w:rPr>
          <w:rFonts w:ascii="仿宋" w:eastAsia="仿宋" w:hAnsi="仿宋"/>
        </w:rPr>
      </w:pPr>
      <w:r>
        <w:rPr>
          <w:rFonts w:ascii="仿宋" w:eastAsia="仿宋" w:hAnsi="仿宋" w:hint="eastAsia"/>
          <w:b w:val="0"/>
        </w:rPr>
        <w:t>二、收</w:t>
      </w:r>
      <w:r>
        <w:rPr>
          <w:rStyle w:val="2Char"/>
          <w:rFonts w:ascii="仿宋" w:eastAsia="仿宋" w:hAnsi="仿宋" w:hint="eastAsia"/>
        </w:rPr>
        <w:t>入决算表</w:t>
      </w:r>
    </w:p>
    <w:p w14:paraId="12CC44E2" w14:textId="77777777" w:rsidR="00C705A9" w:rsidRDefault="00000000">
      <w:pPr>
        <w:pStyle w:val="2"/>
        <w:rPr>
          <w:rFonts w:ascii="仿宋" w:eastAsia="仿宋" w:hAnsi="仿宋"/>
        </w:rPr>
      </w:pPr>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p>
    <w:p w14:paraId="417B4B46" w14:textId="77777777" w:rsidR="00C705A9" w:rsidRDefault="00000000">
      <w:pPr>
        <w:pStyle w:val="2"/>
        <w:rPr>
          <w:rFonts w:ascii="仿宋" w:eastAsia="仿宋" w:hAnsi="仿宋"/>
          <w:b w:val="0"/>
        </w:rPr>
      </w:pPr>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p>
    <w:p w14:paraId="3203869C" w14:textId="77777777" w:rsidR="00C705A9" w:rsidRDefault="00000000">
      <w:pPr>
        <w:pStyle w:val="2"/>
        <w:rPr>
          <w:rStyle w:val="2Char"/>
          <w:rFonts w:ascii="仿宋" w:eastAsia="仿宋" w:hAnsi="仿宋"/>
        </w:rPr>
      </w:pPr>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p>
    <w:p w14:paraId="4C4FE1C4" w14:textId="77777777" w:rsidR="00C705A9" w:rsidRDefault="00000000">
      <w:pPr>
        <w:pStyle w:val="2"/>
        <w:rPr>
          <w:rFonts w:ascii="仿宋" w:eastAsia="仿宋" w:hAnsi="仿宋"/>
        </w:rPr>
      </w:pPr>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p>
    <w:p w14:paraId="2F9506E7" w14:textId="77777777" w:rsidR="00C705A9" w:rsidRDefault="00000000">
      <w:pPr>
        <w:pStyle w:val="2"/>
        <w:rPr>
          <w:rFonts w:ascii="仿宋" w:eastAsia="仿宋" w:hAnsi="仿宋"/>
        </w:rPr>
      </w:pPr>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p>
    <w:p w14:paraId="03369893" w14:textId="77777777" w:rsidR="00C705A9" w:rsidRDefault="00000000">
      <w:pPr>
        <w:pStyle w:val="2"/>
        <w:rPr>
          <w:rFonts w:ascii="仿宋" w:eastAsia="仿宋" w:hAnsi="仿宋"/>
        </w:rPr>
      </w:pPr>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p>
    <w:p w14:paraId="6087EBE8" w14:textId="77777777" w:rsidR="00C705A9" w:rsidRDefault="00000000">
      <w:pPr>
        <w:pStyle w:val="2"/>
        <w:rPr>
          <w:rFonts w:ascii="仿宋" w:eastAsia="仿宋" w:hAnsi="仿宋"/>
        </w:rPr>
      </w:pPr>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p>
    <w:p w14:paraId="59721F70" w14:textId="77777777" w:rsidR="00C705A9" w:rsidRDefault="00000000">
      <w:pPr>
        <w:pStyle w:val="2"/>
        <w:rPr>
          <w:rFonts w:ascii="仿宋" w:eastAsia="仿宋" w:hAnsi="仿宋"/>
        </w:rPr>
      </w:pPr>
      <w:r>
        <w:rPr>
          <w:rStyle w:val="2Char"/>
          <w:rFonts w:ascii="仿宋" w:eastAsia="仿宋" w:hAnsi="仿宋" w:hint="eastAsia"/>
        </w:rPr>
        <w:t>十、</w:t>
      </w:r>
      <w:r>
        <w:rPr>
          <w:rFonts w:ascii="仿宋" w:eastAsia="仿宋" w:hAnsi="仿宋" w:hint="eastAsia"/>
          <w:b w:val="0"/>
        </w:rPr>
        <w:t>政</w:t>
      </w:r>
      <w:r>
        <w:rPr>
          <w:rStyle w:val="2Char"/>
          <w:rFonts w:ascii="仿宋" w:eastAsia="仿宋" w:hAnsi="仿宋" w:hint="eastAsia"/>
        </w:rPr>
        <w:t>府性基金预算财政拨款收入支出决算表</w:t>
      </w:r>
    </w:p>
    <w:p w14:paraId="0A2CFBB5" w14:textId="77777777" w:rsidR="00C705A9" w:rsidRDefault="00000000">
      <w:pPr>
        <w:pStyle w:val="2"/>
        <w:rPr>
          <w:rFonts w:ascii="仿宋" w:eastAsia="仿宋" w:hAnsi="仿宋"/>
        </w:rPr>
      </w:pPr>
      <w:r>
        <w:rPr>
          <w:rStyle w:val="2Char"/>
          <w:rFonts w:ascii="仿宋" w:eastAsia="仿宋" w:hAnsi="仿宋" w:hint="eastAsia"/>
        </w:rPr>
        <w:t>十一、</w:t>
      </w:r>
      <w:r>
        <w:rPr>
          <w:rFonts w:ascii="仿宋" w:eastAsia="仿宋" w:hAnsi="仿宋" w:hint="eastAsia"/>
          <w:b w:val="0"/>
        </w:rPr>
        <w:t>国</w:t>
      </w:r>
      <w:r>
        <w:rPr>
          <w:rStyle w:val="2Char"/>
          <w:rFonts w:ascii="仿宋" w:eastAsia="仿宋" w:hAnsi="仿宋" w:hint="eastAsia"/>
        </w:rPr>
        <w:t>有资本经营预算财政拨款收入支出决算表</w:t>
      </w:r>
    </w:p>
    <w:p w14:paraId="7AC1176E" w14:textId="77777777" w:rsidR="00C705A9" w:rsidRDefault="00000000">
      <w:pPr>
        <w:pStyle w:val="2"/>
        <w:rPr>
          <w:rFonts w:ascii="仿宋" w:eastAsia="仿宋" w:hAnsi="仿宋"/>
        </w:rPr>
      </w:pPr>
      <w:r>
        <w:rPr>
          <w:rStyle w:val="2Char"/>
          <w:rFonts w:ascii="仿宋" w:eastAsia="仿宋" w:hAnsi="仿宋" w:hint="eastAsia"/>
        </w:rPr>
        <w:t>十二、国有资本经营预算财政拨款支出决算表</w:t>
      </w:r>
    </w:p>
    <w:p w14:paraId="5CACDE81" w14:textId="77777777" w:rsidR="00C705A9" w:rsidRDefault="00000000">
      <w:pPr>
        <w:pStyle w:val="2"/>
        <w:rPr>
          <w:rFonts w:eastAsia="仿宋"/>
        </w:rPr>
      </w:pPr>
      <w:r>
        <w:rPr>
          <w:rStyle w:val="2Char"/>
          <w:rFonts w:ascii="仿宋" w:eastAsia="仿宋" w:hAnsi="仿宋" w:hint="eastAsia"/>
        </w:rPr>
        <w:t>十三、财政拨款“三公”经费支出决算表</w:t>
      </w:r>
    </w:p>
    <w:bookmarkEnd w:id="52"/>
    <w:bookmarkEnd w:id="54"/>
    <w:p w14:paraId="6EE0EB54" w14:textId="77777777" w:rsidR="00C705A9" w:rsidRDefault="00C705A9">
      <w:pPr>
        <w:spacing w:line="600" w:lineRule="exact"/>
        <w:jc w:val="center"/>
        <w:outlineLvl w:val="0"/>
        <w:rPr>
          <w:rFonts w:ascii="宋体" w:hAnsi="宋体" w:cs="宋体"/>
          <w:color w:val="000000"/>
          <w:sz w:val="44"/>
          <w:szCs w:val="44"/>
        </w:rPr>
      </w:pPr>
    </w:p>
    <w:sectPr w:rsidR="00C705A9">
      <w:headerReference w:type="default" r:id="rId14"/>
      <w:footerReference w:type="default" r:id="rId15"/>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58129" w14:textId="77777777" w:rsidR="0022727C" w:rsidRDefault="0022727C">
      <w:r>
        <w:separator/>
      </w:r>
    </w:p>
  </w:endnote>
  <w:endnote w:type="continuationSeparator" w:id="0">
    <w:p w14:paraId="62E433C4" w14:textId="77777777" w:rsidR="0022727C" w:rsidRDefault="00227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781956"/>
    </w:sdtPr>
    <w:sdtContent>
      <w:p w14:paraId="534E6A7B" w14:textId="77777777" w:rsidR="00C705A9" w:rsidRDefault="00000000">
        <w:pPr>
          <w:pStyle w:val="a7"/>
          <w:jc w:val="center"/>
        </w:pPr>
        <w:r>
          <w:fldChar w:fldCharType="begin"/>
        </w:r>
        <w:r>
          <w:instrText>PAGE   \* MERGEFORMAT</w:instrText>
        </w:r>
        <w:r>
          <w:fldChar w:fldCharType="separate"/>
        </w:r>
        <w:r>
          <w:rPr>
            <w:lang w:val="zh-CN"/>
          </w:rPr>
          <w:t>2</w:t>
        </w:r>
        <w:r>
          <w:rPr>
            <w:lang w:val="zh-CN"/>
          </w:rPr>
          <w:t>4</w:t>
        </w:r>
        <w:r>
          <w:fldChar w:fldCharType="end"/>
        </w:r>
      </w:p>
    </w:sdtContent>
  </w:sdt>
  <w:p w14:paraId="0257C07C" w14:textId="77777777" w:rsidR="00C705A9" w:rsidRDefault="00C705A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9BFD9" w14:textId="77777777" w:rsidR="0022727C" w:rsidRDefault="0022727C">
      <w:r>
        <w:separator/>
      </w:r>
    </w:p>
  </w:footnote>
  <w:footnote w:type="continuationSeparator" w:id="0">
    <w:p w14:paraId="0D4DA289" w14:textId="77777777" w:rsidR="0022727C" w:rsidRDefault="00227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D3CF6" w14:textId="77777777" w:rsidR="00C705A9" w:rsidRDefault="00C705A9">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FA047D"/>
    <w:multiLevelType w:val="singleLevel"/>
    <w:tmpl w:val="E2FA047D"/>
    <w:lvl w:ilvl="0">
      <w:start w:val="3"/>
      <w:numFmt w:val="chineseCounting"/>
      <w:suff w:val="space"/>
      <w:lvlText w:val="第%1部分"/>
      <w:lvlJc w:val="left"/>
      <w:rPr>
        <w:rFonts w:hint="eastAsia"/>
      </w:rPr>
    </w:lvl>
  </w:abstractNum>
  <w:abstractNum w:abstractNumId="1"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141F40A7"/>
    <w:multiLevelType w:val="singleLevel"/>
    <w:tmpl w:val="141F40A7"/>
    <w:lvl w:ilvl="0">
      <w:start w:val="4"/>
      <w:numFmt w:val="chineseCounting"/>
      <w:suff w:val="nothing"/>
      <w:lvlText w:val="（%1）"/>
      <w:lvlJc w:val="left"/>
      <w:rPr>
        <w:rFonts w:hint="eastAsia"/>
      </w:rPr>
    </w:lvl>
  </w:abstractNum>
  <w:num w:numId="1" w16cid:durableId="190920548">
    <w:abstractNumId w:val="1"/>
  </w:num>
  <w:num w:numId="2" w16cid:durableId="1207529983">
    <w:abstractNumId w:val="2"/>
  </w:num>
  <w:num w:numId="3" w16cid:durableId="1232811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lkN2Y1MDQ5OTQ2YmQ0MDdlNzBmOTAwMzAxNGYzNj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1888"/>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727C"/>
    <w:rsid w:val="00235629"/>
    <w:rsid w:val="00260C38"/>
    <w:rsid w:val="002616C0"/>
    <w:rsid w:val="00265372"/>
    <w:rsid w:val="002662AA"/>
    <w:rsid w:val="00280496"/>
    <w:rsid w:val="00294DC9"/>
    <w:rsid w:val="00295495"/>
    <w:rsid w:val="002A31DE"/>
    <w:rsid w:val="002B2613"/>
    <w:rsid w:val="002D19B0"/>
    <w:rsid w:val="002D6D05"/>
    <w:rsid w:val="002F1818"/>
    <w:rsid w:val="002F3827"/>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D5B75"/>
    <w:rsid w:val="00BF5BD6"/>
    <w:rsid w:val="00C03E31"/>
    <w:rsid w:val="00C30E69"/>
    <w:rsid w:val="00C33E72"/>
    <w:rsid w:val="00C354B2"/>
    <w:rsid w:val="00C35554"/>
    <w:rsid w:val="00C42709"/>
    <w:rsid w:val="00C533CC"/>
    <w:rsid w:val="00C5751C"/>
    <w:rsid w:val="00C61BFC"/>
    <w:rsid w:val="00C62B85"/>
    <w:rsid w:val="00C65438"/>
    <w:rsid w:val="00C705A9"/>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1237"/>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6306AE"/>
    <w:rsid w:val="02686582"/>
    <w:rsid w:val="03664714"/>
    <w:rsid w:val="048F605E"/>
    <w:rsid w:val="04B37C67"/>
    <w:rsid w:val="05455F83"/>
    <w:rsid w:val="069C7737"/>
    <w:rsid w:val="06A91DCF"/>
    <w:rsid w:val="08210E62"/>
    <w:rsid w:val="0829488A"/>
    <w:rsid w:val="09E9744D"/>
    <w:rsid w:val="0A6461D2"/>
    <w:rsid w:val="0A971E81"/>
    <w:rsid w:val="0C2F0367"/>
    <w:rsid w:val="0C4843B9"/>
    <w:rsid w:val="0C914A4A"/>
    <w:rsid w:val="0EBD543A"/>
    <w:rsid w:val="0F4D23B8"/>
    <w:rsid w:val="0F661726"/>
    <w:rsid w:val="0F83538F"/>
    <w:rsid w:val="104B091B"/>
    <w:rsid w:val="10C055FF"/>
    <w:rsid w:val="10F642DF"/>
    <w:rsid w:val="114548FA"/>
    <w:rsid w:val="11926C50"/>
    <w:rsid w:val="120E0D05"/>
    <w:rsid w:val="12734ACA"/>
    <w:rsid w:val="15160E5B"/>
    <w:rsid w:val="15C97DF3"/>
    <w:rsid w:val="165C43B4"/>
    <w:rsid w:val="16BB723D"/>
    <w:rsid w:val="17701DAD"/>
    <w:rsid w:val="17F77581"/>
    <w:rsid w:val="189F50FE"/>
    <w:rsid w:val="18F33F42"/>
    <w:rsid w:val="18F85CB6"/>
    <w:rsid w:val="19767D34"/>
    <w:rsid w:val="1A775D59"/>
    <w:rsid w:val="1B9413C8"/>
    <w:rsid w:val="1BFC5ABF"/>
    <w:rsid w:val="1CAC183F"/>
    <w:rsid w:val="1CFC5914"/>
    <w:rsid w:val="1E2240A4"/>
    <w:rsid w:val="1E6306FD"/>
    <w:rsid w:val="1EFA59E6"/>
    <w:rsid w:val="2043260B"/>
    <w:rsid w:val="21D049F6"/>
    <w:rsid w:val="222C0150"/>
    <w:rsid w:val="226C3E9C"/>
    <w:rsid w:val="226E2586"/>
    <w:rsid w:val="22D400C9"/>
    <w:rsid w:val="22D569DB"/>
    <w:rsid w:val="23BD4393"/>
    <w:rsid w:val="240371BF"/>
    <w:rsid w:val="242170A2"/>
    <w:rsid w:val="25903ACA"/>
    <w:rsid w:val="2619637F"/>
    <w:rsid w:val="264A4FBF"/>
    <w:rsid w:val="26876FC0"/>
    <w:rsid w:val="26F41313"/>
    <w:rsid w:val="274768A3"/>
    <w:rsid w:val="28993C53"/>
    <w:rsid w:val="29276A08"/>
    <w:rsid w:val="29FD04D3"/>
    <w:rsid w:val="2A7458D9"/>
    <w:rsid w:val="2AB53C42"/>
    <w:rsid w:val="2AD406D9"/>
    <w:rsid w:val="2B7434B0"/>
    <w:rsid w:val="2B7F1FAF"/>
    <w:rsid w:val="2C14697E"/>
    <w:rsid w:val="2C462C1B"/>
    <w:rsid w:val="2C4E028E"/>
    <w:rsid w:val="2C8A2388"/>
    <w:rsid w:val="2E726D04"/>
    <w:rsid w:val="2EC053D7"/>
    <w:rsid w:val="3014546D"/>
    <w:rsid w:val="30F63772"/>
    <w:rsid w:val="313C485B"/>
    <w:rsid w:val="317C572F"/>
    <w:rsid w:val="319F7F4E"/>
    <w:rsid w:val="324F2B3A"/>
    <w:rsid w:val="324F5469"/>
    <w:rsid w:val="334222D0"/>
    <w:rsid w:val="36EA2421"/>
    <w:rsid w:val="386B0446"/>
    <w:rsid w:val="3A8D3A0F"/>
    <w:rsid w:val="3C8451EE"/>
    <w:rsid w:val="3CEC0A7B"/>
    <w:rsid w:val="3E896567"/>
    <w:rsid w:val="3ED8349D"/>
    <w:rsid w:val="406209F1"/>
    <w:rsid w:val="43B1096C"/>
    <w:rsid w:val="43EB6E08"/>
    <w:rsid w:val="45060392"/>
    <w:rsid w:val="470F0BF3"/>
    <w:rsid w:val="480C0D42"/>
    <w:rsid w:val="48B25F67"/>
    <w:rsid w:val="49D71711"/>
    <w:rsid w:val="4BB36244"/>
    <w:rsid w:val="4DB03FC1"/>
    <w:rsid w:val="4ECE2238"/>
    <w:rsid w:val="4F2B6097"/>
    <w:rsid w:val="4FD86DCF"/>
    <w:rsid w:val="50F2233F"/>
    <w:rsid w:val="5186120B"/>
    <w:rsid w:val="51A15B2A"/>
    <w:rsid w:val="52AF3FE4"/>
    <w:rsid w:val="53786DFC"/>
    <w:rsid w:val="53946850"/>
    <w:rsid w:val="542B3971"/>
    <w:rsid w:val="55686888"/>
    <w:rsid w:val="56005472"/>
    <w:rsid w:val="57261DAB"/>
    <w:rsid w:val="579376BA"/>
    <w:rsid w:val="58065027"/>
    <w:rsid w:val="5849272E"/>
    <w:rsid w:val="5A8B6250"/>
    <w:rsid w:val="5B0262E7"/>
    <w:rsid w:val="5DC7578A"/>
    <w:rsid w:val="5F353FE1"/>
    <w:rsid w:val="5F4848B6"/>
    <w:rsid w:val="5FDD5A1D"/>
    <w:rsid w:val="609654EE"/>
    <w:rsid w:val="6110398D"/>
    <w:rsid w:val="62E811E9"/>
    <w:rsid w:val="65882FC9"/>
    <w:rsid w:val="65F17928"/>
    <w:rsid w:val="662B0B02"/>
    <w:rsid w:val="69593992"/>
    <w:rsid w:val="6B530633"/>
    <w:rsid w:val="6B8B14E1"/>
    <w:rsid w:val="6CE76CD5"/>
    <w:rsid w:val="6DE14558"/>
    <w:rsid w:val="6E183D81"/>
    <w:rsid w:val="6E21556D"/>
    <w:rsid w:val="71B2452A"/>
    <w:rsid w:val="72734D90"/>
    <w:rsid w:val="72A36E2B"/>
    <w:rsid w:val="73F02B38"/>
    <w:rsid w:val="7688043C"/>
    <w:rsid w:val="768C589F"/>
    <w:rsid w:val="76BB22B7"/>
    <w:rsid w:val="79104271"/>
    <w:rsid w:val="79370FA6"/>
    <w:rsid w:val="7E4C2AAB"/>
    <w:rsid w:val="7FE474F4"/>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4348E131"/>
  <w15:docId w15:val="{505A24A2-16AB-44FB-82BF-CA431015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hAnsi="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pPr>
      <w:spacing w:beforeLines="30"/>
    </w:pPr>
    <w:rPr>
      <w:rFonts w:ascii="仿宋_GB2312" w:eastAsia="仿宋_GB2312"/>
      <w:kern w:val="0"/>
      <w:sz w:val="30"/>
    </w:rPr>
  </w:style>
  <w:style w:type="paragraph" w:styleId="TOC3">
    <w:name w:val="toc 3"/>
    <w:basedOn w:val="a"/>
    <w:next w:val="a"/>
    <w:uiPriority w:val="39"/>
    <w:unhideWhenUsed/>
    <w:qFormat/>
    <w:pPr>
      <w:tabs>
        <w:tab w:val="right" w:leader="dot" w:pos="8296"/>
      </w:tabs>
      <w:ind w:leftChars="400" w:left="84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rFonts w:ascii="Calibri" w:hAnsi="Calibri"/>
      <w:kern w:val="0"/>
      <w:sz w:val="18"/>
      <w:szCs w:val="18"/>
    </w:rPr>
  </w:style>
  <w:style w:type="paragraph" w:styleId="a9">
    <w:name w:val="header"/>
    <w:basedOn w:val="a"/>
    <w:link w:val="aa"/>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TOC2">
    <w:name w:val="toc 2"/>
    <w:basedOn w:val="a"/>
    <w:next w:val="a"/>
    <w:uiPriority w:val="39"/>
    <w:unhideWhenUsed/>
    <w:qFormat/>
    <w:pPr>
      <w:tabs>
        <w:tab w:val="right" w:leader="dot" w:pos="8296"/>
      </w:tabs>
      <w:ind w:leftChars="200" w:left="420"/>
    </w:pPr>
  </w:style>
  <w:style w:type="paragraph" w:styleId="ab">
    <w:name w:val="Normal (Web)"/>
    <w:basedOn w:val="a"/>
    <w:qFormat/>
    <w:pPr>
      <w:spacing w:beforeAutospacing="1" w:afterAutospacing="1"/>
      <w:jc w:val="left"/>
    </w:pPr>
    <w:rPr>
      <w:kern w:val="0"/>
      <w:sz w:val="24"/>
    </w:rPr>
  </w:style>
  <w:style w:type="character" w:styleId="ac">
    <w:name w:val="Strong"/>
    <w:basedOn w:val="a1"/>
    <w:uiPriority w:val="99"/>
    <w:qFormat/>
    <w:rPr>
      <w:b/>
    </w:rPr>
  </w:style>
  <w:style w:type="character" w:styleId="ad">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aa">
    <w:name w:val="页眉 字符"/>
    <w:link w:val="a9"/>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a8">
    <w:name w:val="页脚 字符"/>
    <w:link w:val="a7"/>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a4">
    <w:name w:val="正文文本 字符"/>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cs="仿宋"/>
      <w:color w:val="000000"/>
      <w:sz w:val="24"/>
      <w:szCs w:val="24"/>
    </w:rPr>
  </w:style>
  <w:style w:type="paragraph" w:styleId="ae">
    <w:name w:val="List Paragraph"/>
    <w:basedOn w:val="a"/>
    <w:uiPriority w:val="34"/>
    <w:qFormat/>
    <w:pPr>
      <w:ind w:firstLineChars="200" w:firstLine="420"/>
    </w:pPr>
  </w:style>
  <w:style w:type="character" w:customStyle="1" w:styleId="1Char">
    <w:name w:val="标题 1 Char"/>
    <w:basedOn w:val="a1"/>
    <w:uiPriority w:val="9"/>
    <w:qFormat/>
    <w:rPr>
      <w:rFonts w:ascii="Times New Roman" w:hAnsi="Times New Roman"/>
      <w:b/>
      <w:bCs/>
      <w:kern w:val="44"/>
      <w:sz w:val="44"/>
      <w:szCs w:val="44"/>
    </w:rPr>
  </w:style>
  <w:style w:type="character" w:customStyle="1" w:styleId="2Char">
    <w:name w:val="标题 2 Char"/>
    <w:basedOn w:val="a1"/>
    <w:uiPriority w:val="9"/>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6">
    <w:name w:val="批注框文本 字符"/>
    <w:basedOn w:val="a1"/>
    <w:link w:val="a5"/>
    <w:uiPriority w:val="99"/>
    <w:semiHidden/>
    <w:qFormat/>
    <w:rPr>
      <w:rFonts w:ascii="Times New Roman" w:hAnsi="Times New Roman"/>
      <w:kern w:val="2"/>
      <w:sz w:val="18"/>
      <w:szCs w:val="18"/>
    </w:rPr>
  </w:style>
  <w:style w:type="character" w:customStyle="1" w:styleId="30">
    <w:name w:val="标题 3 字符"/>
    <w:basedOn w:val="a1"/>
    <w:link w:val="3"/>
    <w:uiPriority w:val="9"/>
    <w:qFormat/>
    <w:rPr>
      <w:rFonts w:ascii="Times New Roman" w:hAnsi="Times New Roman"/>
      <w:b/>
      <w:bCs/>
      <w:kern w:val="2"/>
      <w:sz w:val="32"/>
      <w:szCs w:val="32"/>
    </w:r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10">
    <w:name w:val="标题 1 字符"/>
    <w:basedOn w:val="a1"/>
    <w:link w:val="1"/>
    <w:uiPriority w:val="9"/>
    <w:qFormat/>
    <w:locked/>
    <w:rPr>
      <w:rFonts w:ascii="Times New Roman" w:hAnsi="Times New Roman" w:cs="Times New Roman"/>
      <w:b/>
      <w:bCs/>
      <w:kern w:val="44"/>
      <w:sz w:val="44"/>
      <w:szCs w:val="44"/>
    </w:rPr>
  </w:style>
  <w:style w:type="character" w:customStyle="1" w:styleId="20">
    <w:name w:val="标题 2 字符"/>
    <w:basedOn w:val="a1"/>
    <w:link w:val="2"/>
    <w:uiPriority w:val="9"/>
    <w:qFormat/>
    <w:locked/>
    <w:rPr>
      <w:rFonts w:ascii="Cambria" w:eastAsia="宋体" w:hAnsi="Cambria"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manualLayout>
          <c:layoutTarget val="inner"/>
          <c:xMode val="edge"/>
          <c:yMode val="edge"/>
          <c:x val="7.4570491803278696E-2"/>
          <c:y val="0.21800165152766299"/>
          <c:w val="0.89460983606557398"/>
          <c:h val="0.52887420864299495"/>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cat>
            <c:strRef>
              <c:f>Sheet1!$A$2:$A$5</c:f>
              <c:strCache>
                <c:ptCount val="4"/>
                <c:pt idx="0">
                  <c:v>2020年收入支出</c:v>
                </c:pt>
                <c:pt idx="1">
                  <c:v>2021年收入支出</c:v>
                </c:pt>
                <c:pt idx="2">
                  <c:v>类别 3</c:v>
                </c:pt>
                <c:pt idx="3">
                  <c:v>类别 4</c:v>
                </c:pt>
              </c:strCache>
            </c:strRef>
          </c:cat>
          <c:val>
            <c:numRef>
              <c:f>Sheet1!$B$2:$B$5</c:f>
              <c:numCache>
                <c:formatCode>General</c:formatCode>
                <c:ptCount val="4"/>
                <c:pt idx="0">
                  <c:v>331.47</c:v>
                </c:pt>
                <c:pt idx="1">
                  <c:v>318.89</c:v>
                </c:pt>
                <c:pt idx="2">
                  <c:v>0</c:v>
                </c:pt>
                <c:pt idx="3">
                  <c:v>0</c:v>
                </c:pt>
              </c:numCache>
            </c:numRef>
          </c:val>
          <c:extLst>
            <c:ext xmlns:c16="http://schemas.microsoft.com/office/drawing/2014/chart" uri="{C3380CC4-5D6E-409C-BE32-E72D297353CC}">
              <c16:uniqueId val="{00000000-2CB2-4ED6-BBF8-6B7F6DDC38E6}"/>
            </c:ext>
          </c:extLst>
        </c:ser>
        <c:ser>
          <c:idx val="1"/>
          <c:order val="1"/>
          <c:tx>
            <c:strRef>
              <c:f>Sheet1!$C$1</c:f>
              <c:strCache>
                <c:ptCount val="1"/>
                <c:pt idx="0">
                  <c:v>支出</c:v>
                </c:pt>
              </c:strCache>
            </c:strRef>
          </c:tx>
          <c:spPr>
            <a:solidFill>
              <a:schemeClr val="accent2"/>
            </a:solidFill>
            <a:ln>
              <a:noFill/>
            </a:ln>
            <a:effectLst/>
          </c:spPr>
          <c:invertIfNegative val="0"/>
          <c:cat>
            <c:strRef>
              <c:f>Sheet1!$A$2:$A$5</c:f>
              <c:strCache>
                <c:ptCount val="4"/>
                <c:pt idx="0">
                  <c:v>2020年收入支出</c:v>
                </c:pt>
                <c:pt idx="1">
                  <c:v>2021年收入支出</c:v>
                </c:pt>
                <c:pt idx="2">
                  <c:v>类别 3</c:v>
                </c:pt>
                <c:pt idx="3">
                  <c:v>类别 4</c:v>
                </c:pt>
              </c:strCache>
            </c:strRef>
          </c:cat>
          <c:val>
            <c:numRef>
              <c:f>Sheet1!$C$2:$C$5</c:f>
              <c:numCache>
                <c:formatCode>General</c:formatCode>
                <c:ptCount val="4"/>
                <c:pt idx="0">
                  <c:v>331.47</c:v>
                </c:pt>
                <c:pt idx="1">
                  <c:v>318.89</c:v>
                </c:pt>
                <c:pt idx="2">
                  <c:v>0</c:v>
                </c:pt>
                <c:pt idx="3">
                  <c:v>0</c:v>
                </c:pt>
              </c:numCache>
            </c:numRef>
          </c:val>
          <c:extLst>
            <c:ext xmlns:c16="http://schemas.microsoft.com/office/drawing/2014/chart" uri="{C3380CC4-5D6E-409C-BE32-E72D297353CC}">
              <c16:uniqueId val="{00000001-2CB2-4ED6-BBF8-6B7F6DDC38E6}"/>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2020年收入支出</c:v>
                </c:pt>
                <c:pt idx="1">
                  <c:v>2021年收入支出</c:v>
                </c:pt>
                <c:pt idx="2">
                  <c:v>类别 3</c:v>
                </c:pt>
                <c:pt idx="3">
                  <c:v>类别 4</c:v>
                </c:pt>
              </c:strCache>
            </c:strRef>
          </c:cat>
          <c:val>
            <c:numRef>
              <c:f>Sheet1!$D$2:$D$5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2-2CB2-4ED6-BBF8-6B7F6DDC38E6}"/>
            </c:ext>
          </c:extLst>
        </c:ser>
        <c:dLbls>
          <c:showLegendKey val="0"/>
          <c:showVal val="0"/>
          <c:showCatName val="0"/>
          <c:showSerName val="0"/>
          <c:showPercent val="0"/>
          <c:showBubbleSize val="0"/>
        </c:dLbls>
        <c:gapWidth val="219"/>
        <c:overlap val="-27"/>
        <c:axId val="518730968"/>
        <c:axId val="373888243"/>
      </c:barChart>
      <c:catAx>
        <c:axId val="51873096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73888243"/>
        <c:crosses val="autoZero"/>
        <c:auto val="1"/>
        <c:lblAlgn val="ctr"/>
        <c:lblOffset val="100"/>
        <c:noMultiLvlLbl val="0"/>
      </c:catAx>
      <c:valAx>
        <c:axId val="3738882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18730968"/>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收入决算结构图</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销售额</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DBC-41F7-BE10-9023C156B8C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DBC-41F7-BE10-9023C156B8C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DBC-41F7-BE10-9023C156B8C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DBC-41F7-BE10-9023C156B8CB}"/>
              </c:ext>
            </c:extLst>
          </c:dPt>
          <c:cat>
            <c:strRef>
              <c:f>Sheet1!$A$2:$A$5</c:f>
              <c:strCache>
                <c:ptCount val="4"/>
                <c:pt idx="0">
                  <c:v>一般公共预算财政拔款收入</c:v>
                </c:pt>
                <c:pt idx="1">
                  <c:v>事业收入</c:v>
                </c:pt>
              </c:strCache>
            </c:strRef>
          </c:cat>
          <c:val>
            <c:numRef>
              <c:f>Sheet1!$B$2:$B$5</c:f>
              <c:numCache>
                <c:formatCode>General</c:formatCode>
                <c:ptCount val="4"/>
                <c:pt idx="0">
                  <c:v>58.92</c:v>
                </c:pt>
                <c:pt idx="1">
                  <c:v>41.08</c:v>
                </c:pt>
                <c:pt idx="2">
                  <c:v>0</c:v>
                </c:pt>
                <c:pt idx="3">
                  <c:v>0</c:v>
                </c:pt>
              </c:numCache>
            </c:numRef>
          </c:val>
          <c:extLst>
            <c:ext xmlns:c16="http://schemas.microsoft.com/office/drawing/2014/chart" uri="{C3380CC4-5D6E-409C-BE32-E72D297353CC}">
              <c16:uniqueId val="{00000008-9DBC-41F7-BE10-9023C156B8C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销售额</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30F-4460-93AE-9E9DCB19DC1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30F-4460-93AE-9E9DCB19DC1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30F-4460-93AE-9E9DCB19DC1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30F-4460-93AE-9E9DCB19DC1F}"/>
              </c:ext>
            </c:extLst>
          </c:dPt>
          <c:cat>
            <c:strRef>
              <c:f>Sheet1!$A$2:$A$5</c:f>
              <c:strCache>
                <c:ptCount val="4"/>
                <c:pt idx="0">
                  <c:v>基本支出</c:v>
                </c:pt>
                <c:pt idx="1">
                  <c:v>项目支出</c:v>
                </c:pt>
              </c:strCache>
            </c:strRef>
          </c:cat>
          <c:val>
            <c:numRef>
              <c:f>Sheet1!$B$2:$B$5</c:f>
              <c:numCache>
                <c:formatCode>General</c:formatCode>
                <c:ptCount val="4"/>
                <c:pt idx="0">
                  <c:v>69.650000000000006</c:v>
                </c:pt>
                <c:pt idx="1">
                  <c:v>30.35</c:v>
                </c:pt>
                <c:pt idx="2">
                  <c:v>0</c:v>
                </c:pt>
                <c:pt idx="3">
                  <c:v>0</c:v>
                </c:pt>
              </c:numCache>
            </c:numRef>
          </c:val>
          <c:extLst>
            <c:ext xmlns:c16="http://schemas.microsoft.com/office/drawing/2014/chart" uri="{C3380CC4-5D6E-409C-BE32-E72D297353CC}">
              <c16:uniqueId val="{00000008-530F-4460-93AE-9E9DCB19DC1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财政拨款收、支决算总计变动情况</a:t>
            </a:r>
          </a:p>
        </c:rich>
      </c:tx>
      <c:layout>
        <c:manualLayout>
          <c:xMode val="edge"/>
          <c:yMode val="edge"/>
          <c:x val="0.28487499999999999"/>
          <c:y val="0.02"/>
        </c:manualLayout>
      </c:layout>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manualLayout>
          <c:layoutTarget val="inner"/>
          <c:xMode val="edge"/>
          <c:yMode val="edge"/>
          <c:x val="7.3521164374415804E-2"/>
          <c:y val="0.15158146011537699"/>
          <c:w val="0.89870476699158797"/>
          <c:h val="0.66210463497115601"/>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cat>
            <c:strRef>
              <c:f>Sheet1!$A$2:$A$5</c:f>
              <c:strCache>
                <c:ptCount val="4"/>
                <c:pt idx="0">
                  <c:v>2021年财政拨款</c:v>
                </c:pt>
                <c:pt idx="1">
                  <c:v>2022年财政拨款</c:v>
                </c:pt>
                <c:pt idx="2">
                  <c:v>类别 3</c:v>
                </c:pt>
                <c:pt idx="3">
                  <c:v>类别 4</c:v>
                </c:pt>
              </c:strCache>
            </c:strRef>
          </c:cat>
          <c:val>
            <c:numRef>
              <c:f>Sheet1!$B$2:$B$5</c:f>
              <c:numCache>
                <c:formatCode>General</c:formatCode>
                <c:ptCount val="4"/>
                <c:pt idx="0">
                  <c:v>202.14</c:v>
                </c:pt>
                <c:pt idx="1">
                  <c:v>225.15</c:v>
                </c:pt>
                <c:pt idx="2">
                  <c:v>0</c:v>
                </c:pt>
                <c:pt idx="3">
                  <c:v>0</c:v>
                </c:pt>
              </c:numCache>
            </c:numRef>
          </c:val>
          <c:extLst>
            <c:ext xmlns:c16="http://schemas.microsoft.com/office/drawing/2014/chart" uri="{C3380CC4-5D6E-409C-BE32-E72D297353CC}">
              <c16:uniqueId val="{00000000-535A-419E-B68D-C8A016627497}"/>
            </c:ext>
          </c:extLst>
        </c:ser>
        <c:ser>
          <c:idx val="1"/>
          <c:order val="1"/>
          <c:tx>
            <c:strRef>
              <c:f>Sheet1!$C$1</c:f>
              <c:strCache>
                <c:ptCount val="1"/>
                <c:pt idx="0">
                  <c:v>支出</c:v>
                </c:pt>
              </c:strCache>
            </c:strRef>
          </c:tx>
          <c:spPr>
            <a:solidFill>
              <a:schemeClr val="accent2"/>
            </a:solidFill>
            <a:ln>
              <a:noFill/>
            </a:ln>
            <a:effectLst/>
          </c:spPr>
          <c:invertIfNegative val="0"/>
          <c:cat>
            <c:strRef>
              <c:f>Sheet1!$A$2:$A$5</c:f>
              <c:strCache>
                <c:ptCount val="4"/>
                <c:pt idx="0">
                  <c:v>2021年财政拨款</c:v>
                </c:pt>
                <c:pt idx="1">
                  <c:v>2022年财政拨款</c:v>
                </c:pt>
                <c:pt idx="2">
                  <c:v>类别 3</c:v>
                </c:pt>
                <c:pt idx="3">
                  <c:v>类别 4</c:v>
                </c:pt>
              </c:strCache>
            </c:strRef>
          </c:cat>
          <c:val>
            <c:numRef>
              <c:f>Sheet1!$C$2:$C$5</c:f>
              <c:numCache>
                <c:formatCode>General</c:formatCode>
                <c:ptCount val="4"/>
                <c:pt idx="0">
                  <c:v>202.14</c:v>
                </c:pt>
                <c:pt idx="1">
                  <c:v>225.15</c:v>
                </c:pt>
                <c:pt idx="2">
                  <c:v>0</c:v>
                </c:pt>
                <c:pt idx="3">
                  <c:v>0</c:v>
                </c:pt>
              </c:numCache>
            </c:numRef>
          </c:val>
          <c:extLst>
            <c:ext xmlns:c16="http://schemas.microsoft.com/office/drawing/2014/chart" uri="{C3380CC4-5D6E-409C-BE32-E72D297353CC}">
              <c16:uniqueId val="{00000001-535A-419E-B68D-C8A016627497}"/>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2021年财政拨款</c:v>
                </c:pt>
                <c:pt idx="1">
                  <c:v>2022年财政拨款</c:v>
                </c:pt>
                <c:pt idx="2">
                  <c:v>类别 3</c:v>
                </c:pt>
                <c:pt idx="3">
                  <c:v>类别 4</c:v>
                </c:pt>
              </c:strCache>
            </c:strRef>
          </c:cat>
          <c:val>
            <c:numRef>
              <c:f>Sheet1!$D$2:$D$5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2-535A-419E-B68D-C8A016627497}"/>
            </c:ext>
          </c:extLst>
        </c:ser>
        <c:dLbls>
          <c:showLegendKey val="0"/>
          <c:showVal val="0"/>
          <c:showCatName val="0"/>
          <c:showSerName val="0"/>
          <c:showPercent val="0"/>
          <c:showBubbleSize val="0"/>
        </c:dLbls>
        <c:gapWidth val="219"/>
        <c:overlap val="-27"/>
        <c:axId val="518730968"/>
        <c:axId val="373888243"/>
      </c:barChart>
      <c:catAx>
        <c:axId val="51873096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73888243"/>
        <c:crosses val="autoZero"/>
        <c:auto val="1"/>
        <c:lblAlgn val="ctr"/>
        <c:lblOffset val="100"/>
        <c:noMultiLvlLbl val="0"/>
      </c:catAx>
      <c:valAx>
        <c:axId val="3738882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18730968"/>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一般公共预算财政拨款支出决算变动情况</a:t>
            </a:r>
          </a:p>
        </c:rich>
      </c:tx>
      <c:layout>
        <c:manualLayout>
          <c:xMode val="edge"/>
          <c:yMode val="edge"/>
          <c:x val="0.151114375783754"/>
          <c:y val="2.9465713083719001E-2"/>
        </c:manualLayout>
      </c:layout>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Sheet1!$B$1</c:f>
              <c:strCache>
                <c:ptCount val="1"/>
              </c:strCache>
            </c:strRef>
          </c:tx>
          <c:spPr>
            <a:solidFill>
              <a:schemeClr val="accent1"/>
            </a:solidFill>
            <a:ln>
              <a:noFill/>
            </a:ln>
            <a:effectLst/>
          </c:spPr>
          <c:invertIfNegative val="0"/>
          <c:cat>
            <c:strRef>
              <c:f>Sheet1!$A$2:$A$5</c:f>
              <c:strCache>
                <c:ptCount val="4"/>
                <c:pt idx="0">
                  <c:v>2021年一般公共预算财政拨款支出</c:v>
                </c:pt>
                <c:pt idx="1">
                  <c:v>2022年一般公共预算财政拨款支出</c:v>
                </c:pt>
                <c:pt idx="2">
                  <c:v>类别 3</c:v>
                </c:pt>
                <c:pt idx="3">
                  <c:v>类别 4</c:v>
                </c:pt>
              </c:strCache>
            </c:strRef>
          </c:cat>
          <c:val>
            <c:numRef>
              <c:f>Sheet1!$B$2:$B$5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0-FD7A-4771-AE1C-27E1690CDCCB}"/>
            </c:ext>
          </c:extLst>
        </c:ser>
        <c:ser>
          <c:idx val="1"/>
          <c:order val="1"/>
          <c:tx>
            <c:strRef>
              <c:f>Sheet1!$C$1</c:f>
              <c:strCache>
                <c:ptCount val="1"/>
                <c:pt idx="0">
                  <c:v>支出</c:v>
                </c:pt>
              </c:strCache>
            </c:strRef>
          </c:tx>
          <c:spPr>
            <a:solidFill>
              <a:schemeClr val="accent2"/>
            </a:solidFill>
            <a:ln>
              <a:noFill/>
            </a:ln>
            <a:effectLst/>
          </c:spPr>
          <c:invertIfNegative val="0"/>
          <c:cat>
            <c:strRef>
              <c:f>Sheet1!$A$2:$A$5</c:f>
              <c:strCache>
                <c:ptCount val="4"/>
                <c:pt idx="0">
                  <c:v>2021年一般公共预算财政拨款支出</c:v>
                </c:pt>
                <c:pt idx="1">
                  <c:v>2022年一般公共预算财政拨款支出</c:v>
                </c:pt>
                <c:pt idx="2">
                  <c:v>类别 3</c:v>
                </c:pt>
                <c:pt idx="3">
                  <c:v>类别 4</c:v>
                </c:pt>
              </c:strCache>
            </c:strRef>
          </c:cat>
          <c:val>
            <c:numRef>
              <c:f>Sheet1!$C$2:$C$5</c:f>
              <c:numCache>
                <c:formatCode>General</c:formatCode>
                <c:ptCount val="4"/>
                <c:pt idx="0">
                  <c:v>202.14</c:v>
                </c:pt>
                <c:pt idx="1">
                  <c:v>225.15</c:v>
                </c:pt>
                <c:pt idx="2">
                  <c:v>0</c:v>
                </c:pt>
                <c:pt idx="3">
                  <c:v>0</c:v>
                </c:pt>
              </c:numCache>
            </c:numRef>
          </c:val>
          <c:extLst>
            <c:ext xmlns:c16="http://schemas.microsoft.com/office/drawing/2014/chart" uri="{C3380CC4-5D6E-409C-BE32-E72D297353CC}">
              <c16:uniqueId val="{00000001-FD7A-4771-AE1C-27E1690CDCCB}"/>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2021年一般公共预算财政拨款支出</c:v>
                </c:pt>
                <c:pt idx="1">
                  <c:v>2022年一般公共预算财政拨款支出</c:v>
                </c:pt>
                <c:pt idx="2">
                  <c:v>类别 3</c:v>
                </c:pt>
                <c:pt idx="3">
                  <c:v>类别 4</c:v>
                </c:pt>
              </c:strCache>
            </c:strRef>
          </c:cat>
          <c:val>
            <c:numRef>
              <c:f>Sheet1!$D$2:$D$5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2-FD7A-4771-AE1C-27E1690CDCCB}"/>
            </c:ext>
          </c:extLst>
        </c:ser>
        <c:dLbls>
          <c:showLegendKey val="0"/>
          <c:showVal val="0"/>
          <c:showCatName val="0"/>
          <c:showSerName val="0"/>
          <c:showPercent val="0"/>
          <c:showBubbleSize val="0"/>
        </c:dLbls>
        <c:gapWidth val="219"/>
        <c:overlap val="-27"/>
        <c:axId val="518730968"/>
        <c:axId val="373888243"/>
      </c:barChart>
      <c:catAx>
        <c:axId val="51873096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73888243"/>
        <c:crosses val="autoZero"/>
        <c:auto val="1"/>
        <c:lblAlgn val="ctr"/>
        <c:lblOffset val="100"/>
        <c:noMultiLvlLbl val="0"/>
      </c:catAx>
      <c:valAx>
        <c:axId val="3738882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18730968"/>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1"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zh-CN" altLang="en-US"/>
              <a:t>一般公共预算财政拨款支出决算结构</a:t>
            </a:r>
          </a:p>
        </c:rich>
      </c:tx>
      <c:overlay val="0"/>
      <c:spPr>
        <a:noFill/>
        <a:ln>
          <a:noFill/>
        </a:ln>
        <a:effectLst/>
      </c:spPr>
      <c:txPr>
        <a:bodyPr rot="0" spcFirstLastPara="0" vertOverflow="ellipsis" vert="horz" wrap="square" anchor="ctr" anchorCtr="1" forceAA="0"/>
        <a:lstStyle/>
        <a:p>
          <a:pPr defTabSz="914400">
            <a:defRPr lang="zh-CN" sz="1400" b="1"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title>
    <c:autoTitleDeleted val="0"/>
    <c:plotArea>
      <c:layout>
        <c:manualLayout>
          <c:layoutTarget val="inner"/>
          <c:xMode val="edge"/>
          <c:yMode val="edge"/>
          <c:x val="0.29199518909528299"/>
          <c:y val="0.25943290913150302"/>
          <c:w val="0.40892690097554502"/>
          <c:h val="0.68318821165438703"/>
        </c:manualLayout>
      </c:layout>
      <c:pieChart>
        <c:varyColors val="1"/>
        <c:ser>
          <c:idx val="0"/>
          <c:order val="0"/>
          <c:tx>
            <c:strRef>
              <c:f>Sheet1!$B$1</c:f>
              <c:strCache>
                <c:ptCount val="1"/>
                <c:pt idx="0">
                  <c:v>系列 1</c:v>
                </c:pt>
              </c:strCache>
            </c:strRef>
          </c:tx>
          <c:spPr>
            <a:solidFill>
              <a:srgbClr val="867CFF"/>
            </a:solidFill>
            <a:ln w="12700" cmpd="sng">
              <a:solidFill>
                <a:schemeClr val="bg1">
                  <a:lumMod val="85000"/>
                </a:schemeClr>
              </a:solidFill>
              <a:prstDash val="solid"/>
            </a:ln>
            <a:effectLst/>
          </c:spPr>
          <c:dPt>
            <c:idx val="0"/>
            <c:bubble3D val="0"/>
            <c:spPr>
              <a:solidFill>
                <a:srgbClr val="3FC9E2"/>
              </a:solidFill>
              <a:ln w="12700" cmpd="sng">
                <a:solidFill>
                  <a:schemeClr val="bg1">
                    <a:lumMod val="85000"/>
                  </a:schemeClr>
                </a:solidFill>
                <a:prstDash val="solid"/>
              </a:ln>
              <a:effectLst/>
            </c:spPr>
            <c:extLst>
              <c:ext xmlns:c16="http://schemas.microsoft.com/office/drawing/2014/chart" uri="{C3380CC4-5D6E-409C-BE32-E72D297353CC}">
                <c16:uniqueId val="{00000001-D4E2-4BB9-9C4B-6174B3C0C84F}"/>
              </c:ext>
            </c:extLst>
          </c:dPt>
          <c:dPt>
            <c:idx val="1"/>
            <c:bubble3D val="0"/>
            <c:spPr>
              <a:solidFill>
                <a:srgbClr val="B88ECE"/>
              </a:solidFill>
              <a:ln w="12700" cmpd="sng">
                <a:solidFill>
                  <a:schemeClr val="bg1">
                    <a:lumMod val="85000"/>
                  </a:schemeClr>
                </a:solidFill>
                <a:prstDash val="solid"/>
              </a:ln>
              <a:effectLst/>
            </c:spPr>
            <c:extLst>
              <c:ext xmlns:c16="http://schemas.microsoft.com/office/drawing/2014/chart" uri="{C3380CC4-5D6E-409C-BE32-E72D297353CC}">
                <c16:uniqueId val="{00000003-D4E2-4BB9-9C4B-6174B3C0C84F}"/>
              </c:ext>
            </c:extLst>
          </c:dPt>
          <c:dPt>
            <c:idx val="2"/>
            <c:bubble3D val="0"/>
            <c:spPr>
              <a:solidFill>
                <a:srgbClr val="F8B092"/>
              </a:solidFill>
              <a:ln w="12700" cmpd="sng">
                <a:solidFill>
                  <a:schemeClr val="bg1">
                    <a:lumMod val="85000"/>
                  </a:schemeClr>
                </a:solidFill>
                <a:prstDash val="solid"/>
              </a:ln>
              <a:effectLst/>
            </c:spPr>
            <c:extLst>
              <c:ext xmlns:c16="http://schemas.microsoft.com/office/drawing/2014/chart" uri="{C3380CC4-5D6E-409C-BE32-E72D297353CC}">
                <c16:uniqueId val="{00000005-D4E2-4BB9-9C4B-6174B3C0C84F}"/>
              </c:ext>
            </c:extLst>
          </c:dPt>
          <c:dPt>
            <c:idx val="3"/>
            <c:bubble3D val="0"/>
            <c:explosion val="1"/>
            <c:spPr>
              <a:solidFill>
                <a:srgbClr val="867CFF"/>
              </a:solidFill>
              <a:ln w="12700" cmpd="sng">
                <a:solidFill>
                  <a:schemeClr val="bg1">
                    <a:lumMod val="85000"/>
                  </a:schemeClr>
                </a:solidFill>
                <a:prstDash val="solid"/>
              </a:ln>
              <a:effectLst/>
            </c:spPr>
            <c:extLst>
              <c:ext xmlns:c16="http://schemas.microsoft.com/office/drawing/2014/chart" uri="{C3380CC4-5D6E-409C-BE32-E72D297353CC}">
                <c16:uniqueId val="{00000007-D4E2-4BB9-9C4B-6174B3C0C84F}"/>
              </c:ext>
            </c:extLst>
          </c:dPt>
          <c:dLbls>
            <c:dLbl>
              <c:idx val="0"/>
              <c:tx>
                <c:rich>
                  <a:bodyPr rot="0" spcFirstLastPara="0" vertOverflow="ellipsis" vert="horz" wrap="square" lIns="38100" tIns="19050" rIns="38100" bIns="19050" anchor="ctr" anchorCtr="1" forceAA="0"/>
                  <a:lstStyle/>
                  <a:p>
                    <a:pPr defTabSz="914400">
                      <a:defRPr lang="zh-CN" sz="1000" b="0" i="0" u="none" strike="noStrike" kern="1200" baseline="0">
                        <a:solidFill>
                          <a:schemeClr val="bg1">
                            <a:lumMod val="95000"/>
                          </a:schemeClr>
                        </a:solidFill>
                        <a:latin typeface="Impact" panose="020B0806030902050204" charset="0"/>
                        <a:ea typeface="Impact" panose="020B0806030902050204" charset="0"/>
                        <a:cs typeface="Impact" panose="020B0806030902050204" charset="0"/>
                        <a:sym typeface="Impact" panose="020B0806030902050204" charset="0"/>
                      </a:defRPr>
                    </a:pPr>
                    <a:r>
                      <a:rPr lang="en-US" altLang="zh-CN"/>
                      <a:t>55.3%</a:t>
                    </a:r>
                  </a:p>
                </c:rich>
              </c:tx>
              <c:spPr>
                <a:noFill/>
                <a:ln>
                  <a:noFill/>
                </a:ln>
                <a:effectLst/>
              </c:spPr>
              <c:txPr>
                <a:bodyPr rot="0" spcFirstLastPara="0" vertOverflow="ellipsis" vert="horz" wrap="square" lIns="38100" tIns="19050" rIns="38100" bIns="19050" anchor="ctr" anchorCtr="1" forceAA="0"/>
                <a:lstStyle/>
                <a:p>
                  <a:pPr defTabSz="914400">
                    <a:defRPr lang="zh-CN" sz="1000" b="0" i="0" u="none" strike="noStrike" kern="1200" baseline="0">
                      <a:solidFill>
                        <a:schemeClr val="bg1">
                          <a:lumMod val="95000"/>
                        </a:schemeClr>
                      </a:solidFill>
                      <a:latin typeface="Impact" panose="020B0806030902050204" charset="0"/>
                      <a:ea typeface="Impact" panose="020B0806030902050204" charset="0"/>
                      <a:cs typeface="Impact" panose="020B0806030902050204" charset="0"/>
                      <a:sym typeface="Impact" panose="020B0806030902050204" charset="0"/>
                    </a:defRPr>
                  </a:pPr>
                  <a:endParaRPr lang="zh-CN"/>
                </a:p>
              </c:txPr>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D4E2-4BB9-9C4B-6174B3C0C84F}"/>
                </c:ext>
              </c:extLst>
            </c:dLbl>
            <c:dLbl>
              <c:idx val="1"/>
              <c:layout>
                <c:manualLayout>
                  <c:x val="0.122584357415361"/>
                  <c:y val="-2.9263042241813399E-2"/>
                </c:manualLayout>
              </c:layout>
              <c:tx>
                <c:rich>
                  <a:bodyPr rot="0" spcFirstLastPara="0" vertOverflow="ellipsis" vert="horz" wrap="square" lIns="38100" tIns="19050" rIns="38100" bIns="19050" anchor="ctr" anchorCtr="1" forceAA="0"/>
                  <a:lstStyle/>
                  <a:p>
                    <a:pPr defTabSz="914400">
                      <a:defRPr lang="zh-CN" sz="1000" b="0" i="0" u="none" strike="noStrike" kern="1200" baseline="0">
                        <a:solidFill>
                          <a:schemeClr val="bg1">
                            <a:lumMod val="95000"/>
                          </a:schemeClr>
                        </a:solidFill>
                        <a:latin typeface="Impact" panose="020B0806030902050204" charset="0"/>
                        <a:ea typeface="Impact" panose="020B0806030902050204" charset="0"/>
                        <a:cs typeface="Impact" panose="020B0806030902050204" charset="0"/>
                        <a:sym typeface="Impact" panose="020B0806030902050204" charset="0"/>
                      </a:defRPr>
                    </a:pPr>
                    <a:r>
                      <a:rPr lang="en-US" altLang="zh-CN"/>
                      <a:t>38.7%</a:t>
                    </a:r>
                  </a:p>
                </c:rich>
              </c:tx>
              <c:spPr>
                <a:noFill/>
                <a:ln>
                  <a:noFill/>
                </a:ln>
                <a:effectLst/>
              </c:spPr>
              <c:txPr>
                <a:bodyPr rot="0" spcFirstLastPara="0" vertOverflow="ellipsis" vert="horz" wrap="square" lIns="38100" tIns="19050" rIns="38100" bIns="19050" anchor="ctr" anchorCtr="1" forceAA="0"/>
                <a:lstStyle/>
                <a:p>
                  <a:pPr defTabSz="914400">
                    <a:defRPr lang="zh-CN" sz="1000" b="0" i="0" u="none" strike="noStrike" kern="1200" baseline="0">
                      <a:solidFill>
                        <a:schemeClr val="bg1">
                          <a:lumMod val="95000"/>
                        </a:schemeClr>
                      </a:solidFill>
                      <a:latin typeface="Impact" panose="020B0806030902050204" charset="0"/>
                      <a:ea typeface="Impact" panose="020B0806030902050204" charset="0"/>
                      <a:cs typeface="Impact" panose="020B0806030902050204" charset="0"/>
                      <a:sym typeface="Impact" panose="020B0806030902050204" charset="0"/>
                    </a:defRPr>
                  </a:pPr>
                  <a:endParaRPr lang="zh-CN"/>
                </a:p>
              </c:txPr>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D4E2-4BB9-9C4B-6174B3C0C84F}"/>
                </c:ext>
              </c:extLst>
            </c:dLbl>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bg1">
                        <a:lumMod val="95000"/>
                      </a:schemeClr>
                    </a:solidFill>
                    <a:latin typeface="Impact" panose="020B0806030902050204" charset="0"/>
                    <a:ea typeface="Impact" panose="020B0806030902050204" charset="0"/>
                    <a:cs typeface="Impact" panose="020B0806030902050204" charset="0"/>
                    <a:sym typeface="Impact" panose="020B0806030902050204" charset="0"/>
                  </a:defRPr>
                </a:pPr>
                <a:endParaRPr lang="zh-CN"/>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一般公共服务</c:v>
                </c:pt>
                <c:pt idx="1">
                  <c:v>基层医疗卫生机构</c:v>
                </c:pt>
                <c:pt idx="2">
                  <c:v>事业单位医疗</c:v>
                </c:pt>
                <c:pt idx="3">
                  <c:v>养老保险</c:v>
                </c:pt>
              </c:strCache>
            </c:strRef>
          </c:cat>
          <c:val>
            <c:numRef>
              <c:f>Sheet1!$B$2:$B$5</c:f>
              <c:numCache>
                <c:formatCode>General</c:formatCode>
                <c:ptCount val="4"/>
                <c:pt idx="0">
                  <c:v>51.5</c:v>
                </c:pt>
                <c:pt idx="1">
                  <c:v>43.15</c:v>
                </c:pt>
                <c:pt idx="2">
                  <c:v>1</c:v>
                </c:pt>
                <c:pt idx="3">
                  <c:v>4</c:v>
                </c:pt>
              </c:numCache>
            </c:numRef>
          </c:val>
          <c:extLst>
            <c:ext xmlns:c16="http://schemas.microsoft.com/office/drawing/2014/chart" uri="{C3380CC4-5D6E-409C-BE32-E72D297353CC}">
              <c16:uniqueId val="{00000008-D4E2-4BB9-9C4B-6174B3C0C84F}"/>
            </c:ext>
          </c:extLst>
        </c:ser>
        <c:ser>
          <c:idx val="1"/>
          <c:order val="1"/>
          <c:tx>
            <c:strRef>
              <c:f>Sheet1!$C$1</c:f>
              <c:strCache>
                <c:ptCount val="1"/>
                <c:pt idx="0">
                  <c:v>系列 2</c:v>
                </c:pt>
              </c:strCache>
            </c:strRef>
          </c:tx>
          <c:spPr>
            <a:solidFill>
              <a:srgbClr val="867CFF"/>
            </a:solidFill>
            <a:ln w="12700" cmpd="sng">
              <a:solidFill>
                <a:schemeClr val="bg1">
                  <a:lumMod val="85000"/>
                </a:schemeClr>
              </a:solidFill>
              <a:prstDash val="solid"/>
            </a:ln>
            <a:effectLst/>
          </c:spPr>
          <c:dPt>
            <c:idx val="0"/>
            <c:bubble3D val="0"/>
            <c:spPr>
              <a:solidFill>
                <a:srgbClr val="3FC9E2"/>
              </a:solidFill>
              <a:ln w="12700" cmpd="sng">
                <a:solidFill>
                  <a:schemeClr val="bg1">
                    <a:lumMod val="85000"/>
                  </a:schemeClr>
                </a:solidFill>
                <a:prstDash val="solid"/>
              </a:ln>
              <a:effectLst/>
            </c:spPr>
            <c:extLst>
              <c:ext xmlns:c16="http://schemas.microsoft.com/office/drawing/2014/chart" uri="{C3380CC4-5D6E-409C-BE32-E72D297353CC}">
                <c16:uniqueId val="{0000000A-D4E2-4BB9-9C4B-6174B3C0C84F}"/>
              </c:ext>
            </c:extLst>
          </c:dPt>
          <c:dPt>
            <c:idx val="1"/>
            <c:bubble3D val="0"/>
            <c:spPr>
              <a:solidFill>
                <a:srgbClr val="B88ECE"/>
              </a:solidFill>
              <a:ln w="12700" cmpd="sng">
                <a:solidFill>
                  <a:schemeClr val="bg1">
                    <a:lumMod val="85000"/>
                  </a:schemeClr>
                </a:solidFill>
                <a:prstDash val="solid"/>
              </a:ln>
              <a:effectLst/>
            </c:spPr>
            <c:extLst>
              <c:ext xmlns:c16="http://schemas.microsoft.com/office/drawing/2014/chart" uri="{C3380CC4-5D6E-409C-BE32-E72D297353CC}">
                <c16:uniqueId val="{0000000C-D4E2-4BB9-9C4B-6174B3C0C84F}"/>
              </c:ext>
            </c:extLst>
          </c:dPt>
          <c:dPt>
            <c:idx val="2"/>
            <c:bubble3D val="0"/>
            <c:spPr>
              <a:solidFill>
                <a:srgbClr val="F8B092"/>
              </a:solidFill>
              <a:ln w="12700" cmpd="sng">
                <a:solidFill>
                  <a:schemeClr val="bg1">
                    <a:lumMod val="85000"/>
                  </a:schemeClr>
                </a:solidFill>
                <a:prstDash val="solid"/>
              </a:ln>
              <a:effectLst/>
            </c:spPr>
            <c:extLst>
              <c:ext xmlns:c16="http://schemas.microsoft.com/office/drawing/2014/chart" uri="{C3380CC4-5D6E-409C-BE32-E72D297353CC}">
                <c16:uniqueId val="{0000000E-D4E2-4BB9-9C4B-6174B3C0C84F}"/>
              </c:ext>
            </c:extLst>
          </c:dPt>
          <c:dPt>
            <c:idx val="3"/>
            <c:bubble3D val="0"/>
            <c:explosion val="1"/>
            <c:spPr>
              <a:solidFill>
                <a:srgbClr val="867CFF"/>
              </a:solidFill>
              <a:ln w="12700" cmpd="sng">
                <a:solidFill>
                  <a:schemeClr val="bg1">
                    <a:lumMod val="85000"/>
                  </a:schemeClr>
                </a:solidFill>
                <a:prstDash val="solid"/>
              </a:ln>
              <a:effectLst/>
            </c:spPr>
            <c:extLst>
              <c:ext xmlns:c16="http://schemas.microsoft.com/office/drawing/2014/chart" uri="{C3380CC4-5D6E-409C-BE32-E72D297353CC}">
                <c16:uniqueId val="{00000010-D4E2-4BB9-9C4B-6174B3C0C84F}"/>
              </c:ext>
            </c:extLst>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一般公共服务</c:v>
                </c:pt>
                <c:pt idx="1">
                  <c:v>基层医疗卫生机构</c:v>
                </c:pt>
                <c:pt idx="2">
                  <c:v>事业单位医疗</c:v>
                </c:pt>
                <c:pt idx="3">
                  <c:v>养老保险</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11-D4E2-4BB9-9C4B-6174B3C0C84F}"/>
            </c:ext>
          </c:extLst>
        </c:ser>
        <c:ser>
          <c:idx val="2"/>
          <c:order val="2"/>
          <c:tx>
            <c:strRef>
              <c:f>Sheet1!$D$1</c:f>
              <c:strCache>
                <c:ptCount val="1"/>
                <c:pt idx="0">
                  <c:v>系列 3</c:v>
                </c:pt>
              </c:strCache>
            </c:strRef>
          </c:tx>
          <c:spPr>
            <a:solidFill>
              <a:srgbClr val="867CFF"/>
            </a:solidFill>
            <a:ln w="12700" cmpd="sng">
              <a:solidFill>
                <a:schemeClr val="bg1">
                  <a:lumMod val="85000"/>
                </a:schemeClr>
              </a:solidFill>
              <a:prstDash val="solid"/>
            </a:ln>
            <a:effectLst/>
          </c:spPr>
          <c:dPt>
            <c:idx val="0"/>
            <c:bubble3D val="0"/>
            <c:spPr>
              <a:solidFill>
                <a:srgbClr val="3FC9E2"/>
              </a:solidFill>
              <a:ln w="12700" cmpd="sng">
                <a:solidFill>
                  <a:schemeClr val="bg1">
                    <a:lumMod val="85000"/>
                  </a:schemeClr>
                </a:solidFill>
                <a:prstDash val="solid"/>
              </a:ln>
              <a:effectLst/>
            </c:spPr>
            <c:extLst>
              <c:ext xmlns:c16="http://schemas.microsoft.com/office/drawing/2014/chart" uri="{C3380CC4-5D6E-409C-BE32-E72D297353CC}">
                <c16:uniqueId val="{00000013-D4E2-4BB9-9C4B-6174B3C0C84F}"/>
              </c:ext>
            </c:extLst>
          </c:dPt>
          <c:dPt>
            <c:idx val="1"/>
            <c:bubble3D val="0"/>
            <c:spPr>
              <a:solidFill>
                <a:srgbClr val="B88ECE"/>
              </a:solidFill>
              <a:ln w="12700" cmpd="sng">
                <a:solidFill>
                  <a:schemeClr val="bg1">
                    <a:lumMod val="85000"/>
                  </a:schemeClr>
                </a:solidFill>
                <a:prstDash val="solid"/>
              </a:ln>
              <a:effectLst/>
            </c:spPr>
            <c:extLst>
              <c:ext xmlns:c16="http://schemas.microsoft.com/office/drawing/2014/chart" uri="{C3380CC4-5D6E-409C-BE32-E72D297353CC}">
                <c16:uniqueId val="{00000015-D4E2-4BB9-9C4B-6174B3C0C84F}"/>
              </c:ext>
            </c:extLst>
          </c:dPt>
          <c:dPt>
            <c:idx val="2"/>
            <c:bubble3D val="0"/>
            <c:spPr>
              <a:solidFill>
                <a:srgbClr val="F8B092"/>
              </a:solidFill>
              <a:ln w="12700" cmpd="sng">
                <a:solidFill>
                  <a:schemeClr val="bg1">
                    <a:lumMod val="85000"/>
                  </a:schemeClr>
                </a:solidFill>
                <a:prstDash val="solid"/>
              </a:ln>
              <a:effectLst/>
            </c:spPr>
            <c:extLst>
              <c:ext xmlns:c16="http://schemas.microsoft.com/office/drawing/2014/chart" uri="{C3380CC4-5D6E-409C-BE32-E72D297353CC}">
                <c16:uniqueId val="{00000017-D4E2-4BB9-9C4B-6174B3C0C84F}"/>
              </c:ext>
            </c:extLst>
          </c:dPt>
          <c:dPt>
            <c:idx val="3"/>
            <c:bubble3D val="0"/>
            <c:explosion val="1"/>
            <c:spPr>
              <a:solidFill>
                <a:srgbClr val="867CFF"/>
              </a:solidFill>
              <a:ln w="12700" cmpd="sng">
                <a:solidFill>
                  <a:schemeClr val="bg1">
                    <a:lumMod val="85000"/>
                  </a:schemeClr>
                </a:solidFill>
                <a:prstDash val="solid"/>
              </a:ln>
              <a:effectLst/>
            </c:spPr>
            <c:extLst>
              <c:ext xmlns:c16="http://schemas.microsoft.com/office/drawing/2014/chart" uri="{C3380CC4-5D6E-409C-BE32-E72D297353CC}">
                <c16:uniqueId val="{00000019-D4E2-4BB9-9C4B-6174B3C0C84F}"/>
              </c:ext>
            </c:extLst>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一般公共服务</c:v>
                </c:pt>
                <c:pt idx="1">
                  <c:v>基层医疗卫生机构</c:v>
                </c:pt>
                <c:pt idx="2">
                  <c:v>事业单位医疗</c:v>
                </c:pt>
                <c:pt idx="3">
                  <c:v>养老保险</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1A-D4E2-4BB9-9C4B-6174B3C0C84F}"/>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legend>
    <c:plotVisOnly val="1"/>
    <c:dispBlanksAs val="gap"/>
    <c:showDLblsOverMax val="0"/>
  </c:chart>
  <c:spPr>
    <a:pattFill prst="sphere">
      <a:fgClr>
        <a:srgbClr val="F0F3F8"/>
      </a:fgClr>
      <a:bgClr>
        <a:schemeClr val="bg1"/>
      </a:bgClr>
    </a:pattFill>
    <a:ln w="6350"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0ACD3-C931-4644-801A-B9EA7D580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29</Pages>
  <Words>1550</Words>
  <Characters>8841</Characters>
  <Application>Microsoft Office Word</Application>
  <DocSecurity>0</DocSecurity>
  <Lines>73</Lines>
  <Paragraphs>20</Paragraphs>
  <ScaleCrop>false</ScaleCrop>
  <Company>四川省财政厅</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ZhouPorridge</cp:lastModifiedBy>
  <cp:revision>39</cp:revision>
  <cp:lastPrinted>2020-07-23T02:58:00Z</cp:lastPrinted>
  <dcterms:created xsi:type="dcterms:W3CDTF">2020-08-04T01:49:00Z</dcterms:created>
  <dcterms:modified xsi:type="dcterms:W3CDTF">2023-11-06T06:23:00Z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26907F7600D948FA8C916CB17DC007FD</vt:lpwstr>
  </property>
</Properties>
</file>