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8441"/>
      <w:bookmarkStart w:id="1" w:name="_Toc15377425"/>
      <w:bookmarkStart w:id="2" w:name="_Toc15377193"/>
      <w:bookmarkStart w:id="3" w:name="_Toc15396597"/>
      <w:bookmarkStart w:id="4" w:name="_Toc1539647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Start w:id="6" w:name="_Toc15378442"/>
      <w:bookmarkStart w:id="7" w:name="_Toc15396598"/>
      <w:bookmarkStart w:id="8" w:name="_Toc15377426"/>
      <w:bookmarkStart w:id="9" w:name="_Toc15377194"/>
      <w:bookmarkStart w:id="10" w:name="_Toc15396476"/>
      <w:r>
        <w:rPr>
          <w:rFonts w:hint="eastAsia" w:ascii="方正小标宋简体" w:hAnsi="方正小标宋简体" w:eastAsia="方正小标宋简体" w:cs="方正小标宋简体"/>
          <w:color w:val="auto"/>
          <w:sz w:val="72"/>
          <w:szCs w:val="72"/>
          <w:highlight w:val="none"/>
        </w:rPr>
        <w:t>四川</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省</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lang w:eastAsia="zh-CN"/>
        </w:rPr>
        <w:t>开江县卫生健康局</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部门</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29</w:t>
      </w:r>
      <w:r>
        <w:rPr>
          <w:rFonts w:hint="eastAsia"/>
          <w:color w:val="auto"/>
          <w:highlight w:val="none"/>
        </w:rPr>
        <w:t>日</w:t>
      </w:r>
    </w:p>
    <w:p>
      <w:pPr>
        <w:rPr>
          <w:color w:val="auto"/>
          <w:highlight w:val="none"/>
        </w:rPr>
      </w:pPr>
    </w:p>
    <w:p>
      <w:pPr>
        <w:pStyle w:val="1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pPr>
        <w:pStyle w:val="13"/>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一、基本职能及主要工作</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二、机构设置</w:t>
      </w:r>
    </w:p>
    <w:p>
      <w:pPr>
        <w:pStyle w:val="12"/>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rPr>
        <w:t>部门决算情况说明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一、收入支出决算总体情况说明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六、一般公共预算财政拨款基本支出决算情况说明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八、政府性基金预算支出决算情况说明</w:t>
      </w:r>
    </w:p>
    <w:p>
      <w:pPr>
        <w:pStyle w:val="13"/>
        <w:adjustRightInd w:val="0"/>
        <w:snapToGrid w:val="0"/>
        <w:spacing w:line="440" w:lineRule="exact"/>
        <w:ind w:leftChars="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rPr>
      </w:pPr>
      <w:r>
        <w:rPr>
          <w:rStyle w:val="17"/>
          <w:rFonts w:hint="eastAsia" w:asciiTheme="minorEastAsia" w:hAnsiTheme="minorEastAsia" w:eastAsiaTheme="minorEastAsia" w:cstheme="minorEastAsia"/>
          <w:color w:val="auto"/>
          <w:sz w:val="24"/>
          <w:highlight w:val="none"/>
          <w:u w:val="none"/>
          <w:lang w:eastAsia="zh-CN"/>
        </w:rPr>
        <w:t>十</w:t>
      </w:r>
      <w:r>
        <w:rPr>
          <w:rStyle w:val="17"/>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rPr>
        <w:tab/>
      </w:r>
    </w:p>
    <w:p>
      <w:pPr>
        <w:pStyle w:val="1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3"/>
        <w:adjustRightInd w:val="0"/>
        <w:snapToGrid w:val="0"/>
        <w:spacing w:line="440" w:lineRule="exact"/>
        <w:jc w:val="left"/>
        <w:rPr>
          <w:rFonts w:ascii="仿宋" w:hAnsi="仿宋" w:eastAsia="仿宋" w:cstheme="minorBidi"/>
          <w:color w:val="auto"/>
          <w:sz w:val="24"/>
          <w:highlight w:val="none"/>
        </w:rPr>
      </w:pPr>
      <w:r>
        <w:rPr>
          <w:rFonts w:hint="eastAsia" w:ascii="仿宋" w:hAnsi="仿宋" w:eastAsia="仿宋"/>
          <w:color w:val="auto"/>
          <w:sz w:val="24"/>
          <w:highlight w:val="none"/>
        </w:rPr>
        <w:t>一、</w:t>
      </w:r>
      <w:r>
        <w:rPr>
          <w:rFonts w:hint="eastAsia"/>
          <w:color w:val="auto"/>
          <w:sz w:val="24"/>
          <w:highlight w:val="none"/>
        </w:rPr>
        <w:t>收入支出决算总表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二、收入决算表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四、财政拨款收入支出决算总表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五、财政拨款支出决算明细表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六、一般公共预算财政拨款支出决算表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七、一般公共预算财政拨款支出决算明细表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八、一般公共预算财政拨款基本支出决算表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九、一般公共预算财政拨款项目支出决算表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十、一般公共预算财政拨款“三公”经费支出决算表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十一、政府性基金预算财政拨款收入支出决算表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十二、政府性基金预算财政拨款“三公”经费支出决算表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十三、国有资本经营预算</w:t>
      </w:r>
      <w:r>
        <w:rPr>
          <w:rFonts w:hint="eastAsia" w:asciiTheme="minorEastAsia" w:hAnsiTheme="minorEastAsia" w:eastAsiaTheme="minorEastAsia" w:cstheme="minorEastAsia"/>
          <w:color w:val="auto"/>
          <w:sz w:val="24"/>
          <w:highlight w:val="none"/>
          <w:lang w:eastAsia="zh-CN"/>
        </w:rPr>
        <w:t>财政拨款收入</w:t>
      </w:r>
      <w:r>
        <w:rPr>
          <w:rFonts w:hint="eastAsia" w:asciiTheme="minorEastAsia" w:hAnsiTheme="minorEastAsia" w:eastAsiaTheme="minorEastAsia" w:cstheme="minorEastAsia"/>
          <w:color w:val="auto"/>
          <w:sz w:val="24"/>
          <w:highlight w:val="none"/>
        </w:rPr>
        <w:t>支出决算表</w:t>
      </w:r>
    </w:p>
    <w:p>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十四、国有资本经营预算财政拨款支出决算表</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4"/>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5"/>
        <w:rPr>
          <w:rStyle w:val="27"/>
          <w:rFonts w:ascii="仿宋" w:hAnsi="仿宋" w:eastAsia="仿宋"/>
          <w:b w:val="0"/>
          <w:bCs w:val="0"/>
          <w:color w:val="auto"/>
          <w:highlight w:val="none"/>
        </w:rPr>
      </w:pPr>
      <w:bookmarkStart w:id="14" w:name="_Toc15396600"/>
      <w:bookmarkStart w:id="15" w:name="_Toc15377197"/>
      <w:r>
        <w:rPr>
          <w:rFonts w:hint="eastAsia" w:ascii="黑体" w:hAnsi="黑体" w:eastAsia="黑体"/>
          <w:b w:val="0"/>
          <w:color w:val="auto"/>
          <w:highlight w:val="none"/>
        </w:rPr>
        <w:t>一、基</w:t>
      </w:r>
      <w:r>
        <w:rPr>
          <w:rStyle w:val="27"/>
          <w:rFonts w:hint="eastAsia" w:ascii="黑体" w:hAnsi="黑体" w:eastAsia="黑体"/>
          <w:b w:val="0"/>
          <w:bCs w:val="0"/>
          <w:color w:val="auto"/>
          <w:highlight w:val="none"/>
        </w:rPr>
        <w:t>本职能及主要工作</w:t>
      </w:r>
      <w:bookmarkEnd w:id="14"/>
      <w:bookmarkEnd w:id="15"/>
    </w:p>
    <w:p>
      <w:pPr>
        <w:snapToGrid w:val="0"/>
        <w:spacing w:line="520" w:lineRule="exact"/>
        <w:ind w:firstLine="640" w:firstLineChars="200"/>
        <w:rPr>
          <w:rFonts w:ascii="仿宋" w:hAnsi="仿宋" w:eastAsia="仿宋"/>
          <w:bCs/>
          <w:color w:val="auto"/>
          <w:sz w:val="32"/>
          <w:szCs w:val="32"/>
          <w:highlight w:val="none"/>
        </w:rPr>
      </w:pPr>
      <w:bookmarkStart w:id="16" w:name="_Toc15377198"/>
      <w:bookmarkStart w:id="17" w:name="_Toc15378445"/>
      <w:r>
        <w:rPr>
          <w:rFonts w:hint="eastAsia" w:ascii="仿宋" w:hAnsi="仿宋" w:eastAsia="仿宋"/>
          <w:bCs/>
          <w:color w:val="auto"/>
          <w:sz w:val="32"/>
          <w:szCs w:val="32"/>
          <w:highlight w:val="none"/>
        </w:rPr>
        <w:t>（一）主要职能。</w:t>
      </w:r>
      <w:bookmarkEnd w:id="16"/>
      <w:bookmarkEnd w:id="17"/>
      <w:r>
        <w:rPr>
          <w:rFonts w:hint="eastAsia" w:ascii="仿宋_GB2312" w:hAnsi="仿宋_GB2312" w:eastAsia="仿宋_GB2312" w:cs="仿宋_GB2312"/>
          <w:sz w:val="32"/>
          <w:szCs w:val="32"/>
          <w:lang w:val="en-US" w:eastAsia="zh-CN"/>
        </w:rPr>
        <w:t>开江县卫生健康局</w:t>
      </w:r>
      <w:r>
        <w:rPr>
          <w:rFonts w:hint="eastAsia" w:ascii="仿宋_GB2312" w:hAnsi="仿宋_GB2312" w:eastAsia="仿宋_GB2312" w:cs="仿宋_GB2312"/>
          <w:sz w:val="32"/>
          <w:szCs w:val="32"/>
          <w:lang w:eastAsia="zh-CN"/>
        </w:rPr>
        <w:t>主要职能是</w:t>
      </w:r>
      <w:r>
        <w:rPr>
          <w:rFonts w:hint="eastAsia" w:ascii="仿宋_GB2312" w:hAnsi="仿宋_GB2312" w:eastAsia="仿宋_GB2312" w:cs="仿宋_GB2312"/>
          <w:b w:val="0"/>
          <w:i w:val="0"/>
          <w:caps w:val="0"/>
          <w:color w:val="333333"/>
          <w:spacing w:val="0"/>
          <w:sz w:val="32"/>
          <w:szCs w:val="32"/>
          <w:shd w:val="clear" w:color="auto" w:fill="FFFFFF"/>
        </w:rPr>
        <w:t>以</w:t>
      </w:r>
      <w:r>
        <w:rPr>
          <w:rFonts w:hint="eastAsia" w:ascii="仿宋_GB2312" w:hAnsi="仿宋_GB2312" w:eastAsia="仿宋_GB2312" w:cs="仿宋_GB2312"/>
          <w:b w:val="0"/>
          <w:i w:val="0"/>
          <w:caps w:val="0"/>
          <w:color w:val="333333"/>
          <w:spacing w:val="0"/>
          <w:sz w:val="32"/>
          <w:szCs w:val="32"/>
          <w:shd w:val="clear" w:color="auto" w:fill="FFFFFF"/>
          <w:lang w:eastAsia="zh-CN"/>
        </w:rPr>
        <w:t>行政主管，</w:t>
      </w:r>
      <w:r>
        <w:rPr>
          <w:rFonts w:hint="eastAsia" w:ascii="仿宋_GB2312" w:hAnsi="仿宋_GB2312" w:eastAsia="仿宋_GB2312" w:cs="仿宋_GB2312"/>
          <w:b w:val="0"/>
          <w:i w:val="0"/>
          <w:caps w:val="0"/>
          <w:color w:val="333333"/>
          <w:spacing w:val="0"/>
          <w:sz w:val="32"/>
          <w:szCs w:val="32"/>
          <w:shd w:val="clear" w:color="auto" w:fill="FFFFFF"/>
        </w:rPr>
        <w:t>公共卫生服务为主，综合提供预防、保健</w:t>
      </w:r>
      <w:r>
        <w:rPr>
          <w:rFonts w:hint="eastAsia" w:ascii="仿宋_GB2312" w:hAnsi="仿宋_GB2312" w:eastAsia="仿宋_GB2312" w:cs="仿宋_GB2312"/>
          <w:b w:val="0"/>
          <w:i w:val="0"/>
          <w:caps w:val="0"/>
          <w:color w:val="333333"/>
          <w:spacing w:val="0"/>
          <w:sz w:val="32"/>
          <w:szCs w:val="32"/>
          <w:shd w:val="clear" w:color="auto" w:fill="FFFFFF"/>
          <w:lang w:eastAsia="zh-CN"/>
        </w:rPr>
        <w:t>和计划生育</w:t>
      </w:r>
      <w:r>
        <w:rPr>
          <w:rFonts w:hint="eastAsia" w:ascii="仿宋_GB2312" w:hAnsi="仿宋_GB2312" w:eastAsia="仿宋_GB2312" w:cs="仿宋_GB2312"/>
          <w:b w:val="0"/>
          <w:i w:val="0"/>
          <w:caps w:val="0"/>
          <w:color w:val="333333"/>
          <w:spacing w:val="0"/>
          <w:sz w:val="32"/>
          <w:szCs w:val="32"/>
          <w:shd w:val="clear" w:color="auto" w:fill="FFFFFF"/>
        </w:rPr>
        <w:t>等服务。</w:t>
      </w:r>
    </w:p>
    <w:p>
      <w:pPr>
        <w:pStyle w:val="7"/>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18" w:name="_Toc15378446"/>
      <w:bookmarkStart w:id="19" w:name="_Toc15377199"/>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18"/>
      <w:bookmarkEnd w:id="19"/>
    </w:p>
    <w:p>
      <w:pPr>
        <w:numPr>
          <w:ilvl w:val="0"/>
          <w:numId w:val="0"/>
        </w:numPr>
        <w:spacing w:line="560" w:lineRule="exact"/>
        <w:ind w:firstLine="643" w:firstLineChars="20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
          <w:sz w:val="32"/>
          <w:szCs w:val="32"/>
        </w:rPr>
        <w:t>一是疫情防控有力有序。</w:t>
      </w:r>
      <w:r>
        <w:rPr>
          <w:rFonts w:hint="default" w:ascii="Times New Roman" w:hAnsi="Times New Roman" w:eastAsia="方正仿宋简体" w:cs="Times New Roman"/>
          <w:sz w:val="32"/>
          <w:szCs w:val="32"/>
        </w:rPr>
        <w:t>进一步强化应急处置能力，自2020年以来共开展6次疫情防控应急演练和2次全员核酸采样应急演练，确保发生本土疫情后能够科学精准有序处置。</w:t>
      </w:r>
      <w:r>
        <w:rPr>
          <w:rFonts w:hint="default" w:ascii="Times New Roman" w:hAnsi="Times New Roman" w:eastAsia="方正仿宋简体" w:cs="Times New Roman"/>
          <w:sz w:val="32"/>
          <w:szCs w:val="32"/>
          <w:lang w:eastAsia="zh-CN"/>
        </w:rPr>
        <w:t>建有30支流调队伍，其中常备10支县级专业流调队伍，培训核酸采样登记志愿者304人。</w:t>
      </w:r>
      <w:r>
        <w:rPr>
          <w:rFonts w:hint="default" w:ascii="Times New Roman" w:hAnsi="Times New Roman" w:eastAsia="方正仿宋简体" w:cs="Times New Roman"/>
          <w:sz w:val="32"/>
          <w:szCs w:val="32"/>
        </w:rPr>
        <w:t>积极推进新冠病毒疫苗接种工作</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截止目前，全县累计接种77</w:t>
      </w:r>
      <w:r>
        <w:rPr>
          <w:rFonts w:hint="default" w:ascii="Times New Roman" w:hAnsi="Times New Roman" w:eastAsia="方正仿宋简体" w:cs="Times New Roman"/>
          <w:sz w:val="32"/>
          <w:szCs w:val="32"/>
          <w:lang w:val="en-US" w:eastAsia="zh-CN"/>
        </w:rPr>
        <w:t>8506</w:t>
      </w:r>
      <w:r>
        <w:rPr>
          <w:rFonts w:hint="default" w:ascii="Times New Roman" w:hAnsi="Times New Roman" w:eastAsia="方正仿宋简体" w:cs="Times New Roman"/>
          <w:sz w:val="32"/>
          <w:szCs w:val="32"/>
        </w:rPr>
        <w:t>剂</w:t>
      </w:r>
      <w:r>
        <w:rPr>
          <w:rFonts w:hint="default" w:ascii="Times New Roman" w:hAnsi="Times New Roman" w:eastAsia="方正仿宋简体" w:cs="Times New Roman"/>
          <w:sz w:val="32"/>
          <w:szCs w:val="32"/>
          <w:lang w:eastAsia="zh-CN"/>
        </w:rPr>
        <w:t>（第一剂接种</w:t>
      </w:r>
      <w:r>
        <w:rPr>
          <w:rFonts w:hint="default" w:ascii="Times New Roman" w:hAnsi="Times New Roman" w:eastAsia="方正仿宋简体" w:cs="Times New Roman"/>
          <w:sz w:val="32"/>
          <w:szCs w:val="32"/>
          <w:lang w:val="en-US" w:eastAsia="zh-CN"/>
        </w:rPr>
        <w:t>290928人，第二剂接种286820人，第3剂接种200758人</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eastAsia="zh-CN"/>
        </w:rPr>
        <w:t>为</w:t>
      </w:r>
      <w:r>
        <w:rPr>
          <w:rFonts w:hint="default" w:ascii="Times New Roman" w:hAnsi="Times New Roman" w:eastAsia="方正仿宋简体" w:cs="Times New Roman"/>
          <w:sz w:val="32"/>
          <w:szCs w:val="32"/>
          <w:lang w:val="en-US" w:eastAsia="zh-CN"/>
        </w:rPr>
        <w:t>290928人建立防疫屏障，未发生1起重大接种异常反应</w:t>
      </w:r>
      <w:r>
        <w:rPr>
          <w:rFonts w:hint="default" w:ascii="Times New Roman" w:hAnsi="Times New Roman" w:eastAsia="方正仿宋简体" w:cs="Times New Roman"/>
          <w:sz w:val="32"/>
          <w:szCs w:val="32"/>
          <w:lang w:eastAsia="zh-CN"/>
        </w:rPr>
        <w:t>。</w:t>
      </w:r>
    </w:p>
    <w:p>
      <w:pPr>
        <w:numPr>
          <w:ilvl w:val="0"/>
          <w:numId w:val="0"/>
        </w:numPr>
        <w:spacing w:line="560" w:lineRule="exact"/>
        <w:ind w:firstLine="643" w:firstLineChars="20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
          <w:sz w:val="32"/>
          <w:szCs w:val="32"/>
        </w:rPr>
        <w:t>二是基础设施建设加速推进。</w:t>
      </w:r>
      <w:r>
        <w:rPr>
          <w:rFonts w:hint="eastAsia" w:ascii="Times New Roman" w:hAnsi="Times New Roman" w:eastAsia="方正仿宋简体" w:cs="Times New Roman"/>
          <w:sz w:val="32"/>
          <w:szCs w:val="32"/>
          <w:lang w:eastAsia="zh-CN"/>
        </w:rPr>
        <w:t>我局</w:t>
      </w:r>
      <w:r>
        <w:rPr>
          <w:rFonts w:hint="default" w:ascii="Times New Roman" w:hAnsi="Times New Roman" w:eastAsia="方正仿宋简体" w:cs="Times New Roman"/>
          <w:sz w:val="32"/>
          <w:szCs w:val="32"/>
        </w:rPr>
        <w:t>抢抓机遇，积极争取资金项目，加快推进卫生基础设施建设，进一步优化县乡医疗卫生服务体系。2021年共向上争取一般性转移资金5177万元，债券资金1.88亿元，2022年截止6月已向上争取一般性转移资金4982万元</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债券资金2.23亿元。目前县人民医院新区外科楼、宝石医养结合服务中心已投入使用；目前县第二人民医院、回龙中心卫生院区域医疗次中心建设正加快推进</w:t>
      </w:r>
      <w:r>
        <w:rPr>
          <w:rFonts w:hint="default" w:ascii="Times New Roman" w:hAnsi="Times New Roman" w:eastAsia="方正仿宋简体" w:cs="Times New Roman"/>
          <w:sz w:val="32"/>
          <w:szCs w:val="32"/>
          <w:lang w:eastAsia="zh-CN"/>
        </w:rPr>
        <w:t>。</w:t>
      </w:r>
    </w:p>
    <w:p>
      <w:pPr>
        <w:numPr>
          <w:ilvl w:val="0"/>
          <w:numId w:val="0"/>
        </w:numPr>
        <w:spacing w:line="560" w:lineRule="exact"/>
        <w:ind w:firstLine="643"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sz w:val="32"/>
          <w:szCs w:val="32"/>
        </w:rPr>
        <w:t>三是医疗服务能力显著提升。</w:t>
      </w:r>
      <w:r>
        <w:rPr>
          <w:rFonts w:hint="default" w:ascii="Times New Roman" w:hAnsi="Times New Roman" w:eastAsia="方正仿宋简体" w:cs="Times New Roman"/>
          <w:sz w:val="32"/>
          <w:szCs w:val="32"/>
        </w:rPr>
        <w:t>在县委、县政府的全力支持下，福利基金会为全县21个医疗卫生单位配备了双立柱单板DR、多普勒超声诊断系统、全自动生化仪等64项213台先进医疗设备及12台救护车、5台体检车、2台移动检测车。</w:t>
      </w:r>
      <w:r>
        <w:rPr>
          <w:rFonts w:hint="default" w:ascii="Times New Roman" w:hAnsi="Times New Roman" w:eastAsia="方正仿宋简体" w:cs="Times New Roman"/>
          <w:sz w:val="32"/>
          <w:szCs w:val="32"/>
          <w:lang w:eastAsia="zh-CN"/>
        </w:rPr>
        <w:t>全县现有各级各类医疗卫生单位</w:t>
      </w:r>
      <w:r>
        <w:rPr>
          <w:rFonts w:hint="default" w:ascii="Times New Roman" w:hAnsi="Times New Roman" w:eastAsia="方正仿宋简体" w:cs="Times New Roman"/>
          <w:sz w:val="32"/>
          <w:szCs w:val="32"/>
          <w:lang w:val="en-US" w:eastAsia="zh-CN"/>
        </w:rPr>
        <w:t>241个，二级以上医疗单位5个，县人民医院外科楼实现搬迁投用，县中医院已列</w:t>
      </w:r>
      <w:r>
        <w:rPr>
          <w:rFonts w:hint="default" w:ascii="Times New Roman" w:hAnsi="Times New Roman" w:eastAsia="方正仿宋简体" w:cs="Times New Roman"/>
          <w:sz w:val="32"/>
          <w:szCs w:val="32"/>
        </w:rPr>
        <w:t>为三级医院创建单位；现有</w:t>
      </w:r>
      <w:r>
        <w:rPr>
          <w:rFonts w:hint="default" w:ascii="Times New Roman" w:hAnsi="Times New Roman" w:eastAsia="方正仿宋简体" w:cs="Times New Roman"/>
          <w:sz w:val="32"/>
          <w:szCs w:val="32"/>
          <w:lang w:eastAsia="zh-CN"/>
        </w:rPr>
        <w:t>编</w:t>
      </w:r>
      <w:r>
        <w:rPr>
          <w:rFonts w:hint="default" w:ascii="Times New Roman" w:hAnsi="Times New Roman" w:eastAsia="方正仿宋简体" w:cs="Times New Roman"/>
          <w:sz w:val="32"/>
          <w:szCs w:val="32"/>
        </w:rPr>
        <w:t>制病床2251</w:t>
      </w:r>
      <w:r>
        <w:rPr>
          <w:rFonts w:hint="default" w:ascii="Times New Roman" w:hAnsi="Times New Roman" w:eastAsia="方正仿宋简体" w:cs="Times New Roman"/>
          <w:sz w:val="32"/>
          <w:szCs w:val="32"/>
          <w:lang w:eastAsia="zh-CN"/>
        </w:rPr>
        <w:t>张，配备万元以上设备</w:t>
      </w:r>
      <w:r>
        <w:rPr>
          <w:rFonts w:hint="default" w:ascii="Times New Roman" w:hAnsi="Times New Roman" w:eastAsia="方正仿宋简体" w:cs="Times New Roman"/>
          <w:sz w:val="32"/>
          <w:szCs w:val="32"/>
          <w:lang w:val="en-US" w:eastAsia="zh-CN"/>
        </w:rPr>
        <w:t>1128台件，总价值2.38亿元，</w:t>
      </w:r>
      <w:r>
        <w:rPr>
          <w:rFonts w:hint="default" w:ascii="Times New Roman" w:hAnsi="Times New Roman" w:eastAsia="方正仿宋简体" w:cs="Times New Roman"/>
          <w:sz w:val="32"/>
          <w:szCs w:val="32"/>
        </w:rPr>
        <w:t>年门诊接诊1</w:t>
      </w:r>
      <w:r>
        <w:rPr>
          <w:rFonts w:hint="default" w:ascii="Times New Roman" w:hAnsi="Times New Roman" w:eastAsia="方正仿宋简体" w:cs="Times New Roman"/>
          <w:sz w:val="32"/>
          <w:szCs w:val="32"/>
          <w:lang w:val="en-US" w:eastAsia="zh-CN"/>
        </w:rPr>
        <w:t>717968</w:t>
      </w:r>
      <w:r>
        <w:rPr>
          <w:rFonts w:hint="default" w:ascii="Times New Roman" w:hAnsi="Times New Roman" w:eastAsia="方正仿宋简体" w:cs="Times New Roman"/>
          <w:sz w:val="32"/>
          <w:szCs w:val="32"/>
        </w:rPr>
        <w:t>人次，收治住院患者</w:t>
      </w:r>
      <w:r>
        <w:rPr>
          <w:rFonts w:hint="default" w:ascii="Times New Roman" w:hAnsi="Times New Roman" w:eastAsia="方正仿宋简体" w:cs="Times New Roman"/>
          <w:sz w:val="32"/>
          <w:szCs w:val="32"/>
          <w:lang w:val="en-US" w:eastAsia="zh-CN"/>
        </w:rPr>
        <w:t>77056</w:t>
      </w:r>
      <w:r>
        <w:rPr>
          <w:rFonts w:hint="default" w:ascii="Times New Roman" w:hAnsi="Times New Roman" w:eastAsia="方正仿宋简体" w:cs="Times New Roman"/>
          <w:sz w:val="32"/>
          <w:szCs w:val="32"/>
        </w:rPr>
        <w:t>人次</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通过一年</w:t>
      </w:r>
      <w:r>
        <w:rPr>
          <w:rFonts w:hint="default" w:ascii="Times New Roman" w:hAnsi="Times New Roman" w:eastAsia="方正仿宋简体" w:cs="Times New Roman"/>
          <w:sz w:val="32"/>
          <w:szCs w:val="32"/>
          <w:lang w:eastAsia="zh-CN"/>
        </w:rPr>
        <w:t>多</w:t>
      </w:r>
      <w:r>
        <w:rPr>
          <w:rFonts w:hint="default" w:ascii="Times New Roman" w:hAnsi="Times New Roman" w:eastAsia="方正仿宋简体" w:cs="Times New Roman"/>
          <w:sz w:val="32"/>
          <w:szCs w:val="32"/>
        </w:rPr>
        <w:t>时间的努力，全县医疗卫生单位硬件设备基本改善，医疗环境显著提升，服务能力明显增强，有效缓解了老百姓“看病难”的问题。</w:t>
      </w:r>
      <w:r>
        <w:rPr>
          <w:rFonts w:hint="default" w:ascii="Times New Roman" w:hAnsi="Times New Roman" w:eastAsia="方正仿宋简体" w:cs="Times New Roman"/>
          <w:sz w:val="32"/>
          <w:szCs w:val="32"/>
          <w:lang w:val="en-US" w:eastAsia="zh-CN"/>
        </w:rPr>
        <w:t xml:space="preserve"> </w:t>
      </w:r>
    </w:p>
    <w:p>
      <w:pPr>
        <w:numPr>
          <w:ilvl w:val="0"/>
          <w:numId w:val="0"/>
        </w:numPr>
        <w:spacing w:line="56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sz w:val="32"/>
          <w:szCs w:val="32"/>
        </w:rPr>
        <w:t>四是基层医改工作惠及民生。</w:t>
      </w:r>
      <w:r>
        <w:rPr>
          <w:rFonts w:hint="default" w:ascii="Times New Roman" w:hAnsi="Times New Roman" w:eastAsia="方正仿宋简体" w:cs="Times New Roman"/>
          <w:sz w:val="32"/>
          <w:szCs w:val="32"/>
          <w:lang w:eastAsia="zh-CN"/>
        </w:rPr>
        <w:t>县卫健局认真落实“两项改革”后半篇文章。以“四调”为统领，全面深化基层疔卫生改革创新，推动全县卫生健康事业实现高质量发展。一是布局调优。以创新组建县城医合体为突破口。构建起以县中两院为龙头，6个医合体、2个县域医疗次中心为中坚，乡镇卫生院为枢纽，村卫生室为网底的四级医疗卫生服务体系。二是机制调新。强化编制、人才、财政、医药“四个保障”，实行“一支笔”审签，医院内部管理效率有效提高。三是服务调好。着力就医环境、诊疗能力，人才素质、智能水平“四个提升”。医院服务能力和水平有效提高。四是队伍调活。落实统一招聘、管理、调配、考核“四个统一”，实行“县招乡用．岗编分离”，确保人才“引得进、留得住、用得活、干得好“。着力破解基层医疔机构弱散小．人才队伍留不住、群众满意度不高等</w:t>
      </w:r>
      <w:r>
        <w:rPr>
          <w:rFonts w:hint="default" w:ascii="Times New Roman" w:hAnsi="Times New Roman" w:eastAsia="方正仿宋简体" w:cs="Times New Roman"/>
          <w:sz w:val="32"/>
          <w:szCs w:val="32"/>
          <w:lang w:val="en-US" w:eastAsia="zh-CN"/>
        </w:rPr>
        <w:t>3大难题</w:t>
      </w:r>
      <w:r>
        <w:rPr>
          <w:rFonts w:hint="default" w:ascii="Times New Roman" w:hAnsi="Times New Roman" w:eastAsia="方正仿宋简体" w:cs="Times New Roman"/>
          <w:sz w:val="32"/>
          <w:szCs w:val="32"/>
          <w:lang w:eastAsia="zh-CN"/>
        </w:rPr>
        <w:t>。</w:t>
      </w:r>
    </w:p>
    <w:p>
      <w:pPr>
        <w:numPr>
          <w:ilvl w:val="0"/>
          <w:numId w:val="0"/>
        </w:numPr>
        <w:spacing w:line="560" w:lineRule="exact"/>
        <w:ind w:firstLine="643"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rPr>
        <w:t>五是</w:t>
      </w:r>
      <w:r>
        <w:rPr>
          <w:rFonts w:hint="default" w:ascii="Times New Roman" w:hAnsi="Times New Roman" w:eastAsia="方正仿宋简体" w:cs="Times New Roman"/>
          <w:b/>
          <w:sz w:val="32"/>
          <w:szCs w:val="32"/>
          <w:lang w:eastAsia="zh-CN"/>
        </w:rPr>
        <w:t>民生实事</w:t>
      </w:r>
      <w:r>
        <w:rPr>
          <w:rFonts w:hint="default" w:ascii="Times New Roman" w:hAnsi="Times New Roman" w:eastAsia="方正仿宋简体" w:cs="Times New Roman"/>
          <w:b/>
          <w:sz w:val="32"/>
          <w:szCs w:val="32"/>
        </w:rPr>
        <w:t>服务扎实开展。</w:t>
      </w:r>
      <w:r>
        <w:rPr>
          <w:rFonts w:hint="default" w:ascii="Times New Roman" w:hAnsi="Times New Roman" w:eastAsia="方正仿宋简体" w:cs="Times New Roman"/>
          <w:sz w:val="32"/>
          <w:szCs w:val="32"/>
          <w:lang w:eastAsia="zh-CN"/>
        </w:rPr>
        <w:t>2021年以来，我县持续开展12项基本公共卫生服务，农村适龄妇女“两癌”筛查、普惠托育三项省级民生实事工程，累计建立居民健康档案40余万份，免费健康体检12万余人次，发放健康教育资料136974份，举办健康教育知识讲座1035次，举办健康教育咨询活动318次，全县两癌筛查完成率100％，新建开江县希晨托育中心，打造托位150个；大力开展健康知识“五进”行动，积极推动居民健康水平提升，人均寿命稳步提高；大力发展医养结合，新建开江县宝石医养结合服务中心，中心占地7200平方米，设置病房20间，养老床位100张、护理床位20张；深入实施爱国卫生运动，2021年我县成功创建为省级健康促进县，灵岩镇成功创建为省级卫生乡镇。</w:t>
      </w:r>
    </w:p>
    <w:p>
      <w:pPr>
        <w:numPr>
          <w:ilvl w:val="0"/>
          <w:numId w:val="0"/>
        </w:numPr>
        <w:spacing w:line="560" w:lineRule="exact"/>
        <w:ind w:firstLine="643"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lang w:eastAsia="zh-CN"/>
        </w:rPr>
        <w:t>六是中医传承不断创新</w:t>
      </w:r>
      <w:r>
        <w:rPr>
          <w:rFonts w:hint="default" w:ascii="Times New Roman" w:hAnsi="Times New Roman" w:eastAsia="方正仿宋简体" w:cs="Times New Roman"/>
          <w:sz w:val="32"/>
          <w:szCs w:val="32"/>
          <w:lang w:eastAsia="zh-CN"/>
        </w:rPr>
        <w:t>。近年来，结合我县实际出台了《关于促进中医药传承创新发展的实施意见》《开江县“万名中医”驻村帮扶行动实施方案》，着力推进中医药传承创新发展，提高中医药防治疾病能力，推动全县中医药事业高质量发展。中医龙头医院一县中医院已成功纳入三级医疗机构建设，目前，有省级重点专科1个，省级在建重点专科1个，市级重点专科3个，12家乡镇卫生院均规范建设中医馆（中医综合诊疗区）。20</w:t>
      </w:r>
      <w:r>
        <w:rPr>
          <w:rFonts w:hint="default" w:ascii="Times New Roman" w:hAnsi="Times New Roman" w:eastAsia="方正仿宋简体" w:cs="Times New Roman"/>
          <w:sz w:val="32"/>
          <w:szCs w:val="32"/>
          <w:lang w:val="en-US" w:eastAsia="zh-CN"/>
        </w:rPr>
        <w:t>20</w:t>
      </w:r>
      <w:r>
        <w:rPr>
          <w:rFonts w:hint="default" w:ascii="Times New Roman" w:hAnsi="Times New Roman" w:eastAsia="方正仿宋简体" w:cs="Times New Roman"/>
          <w:sz w:val="32"/>
          <w:szCs w:val="32"/>
          <w:lang w:eastAsia="zh-CN"/>
        </w:rPr>
        <w:t>年，开江县获得四川省中医药传承创新发展先进集体称号；2021年，评为市级中医药文化宣传工作先进单位。</w:t>
      </w:r>
    </w:p>
    <w:p>
      <w:pPr>
        <w:numPr>
          <w:ilvl w:val="0"/>
          <w:numId w:val="0"/>
        </w:numPr>
        <w:spacing w:line="560" w:lineRule="exact"/>
        <w:ind w:firstLine="643" w:firstLineChars="20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
          <w:sz w:val="32"/>
          <w:szCs w:val="32"/>
          <w:lang w:eastAsia="zh-CN"/>
        </w:rPr>
        <w:t>七</w:t>
      </w:r>
      <w:r>
        <w:rPr>
          <w:rFonts w:hint="default" w:ascii="Times New Roman" w:hAnsi="Times New Roman" w:eastAsia="方正仿宋简体" w:cs="Times New Roman"/>
          <w:b/>
          <w:sz w:val="32"/>
          <w:szCs w:val="32"/>
        </w:rPr>
        <w:t>是人才队伍建设持续加强。</w:t>
      </w:r>
      <w:r>
        <w:rPr>
          <w:rFonts w:hint="default" w:ascii="Times New Roman" w:hAnsi="Times New Roman" w:eastAsia="方正仿宋简体" w:cs="Times New Roman"/>
          <w:sz w:val="32"/>
          <w:szCs w:val="32"/>
        </w:rPr>
        <w:t>2021年对各基层卫生单位领导班子及局机关股级干部进行了调整配备，进一步充实了基层领导班子力量，优化了干部结构，激发了干部干事热情。扎实开展“在编不在岗、临聘人员、借用人员、村医队伍”四项清理，采取“请进来、送出去”方式，组织各类专业培训班、送上级医院进修、鼓励自学和脱产学历教育等途径，加强县乡医疗骨干的培养；现</w:t>
      </w:r>
      <w:r>
        <w:rPr>
          <w:rFonts w:hint="default" w:ascii="Times New Roman" w:hAnsi="Times New Roman" w:eastAsia="方正仿宋简体" w:cs="Times New Roman"/>
          <w:sz w:val="32"/>
          <w:szCs w:val="32"/>
          <w:lang w:eastAsia="zh-CN"/>
        </w:rPr>
        <w:t>卫健系统</w:t>
      </w:r>
      <w:r>
        <w:rPr>
          <w:rFonts w:hint="default" w:ascii="Times New Roman" w:hAnsi="Times New Roman" w:eastAsia="方正仿宋简体" w:cs="Times New Roman"/>
          <w:sz w:val="32"/>
          <w:szCs w:val="32"/>
        </w:rPr>
        <w:t>有卫生</w:t>
      </w:r>
      <w:r>
        <w:rPr>
          <w:rFonts w:hint="default" w:ascii="Times New Roman" w:hAnsi="Times New Roman" w:eastAsia="方正仿宋简体" w:cs="Times New Roman"/>
          <w:sz w:val="32"/>
          <w:szCs w:val="32"/>
          <w:lang w:eastAsia="zh-CN"/>
        </w:rPr>
        <w:t>工作</w:t>
      </w:r>
      <w:r>
        <w:rPr>
          <w:rFonts w:hint="default" w:ascii="Times New Roman" w:hAnsi="Times New Roman" w:eastAsia="方正仿宋简体" w:cs="Times New Roman"/>
          <w:sz w:val="32"/>
          <w:szCs w:val="32"/>
        </w:rPr>
        <w:t>人员3047人，卫生技术人员2569人，其中执业（助理）医师</w:t>
      </w:r>
      <w:r>
        <w:rPr>
          <w:rFonts w:hint="default" w:ascii="Times New Roman" w:hAnsi="Times New Roman" w:eastAsia="方正仿宋简体" w:cs="Times New Roman"/>
          <w:sz w:val="32"/>
          <w:szCs w:val="32"/>
          <w:lang w:val="en-US" w:eastAsia="zh-CN"/>
        </w:rPr>
        <w:t>98</w:t>
      </w:r>
      <w:r>
        <w:rPr>
          <w:rFonts w:hint="default" w:ascii="Times New Roman" w:hAnsi="Times New Roman" w:eastAsia="方正仿宋简体" w:cs="Times New Roman"/>
          <w:sz w:val="32"/>
          <w:szCs w:val="32"/>
        </w:rPr>
        <w:t>2人，注册护</w:t>
      </w:r>
      <w:r>
        <w:rPr>
          <w:rFonts w:hint="default" w:ascii="Times New Roman" w:hAnsi="Times New Roman" w:eastAsia="方正仿宋简体" w:cs="Times New Roman"/>
          <w:sz w:val="32"/>
          <w:szCs w:val="32"/>
          <w:lang w:eastAsia="zh-CN"/>
        </w:rPr>
        <w:t>士</w:t>
      </w:r>
      <w:r>
        <w:rPr>
          <w:rFonts w:hint="default" w:ascii="Times New Roman" w:hAnsi="Times New Roman" w:eastAsia="方正仿宋简体" w:cs="Times New Roman"/>
          <w:sz w:val="32"/>
          <w:szCs w:val="32"/>
          <w:lang w:val="en-US" w:eastAsia="zh-CN"/>
        </w:rPr>
        <w:t>1029人，药剂人员85人</w:t>
      </w:r>
      <w:r>
        <w:rPr>
          <w:rFonts w:hint="default" w:ascii="Times New Roman" w:hAnsi="Times New Roman" w:eastAsia="方正仿宋简体" w:cs="Times New Roman"/>
          <w:sz w:val="32"/>
          <w:szCs w:val="32"/>
          <w:lang w:eastAsia="zh-CN"/>
        </w:rPr>
        <w:t>检</w:t>
      </w:r>
      <w:r>
        <w:rPr>
          <w:rFonts w:hint="default" w:ascii="Times New Roman" w:hAnsi="Times New Roman" w:eastAsia="方正仿宋简体" w:cs="Times New Roman"/>
          <w:sz w:val="32"/>
          <w:szCs w:val="32"/>
        </w:rPr>
        <w:t>验人员72人，乡村医生401人</w:t>
      </w:r>
      <w:r>
        <w:rPr>
          <w:rFonts w:hint="default" w:ascii="Times New Roman" w:hAnsi="Times New Roman" w:eastAsia="方正仿宋简体" w:cs="Times New Roman"/>
          <w:sz w:val="32"/>
          <w:szCs w:val="32"/>
          <w:lang w:eastAsia="zh-CN"/>
        </w:rPr>
        <w:t>。</w:t>
      </w:r>
    </w:p>
    <w:p>
      <w:pPr>
        <w:numPr>
          <w:ilvl w:val="0"/>
          <w:numId w:val="0"/>
        </w:numPr>
        <w:spacing w:line="560" w:lineRule="exact"/>
        <w:ind w:firstLine="643"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b/>
          <w:sz w:val="32"/>
          <w:szCs w:val="32"/>
          <w:lang w:eastAsia="zh-CN"/>
        </w:rPr>
        <w:t>八</w:t>
      </w:r>
      <w:r>
        <w:rPr>
          <w:rFonts w:hint="default" w:ascii="Times New Roman" w:hAnsi="Times New Roman" w:eastAsia="方正仿宋简体" w:cs="Times New Roman"/>
          <w:b/>
          <w:sz w:val="32"/>
          <w:szCs w:val="32"/>
        </w:rPr>
        <w:t>是系统治理卓有成效。</w:t>
      </w:r>
      <w:r>
        <w:rPr>
          <w:rFonts w:hint="default" w:ascii="Times New Roman" w:hAnsi="Times New Roman" w:eastAsia="方正仿宋简体" w:cs="Times New Roman"/>
          <w:sz w:val="32"/>
          <w:szCs w:val="32"/>
        </w:rPr>
        <w:t>坚持“当下改”与“长久治”同步推进。扎实开展“突出问题”治理，通过强化组织领导、警示教育、监督管理，通报</w:t>
      </w:r>
      <w:r>
        <w:rPr>
          <w:rFonts w:hint="default" w:ascii="Times New Roman" w:hAnsi="Times New Roman" w:eastAsia="方正仿宋简体" w:cs="Times New Roman"/>
          <w:sz w:val="32"/>
          <w:szCs w:val="32"/>
          <w:lang w:val="en-US" w:eastAsia="zh-CN"/>
        </w:rPr>
        <w:t>批评</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谈心谈话等方式推进系统治理落地落实；同时，</w:t>
      </w:r>
      <w:r>
        <w:rPr>
          <w:rFonts w:hint="default" w:ascii="Times New Roman" w:hAnsi="Times New Roman" w:eastAsia="方正仿宋简体" w:cs="Times New Roman"/>
          <w:sz w:val="32"/>
          <w:szCs w:val="32"/>
        </w:rPr>
        <w:t>做深做实“以案促改”，认真剖析突出问题，查找背后深层次原因，针对性建立完善《开江县医疗机构及医务人员不良执业行为记分管理实施方案（试行）》《医疗服务十条禁令》等制度机制，门急诊次均费用、住院次均费用、住院次均药占比等控制指标明显下降，切实减轻群众就医负担；扎实开展群众就医体验提升行动，突出就医环境打造、就医流程优化、便民服务提供、和谐医患关系构建等环节，进一步提升群众看病就医获得感。</w:t>
      </w:r>
    </w:p>
    <w:p>
      <w:pPr>
        <w:numPr>
          <w:ilvl w:val="0"/>
          <w:numId w:val="0"/>
        </w:numPr>
        <w:spacing w:line="560" w:lineRule="exact"/>
        <w:ind w:firstLine="643" w:firstLineChars="200"/>
        <w:rPr>
          <w:rFonts w:hint="eastAsia" w:ascii="仿宋" w:hAnsi="仿宋" w:eastAsia="仿宋"/>
          <w:bCs/>
          <w:color w:val="auto"/>
          <w:sz w:val="32"/>
          <w:szCs w:val="32"/>
          <w:highlight w:val="none"/>
        </w:rPr>
      </w:pPr>
      <w:r>
        <w:rPr>
          <w:rFonts w:hint="default" w:ascii="Times New Roman" w:hAnsi="Times New Roman" w:eastAsia="方正仿宋简体" w:cs="Times New Roman"/>
          <w:b/>
          <w:bCs/>
          <w:sz w:val="32"/>
          <w:szCs w:val="32"/>
          <w:lang w:val="en-US" w:eastAsia="zh-CN"/>
        </w:rPr>
        <w:t>九是“红翼党建”品牌创建。</w:t>
      </w:r>
      <w:r>
        <w:rPr>
          <w:rFonts w:hint="default" w:ascii="Times New Roman" w:hAnsi="Times New Roman" w:eastAsia="方正仿宋简体" w:cs="Times New Roman"/>
          <w:sz w:val="32"/>
          <w:szCs w:val="32"/>
          <w:lang w:val="en-US" w:eastAsia="zh-CN"/>
        </w:rPr>
        <w:t>开江县卫生健康局下设党委3个，支部28个，共有党员522名，其中机关党委辖3个支部，党员74名。近年来，以“学习党的历史、传承红色基因、筑牢医德医魂、打造红翼铁军”为主题，开展“红色党建”品牌创建行动，打造红色引擎，推动全县卫生健康系统基层高质量发展。2021年，“红翼党建”品牌荣获全市卫生健康工作创新奖，</w:t>
      </w:r>
      <w:r>
        <w:rPr>
          <w:rFonts w:hint="default" w:ascii="Times New Roman" w:hAnsi="Times New Roman" w:eastAsia="方正仿宋简体" w:cs="Times New Roman"/>
          <w:sz w:val="32"/>
          <w:szCs w:val="32"/>
        </w:rPr>
        <w:t>开江县党史学习教育理论征文</w:t>
      </w:r>
      <w:r>
        <w:rPr>
          <w:rFonts w:hint="default" w:ascii="Times New Roman" w:hAnsi="Times New Roman" w:eastAsia="方正仿宋简体" w:cs="Times New Roman"/>
          <w:sz w:val="32"/>
          <w:szCs w:val="32"/>
          <w:lang w:eastAsia="zh-CN"/>
        </w:rPr>
        <w:t>获得</w:t>
      </w:r>
      <w:r>
        <w:rPr>
          <w:rFonts w:hint="default" w:ascii="Times New Roman" w:hAnsi="Times New Roman" w:eastAsia="方正仿宋简体" w:cs="Times New Roman"/>
          <w:sz w:val="32"/>
          <w:szCs w:val="32"/>
        </w:rPr>
        <w:t>优秀组织奖</w:t>
      </w:r>
      <w:r>
        <w:rPr>
          <w:rFonts w:hint="default" w:ascii="Times New Roman" w:hAnsi="Times New Roman" w:eastAsia="方正仿宋简体" w:cs="Times New Roman"/>
          <w:sz w:val="32"/>
          <w:szCs w:val="32"/>
          <w:lang w:val="en-US" w:eastAsia="zh-CN"/>
        </w:rPr>
        <w:t>。</w:t>
      </w:r>
    </w:p>
    <w:p>
      <w:pPr>
        <w:pStyle w:val="5"/>
        <w:rPr>
          <w:rStyle w:val="27"/>
          <w:b w:val="0"/>
          <w:bCs w:val="0"/>
          <w:color w:val="auto"/>
          <w:highlight w:val="none"/>
        </w:rPr>
      </w:pPr>
      <w:bookmarkStart w:id="20" w:name="_Toc15377200"/>
      <w:bookmarkStart w:id="21"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7"/>
          <w:rFonts w:hint="eastAsia" w:ascii="黑体" w:hAnsi="黑体" w:eastAsia="黑体"/>
          <w:b w:val="0"/>
          <w:bCs w:val="0"/>
          <w:color w:val="auto"/>
          <w:highlight w:val="none"/>
        </w:rPr>
        <w:t>构设置</w:t>
      </w:r>
      <w:bookmarkEnd w:id="20"/>
      <w:bookmarkEnd w:id="21"/>
    </w:p>
    <w:p>
      <w:pPr>
        <w:ind w:firstLine="800" w:firstLineChars="250"/>
      </w:pPr>
      <w:r>
        <w:rPr>
          <w:rFonts w:hint="eastAsia" w:ascii="仿宋" w:hAnsi="仿宋" w:eastAsia="仿宋"/>
          <w:sz w:val="32"/>
          <w:szCs w:val="32"/>
          <w:lang w:eastAsia="zh-CN"/>
        </w:rPr>
        <w:t>开江县卫生健康局</w:t>
      </w:r>
      <w:r>
        <w:rPr>
          <w:rFonts w:hint="eastAsia" w:ascii="仿宋" w:hAnsi="仿宋" w:eastAsia="仿宋"/>
          <w:sz w:val="32"/>
          <w:szCs w:val="32"/>
        </w:rPr>
        <w:t>下属二级单位</w:t>
      </w:r>
      <w:r>
        <w:rPr>
          <w:rFonts w:hint="eastAsia" w:ascii="仿宋" w:hAnsi="仿宋" w:eastAsia="仿宋"/>
          <w:sz w:val="32"/>
          <w:szCs w:val="32"/>
          <w:lang w:val="en-US" w:eastAsia="zh-CN"/>
        </w:rPr>
        <w:t>5</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4</w:t>
      </w:r>
      <w:r>
        <w:rPr>
          <w:rFonts w:hint="eastAsia" w:ascii="仿宋" w:hAnsi="仿宋" w:eastAsia="仿宋"/>
          <w:sz w:val="32"/>
          <w:szCs w:val="32"/>
        </w:rPr>
        <w:t>个。</w:t>
      </w:r>
    </w:p>
    <w:p>
      <w:pPr>
        <w:pStyle w:val="7"/>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卫生健康局</w:t>
      </w: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年度部门决算编制范围的二级预算单位包括：</w:t>
      </w:r>
    </w:p>
    <w:p>
      <w:pPr>
        <w:pStyle w:val="7"/>
        <w:adjustRightInd w:val="0"/>
        <w:snapToGrid w:val="0"/>
        <w:spacing w:before="93" w:line="600" w:lineRule="exact"/>
        <w:ind w:firstLine="672" w:firstLineChars="210"/>
        <w:rPr>
          <w:rFonts w:hint="eastAsia" w:ascii="仿宋" w:hAnsi="仿宋" w:eastAsia="仿宋"/>
          <w:color w:val="000000"/>
          <w:sz w:val="32"/>
          <w:szCs w:val="32"/>
          <w:lang w:eastAsia="zh-CN"/>
        </w:rPr>
      </w:pPr>
      <w:bookmarkStart w:id="22" w:name="_Toc15378449"/>
      <w:bookmarkStart w:id="23" w:name="_Toc15377433"/>
      <w:bookmarkStart w:id="24" w:name="_Toc15377202"/>
      <w:bookmarkStart w:id="25" w:name="_Toc15306276"/>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县爱国卫生运动委员会办公室</w:t>
      </w:r>
      <w:bookmarkEnd w:id="22"/>
      <w:bookmarkEnd w:id="23"/>
      <w:bookmarkEnd w:id="24"/>
      <w:bookmarkEnd w:id="25"/>
    </w:p>
    <w:p>
      <w:pPr>
        <w:pStyle w:val="7"/>
        <w:numPr>
          <w:ilvl w:val="0"/>
          <w:numId w:val="0"/>
        </w:numPr>
        <w:adjustRightInd w:val="0"/>
        <w:snapToGrid w:val="0"/>
        <w:spacing w:before="93" w:line="600" w:lineRule="exact"/>
        <w:ind w:firstLine="640" w:firstLineChars="200"/>
        <w:outlineLvl w:val="2"/>
        <w:rPr>
          <w:rFonts w:hint="eastAsia" w:ascii="仿宋" w:hAnsi="仿宋" w:eastAsia="仿宋"/>
          <w:color w:val="000000"/>
          <w:sz w:val="32"/>
          <w:szCs w:val="32"/>
          <w:lang w:eastAsia="zh-CN"/>
        </w:rPr>
      </w:pPr>
      <w:bookmarkStart w:id="26" w:name="_Toc15306277"/>
      <w:bookmarkStart w:id="27" w:name="_Toc15378450"/>
      <w:bookmarkStart w:id="28" w:name="_Toc15377203"/>
      <w:bookmarkStart w:id="29" w:name="_Toc15377434"/>
      <w:r>
        <w:rPr>
          <w:rFonts w:hint="eastAsia" w:ascii="仿宋" w:hAnsi="仿宋" w:eastAsia="仿宋"/>
          <w:color w:val="000000"/>
          <w:sz w:val="32"/>
          <w:szCs w:val="32"/>
          <w:lang w:val="en-US" w:eastAsia="zh-CN"/>
        </w:rPr>
        <w:t>2.</w:t>
      </w:r>
      <w:bookmarkEnd w:id="26"/>
      <w:bookmarkEnd w:id="27"/>
      <w:bookmarkEnd w:id="28"/>
      <w:bookmarkEnd w:id="29"/>
      <w:r>
        <w:rPr>
          <w:rFonts w:hint="eastAsia" w:ascii="仿宋" w:hAnsi="仿宋" w:eastAsia="仿宋"/>
          <w:color w:val="000000"/>
          <w:sz w:val="32"/>
          <w:szCs w:val="32"/>
          <w:lang w:eastAsia="zh-CN"/>
        </w:rPr>
        <w:t>卫生健康信息中心</w:t>
      </w:r>
    </w:p>
    <w:p>
      <w:pPr>
        <w:pStyle w:val="7"/>
        <w:numPr>
          <w:ilvl w:val="0"/>
          <w:numId w:val="0"/>
        </w:numPr>
        <w:adjustRightInd w:val="0"/>
        <w:snapToGrid w:val="0"/>
        <w:spacing w:before="93" w:line="600" w:lineRule="exact"/>
        <w:ind w:firstLine="640" w:firstLineChars="200"/>
        <w:outlineLvl w:val="2"/>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3.老龄发展中心</w:t>
      </w:r>
    </w:p>
    <w:p>
      <w:pPr>
        <w:pStyle w:val="7"/>
        <w:numPr>
          <w:ilvl w:val="0"/>
          <w:numId w:val="0"/>
        </w:numPr>
        <w:adjustRightInd w:val="0"/>
        <w:snapToGrid w:val="0"/>
        <w:spacing w:before="93" w:line="600" w:lineRule="exact"/>
        <w:ind w:firstLine="640" w:firstLineChars="200"/>
        <w:outlineLvl w:val="2"/>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4.计划生育协会</w:t>
      </w:r>
    </w:p>
    <w:p>
      <w:pPr>
        <w:pStyle w:val="7"/>
        <w:numPr>
          <w:ilvl w:val="0"/>
          <w:numId w:val="0"/>
        </w:numPr>
        <w:adjustRightInd w:val="0"/>
        <w:snapToGrid w:val="0"/>
        <w:spacing w:before="93" w:line="600" w:lineRule="exact"/>
        <w:ind w:firstLine="640" w:firstLineChars="200"/>
        <w:outlineLvl w:val="2"/>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5.计划生育培训中心</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ind w:right="440"/>
        <w:jc w:val="center"/>
        <w:rPr>
          <w:rStyle w:val="26"/>
          <w:rFonts w:ascii="黑体" w:hAnsi="黑体" w:eastAsia="黑体"/>
          <w:b w:val="0"/>
          <w:bCs/>
          <w:color w:val="auto"/>
          <w:highlight w:val="none"/>
        </w:rPr>
      </w:pPr>
      <w:bookmarkStart w:id="30" w:name="_Toc15377204"/>
      <w:bookmarkStart w:id="3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rPr>
        <w:t>部门决算情况说明</w:t>
      </w:r>
      <w:bookmarkEnd w:id="30"/>
      <w:bookmarkEnd w:id="31"/>
    </w:p>
    <w:p>
      <w:pPr>
        <w:rPr>
          <w:color w:val="auto"/>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32" w:name="_Toc15377205"/>
      <w:bookmarkStart w:id="33"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32"/>
      <w:bookmarkEnd w:id="33"/>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2605.65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1972.59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43.09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是收入减少、压缩开支。</w:t>
      </w:r>
    </w:p>
    <w:p>
      <w:pPr>
        <w:pStyle w:val="7"/>
        <w:rPr>
          <w:rFonts w:hint="eastAsia"/>
          <w:lang w:val="en-US"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-15875</wp:posOffset>
            </wp:positionH>
            <wp:positionV relativeFrom="paragraph">
              <wp:posOffset>262255</wp:posOffset>
            </wp:positionV>
            <wp:extent cx="4615180" cy="3345180"/>
            <wp:effectExtent l="5080" t="4445" r="8890" b="22225"/>
            <wp:wrapTight wrapText="bothSides">
              <wp:wrapPolygon>
                <wp:start x="-24" y="-29"/>
                <wp:lineTo x="-24" y="21497"/>
                <wp:lineTo x="21552" y="21497"/>
                <wp:lineTo x="21552" y="-29"/>
                <wp:lineTo x="-24" y="-29"/>
              </wp:wrapPolygon>
            </wp:wrapTight>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lang w:val="en-US" w:eastAsia="zh-CN"/>
        </w:rPr>
        <w:t xml:space="preserve">  </w:t>
      </w: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default"/>
          <w:lang w:val="en-US" w:eastAsia="zh-CN"/>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34" w:name="_Toc15377206"/>
      <w:bookmarkStart w:id="35"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34"/>
      <w:bookmarkEnd w:id="35"/>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2605.65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2605.65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ascii="仿宋" w:hAnsi="仿宋" w:eastAsia="仿宋"/>
          <w:color w:val="auto"/>
          <w:sz w:val="32"/>
          <w:szCs w:val="32"/>
          <w:highlight w:val="none"/>
        </w:rPr>
      </w:pPr>
    </w:p>
    <w:p>
      <w:pPr>
        <w:pStyle w:val="7"/>
        <w:rPr>
          <w:rFonts w:ascii="仿宋" w:hAnsi="仿宋" w:eastAsia="仿宋"/>
          <w:color w:val="auto"/>
          <w:sz w:val="32"/>
          <w:szCs w:val="32"/>
          <w:highlight w:val="none"/>
        </w:rPr>
      </w:pPr>
      <w:r>
        <w:rPr>
          <w:rFonts w:hint="eastAsia" w:ascii="仿宋_GB2312" w:hAnsi="仿宋" w:eastAsia="仿宋_GB2312"/>
          <w:sz w:val="32"/>
          <w:szCs w:val="32"/>
          <w:lang w:eastAsia="zh-CN"/>
        </w:rPr>
        <w:drawing>
          <wp:inline distT="0" distB="0" distL="114300" distR="114300">
            <wp:extent cx="5080000" cy="3810000"/>
            <wp:effectExtent l="4445" t="4445" r="20955" b="1460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36" w:name="_Toc15396605"/>
      <w:bookmarkStart w:id="37"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36"/>
      <w:bookmarkEnd w:id="37"/>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2605.65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725.21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27.83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1880.44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shd w:val="pct10" w:color="auto" w:fill="FFFFFF"/>
        </w:rPr>
      </w:pPr>
    </w:p>
    <w:p>
      <w:pPr>
        <w:pStyle w:val="7"/>
        <w:rPr>
          <w:rFonts w:ascii="仿宋" w:hAnsi="仿宋" w:eastAsia="仿宋"/>
          <w:color w:val="auto"/>
          <w:sz w:val="32"/>
          <w:szCs w:val="32"/>
          <w:highlight w:val="none"/>
          <w:shd w:val="pct10" w:color="auto" w:fill="FFFFFF"/>
        </w:rPr>
      </w:pPr>
    </w:p>
    <w:p>
      <w:pPr>
        <w:pStyle w:val="7"/>
        <w:rPr>
          <w:rFonts w:ascii="仿宋" w:hAnsi="仿宋" w:eastAsia="仿宋"/>
          <w:color w:val="auto"/>
          <w:sz w:val="32"/>
          <w:szCs w:val="32"/>
          <w:highlight w:val="none"/>
          <w:shd w:val="pct10" w:color="auto" w:fill="FFFFFF"/>
        </w:rPr>
      </w:pPr>
      <w:r>
        <w:rPr>
          <w:rFonts w:hint="eastAsia" w:ascii="仿宋_GB2312" w:hAnsi="仿宋" w:eastAsia="仿宋_GB2312" w:cs="Times New Roman"/>
          <w:kern w:val="2"/>
          <w:sz w:val="32"/>
          <w:szCs w:val="32"/>
          <w:lang w:val="en-US" w:eastAsia="zh-CN" w:bidi="ar-SA"/>
        </w:rPr>
        <w:drawing>
          <wp:inline distT="0" distB="0" distL="114300" distR="114300">
            <wp:extent cx="5080000" cy="3810000"/>
            <wp:effectExtent l="4445" t="4445" r="20955" b="1460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bookmarkStart w:id="38" w:name="_Toc15396606"/>
      <w:bookmarkStart w:id="39"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38"/>
      <w:bookmarkEnd w:id="39"/>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2605.65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1972.59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43.09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收入减少、压缩开支。</w:t>
      </w:r>
    </w:p>
    <w:p>
      <w:pPr>
        <w:pStyle w:val="7"/>
        <w:rPr>
          <w:rFonts w:ascii="仿宋" w:hAnsi="仿宋" w:eastAsia="仿宋"/>
          <w:b/>
          <w:color w:val="auto"/>
          <w:sz w:val="32"/>
          <w:szCs w:val="32"/>
          <w:highlight w:val="none"/>
        </w:rPr>
      </w:pP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-15875</wp:posOffset>
            </wp:positionH>
            <wp:positionV relativeFrom="paragraph">
              <wp:posOffset>50165</wp:posOffset>
            </wp:positionV>
            <wp:extent cx="4615180" cy="3345180"/>
            <wp:effectExtent l="5080" t="4445" r="8890" b="22225"/>
            <wp:wrapTight wrapText="bothSides">
              <wp:wrapPolygon>
                <wp:start x="-24" y="-29"/>
                <wp:lineTo x="-24" y="21497"/>
                <wp:lineTo x="21552" y="21497"/>
                <wp:lineTo x="21552" y="-29"/>
                <wp:lineTo x="-24" y="-29"/>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7"/>
        <w:rPr>
          <w:rFonts w:ascii="仿宋" w:hAnsi="仿宋" w:eastAsia="仿宋"/>
          <w:b/>
          <w:color w:val="auto"/>
          <w:sz w:val="32"/>
          <w:szCs w:val="32"/>
          <w:highlight w:val="none"/>
        </w:rPr>
      </w:pPr>
    </w:p>
    <w:p>
      <w:pPr>
        <w:pStyle w:val="7"/>
        <w:rPr>
          <w:rFonts w:ascii="仿宋" w:hAnsi="仿宋" w:eastAsia="仿宋"/>
          <w:b/>
          <w:color w:val="auto"/>
          <w:sz w:val="32"/>
          <w:szCs w:val="32"/>
          <w:highlight w:val="none"/>
        </w:rPr>
      </w:pPr>
    </w:p>
    <w:p>
      <w:pPr>
        <w:pStyle w:val="7"/>
        <w:rPr>
          <w:rFonts w:ascii="仿宋" w:hAnsi="仿宋" w:eastAsia="仿宋"/>
          <w:b/>
          <w:color w:val="auto"/>
          <w:sz w:val="32"/>
          <w:szCs w:val="32"/>
          <w:highlight w:val="none"/>
        </w:rPr>
      </w:pPr>
    </w:p>
    <w:p>
      <w:pPr>
        <w:pStyle w:val="7"/>
        <w:rPr>
          <w:rFonts w:ascii="仿宋" w:hAnsi="仿宋" w:eastAsia="仿宋"/>
          <w:b/>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7"/>
          <w:rFonts w:ascii="黑体" w:hAnsi="黑体" w:eastAsia="黑体"/>
          <w:b w:val="0"/>
          <w:color w:val="auto"/>
          <w:highlight w:val="none"/>
        </w:rPr>
      </w:pPr>
      <w:bookmarkStart w:id="40" w:name="_Toc15396607"/>
      <w:bookmarkStart w:id="41"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40"/>
      <w:bookmarkEnd w:id="41"/>
    </w:p>
    <w:p>
      <w:pPr>
        <w:spacing w:line="600" w:lineRule="exact"/>
        <w:ind w:firstLine="643" w:firstLineChars="200"/>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2605.65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772.59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22.87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收入减少、压缩开支。</w:t>
      </w:r>
    </w:p>
    <w:p>
      <w:pPr>
        <w:spacing w:line="600" w:lineRule="exact"/>
        <w:ind w:firstLine="640" w:firstLineChars="200"/>
        <w:rPr>
          <w:rFonts w:ascii="仿宋" w:hAnsi="仿宋" w:eastAsia="仿宋"/>
          <w:color w:val="auto"/>
          <w:sz w:val="32"/>
          <w:szCs w:val="32"/>
          <w:highlight w:val="none"/>
        </w:rPr>
      </w:pPr>
    </w:p>
    <w:p>
      <w:pPr>
        <w:pStyle w:val="7"/>
        <w:rPr>
          <w:rFonts w:ascii="仿宋" w:hAnsi="仿宋" w:eastAsia="仿宋"/>
          <w:color w:val="auto"/>
          <w:sz w:val="32"/>
          <w:szCs w:val="32"/>
          <w:highlight w:val="none"/>
        </w:rPr>
      </w:pPr>
      <w:r>
        <w:rPr>
          <w:rFonts w:hint="eastAsia" w:ascii="仿宋_GB2312" w:hAnsi="仿宋" w:eastAsia="仿宋_GB2312" w:cs="Times New Roman"/>
          <w:kern w:val="2"/>
          <w:sz w:val="32"/>
          <w:szCs w:val="32"/>
          <w:lang w:val="en-US" w:eastAsia="zh-CN" w:bidi="ar-SA"/>
        </w:rPr>
        <w:drawing>
          <wp:inline distT="0" distB="0" distL="114300" distR="114300">
            <wp:extent cx="4656455" cy="3282315"/>
            <wp:effectExtent l="4445" t="4445" r="6350" b="88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2605.65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ascii="仿宋" w:hAnsi="仿宋" w:eastAsia="仿宋"/>
          <w:color w:val="auto"/>
          <w:sz w:val="32"/>
          <w:szCs w:val="32"/>
          <w:highlight w:val="none"/>
        </w:rPr>
        <w:t>**</w:t>
      </w:r>
      <w:r>
        <w:rPr>
          <w:rFonts w:hint="eastAsia" w:ascii="仿宋" w:hAnsi="仿宋" w:eastAsia="仿宋"/>
          <w:color w:val="auto"/>
          <w:sz w:val="32"/>
          <w:szCs w:val="32"/>
          <w:highlight w:val="none"/>
        </w:rPr>
        <w:t>万元，占</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ascii="仿宋" w:hAnsi="仿宋" w:eastAsia="仿宋"/>
          <w:color w:val="auto"/>
          <w:sz w:val="32"/>
          <w:szCs w:val="32"/>
          <w:highlight w:val="none"/>
        </w:rPr>
        <w:t>**</w:t>
      </w:r>
      <w:r>
        <w:rPr>
          <w:rFonts w:hint="eastAsia" w:ascii="仿宋" w:hAnsi="仿宋" w:eastAsia="仿宋"/>
          <w:color w:val="auto"/>
          <w:sz w:val="32"/>
          <w:szCs w:val="32"/>
          <w:highlight w:val="none"/>
        </w:rPr>
        <w:t>万元，占</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科学技术（类）</w:t>
      </w:r>
      <w:r>
        <w:rPr>
          <w:rFonts w:hint="eastAsia" w:ascii="仿宋" w:hAnsi="仿宋" w:eastAsia="仿宋"/>
          <w:color w:val="auto"/>
          <w:sz w:val="32"/>
          <w:szCs w:val="32"/>
          <w:highlight w:val="none"/>
        </w:rPr>
        <w:t>支出</w:t>
      </w:r>
      <w:r>
        <w:rPr>
          <w:rFonts w:ascii="仿宋" w:hAnsi="仿宋" w:eastAsia="仿宋"/>
          <w:color w:val="auto"/>
          <w:sz w:val="32"/>
          <w:szCs w:val="32"/>
          <w:highlight w:val="none"/>
        </w:rPr>
        <w:t>**</w:t>
      </w:r>
      <w:r>
        <w:rPr>
          <w:rFonts w:hint="eastAsia" w:ascii="仿宋" w:hAnsi="仿宋" w:eastAsia="仿宋"/>
          <w:color w:val="auto"/>
          <w:sz w:val="32"/>
          <w:szCs w:val="32"/>
          <w:highlight w:val="none"/>
        </w:rPr>
        <w:t>万元，占</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文化旅游体育与传媒（类）支出</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万元，占</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65.55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2490.97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95.60</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49.13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640"/>
        <w:rPr>
          <w:rFonts w:ascii="仿宋" w:hAnsi="仿宋" w:eastAsia="仿宋"/>
          <w:color w:val="auto"/>
          <w:sz w:val="32"/>
          <w:szCs w:val="32"/>
          <w:highlight w:val="none"/>
        </w:rPr>
      </w:pPr>
    </w:p>
    <w:p>
      <w:pPr>
        <w:pStyle w:val="7"/>
        <w:rPr>
          <w:rFonts w:ascii="仿宋" w:hAnsi="仿宋" w:eastAsia="仿宋"/>
          <w:color w:val="auto"/>
          <w:sz w:val="32"/>
          <w:szCs w:val="32"/>
          <w:highlight w:val="none"/>
        </w:rPr>
      </w:pPr>
      <w:r>
        <w:rPr>
          <w:rFonts w:hint="eastAsia" w:eastAsiaTheme="minorEastAsia"/>
          <w:lang w:eastAsia="zh-CN"/>
        </w:rPr>
        <w:drawing>
          <wp:inline distT="0" distB="0" distL="114300" distR="114300">
            <wp:extent cx="5037455" cy="4370705"/>
            <wp:effectExtent l="5080" t="4445" r="5715"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4" w:name="_Toc15377212"/>
      <w:r>
        <w:rPr>
          <w:rFonts w:hint="eastAsia" w:ascii="仿宋" w:hAnsi="仿宋" w:eastAsia="仿宋"/>
          <w:b/>
          <w:color w:val="auto"/>
          <w:sz w:val="32"/>
          <w:szCs w:val="32"/>
          <w:highlight w:val="none"/>
        </w:rPr>
        <w:t>（三）一般公共预算财政拨款支出决算具体情况</w:t>
      </w:r>
      <w:bookmarkEnd w:id="44"/>
    </w:p>
    <w:p>
      <w:pPr>
        <w:spacing w:line="600" w:lineRule="exact"/>
        <w:ind w:firstLine="643" w:firstLineChars="200"/>
        <w:outlineLvl w:val="2"/>
        <w:rPr>
          <w:rFonts w:ascii="仿宋" w:hAnsi="仿宋" w:eastAsia="仿宋"/>
          <w:color w:val="auto"/>
          <w:sz w:val="32"/>
          <w:szCs w:val="32"/>
          <w:highlight w:val="none"/>
        </w:rPr>
      </w:pPr>
      <w:bookmarkStart w:id="45" w:name="_Toc15377213"/>
      <w:bookmarkStart w:id="46" w:name="_Toc15378460"/>
      <w:bookmarkStart w:id="4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2605.65</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45"/>
      <w:bookmarkEnd w:id="46"/>
      <w:bookmarkEnd w:id="47"/>
    </w:p>
    <w:p>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1.</w:t>
      </w:r>
      <w:r>
        <w:rPr>
          <w:rStyle w:val="16"/>
          <w:rFonts w:hint="eastAsia" w:ascii="仿宋" w:hAnsi="仿宋" w:eastAsia="仿宋"/>
          <w:bCs/>
          <w:color w:val="auto"/>
          <w:sz w:val="32"/>
          <w:szCs w:val="32"/>
          <w:highlight w:val="none"/>
        </w:rPr>
        <w:t>一般公共服务（类）</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（款）</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万元，完成预算</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，决算数小于</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等于预算数的主要原因是…。</w:t>
      </w:r>
    </w:p>
    <w:p>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2.</w:t>
      </w:r>
      <w:r>
        <w:rPr>
          <w:rStyle w:val="16"/>
          <w:rFonts w:hint="eastAsia" w:ascii="仿宋" w:hAnsi="仿宋" w:eastAsia="仿宋"/>
          <w:bCs/>
          <w:color w:val="auto"/>
          <w:sz w:val="32"/>
          <w:szCs w:val="32"/>
          <w:highlight w:val="none"/>
        </w:rPr>
        <w:t>教育（类）</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（款）</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万元，完成预算</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，决算数小于</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等于预算数的主要原因是…。</w:t>
      </w:r>
    </w:p>
    <w:p>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3.</w:t>
      </w:r>
      <w:r>
        <w:rPr>
          <w:rStyle w:val="16"/>
          <w:rFonts w:hint="eastAsia" w:ascii="仿宋" w:hAnsi="仿宋" w:eastAsia="仿宋"/>
          <w:bCs/>
          <w:color w:val="auto"/>
          <w:sz w:val="32"/>
          <w:szCs w:val="32"/>
          <w:highlight w:val="none"/>
        </w:rPr>
        <w:t>科学技术（类）</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（款）</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万元，完成预算</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，决算数小于</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等于预算数的主要原因是…。</w:t>
      </w:r>
    </w:p>
    <w:p>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4.</w:t>
      </w:r>
      <w:r>
        <w:rPr>
          <w:rStyle w:val="16"/>
          <w:rFonts w:hint="eastAsia" w:ascii="仿宋" w:hAnsi="仿宋" w:eastAsia="仿宋"/>
          <w:bCs/>
          <w:color w:val="auto"/>
          <w:sz w:val="32"/>
          <w:szCs w:val="32"/>
          <w:highlight w:val="none"/>
        </w:rPr>
        <w:t>文化旅游体育与传媒（类）</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（款）</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万元，完成预算</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，决算数小于</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等于预算数的主要原因是…。</w:t>
      </w:r>
    </w:p>
    <w:p>
      <w:pPr>
        <w:spacing w:line="600" w:lineRule="exact"/>
        <w:ind w:firstLine="643" w:firstLineChars="200"/>
        <w:rPr>
          <w:rStyle w:val="16"/>
          <w:rFonts w:hint="eastAsia" w:ascii="仿宋" w:hAnsi="仿宋" w:eastAsia="仿宋"/>
          <w:b w:val="0"/>
          <w:bCs/>
          <w:color w:val="auto"/>
          <w:sz w:val="32"/>
          <w:szCs w:val="32"/>
          <w:highlight w:val="none"/>
          <w:lang w:eastAsia="zh-CN"/>
        </w:rPr>
      </w:pPr>
      <w:r>
        <w:rPr>
          <w:rStyle w:val="16"/>
          <w:rFonts w:ascii="仿宋" w:hAnsi="仿宋" w:eastAsia="仿宋"/>
          <w:bCs/>
          <w:color w:val="auto"/>
          <w:sz w:val="32"/>
          <w:szCs w:val="32"/>
          <w:highlight w:val="none"/>
        </w:rPr>
        <w:t>5.</w:t>
      </w:r>
      <w:r>
        <w:rPr>
          <w:rStyle w:val="16"/>
          <w:rFonts w:hint="eastAsia" w:ascii="仿宋" w:hAnsi="仿宋" w:eastAsia="仿宋"/>
          <w:bCs/>
          <w:color w:val="auto"/>
          <w:sz w:val="32"/>
          <w:szCs w:val="32"/>
          <w:highlight w:val="none"/>
        </w:rPr>
        <w:t>社会保障和就业（类）</w:t>
      </w:r>
      <w:r>
        <w:rPr>
          <w:rStyle w:val="16"/>
          <w:rFonts w:hint="eastAsia" w:ascii="仿宋" w:hAnsi="仿宋" w:eastAsia="仿宋"/>
          <w:bCs/>
          <w:color w:val="000000"/>
          <w:sz w:val="32"/>
          <w:szCs w:val="32"/>
          <w:lang w:eastAsia="zh-CN"/>
        </w:rPr>
        <w:t>行政事业单位养老支出</w:t>
      </w:r>
      <w:r>
        <w:rPr>
          <w:rStyle w:val="16"/>
          <w:rFonts w:hint="eastAsia" w:ascii="仿宋" w:hAnsi="仿宋" w:eastAsia="仿宋"/>
          <w:bCs/>
          <w:color w:val="auto"/>
          <w:sz w:val="32"/>
          <w:szCs w:val="32"/>
          <w:highlight w:val="none"/>
        </w:rPr>
        <w:t>（款）</w:t>
      </w:r>
      <w:r>
        <w:rPr>
          <w:rStyle w:val="16"/>
          <w:rFonts w:hint="eastAsia" w:ascii="仿宋" w:hAnsi="仿宋" w:eastAsia="仿宋"/>
          <w:bCs/>
          <w:color w:val="000000"/>
          <w:sz w:val="32"/>
          <w:szCs w:val="32"/>
          <w:lang w:eastAsia="zh-CN"/>
        </w:rPr>
        <w:t>机关事业单位基本养老保险缴费支出</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65.55</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w:t>
      </w:r>
      <w:r>
        <w:rPr>
          <w:rStyle w:val="16"/>
          <w:rFonts w:hint="eastAsia" w:ascii="仿宋" w:hAnsi="仿宋" w:eastAsia="仿宋"/>
          <w:bCs/>
          <w:color w:val="000000"/>
          <w:sz w:val="32"/>
          <w:szCs w:val="32"/>
          <w:lang w:eastAsia="zh-CN"/>
        </w:rPr>
        <w:t>卫生健康管理事务</w:t>
      </w:r>
      <w:r>
        <w:rPr>
          <w:rStyle w:val="16"/>
          <w:rFonts w:hint="eastAsia" w:ascii="仿宋" w:hAnsi="仿宋" w:eastAsia="仿宋"/>
          <w:bCs/>
          <w:color w:val="auto"/>
          <w:sz w:val="32"/>
          <w:szCs w:val="32"/>
          <w:highlight w:val="none"/>
        </w:rPr>
        <w:t>（款）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420.99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964" w:firstLineChars="300"/>
        <w:rPr>
          <w:rStyle w:val="16"/>
          <w:rFonts w:hint="eastAsia" w:ascii="仿宋" w:hAnsi="仿宋" w:eastAsia="仿宋"/>
          <w:b w:val="0"/>
          <w:bCs/>
          <w:color w:val="auto"/>
          <w:sz w:val="32"/>
          <w:szCs w:val="32"/>
          <w:highlight w:val="none"/>
          <w:lang w:val="en-US" w:eastAsia="zh-CN"/>
        </w:rPr>
      </w:pP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w:t>
      </w:r>
      <w:r>
        <w:rPr>
          <w:rStyle w:val="16"/>
          <w:rFonts w:hint="eastAsia" w:ascii="仿宋" w:hAnsi="仿宋" w:eastAsia="仿宋"/>
          <w:bCs/>
          <w:color w:val="000000"/>
          <w:sz w:val="32"/>
          <w:szCs w:val="32"/>
          <w:lang w:eastAsia="zh-CN"/>
        </w:rPr>
        <w:t>卫生健康管理事务</w:t>
      </w:r>
      <w:r>
        <w:rPr>
          <w:rStyle w:val="16"/>
          <w:rFonts w:hint="eastAsia" w:ascii="仿宋" w:hAnsi="仿宋" w:eastAsia="仿宋"/>
          <w:bCs/>
          <w:color w:val="auto"/>
          <w:sz w:val="32"/>
          <w:szCs w:val="32"/>
          <w:highlight w:val="none"/>
        </w:rPr>
        <w:t>（款）</w:t>
      </w:r>
      <w:r>
        <w:rPr>
          <w:rStyle w:val="16"/>
          <w:rFonts w:hint="eastAsia" w:ascii="仿宋" w:hAnsi="仿宋" w:eastAsia="仿宋"/>
          <w:b/>
          <w:bCs w:val="0"/>
          <w:color w:val="auto"/>
          <w:sz w:val="32"/>
          <w:szCs w:val="32"/>
          <w:highlight w:val="none"/>
        </w:rPr>
        <w:t>其他卫生健康管理事务支出</w:t>
      </w:r>
      <w:r>
        <w:rPr>
          <w:rStyle w:val="16"/>
          <w:rFonts w:hint="eastAsia" w:ascii="仿宋" w:hAnsi="仿宋" w:eastAsia="仿宋"/>
          <w:b/>
          <w:bCs w:val="0"/>
          <w:color w:val="auto"/>
          <w:sz w:val="32"/>
          <w:szCs w:val="32"/>
          <w:highlight w:val="none"/>
          <w:lang w:eastAsia="zh-CN"/>
        </w:rPr>
        <w:t>（项）：</w:t>
      </w:r>
      <w:r>
        <w:rPr>
          <w:rStyle w:val="16"/>
          <w:rFonts w:hint="eastAsia" w:ascii="仿宋" w:hAnsi="仿宋" w:eastAsia="仿宋"/>
          <w:b w:val="0"/>
          <w:bCs/>
          <w:color w:val="auto"/>
          <w:sz w:val="32"/>
          <w:szCs w:val="32"/>
          <w:highlight w:val="none"/>
          <w:lang w:val="en-US" w:eastAsia="zh-CN"/>
        </w:rPr>
        <w:t>136.21万元，完成预算100%。</w:t>
      </w:r>
    </w:p>
    <w:p>
      <w:pPr>
        <w:pStyle w:val="7"/>
        <w:ind w:firstLine="964" w:firstLineChars="300"/>
        <w:rPr>
          <w:rStyle w:val="16"/>
          <w:rFonts w:hint="eastAsia" w:ascii="仿宋" w:hAnsi="仿宋" w:eastAsia="仿宋"/>
          <w:b w:val="0"/>
          <w:bCs w:val="0"/>
          <w:color w:val="auto"/>
          <w:sz w:val="32"/>
          <w:szCs w:val="32"/>
          <w:highlight w:val="none"/>
          <w:lang w:val="en-US" w:eastAsia="zh-CN"/>
        </w:rPr>
      </w:pP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（类）基层医疗卫生机构</w:t>
      </w:r>
      <w:r>
        <w:rPr>
          <w:rStyle w:val="16"/>
          <w:rFonts w:hint="eastAsia" w:ascii="仿宋" w:hAnsi="仿宋" w:eastAsia="仿宋"/>
          <w:bCs/>
          <w:color w:val="auto"/>
          <w:sz w:val="32"/>
          <w:szCs w:val="32"/>
          <w:highlight w:val="none"/>
          <w:lang w:eastAsia="zh-CN"/>
        </w:rPr>
        <w:t>（款）其他基层医疗卫生机构支出（项）：</w:t>
      </w:r>
      <w:r>
        <w:rPr>
          <w:rStyle w:val="16"/>
          <w:rFonts w:hint="eastAsia" w:ascii="仿宋" w:hAnsi="仿宋" w:eastAsia="仿宋"/>
          <w:b w:val="0"/>
          <w:bCs w:val="0"/>
          <w:color w:val="auto"/>
          <w:sz w:val="32"/>
          <w:szCs w:val="32"/>
          <w:highlight w:val="none"/>
          <w:lang w:val="en-US" w:eastAsia="zh-CN"/>
        </w:rPr>
        <w:t>6万元，完成预算100%。</w:t>
      </w:r>
    </w:p>
    <w:p>
      <w:pPr>
        <w:pStyle w:val="7"/>
        <w:ind w:firstLine="964" w:firstLineChars="300"/>
        <w:rPr>
          <w:rStyle w:val="16"/>
          <w:rFonts w:hint="eastAsia" w:ascii="仿宋" w:hAnsi="仿宋" w:eastAsia="仿宋"/>
          <w:b w:val="0"/>
          <w:bCs w:val="0"/>
          <w:color w:val="auto"/>
          <w:sz w:val="32"/>
          <w:szCs w:val="32"/>
          <w:highlight w:val="none"/>
          <w:lang w:val="en-US" w:eastAsia="zh-CN"/>
        </w:rPr>
      </w:pP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（类）公共卫生</w:t>
      </w:r>
      <w:r>
        <w:rPr>
          <w:rStyle w:val="16"/>
          <w:rFonts w:hint="eastAsia" w:ascii="仿宋" w:hAnsi="仿宋" w:eastAsia="仿宋"/>
          <w:bCs/>
          <w:color w:val="auto"/>
          <w:sz w:val="32"/>
          <w:szCs w:val="32"/>
          <w:highlight w:val="none"/>
          <w:lang w:eastAsia="zh-CN"/>
        </w:rPr>
        <w:t>（款）基本公共卫生服务（项）：</w:t>
      </w:r>
      <w:r>
        <w:rPr>
          <w:rStyle w:val="16"/>
          <w:rFonts w:hint="eastAsia" w:ascii="仿宋" w:hAnsi="仿宋" w:eastAsia="仿宋"/>
          <w:b w:val="0"/>
          <w:bCs w:val="0"/>
          <w:color w:val="auto"/>
          <w:sz w:val="32"/>
          <w:szCs w:val="32"/>
          <w:highlight w:val="none"/>
          <w:lang w:val="en-US" w:eastAsia="zh-CN"/>
        </w:rPr>
        <w:t>48.52万元，完成预算100%。</w:t>
      </w:r>
    </w:p>
    <w:p>
      <w:pPr>
        <w:pStyle w:val="7"/>
        <w:ind w:firstLine="964" w:firstLineChars="300"/>
        <w:rPr>
          <w:rStyle w:val="16"/>
          <w:rFonts w:hint="eastAsia" w:ascii="仿宋" w:hAnsi="仿宋" w:eastAsia="仿宋"/>
          <w:b w:val="0"/>
          <w:bCs w:val="0"/>
          <w:color w:val="auto"/>
          <w:sz w:val="32"/>
          <w:szCs w:val="32"/>
          <w:highlight w:val="none"/>
          <w:lang w:val="en-US" w:eastAsia="zh-CN"/>
        </w:rPr>
      </w:pP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（类）公共卫生</w:t>
      </w:r>
      <w:r>
        <w:rPr>
          <w:rStyle w:val="16"/>
          <w:rFonts w:hint="eastAsia" w:ascii="仿宋" w:hAnsi="仿宋" w:eastAsia="仿宋"/>
          <w:bCs/>
          <w:color w:val="auto"/>
          <w:sz w:val="32"/>
          <w:szCs w:val="32"/>
          <w:highlight w:val="none"/>
          <w:lang w:eastAsia="zh-CN"/>
        </w:rPr>
        <w:t>（款）重大公共卫生服务（项）：</w:t>
      </w:r>
      <w:r>
        <w:rPr>
          <w:rStyle w:val="16"/>
          <w:rFonts w:hint="eastAsia" w:ascii="仿宋" w:hAnsi="仿宋" w:eastAsia="仿宋"/>
          <w:b w:val="0"/>
          <w:bCs w:val="0"/>
          <w:color w:val="auto"/>
          <w:sz w:val="32"/>
          <w:szCs w:val="32"/>
          <w:highlight w:val="none"/>
          <w:lang w:val="en-US" w:eastAsia="zh-CN"/>
        </w:rPr>
        <w:t>1066.33万元，完成预算100%。</w:t>
      </w:r>
    </w:p>
    <w:p>
      <w:pPr>
        <w:pStyle w:val="7"/>
        <w:ind w:firstLine="964" w:firstLineChars="300"/>
        <w:rPr>
          <w:rStyle w:val="16"/>
          <w:rFonts w:hint="eastAsia" w:ascii="仿宋" w:hAnsi="仿宋" w:eastAsia="仿宋"/>
          <w:bCs/>
          <w:color w:val="auto"/>
          <w:sz w:val="32"/>
          <w:szCs w:val="32"/>
          <w:highlight w:val="none"/>
          <w:lang w:val="en-US" w:eastAsia="zh-CN"/>
        </w:rPr>
      </w:pP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（类）计划生育事务</w:t>
      </w:r>
      <w:r>
        <w:rPr>
          <w:rStyle w:val="16"/>
          <w:rFonts w:hint="eastAsia" w:ascii="仿宋" w:hAnsi="仿宋" w:eastAsia="仿宋"/>
          <w:bCs/>
          <w:color w:val="auto"/>
          <w:sz w:val="32"/>
          <w:szCs w:val="32"/>
          <w:highlight w:val="none"/>
          <w:lang w:eastAsia="zh-CN"/>
        </w:rPr>
        <w:t>（款）计划生育服务（项）</w:t>
      </w:r>
      <w:r>
        <w:rPr>
          <w:rStyle w:val="16"/>
          <w:rFonts w:hint="eastAsia" w:ascii="仿宋" w:hAnsi="仿宋" w:eastAsia="仿宋"/>
          <w:bCs/>
          <w:color w:val="auto"/>
          <w:sz w:val="32"/>
          <w:szCs w:val="32"/>
          <w:highlight w:val="none"/>
          <w:lang w:val="en-US" w:eastAsia="zh-CN"/>
        </w:rPr>
        <w:t>:</w:t>
      </w:r>
      <w:r>
        <w:rPr>
          <w:rStyle w:val="16"/>
          <w:rFonts w:hint="eastAsia" w:ascii="仿宋" w:hAnsi="仿宋" w:eastAsia="仿宋"/>
          <w:b w:val="0"/>
          <w:bCs w:val="0"/>
          <w:color w:val="auto"/>
          <w:sz w:val="32"/>
          <w:szCs w:val="32"/>
          <w:highlight w:val="none"/>
          <w:lang w:val="en-US" w:eastAsia="zh-CN"/>
        </w:rPr>
        <w:t>745.76万元，完成预算100%。</w:t>
      </w:r>
    </w:p>
    <w:p>
      <w:pPr>
        <w:pStyle w:val="7"/>
        <w:ind w:firstLine="964" w:firstLineChars="300"/>
        <w:rPr>
          <w:rStyle w:val="16"/>
          <w:rFonts w:hint="eastAsia" w:ascii="仿宋" w:hAnsi="仿宋" w:eastAsia="仿宋"/>
          <w:b w:val="0"/>
          <w:bCs w:val="0"/>
          <w:color w:val="auto"/>
          <w:sz w:val="32"/>
          <w:szCs w:val="32"/>
          <w:highlight w:val="none"/>
          <w:lang w:val="en-US" w:eastAsia="zh-CN"/>
        </w:rPr>
      </w:pP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（类）行政事业单位医疗</w:t>
      </w:r>
      <w:r>
        <w:rPr>
          <w:rStyle w:val="16"/>
          <w:rFonts w:hint="eastAsia" w:ascii="仿宋" w:hAnsi="仿宋" w:eastAsia="仿宋"/>
          <w:bCs/>
          <w:color w:val="auto"/>
          <w:sz w:val="32"/>
          <w:szCs w:val="32"/>
          <w:highlight w:val="none"/>
          <w:lang w:eastAsia="zh-CN"/>
        </w:rPr>
        <w:t>（款）行政单位医疗（项）：</w:t>
      </w:r>
      <w:r>
        <w:rPr>
          <w:rStyle w:val="16"/>
          <w:rFonts w:hint="eastAsia" w:ascii="仿宋" w:hAnsi="仿宋" w:eastAsia="仿宋"/>
          <w:b w:val="0"/>
          <w:bCs w:val="0"/>
          <w:color w:val="auto"/>
          <w:sz w:val="32"/>
          <w:szCs w:val="32"/>
          <w:highlight w:val="none"/>
          <w:lang w:val="en-US" w:eastAsia="zh-CN"/>
        </w:rPr>
        <w:t>27.02万元，完成预算100%。</w:t>
      </w:r>
    </w:p>
    <w:p>
      <w:pPr>
        <w:pStyle w:val="7"/>
        <w:ind w:firstLine="964" w:firstLineChars="300"/>
        <w:rPr>
          <w:rStyle w:val="16"/>
          <w:rFonts w:hint="eastAsia" w:ascii="仿宋" w:hAnsi="仿宋" w:eastAsia="仿宋"/>
          <w:bCs/>
          <w:color w:val="auto"/>
          <w:sz w:val="32"/>
          <w:szCs w:val="32"/>
          <w:highlight w:val="none"/>
          <w:lang w:val="en-US" w:eastAsia="zh-CN"/>
        </w:rPr>
      </w:pP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（类）行政事业单位医疗</w:t>
      </w:r>
      <w:r>
        <w:rPr>
          <w:rStyle w:val="16"/>
          <w:rFonts w:hint="eastAsia" w:ascii="仿宋" w:hAnsi="仿宋" w:eastAsia="仿宋"/>
          <w:bCs/>
          <w:color w:val="auto"/>
          <w:sz w:val="32"/>
          <w:szCs w:val="32"/>
          <w:highlight w:val="none"/>
          <w:lang w:eastAsia="zh-CN"/>
        </w:rPr>
        <w:t>（款）事业单位医疗（项）：</w:t>
      </w:r>
      <w:r>
        <w:rPr>
          <w:rStyle w:val="16"/>
          <w:rFonts w:hint="eastAsia" w:ascii="仿宋" w:hAnsi="仿宋" w:eastAsia="仿宋"/>
          <w:b w:val="0"/>
          <w:bCs w:val="0"/>
          <w:color w:val="auto"/>
          <w:sz w:val="32"/>
          <w:szCs w:val="32"/>
          <w:highlight w:val="none"/>
          <w:lang w:val="en-US" w:eastAsia="zh-CN"/>
        </w:rPr>
        <w:t>4.59万元，完成预算100%。</w:t>
      </w:r>
    </w:p>
    <w:p>
      <w:pPr>
        <w:pStyle w:val="7"/>
        <w:ind w:firstLine="964" w:firstLineChars="300"/>
        <w:rPr>
          <w:rStyle w:val="16"/>
          <w:rFonts w:hint="eastAsia" w:ascii="仿宋" w:hAnsi="仿宋" w:eastAsia="仿宋"/>
          <w:b w:val="0"/>
          <w:bCs w:val="0"/>
          <w:color w:val="auto"/>
          <w:sz w:val="32"/>
          <w:szCs w:val="32"/>
          <w:highlight w:val="none"/>
          <w:lang w:val="en-US" w:eastAsia="zh-CN"/>
        </w:rPr>
      </w:pP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（类）行政事业单位医疗</w:t>
      </w:r>
      <w:r>
        <w:rPr>
          <w:rStyle w:val="16"/>
          <w:rFonts w:hint="eastAsia" w:ascii="仿宋" w:hAnsi="仿宋" w:eastAsia="仿宋"/>
          <w:bCs/>
          <w:color w:val="auto"/>
          <w:sz w:val="32"/>
          <w:szCs w:val="32"/>
          <w:highlight w:val="none"/>
          <w:lang w:eastAsia="zh-CN"/>
        </w:rPr>
        <w:t>（款）公务员医疗补助（项）：</w:t>
      </w:r>
      <w:r>
        <w:rPr>
          <w:rStyle w:val="16"/>
          <w:rFonts w:hint="eastAsia" w:ascii="仿宋" w:hAnsi="仿宋" w:eastAsia="仿宋"/>
          <w:b w:val="0"/>
          <w:bCs w:val="0"/>
          <w:color w:val="auto"/>
          <w:sz w:val="32"/>
          <w:szCs w:val="32"/>
          <w:highlight w:val="none"/>
          <w:lang w:val="en-US" w:eastAsia="zh-CN"/>
        </w:rPr>
        <w:t>15.72万元，完成预算100%。</w:t>
      </w:r>
    </w:p>
    <w:p>
      <w:pPr>
        <w:pStyle w:val="7"/>
        <w:ind w:firstLine="964" w:firstLineChars="300"/>
        <w:rPr>
          <w:rStyle w:val="16"/>
          <w:rFonts w:hint="eastAsia" w:ascii="仿宋" w:hAnsi="仿宋" w:eastAsia="仿宋"/>
          <w:b w:val="0"/>
          <w:bCs w:val="0"/>
          <w:color w:val="auto"/>
          <w:sz w:val="32"/>
          <w:szCs w:val="32"/>
          <w:highlight w:val="none"/>
          <w:lang w:val="en-US" w:eastAsia="zh-CN"/>
        </w:rPr>
      </w:pP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（类）其他卫生健康支出</w:t>
      </w:r>
      <w:r>
        <w:rPr>
          <w:rStyle w:val="16"/>
          <w:rFonts w:hint="eastAsia" w:ascii="仿宋" w:hAnsi="仿宋" w:eastAsia="仿宋"/>
          <w:bCs/>
          <w:color w:val="auto"/>
          <w:sz w:val="32"/>
          <w:szCs w:val="32"/>
          <w:highlight w:val="none"/>
          <w:lang w:eastAsia="zh-CN"/>
        </w:rPr>
        <w:t>（款） 其他卫生健康支出（项）：</w:t>
      </w:r>
      <w:r>
        <w:rPr>
          <w:rStyle w:val="16"/>
          <w:rFonts w:hint="eastAsia" w:ascii="仿宋" w:hAnsi="仿宋" w:eastAsia="仿宋"/>
          <w:b w:val="0"/>
          <w:bCs w:val="0"/>
          <w:color w:val="auto"/>
          <w:sz w:val="32"/>
          <w:szCs w:val="32"/>
          <w:highlight w:val="none"/>
          <w:lang w:val="en-US" w:eastAsia="zh-CN"/>
        </w:rPr>
        <w:t>20.13万元，完成预算100%。</w:t>
      </w:r>
    </w:p>
    <w:p>
      <w:pPr>
        <w:pStyle w:val="7"/>
        <w:ind w:firstLine="964" w:firstLineChars="300"/>
        <w:rPr>
          <w:rStyle w:val="16"/>
          <w:rFonts w:hint="default" w:ascii="仿宋" w:hAnsi="仿宋" w:eastAsia="仿宋"/>
          <w:b w:val="0"/>
          <w:bCs w:val="0"/>
          <w:color w:val="auto"/>
          <w:sz w:val="32"/>
          <w:szCs w:val="32"/>
          <w:highlight w:val="none"/>
          <w:lang w:val="en-US" w:eastAsia="zh-CN"/>
        </w:rPr>
      </w:pPr>
      <w:r>
        <w:rPr>
          <w:rStyle w:val="16"/>
          <w:rFonts w:hint="eastAsia" w:ascii="仿宋" w:hAnsi="仿宋" w:eastAsia="仿宋"/>
          <w:bCs/>
          <w:color w:val="auto"/>
          <w:sz w:val="32"/>
          <w:szCs w:val="32"/>
          <w:highlight w:val="none"/>
          <w:lang w:val="en-US" w:eastAsia="zh-CN"/>
        </w:rPr>
        <w:t>7</w:t>
      </w:r>
      <w:r>
        <w:rPr>
          <w:rStyle w:val="16"/>
          <w:rFonts w:ascii="仿宋" w:hAnsi="仿宋" w:eastAsia="仿宋"/>
          <w:bCs/>
          <w:color w:val="auto"/>
          <w:sz w:val="32"/>
          <w:szCs w:val="32"/>
          <w:highlight w:val="none"/>
        </w:rPr>
        <w:t>.</w:t>
      </w:r>
      <w:r>
        <w:rPr>
          <w:rFonts w:hint="eastAsia" w:ascii="仿宋" w:hAnsi="仿宋" w:eastAsia="仿宋"/>
          <w:b/>
          <w:bCs/>
          <w:color w:val="000000" w:themeColor="text1"/>
          <w:sz w:val="32"/>
          <w:szCs w:val="32"/>
          <w:lang w:eastAsia="zh-CN"/>
          <w14:textFill>
            <w14:solidFill>
              <w14:schemeClr w14:val="tx1"/>
            </w14:solidFill>
          </w14:textFill>
        </w:rPr>
        <w:t>住房保障支出（类）住房改革支出（款）住房公积金（项）：</w:t>
      </w:r>
      <w:r>
        <w:rPr>
          <w:rFonts w:hint="eastAsia" w:ascii="仿宋" w:hAnsi="仿宋" w:eastAsia="仿宋"/>
          <w:b w:val="0"/>
          <w:bCs w:val="0"/>
          <w:color w:val="000000" w:themeColor="text1"/>
          <w:sz w:val="32"/>
          <w:szCs w:val="32"/>
          <w:lang w:val="en-US" w:eastAsia="zh-CN"/>
          <w14:textFill>
            <w14:solidFill>
              <w14:schemeClr w14:val="tx1"/>
            </w14:solidFill>
          </w14:textFill>
        </w:rPr>
        <w:t>49.13万元，完成预算100%。</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7"/>
          <w:color w:val="auto"/>
          <w:highlight w:val="none"/>
        </w:rPr>
      </w:pPr>
      <w:bookmarkStart w:id="48" w:name="_Toc15396608"/>
      <w:bookmarkStart w:id="49"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48"/>
      <w:bookmarkEnd w:id="49"/>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725.22</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624.41</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100.81</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7"/>
          <w:rFonts w:ascii="黑体" w:hAnsi="黑体" w:eastAsia="黑体"/>
          <w:b w:val="0"/>
          <w:color w:val="auto"/>
          <w:highlight w:val="none"/>
        </w:rPr>
      </w:pPr>
      <w:bookmarkStart w:id="50" w:name="_Toc15377215"/>
      <w:bookmarkStart w:id="51"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50"/>
      <w:bookmarkEnd w:id="51"/>
    </w:p>
    <w:p>
      <w:pPr>
        <w:spacing w:line="600" w:lineRule="exact"/>
        <w:ind w:firstLine="640"/>
        <w:outlineLvl w:val="2"/>
        <w:rPr>
          <w:rFonts w:ascii="仿宋" w:hAnsi="仿宋" w:eastAsia="仿宋"/>
          <w:b/>
          <w:color w:val="auto"/>
          <w:sz w:val="32"/>
          <w:szCs w:val="32"/>
          <w:highlight w:val="none"/>
        </w:rPr>
      </w:pPr>
      <w:bookmarkStart w:id="52" w:name="_Toc15377216"/>
      <w:r>
        <w:rPr>
          <w:rFonts w:hint="eastAsia" w:ascii="仿宋" w:hAnsi="仿宋" w:eastAsia="仿宋"/>
          <w:b/>
          <w:color w:val="auto"/>
          <w:sz w:val="32"/>
          <w:szCs w:val="32"/>
          <w:highlight w:val="none"/>
        </w:rPr>
        <w:t>（一）“三公”经费财政拨款支出决算总体情况说明</w:t>
      </w:r>
      <w:bookmarkEnd w:id="52"/>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r>
        <w:rPr>
          <w:rFonts w:hint="eastAsia" w:ascii="仿宋" w:hAnsi="仿宋" w:eastAsia="仿宋"/>
          <w:color w:val="auto"/>
          <w:sz w:val="32"/>
          <w:szCs w:val="32"/>
          <w:highlight w:val="none"/>
          <w:lang w:eastAsia="zh-CN"/>
        </w:rPr>
        <w:t>。</w:t>
      </w:r>
    </w:p>
    <w:p>
      <w:pPr>
        <w:spacing w:line="600" w:lineRule="exact"/>
        <w:ind w:firstLine="640"/>
        <w:outlineLvl w:val="2"/>
        <w:rPr>
          <w:rFonts w:ascii="仿宋" w:hAnsi="仿宋" w:eastAsia="仿宋"/>
          <w:b/>
          <w:color w:val="auto"/>
          <w:sz w:val="32"/>
          <w:szCs w:val="32"/>
          <w:highlight w:val="none"/>
        </w:rPr>
      </w:pPr>
      <w:bookmarkStart w:id="53" w:name="_Toc15377217"/>
      <w:r>
        <w:rPr>
          <w:rFonts w:hint="eastAsia" w:ascii="仿宋" w:hAnsi="仿宋" w:eastAsia="仿宋"/>
          <w:b/>
          <w:color w:val="auto"/>
          <w:sz w:val="32"/>
          <w:szCs w:val="32"/>
          <w:highlight w:val="none"/>
        </w:rPr>
        <w:t>（二）“三公”经费财政拨款支出决算具体情况说明</w:t>
      </w:r>
      <w:bookmarkEnd w:id="5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7"/>
        <w:rPr>
          <w:rFonts w:hint="eastAsia" w:ascii="仿宋" w:hAnsi="仿宋" w:eastAsia="仿宋"/>
          <w:color w:val="auto"/>
          <w:sz w:val="32"/>
          <w:szCs w:val="32"/>
          <w:highlight w:val="none"/>
        </w:rPr>
      </w:pPr>
      <w:r>
        <w:rPr>
          <w:rFonts w:hint="eastAsia" w:eastAsiaTheme="minorEastAsia"/>
          <w:lang w:eastAsia="zh-CN"/>
        </w:rPr>
        <w:drawing>
          <wp:inline distT="0" distB="0" distL="114300" distR="114300">
            <wp:extent cx="4952365" cy="3618865"/>
            <wp:effectExtent l="4445" t="4445" r="15240"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numPr>
          <w:ilvl w:val="0"/>
          <w:numId w:val="0"/>
        </w:num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pPr>
        <w:numPr>
          <w:ilvl w:val="0"/>
          <w:numId w:val="0"/>
        </w:num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81" w:name="_GoBack"/>
      <w:bookmarkEnd w:id="81"/>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3" w:firstLineChars="20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w:t>
      </w:r>
      <w:r>
        <w:rPr>
          <w:rFonts w:hint="eastAsia" w:ascii="仿宋_GB2312" w:eastAsia="仿宋_GB2312"/>
          <w:color w:val="auto"/>
          <w:sz w:val="32"/>
          <w:szCs w:val="32"/>
          <w:highlight w:val="none"/>
          <w:lang w:eastAsia="zh-CN"/>
        </w:rPr>
        <w:t>待</w:t>
      </w:r>
      <w:r>
        <w:rPr>
          <w:rFonts w:hint="eastAsia" w:ascii="仿宋_GB2312" w:eastAsia="仿宋_GB2312"/>
          <w:color w:val="auto"/>
          <w:sz w:val="32"/>
          <w:szCs w:val="32"/>
          <w:highlight w:val="none"/>
        </w:rPr>
        <w:t>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0.03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11.11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eastAsia="zh-CN"/>
        </w:rPr>
        <w:t>接待人数增加。</w:t>
      </w:r>
    </w:p>
    <w:p>
      <w:pPr>
        <w:numPr>
          <w:ilvl w:val="0"/>
          <w:numId w:val="0"/>
        </w:num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w:t>
      </w:r>
      <w:r>
        <w:rPr>
          <w:rFonts w:hint="eastAsia" w:ascii="仿宋_GB2312" w:eastAsia="仿宋_GB2312"/>
          <w:color w:val="auto"/>
          <w:sz w:val="32"/>
          <w:szCs w:val="32"/>
          <w:highlight w:val="none"/>
        </w:rPr>
        <w:t>万元，执行公务、开展业务活动开支的交通费、住宿费、用餐费等。国内公务接待</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交通费、住宿费、用餐费等</w:t>
      </w:r>
      <w:r>
        <w:rPr>
          <w:rFonts w:hint="eastAsia" w:ascii="仿宋_GB2312" w:eastAsia="仿宋_GB2312"/>
          <w:color w:val="auto"/>
          <w:sz w:val="32"/>
          <w:szCs w:val="32"/>
          <w:highlight w:val="none"/>
        </w:rPr>
        <w:t>。</w:t>
      </w:r>
    </w:p>
    <w:p>
      <w:pPr>
        <w:spacing w:line="600" w:lineRule="exact"/>
        <w:ind w:firstLine="640"/>
        <w:outlineLvl w:val="1"/>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4" w:name="_Toc15377218"/>
      <w:bookmarkStart w:id="55" w:name="_Toc15396610"/>
      <w:r>
        <w:rPr>
          <w:rFonts w:hint="eastAsia" w:ascii="仿宋_GB2312" w:eastAsia="仿宋_GB2312"/>
          <w:color w:val="auto"/>
          <w:sz w:val="32"/>
          <w:szCs w:val="32"/>
          <w:highlight w:val="none"/>
        </w:rPr>
        <w:t>。</w:t>
      </w:r>
    </w:p>
    <w:p>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54"/>
      <w:bookmarkEnd w:id="55"/>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7"/>
          <w:rFonts w:ascii="黑体" w:hAnsi="黑体" w:eastAsia="黑体"/>
          <w:b w:val="0"/>
          <w:color w:val="auto"/>
          <w:highlight w:val="none"/>
        </w:rPr>
      </w:pPr>
      <w:bookmarkStart w:id="56" w:name="_Toc15377219"/>
      <w:bookmarkStart w:id="57" w:name="_Toc15396611"/>
      <w:r>
        <w:rPr>
          <w:rStyle w:val="27"/>
          <w:rFonts w:hint="eastAsia" w:ascii="黑体" w:hAnsi="黑体" w:eastAsia="黑体"/>
          <w:b w:val="0"/>
          <w:color w:val="auto"/>
          <w:highlight w:val="none"/>
        </w:rPr>
        <w:t>国有资本经营预算支出决算情况说明</w:t>
      </w:r>
      <w:bookmarkEnd w:id="56"/>
      <w:bookmarkEnd w:id="5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7"/>
          <w:rFonts w:hint="eastAsia" w:ascii="黑体" w:hAnsi="黑体" w:eastAsia="黑体"/>
          <w:b w:val="0"/>
          <w:color w:val="auto"/>
          <w:highlight w:val="none"/>
        </w:rPr>
      </w:pPr>
      <w:bookmarkStart w:id="58" w:name="_Toc15377221"/>
      <w:bookmarkStart w:id="59" w:name="_Toc15396612"/>
      <w:r>
        <w:rPr>
          <w:rStyle w:val="27"/>
          <w:rFonts w:hint="eastAsia" w:ascii="黑体" w:hAnsi="黑体" w:eastAsia="黑体"/>
          <w:b w:val="0"/>
          <w:color w:val="auto"/>
          <w:highlight w:val="none"/>
        </w:rPr>
        <w:t>其他重要事项的情况说明</w:t>
      </w:r>
      <w:bookmarkEnd w:id="58"/>
      <w:bookmarkEnd w:id="59"/>
    </w:p>
    <w:p>
      <w:pPr>
        <w:spacing w:line="600" w:lineRule="exact"/>
        <w:ind w:firstLine="643" w:firstLineChars="200"/>
        <w:outlineLvl w:val="2"/>
        <w:rPr>
          <w:rFonts w:ascii="仿宋" w:hAnsi="仿宋" w:eastAsia="仿宋"/>
          <w:color w:val="auto"/>
          <w:sz w:val="32"/>
          <w:szCs w:val="32"/>
          <w:highlight w:val="none"/>
        </w:rPr>
      </w:pPr>
      <w:bookmarkStart w:id="60" w:name="_Toc15377222"/>
      <w:r>
        <w:rPr>
          <w:rFonts w:hint="eastAsia" w:ascii="仿宋" w:hAnsi="仿宋" w:eastAsia="仿宋"/>
          <w:b/>
          <w:color w:val="auto"/>
          <w:sz w:val="32"/>
          <w:szCs w:val="32"/>
          <w:highlight w:val="none"/>
        </w:rPr>
        <w:t>（一）机关运行经费支出情况</w:t>
      </w:r>
      <w:bookmarkEnd w:id="60"/>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卫生健康局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100.81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85.36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45.85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压减开支。</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1" w:name="_Toc15377223"/>
      <w:r>
        <w:rPr>
          <w:rFonts w:hint="eastAsia" w:ascii="仿宋" w:hAnsi="仿宋" w:eastAsia="仿宋"/>
          <w:b/>
          <w:color w:val="auto"/>
          <w:sz w:val="32"/>
          <w:szCs w:val="32"/>
          <w:highlight w:val="none"/>
        </w:rPr>
        <w:t>（二）政府采购支出情况</w:t>
      </w:r>
      <w:bookmarkEnd w:id="6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卫生健康局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2" w:name="_Toc15377224"/>
      <w:r>
        <w:rPr>
          <w:rFonts w:hint="eastAsia" w:ascii="仿宋" w:hAnsi="仿宋" w:eastAsia="仿宋"/>
          <w:b/>
          <w:color w:val="auto"/>
          <w:sz w:val="32"/>
          <w:szCs w:val="32"/>
          <w:highlight w:val="none"/>
        </w:rPr>
        <w:t>（三）国有资产占有使用情况</w:t>
      </w:r>
      <w:bookmarkEnd w:id="62"/>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卫生健康局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医疗服务能力提升补助资金</w:t>
      </w:r>
      <w:r>
        <w:rPr>
          <w:rFonts w:hint="eastAsia" w:ascii="仿宋_GB2312" w:hAnsi="仿宋_GB2312" w:eastAsia="仿宋_GB2312" w:cs="仿宋_GB2312"/>
          <w:color w:val="auto"/>
          <w:sz w:val="32"/>
          <w:szCs w:val="32"/>
          <w:highlight w:val="none"/>
          <w:lang w:eastAsia="zh-CN"/>
        </w:rPr>
        <w:t>”、“计划生育转移支付资金”、“疫情防控财政补助</w:t>
      </w:r>
      <w:r>
        <w:rPr>
          <w:rFonts w:hint="eastAsia"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三个项目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开江县卫生健康局</w:t>
      </w:r>
      <w:r>
        <w:rPr>
          <w:rFonts w:hint="eastAsia" w:ascii="仿宋_GB2312" w:hAnsi="仿宋_GB2312" w:eastAsia="仿宋_GB2312" w:cs="仿宋_GB2312"/>
          <w:color w:val="auto"/>
          <w:sz w:val="32"/>
          <w:szCs w:val="32"/>
          <w:highlight w:val="none"/>
        </w:rPr>
        <w:t>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pStyle w:val="2"/>
        <w:rPr>
          <w:rFonts w:hint="eastAsia" w:ascii="仿宋_GB2312" w:hAnsi="仿宋_GB2312" w:eastAsia="仿宋_GB2312" w:cs="仿宋_GB2312"/>
          <w:color w:val="auto"/>
          <w:sz w:val="32"/>
          <w:szCs w:val="32"/>
          <w:highlight w:val="none"/>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15"/>
        <w:gridCol w:w="1077"/>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eastAsiaTheme="minorEastAsia"/>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eastAsia="zh-CN"/>
              </w:rPr>
              <w:t>医疗服务能力提升补助资金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开江县卫生健康局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358.81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358.81</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eastAsiaTheme="minorEastAsia"/>
                <w:color w:val="000000"/>
                <w:sz w:val="24"/>
                <w:lang w:val="en-US" w:eastAsia="zh-CN"/>
              </w:rPr>
              <w:t>358.81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eastAsiaTheme="minorEastAsia"/>
                <w:color w:val="000000"/>
                <w:sz w:val="24"/>
                <w:lang w:val="en-US" w:eastAsia="zh-CN"/>
              </w:rPr>
              <w:t>358.81</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cs="宋体" w:eastAsiaTheme="minorEastAsia"/>
                <w:color w:val="000000"/>
                <w:sz w:val="24"/>
                <w:lang w:val="en-US" w:eastAsia="zh-CN"/>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深化公立医院综合改革，建立健全现代医院管理制度，协调推进医疗价格、人事薪酬、药品流通、医保支付改革，提高医疗卫生服务质量。</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深化公立医院综合改革，建立健全现代医院管理制度，协调推进医疗价格、人事薪酬、药品流通、医保支付改革，提高医疗卫生服务质量。</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县级公立医院综合改革个数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val="en-US" w:eastAsia="zh-CN"/>
              </w:rPr>
            </w:pPr>
            <w:r>
              <w:rPr>
                <w:rFonts w:hint="eastAsia" w:ascii="宋体" w:hAnsi="宋体" w:cs="宋体"/>
                <w:color w:val="000000"/>
                <w:sz w:val="24"/>
                <w:lang w:val="en-US" w:eastAsia="zh-CN"/>
              </w:rPr>
              <w:t>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val="en-US" w:eastAsia="zh-CN"/>
              </w:rPr>
            </w:pPr>
            <w:r>
              <w:rPr>
                <w:rFonts w:hint="eastAsia" w:ascii="宋体" w:hAnsi="宋体" w:cs="宋体"/>
                <w:color w:val="000000"/>
                <w:sz w:val="24"/>
                <w:lang w:val="en-US" w:eastAsia="zh-CN"/>
              </w:rPr>
              <w:t>2</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全科医生转岗培训人数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12</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尘肺病康复站点能力建设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92%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val="en-US" w:eastAsia="zh-CN"/>
              </w:rPr>
            </w:pPr>
            <w:r>
              <w:rPr>
                <w:rFonts w:hint="eastAsia" w:ascii="宋体" w:hAnsi="宋体" w:cs="宋体"/>
                <w:color w:val="000000"/>
                <w:sz w:val="24"/>
                <w:lang w:val="en-US" w:eastAsia="zh-CN"/>
              </w:rPr>
              <w:t>92%</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县级公立医院医疗服务能力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逐步提高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逐步提高</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现代医院管理制度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逐步完善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逐步完善</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乡镇卫生院和社区卫生服务中心临床业务骨干培训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2021年12月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2021年12月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公立医院患者满意度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eastAsiaTheme="minorEastAsia"/>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 xml:space="preserve"> 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计划生育转移支付资金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开江县卫生健康局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848.88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848.88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732.33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732.33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116.55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116.55</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目标1：实施农村计划生育家庭奖励扶助制度，解决农村独生子女和双女家庭的养老问题，提高家庭发展能力。</w:t>
            </w:r>
          </w:p>
          <w:p>
            <w:pPr>
              <w:widowControl/>
              <w:jc w:val="center"/>
              <w:textAlignment w:val="center"/>
              <w:rPr>
                <w:rFonts w:hint="eastAsia" w:ascii="宋体" w:hAnsi="宋体" w:cs="宋体"/>
                <w:color w:val="000000"/>
                <w:sz w:val="24"/>
              </w:rPr>
            </w:pPr>
            <w:r>
              <w:rPr>
                <w:rFonts w:hint="eastAsia" w:ascii="宋体" w:hAnsi="宋体" w:cs="宋体"/>
                <w:color w:val="000000"/>
                <w:sz w:val="24"/>
              </w:rPr>
              <w:t>目标2：实施计划生育家庭特别扶助制度，缓解计划生育特殊家庭在生产、生活、医疗和养老等方面的困难，保障和改善民生，促进社会和谐。</w:t>
            </w:r>
          </w:p>
          <w:p>
            <w:pPr>
              <w:widowControl/>
              <w:jc w:val="center"/>
              <w:textAlignment w:val="center"/>
              <w:rPr>
                <w:rFonts w:ascii="宋体" w:hAnsi="宋体" w:cs="宋体"/>
                <w:color w:val="000000"/>
                <w:sz w:val="24"/>
              </w:rPr>
            </w:pPr>
            <w:r>
              <w:rPr>
                <w:rFonts w:hint="eastAsia" w:ascii="宋体" w:hAnsi="宋体" w:cs="宋体"/>
                <w:color w:val="000000"/>
                <w:sz w:val="24"/>
              </w:rPr>
              <w:t>目标3：实施西部地区“少生快富”工程，改善计划生育家庭生产，生活状况，引导和帮助计划生育家庭发展生产，促进西部地区进一步降低生育水平。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目标1：实施农村计划生育家庭奖励扶助制度，解决农村独生子女和双女家庭的养老问题，提高家庭发展能力。</w:t>
            </w:r>
          </w:p>
          <w:p>
            <w:pPr>
              <w:widowControl/>
              <w:jc w:val="center"/>
              <w:textAlignment w:val="center"/>
              <w:rPr>
                <w:rFonts w:hint="eastAsia" w:ascii="宋体" w:hAnsi="宋体" w:cs="宋体"/>
                <w:color w:val="000000"/>
                <w:sz w:val="24"/>
              </w:rPr>
            </w:pPr>
            <w:r>
              <w:rPr>
                <w:rFonts w:hint="eastAsia" w:ascii="宋体" w:hAnsi="宋体" w:cs="宋体"/>
                <w:color w:val="000000"/>
                <w:sz w:val="24"/>
              </w:rPr>
              <w:t>目标2：实施计划生育家庭特别扶助制度，缓解计划生育特殊家庭在生产、生活、医疗和养老等方面的困难，保障和改善民生，促进社会和谐。</w:t>
            </w:r>
          </w:p>
          <w:p>
            <w:pPr>
              <w:widowControl/>
              <w:jc w:val="center"/>
              <w:textAlignment w:val="center"/>
              <w:rPr>
                <w:rFonts w:ascii="宋体" w:hAnsi="宋体" w:cs="宋体"/>
                <w:color w:val="000000"/>
                <w:sz w:val="24"/>
              </w:rPr>
            </w:pPr>
            <w:r>
              <w:rPr>
                <w:rFonts w:hint="eastAsia" w:ascii="宋体" w:hAnsi="宋体" w:cs="宋体"/>
                <w:color w:val="000000"/>
                <w:sz w:val="24"/>
              </w:rPr>
              <w:t>目标3：实施西部地区“少生快富”工程，改善计划生育家庭生产，生活状况，引导和帮助计划生育家庭发展生产，促进西部地区进一步降低生育水平。</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农村部分计划生育家庭奖励人数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eastAsiaTheme="minorEastAsia"/>
                <w:color w:val="000000"/>
                <w:sz w:val="24"/>
                <w:lang w:val="en-US" w:eastAsia="zh-CN"/>
              </w:rPr>
              <w:t>5382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5382</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eastAsiaTheme="minorEastAsia"/>
                <w:color w:val="000000"/>
                <w:kern w:val="2"/>
                <w:sz w:val="24"/>
                <w:szCs w:val="24"/>
                <w:lang w:val="en-US" w:eastAsia="zh-CN" w:bidi="ar-SA"/>
              </w:rPr>
            </w:pPr>
            <w:r>
              <w:rPr>
                <w:rFonts w:hint="eastAsia" w:ascii="宋体" w:hAnsi="宋体" w:cs="宋体"/>
                <w:color w:val="000000"/>
                <w:sz w:val="24"/>
              </w:rPr>
              <w:t>扶助独生子女伤残家庭人数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eastAsiaTheme="minorEastAsia"/>
                <w:color w:val="000000"/>
                <w:sz w:val="24"/>
                <w:lang w:val="en-US" w:eastAsia="zh-CN"/>
              </w:rPr>
              <w:t>68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68</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扶助独生子女死亡家庭人数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eastAsiaTheme="minorEastAsia"/>
                <w:color w:val="000000"/>
                <w:sz w:val="24"/>
                <w:lang w:val="en-US" w:eastAsia="zh-CN"/>
              </w:rPr>
              <w:t>250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250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资金到位率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家庭发展能力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80%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社会稳定水平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95%</w:t>
            </w:r>
          </w:p>
        </w:tc>
      </w:tr>
      <w:tr>
        <w:tblPrEx>
          <w:tblCellMar>
            <w:top w:w="0" w:type="dxa"/>
            <w:left w:w="0" w:type="dxa"/>
            <w:bottom w:w="0" w:type="dxa"/>
            <w:right w:w="0" w:type="dxa"/>
          </w:tblCellMar>
        </w:tblPrEx>
        <w:trPr>
          <w:trHeight w:val="82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100%</w:t>
            </w:r>
          </w:p>
        </w:tc>
      </w:tr>
    </w:tbl>
    <w:p>
      <w:pPr>
        <w:pStyle w:val="7"/>
        <w:rPr>
          <w:rFonts w:hint="eastAsia"/>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eastAsiaTheme="minorEastAsia"/>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疫情防控财政补助</w:t>
            </w:r>
            <w:r>
              <w:rPr>
                <w:rFonts w:hint="eastAsia" w:ascii="宋体" w:hAnsi="宋体" w:cs="宋体"/>
                <w:color w:val="000000"/>
                <w:sz w:val="24"/>
              </w:rPr>
              <w:t>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开江县卫生健康局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1066.33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1066.33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1299.73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b/>
                <w:bCs/>
                <w:color w:val="000000"/>
                <w:sz w:val="24"/>
                <w:lang w:val="en-US" w:eastAsia="zh-CN"/>
              </w:rPr>
            </w:pPr>
            <w:r>
              <w:rPr>
                <w:rFonts w:hint="eastAsia" w:ascii="宋体" w:hAnsi="宋体" w:cs="宋体"/>
                <w:color w:val="000000"/>
                <w:sz w:val="24"/>
                <w:lang w:val="en-US" w:eastAsia="zh-CN"/>
              </w:rPr>
              <w:t>1299.73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应对新冠肺炎疫情防控。</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应对新冠肺炎疫情防控。</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购买疫情防控物资及人员补助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1299.73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1299.73</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rPr>
              <w:t>物资发放覆盖率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rPr>
              <w:t>物资发放覆盖率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资金到位率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4"/>
                <w:lang w:eastAsia="zh-CN"/>
              </w:rPr>
            </w:pPr>
            <w:r>
              <w:rPr>
                <w:rFonts w:hint="eastAsia" w:ascii="宋体" w:hAnsi="宋体" w:cs="宋体" w:eastAsiaTheme="minorEastAsia"/>
                <w:color w:val="000000"/>
                <w:sz w:val="24"/>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社会稳定水平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95%</w:t>
            </w:r>
          </w:p>
        </w:tc>
      </w:tr>
    </w:tbl>
    <w:p>
      <w:pPr>
        <w:widowControl/>
        <w:jc w:val="left"/>
        <w:rPr>
          <w:rFonts w:ascii="仿宋_GB2312" w:eastAsia="仿宋_GB2312"/>
          <w:b/>
          <w:color w:val="auto"/>
          <w:sz w:val="32"/>
          <w:szCs w:val="32"/>
          <w:highlight w:val="none"/>
        </w:rPr>
      </w:pPr>
    </w:p>
    <w:p>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63" w:name="_Toc15377225"/>
      <w:bookmarkStart w:id="64"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63"/>
      <w:bookmarkEnd w:id="64"/>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外交（类）…（款）…（项）：指……。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公共安全（类）…（款）…（项）：指……。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olor w:val="auto"/>
          <w:sz w:val="32"/>
          <w:szCs w:val="32"/>
          <w:highlight w:val="none"/>
        </w:rPr>
        <w:t>教育（类）…（款）…（项）：指……。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auto"/>
          <w:sz w:val="32"/>
          <w:szCs w:val="32"/>
          <w:highlight w:val="none"/>
        </w:rPr>
        <w:t>科学技术（类）…（款）…（项）：指……。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14.</w:t>
      </w:r>
      <w:r>
        <w:rPr>
          <w:rFonts w:hint="eastAsia" w:ascii="仿宋_GB2312" w:eastAsia="仿宋_GB2312"/>
          <w:color w:val="auto"/>
          <w:sz w:val="32"/>
          <w:szCs w:val="32"/>
          <w:highlight w:val="none"/>
        </w:rPr>
        <w:t>文化体育与传媒（类）…（款）…（项）：指……。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15.</w:t>
      </w:r>
      <w:r>
        <w:rPr>
          <w:rFonts w:hint="eastAsia" w:ascii="仿宋_GB2312" w:eastAsia="仿宋_GB2312"/>
          <w:color w:val="auto"/>
          <w:sz w:val="32"/>
          <w:szCs w:val="32"/>
          <w:highlight w:val="none"/>
        </w:rPr>
        <w:t>社会保障和就业（类）…（款）…（项）：指……。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16.</w:t>
      </w:r>
      <w:r>
        <w:rPr>
          <w:rFonts w:hint="eastAsia" w:ascii="仿宋_GB2312" w:eastAsia="仿宋_GB2312"/>
          <w:color w:val="auto"/>
          <w:sz w:val="32"/>
          <w:szCs w:val="32"/>
          <w:highlight w:val="none"/>
        </w:rPr>
        <w:t>医疗卫生与计划生育（类）…（款）…（项）：指……。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olor w:val="auto"/>
          <w:sz w:val="32"/>
          <w:szCs w:val="32"/>
          <w:highlight w:val="none"/>
        </w:rPr>
        <w:t>节能环保（类）…（款）…（项）：指……。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18.</w:t>
      </w:r>
      <w:r>
        <w:rPr>
          <w:rFonts w:hint="eastAsia" w:ascii="仿宋_GB2312" w:eastAsia="仿宋_GB2312"/>
          <w:color w:val="auto"/>
          <w:sz w:val="32"/>
          <w:szCs w:val="32"/>
          <w:highlight w:val="none"/>
        </w:rPr>
        <w:t>城乡社区（类）…（款）…（项）：指……。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19.</w:t>
      </w:r>
      <w:r>
        <w:rPr>
          <w:rFonts w:hint="eastAsia" w:ascii="仿宋_GB2312" w:eastAsia="仿宋_GB2312"/>
          <w:color w:val="auto"/>
          <w:sz w:val="32"/>
          <w:szCs w:val="32"/>
          <w:highlight w:val="none"/>
        </w:rPr>
        <w:t>农林水（类）…（款）…（项）：指……。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交通运输（类）…（款）…（项）：指……。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21.</w:t>
      </w:r>
      <w:r>
        <w:rPr>
          <w:rFonts w:hint="eastAsia" w:ascii="仿宋_GB2312" w:eastAsia="仿宋_GB2312"/>
          <w:color w:val="auto"/>
          <w:sz w:val="32"/>
          <w:szCs w:val="32"/>
          <w:highlight w:val="none"/>
        </w:rPr>
        <w:t>资源勘探信息等（类）…（款）…（项）：指……。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22.</w:t>
      </w:r>
      <w:r>
        <w:rPr>
          <w:rFonts w:hint="eastAsia" w:ascii="仿宋_GB2312" w:eastAsia="仿宋_GB2312"/>
          <w:color w:val="auto"/>
          <w:sz w:val="32"/>
          <w:szCs w:val="32"/>
          <w:highlight w:val="none"/>
        </w:rPr>
        <w:t>商业服务业（类）…（款）…（项）：指……。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23.</w:t>
      </w:r>
      <w:r>
        <w:rPr>
          <w:rFonts w:hint="eastAsia" w:ascii="仿宋_GB2312" w:eastAsia="仿宋_GB2312"/>
          <w:color w:val="auto"/>
          <w:sz w:val="32"/>
          <w:szCs w:val="32"/>
          <w:highlight w:val="none"/>
        </w:rPr>
        <w:t>金融（类）…（款）…（项）：指……。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24.</w:t>
      </w:r>
      <w:r>
        <w:rPr>
          <w:rFonts w:hint="eastAsia" w:ascii="仿宋_GB2312" w:eastAsia="仿宋_GB2312"/>
          <w:color w:val="auto"/>
          <w:sz w:val="32"/>
          <w:szCs w:val="32"/>
          <w:highlight w:val="none"/>
        </w:rPr>
        <w:t>国土海洋气象等（类）…（款）…（项）：指……。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25.</w:t>
      </w:r>
      <w:r>
        <w:rPr>
          <w:rFonts w:hint="eastAsia" w:ascii="仿宋_GB2312" w:eastAsia="仿宋_GB2312"/>
          <w:color w:val="auto"/>
          <w:sz w:val="32"/>
          <w:szCs w:val="32"/>
          <w:highlight w:val="none"/>
        </w:rPr>
        <w:t>住房保障（类）…（款）…（项）：指……。</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26.</w:t>
      </w:r>
      <w:r>
        <w:rPr>
          <w:rFonts w:hint="eastAsia" w:ascii="仿宋_GB2312" w:eastAsia="仿宋_GB2312"/>
          <w:color w:val="auto"/>
          <w:sz w:val="32"/>
          <w:szCs w:val="32"/>
          <w:highlight w:val="none"/>
        </w:rPr>
        <w:t>粮油物资储备（类）…（款）…（项）：指……。</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年政府收支分类科目》增减内容。）</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32.</w:t>
      </w:r>
      <w:r>
        <w:rPr>
          <w:rFonts w:hint="eastAsia" w:ascii="仿宋_GB2312" w:eastAsia="仿宋_GB2312"/>
          <w:color w:val="auto"/>
          <w:sz w:val="32"/>
          <w:szCs w:val="32"/>
          <w:highlight w:val="none"/>
        </w:rPr>
        <w:t>……。</w:t>
      </w:r>
    </w:p>
    <w:p>
      <w:pPr>
        <w:pStyle w:val="24"/>
        <w:spacing w:line="560" w:lineRule="exact"/>
        <w:ind w:firstLine="640" w:firstLineChars="200"/>
        <w:rPr>
          <w:rFonts w:ascii="仿宋_GB2312" w:eastAsia="仿宋_GB2312" w:cs="黑体"/>
          <w:color w:val="auto"/>
          <w:sz w:val="32"/>
          <w:szCs w:val="32"/>
          <w:highlight w:val="none"/>
        </w:rPr>
      </w:pPr>
    </w:p>
    <w:p>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pPr>
        <w:spacing w:line="600" w:lineRule="exact"/>
        <w:jc w:val="center"/>
        <w:outlineLvl w:val="0"/>
        <w:rPr>
          <w:rStyle w:val="26"/>
          <w:rFonts w:hint="eastAsia" w:ascii="黑体" w:hAnsi="黑体" w:eastAsia="黑体"/>
          <w:b w:val="0"/>
          <w:color w:val="auto"/>
          <w:highlight w:val="none"/>
          <w:lang w:eastAsia="zh-CN"/>
        </w:rPr>
      </w:pPr>
      <w:bookmarkStart w:id="65" w:name="_Toc15377226"/>
      <w:r>
        <w:rPr>
          <w:rFonts w:ascii="宋体"/>
          <w:b/>
          <w:color w:val="auto"/>
          <w:sz w:val="44"/>
          <w:szCs w:val="44"/>
          <w:highlight w:val="none"/>
        </w:rPr>
        <w:br w:type="page"/>
      </w:r>
      <w:bookmarkStart w:id="66"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66"/>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开江县卫生健康局</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2021年整体支出绩效评价报告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hint="eastAsia"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rPr>
        <w:t>开江县卫生健康局(简称县卫生健康局)是开</w:t>
      </w:r>
      <w:r>
        <w:rPr>
          <w:rFonts w:hint="eastAsia" w:ascii="仿宋" w:hAnsi="仿宋" w:eastAsia="仿宋" w:cs="仿宋"/>
          <w:sz w:val="32"/>
          <w:szCs w:val="32"/>
          <w:lang w:val="zh-CN" w:eastAsia="zh-CN"/>
        </w:rPr>
        <w:t>江</w:t>
      </w:r>
      <w:r>
        <w:rPr>
          <w:rFonts w:hint="eastAsia" w:ascii="仿宋" w:hAnsi="仿宋" w:eastAsia="仿宋" w:cs="仿宋"/>
          <w:sz w:val="32"/>
          <w:szCs w:val="32"/>
          <w:lang w:val="zh-CN"/>
        </w:rPr>
        <w:t>县人民政府的工作部门,为正科级。内设机构：办公室、</w:t>
      </w:r>
      <w:r>
        <w:rPr>
          <w:rFonts w:hint="eastAsia" w:ascii="仿宋" w:hAnsi="仿宋" w:eastAsia="仿宋" w:cs="仿宋"/>
          <w:sz w:val="32"/>
          <w:szCs w:val="32"/>
        </w:rPr>
        <w:t>人事股</w:t>
      </w:r>
      <w:r>
        <w:rPr>
          <w:rFonts w:hint="eastAsia" w:ascii="仿宋" w:hAnsi="仿宋" w:eastAsia="仿宋" w:cs="仿宋"/>
          <w:sz w:val="32"/>
          <w:szCs w:val="32"/>
          <w:lang w:eastAsia="zh-CN"/>
        </w:rPr>
        <w:t>、</w:t>
      </w:r>
      <w:r>
        <w:rPr>
          <w:rFonts w:hint="eastAsia" w:ascii="仿宋" w:hAnsi="仿宋" w:eastAsia="仿宋" w:cs="仿宋"/>
          <w:sz w:val="32"/>
          <w:szCs w:val="32"/>
        </w:rPr>
        <w:t>规划财务和信息股</w:t>
      </w:r>
      <w:r>
        <w:rPr>
          <w:rFonts w:hint="eastAsia" w:ascii="仿宋" w:hAnsi="仿宋" w:eastAsia="仿宋" w:cs="仿宋"/>
          <w:sz w:val="32"/>
          <w:szCs w:val="32"/>
          <w:lang w:eastAsia="zh-CN"/>
        </w:rPr>
        <w:t>、</w:t>
      </w:r>
      <w:r>
        <w:rPr>
          <w:rFonts w:hint="eastAsia" w:ascii="仿宋" w:hAnsi="仿宋" w:eastAsia="仿宋" w:cs="仿宋"/>
          <w:sz w:val="32"/>
          <w:szCs w:val="32"/>
        </w:rPr>
        <w:t>政策法规和内审股</w:t>
      </w:r>
      <w:r>
        <w:rPr>
          <w:rFonts w:hint="eastAsia" w:ascii="仿宋" w:hAnsi="仿宋" w:eastAsia="仿宋" w:cs="仿宋"/>
          <w:sz w:val="32"/>
          <w:szCs w:val="32"/>
          <w:lang w:eastAsia="zh-CN"/>
        </w:rPr>
        <w:t>、</w:t>
      </w:r>
      <w:r>
        <w:rPr>
          <w:rFonts w:hint="eastAsia" w:ascii="仿宋" w:hAnsi="仿宋" w:eastAsia="仿宋" w:cs="仿宋"/>
          <w:sz w:val="32"/>
          <w:szCs w:val="32"/>
        </w:rPr>
        <w:t>疾病预防控制和职业健康股</w:t>
      </w:r>
      <w:r>
        <w:rPr>
          <w:rFonts w:hint="eastAsia" w:ascii="仿宋" w:hAnsi="仿宋" w:eastAsia="仿宋" w:cs="仿宋"/>
          <w:sz w:val="32"/>
          <w:szCs w:val="32"/>
          <w:lang w:eastAsia="zh-CN"/>
        </w:rPr>
        <w:t>、</w:t>
      </w:r>
      <w:r>
        <w:rPr>
          <w:rFonts w:hint="eastAsia" w:ascii="仿宋" w:hAnsi="仿宋" w:eastAsia="仿宋" w:cs="仿宋"/>
          <w:sz w:val="32"/>
          <w:szCs w:val="32"/>
        </w:rPr>
        <w:t>基层卫生和妇幼健康股</w:t>
      </w:r>
      <w:r>
        <w:rPr>
          <w:rFonts w:hint="eastAsia" w:ascii="仿宋" w:hAnsi="仿宋" w:eastAsia="仿宋" w:cs="仿宋"/>
          <w:sz w:val="32"/>
          <w:szCs w:val="32"/>
          <w:lang w:eastAsia="zh-CN"/>
        </w:rPr>
        <w:t>、</w:t>
      </w:r>
      <w:r>
        <w:rPr>
          <w:rFonts w:hint="eastAsia" w:ascii="仿宋" w:hAnsi="仿宋" w:eastAsia="仿宋" w:cs="仿宋"/>
          <w:sz w:val="32"/>
          <w:szCs w:val="32"/>
        </w:rPr>
        <w:t>医政医管和药物政策股</w:t>
      </w:r>
      <w:r>
        <w:rPr>
          <w:rFonts w:hint="eastAsia" w:ascii="仿宋" w:hAnsi="仿宋" w:eastAsia="仿宋" w:cs="仿宋"/>
          <w:sz w:val="32"/>
          <w:szCs w:val="32"/>
          <w:lang w:eastAsia="zh-CN"/>
        </w:rPr>
        <w:t>、</w:t>
      </w:r>
      <w:r>
        <w:rPr>
          <w:rFonts w:hint="eastAsia" w:ascii="仿宋" w:hAnsi="仿宋" w:eastAsia="仿宋" w:cs="仿宋"/>
          <w:sz w:val="32"/>
          <w:szCs w:val="32"/>
        </w:rPr>
        <w:t>人口监测和家庭发展股</w:t>
      </w:r>
      <w:r>
        <w:rPr>
          <w:rFonts w:hint="eastAsia" w:ascii="仿宋" w:hAnsi="仿宋" w:eastAsia="仿宋" w:cs="仿宋"/>
          <w:sz w:val="32"/>
          <w:szCs w:val="32"/>
          <w:lang w:eastAsia="zh-CN"/>
        </w:rPr>
        <w:t>、</w:t>
      </w:r>
      <w:r>
        <w:rPr>
          <w:rFonts w:hint="eastAsia" w:ascii="仿宋" w:hAnsi="仿宋" w:eastAsia="仿宋" w:cs="仿宋"/>
          <w:sz w:val="32"/>
          <w:szCs w:val="32"/>
        </w:rPr>
        <w:t>中医股</w:t>
      </w:r>
      <w:r>
        <w:rPr>
          <w:rFonts w:hint="eastAsia" w:ascii="仿宋" w:hAnsi="仿宋" w:eastAsia="仿宋" w:cs="仿宋"/>
          <w:sz w:val="32"/>
          <w:szCs w:val="32"/>
          <w:lang w:eastAsia="zh-CN"/>
        </w:rPr>
        <w:t>、党建办、信息中心等。</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（二）机构职能。</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rPr>
        <w:t>主要职能是</w:t>
      </w:r>
      <w:r>
        <w:rPr>
          <w:rFonts w:hint="eastAsia" w:ascii="仿宋" w:hAnsi="仿宋" w:eastAsia="仿宋" w:cs="仿宋"/>
          <w:sz w:val="32"/>
          <w:szCs w:val="32"/>
        </w:rPr>
        <w:t>组织拟订全县卫生健康政策</w:t>
      </w:r>
      <w:r>
        <w:rPr>
          <w:rFonts w:hint="eastAsia" w:ascii="仿宋" w:hAnsi="仿宋" w:eastAsia="仿宋" w:cs="仿宋"/>
          <w:sz w:val="32"/>
          <w:szCs w:val="32"/>
          <w:lang w:eastAsia="zh-CN"/>
        </w:rPr>
        <w:t>；</w:t>
      </w:r>
      <w:r>
        <w:rPr>
          <w:rFonts w:hint="eastAsia" w:ascii="仿宋" w:hAnsi="仿宋" w:eastAsia="仿宋" w:cs="仿宋"/>
          <w:sz w:val="32"/>
          <w:szCs w:val="32"/>
        </w:rPr>
        <w:t>牵头推进全县深化医药卫生体制改革</w:t>
      </w:r>
      <w:r>
        <w:rPr>
          <w:rFonts w:hint="eastAsia" w:ascii="仿宋" w:hAnsi="仿宋" w:eastAsia="仿宋" w:cs="仿宋"/>
          <w:sz w:val="32"/>
          <w:szCs w:val="32"/>
          <w:lang w:eastAsia="zh-CN"/>
        </w:rPr>
        <w:t>；</w:t>
      </w:r>
      <w:r>
        <w:rPr>
          <w:rFonts w:hint="eastAsia" w:ascii="仿宋" w:hAnsi="仿宋" w:eastAsia="仿宋" w:cs="仿宋"/>
          <w:sz w:val="32"/>
          <w:szCs w:val="32"/>
        </w:rPr>
        <w:t>制定并组织落实全县疾病预防控制规划、免疫规划以及严重危害人民健康的艾滋病</w:t>
      </w:r>
      <w:r>
        <w:rPr>
          <w:rFonts w:hint="eastAsia" w:ascii="仿宋" w:hAnsi="仿宋" w:eastAsia="仿宋" w:cs="仿宋"/>
          <w:sz w:val="32"/>
          <w:szCs w:val="32"/>
          <w:lang w:eastAsia="zh-CN"/>
        </w:rPr>
        <w:t>、新冠疫情</w:t>
      </w:r>
      <w:r>
        <w:rPr>
          <w:rFonts w:hint="eastAsia" w:ascii="仿宋" w:hAnsi="仿宋" w:eastAsia="仿宋" w:cs="仿宋"/>
          <w:sz w:val="32"/>
          <w:szCs w:val="32"/>
        </w:rPr>
        <w:t>等重大传染病、寄生虫病、地方病等公共卫生问题的干预措施</w:t>
      </w:r>
      <w:r>
        <w:rPr>
          <w:rFonts w:hint="eastAsia" w:ascii="仿宋" w:hAnsi="仿宋" w:eastAsia="仿宋" w:cs="仿宋"/>
          <w:sz w:val="32"/>
          <w:szCs w:val="32"/>
          <w:lang w:eastAsia="zh-CN"/>
        </w:rPr>
        <w:t>；</w:t>
      </w:r>
      <w:r>
        <w:rPr>
          <w:rFonts w:hint="eastAsia" w:ascii="仿宋" w:hAnsi="仿宋" w:eastAsia="仿宋" w:cs="仿宋"/>
          <w:sz w:val="32"/>
          <w:szCs w:val="32"/>
        </w:rPr>
        <w:t>贯彻落实国家应对人口老龄化政策措施</w:t>
      </w:r>
      <w:r>
        <w:rPr>
          <w:rFonts w:hint="eastAsia" w:ascii="仿宋" w:hAnsi="仿宋" w:eastAsia="仿宋" w:cs="仿宋"/>
          <w:sz w:val="32"/>
          <w:szCs w:val="32"/>
          <w:lang w:eastAsia="zh-CN"/>
        </w:rPr>
        <w:t>；</w:t>
      </w:r>
      <w:r>
        <w:rPr>
          <w:rFonts w:hint="eastAsia" w:ascii="仿宋" w:hAnsi="仿宋" w:eastAsia="仿宋" w:cs="仿宋"/>
          <w:sz w:val="32"/>
          <w:szCs w:val="32"/>
        </w:rPr>
        <w:t>贯彻落实国家药物政策和国家基本药物制度</w:t>
      </w:r>
      <w:r>
        <w:rPr>
          <w:rFonts w:hint="eastAsia" w:ascii="仿宋" w:hAnsi="仿宋" w:eastAsia="仿宋" w:cs="仿宋"/>
          <w:sz w:val="32"/>
          <w:szCs w:val="32"/>
          <w:lang w:eastAsia="zh-CN"/>
        </w:rPr>
        <w:t>；</w:t>
      </w:r>
      <w:r>
        <w:rPr>
          <w:rFonts w:hint="eastAsia" w:ascii="仿宋" w:hAnsi="仿宋" w:eastAsia="仿宋" w:cs="仿宋"/>
          <w:sz w:val="32"/>
          <w:szCs w:val="32"/>
        </w:rPr>
        <w:t>负责职责范围内的职业卫生、放射卫生、环境卫生</w:t>
      </w:r>
      <w:r>
        <w:rPr>
          <w:rFonts w:hint="eastAsia" w:ascii="仿宋" w:hAnsi="仿宋" w:eastAsia="仿宋" w:cs="仿宋"/>
          <w:sz w:val="32"/>
          <w:szCs w:val="32"/>
          <w:lang w:eastAsia="zh-CN"/>
        </w:rPr>
        <w:t>、</w:t>
      </w:r>
      <w:r>
        <w:rPr>
          <w:rFonts w:hint="eastAsia" w:ascii="仿宋" w:hAnsi="仿宋" w:eastAsia="仿宋" w:cs="仿宋"/>
          <w:sz w:val="32"/>
          <w:szCs w:val="32"/>
        </w:rPr>
        <w:t>学校卫生、公共场所卫生、饮用水卫生等公共卫生的监督管理</w:t>
      </w:r>
      <w:r>
        <w:rPr>
          <w:rFonts w:hint="eastAsia" w:ascii="仿宋" w:hAnsi="仿宋" w:eastAsia="仿宋" w:cs="仿宋"/>
          <w:sz w:val="32"/>
          <w:szCs w:val="32"/>
          <w:lang w:eastAsia="zh-CN"/>
        </w:rPr>
        <w:t>，</w:t>
      </w:r>
      <w:r>
        <w:rPr>
          <w:rFonts w:hint="eastAsia" w:ascii="仿宋" w:hAnsi="仿宋" w:eastAsia="仿宋" w:cs="仿宋"/>
          <w:sz w:val="32"/>
          <w:szCs w:val="32"/>
        </w:rPr>
        <w:t>负责传染病防治监督,健全卫生健康综合监管体系</w:t>
      </w:r>
      <w:r>
        <w:rPr>
          <w:rFonts w:hint="eastAsia" w:ascii="仿宋" w:hAnsi="仿宋" w:eastAsia="仿宋" w:cs="仿宋"/>
          <w:sz w:val="32"/>
          <w:szCs w:val="32"/>
          <w:lang w:eastAsia="zh-CN"/>
        </w:rPr>
        <w:t>；</w:t>
      </w:r>
      <w:r>
        <w:rPr>
          <w:rFonts w:hint="eastAsia" w:ascii="仿宋" w:hAnsi="仿宋" w:eastAsia="仿宋" w:cs="仿宋"/>
          <w:sz w:val="32"/>
          <w:szCs w:val="32"/>
        </w:rPr>
        <w:t>制定全县医疗机构、医疗服务行业管理办法并监督实施,建立医疗服务评价和监督管理体系</w:t>
      </w:r>
      <w:r>
        <w:rPr>
          <w:rFonts w:hint="eastAsia" w:ascii="仿宋" w:hAnsi="仿宋" w:eastAsia="仿宋" w:cs="仿宋"/>
          <w:sz w:val="32"/>
          <w:szCs w:val="32"/>
          <w:lang w:eastAsia="zh-CN"/>
        </w:rPr>
        <w:t>；</w:t>
      </w:r>
      <w:r>
        <w:rPr>
          <w:rFonts w:ascii="仿宋" w:hAnsi="仿宋" w:eastAsia="仿宋" w:cs="仿宋"/>
          <w:spacing w:val="7"/>
          <w:sz w:val="32"/>
          <w:szCs w:val="32"/>
        </w:rPr>
        <w:t>组织拟订全县卫生健康人才发展规划,指导卫生健康</w:t>
      </w:r>
      <w:r>
        <w:rPr>
          <w:rFonts w:ascii="仿宋" w:hAnsi="仿宋" w:eastAsia="仿宋" w:cs="仿宋"/>
          <w:spacing w:val="17"/>
          <w:sz w:val="32"/>
          <w:szCs w:val="32"/>
        </w:rPr>
        <w:t xml:space="preserve"> </w:t>
      </w:r>
      <w:r>
        <w:rPr>
          <w:rFonts w:ascii="仿宋" w:hAnsi="仿宋" w:eastAsia="仿宋" w:cs="仿宋"/>
          <w:spacing w:val="4"/>
          <w:sz w:val="32"/>
          <w:szCs w:val="32"/>
        </w:rPr>
        <w:t>人才队伍建设,加强全科医生等急需紧缺专业人才培养,贯彻落</w:t>
      </w:r>
      <w:r>
        <w:rPr>
          <w:rFonts w:ascii="仿宋" w:hAnsi="仿宋" w:eastAsia="仿宋" w:cs="仿宋"/>
          <w:sz w:val="32"/>
          <w:szCs w:val="32"/>
        </w:rPr>
        <w:t xml:space="preserve"> </w:t>
      </w:r>
      <w:r>
        <w:rPr>
          <w:rFonts w:ascii="仿宋" w:hAnsi="仿宋" w:eastAsia="仿宋" w:cs="仿宋"/>
          <w:spacing w:val="-4"/>
          <w:sz w:val="32"/>
          <w:szCs w:val="32"/>
        </w:rPr>
        <w:t>实国家住院医师和专科医师规范化培训制度</w:t>
      </w:r>
      <w:r>
        <w:rPr>
          <w:rFonts w:hint="eastAsia" w:ascii="仿宋" w:hAnsi="仿宋" w:eastAsia="仿宋" w:cs="仿宋"/>
          <w:sz w:val="32"/>
          <w:szCs w:val="32"/>
          <w:lang w:eastAsia="zh-CN"/>
        </w:rPr>
        <w:t>等。</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（三）人员概况。</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我单位</w:t>
      </w:r>
      <w:r>
        <w:rPr>
          <w:rFonts w:hint="eastAsia" w:ascii="仿宋_GB2312" w:eastAsia="仿宋_GB2312" w:cs="宋体"/>
          <w:color w:val="000000"/>
          <w:kern w:val="0"/>
          <w:sz w:val="32"/>
          <w:szCs w:val="32"/>
          <w:shd w:val="clear" w:color="auto" w:fill="FFFFFF"/>
          <w:lang w:val="en-US" w:eastAsia="zh-CN"/>
        </w:rPr>
        <w:t>2021年</w:t>
      </w:r>
      <w:r>
        <w:rPr>
          <w:rFonts w:hint="eastAsia" w:ascii="仿宋_GB2312" w:eastAsia="仿宋_GB2312" w:cs="宋体"/>
          <w:color w:val="000000"/>
          <w:kern w:val="0"/>
          <w:sz w:val="32"/>
          <w:szCs w:val="32"/>
          <w:shd w:val="clear" w:color="auto" w:fill="FFFFFF"/>
          <w:lang w:val="zh-CN" w:eastAsia="zh-CN"/>
        </w:rPr>
        <w:t>在编在岗人员</w:t>
      </w:r>
      <w:r>
        <w:rPr>
          <w:rFonts w:hint="eastAsia" w:ascii="仿宋_GB2312" w:eastAsia="仿宋_GB2312" w:cs="宋体"/>
          <w:color w:val="000000"/>
          <w:kern w:val="0"/>
          <w:sz w:val="32"/>
          <w:szCs w:val="32"/>
          <w:shd w:val="clear" w:color="auto" w:fill="FFFFFF"/>
          <w:lang w:val="en-US" w:eastAsia="zh-CN"/>
        </w:rPr>
        <w:t>59</w:t>
      </w:r>
      <w:r>
        <w:rPr>
          <w:rFonts w:hint="eastAsia" w:ascii="仿宋_GB2312" w:eastAsia="仿宋_GB2312" w:cs="宋体"/>
          <w:color w:val="000000"/>
          <w:kern w:val="0"/>
          <w:sz w:val="32"/>
          <w:szCs w:val="32"/>
          <w:shd w:val="clear" w:color="auto" w:fill="FFFFFF"/>
          <w:lang w:val="zh-CN" w:eastAsia="zh-CN"/>
        </w:rPr>
        <w:t>人，其中：行政编制</w:t>
      </w:r>
      <w:r>
        <w:rPr>
          <w:rFonts w:hint="eastAsia" w:ascii="仿宋_GB2312" w:eastAsia="仿宋_GB2312" w:cs="宋体"/>
          <w:color w:val="000000"/>
          <w:kern w:val="0"/>
          <w:sz w:val="32"/>
          <w:szCs w:val="32"/>
          <w:shd w:val="clear" w:color="auto" w:fill="FFFFFF"/>
          <w:lang w:val="en-US" w:eastAsia="zh-CN"/>
        </w:rPr>
        <w:t>37</w:t>
      </w:r>
      <w:r>
        <w:rPr>
          <w:rFonts w:hint="eastAsia" w:ascii="仿宋_GB2312" w:eastAsia="仿宋_GB2312" w:cs="宋体"/>
          <w:color w:val="000000"/>
          <w:kern w:val="0"/>
          <w:sz w:val="32"/>
          <w:szCs w:val="32"/>
          <w:shd w:val="clear" w:color="auto" w:fill="FFFFFF"/>
          <w:lang w:val="zh-CN" w:eastAsia="zh-CN"/>
        </w:rPr>
        <w:t>人，工勤编制</w:t>
      </w:r>
      <w:r>
        <w:rPr>
          <w:rFonts w:hint="eastAsia" w:ascii="仿宋_GB2312" w:eastAsia="仿宋_GB2312" w:cs="宋体"/>
          <w:color w:val="000000"/>
          <w:kern w:val="0"/>
          <w:sz w:val="32"/>
          <w:szCs w:val="32"/>
          <w:shd w:val="clear" w:color="auto" w:fill="FFFFFF"/>
          <w:lang w:val="en-US" w:eastAsia="zh-CN"/>
        </w:rPr>
        <w:t>7</w:t>
      </w:r>
      <w:r>
        <w:rPr>
          <w:rFonts w:hint="eastAsia" w:ascii="仿宋_GB2312" w:eastAsia="仿宋_GB2312" w:cs="宋体"/>
          <w:color w:val="000000"/>
          <w:kern w:val="0"/>
          <w:sz w:val="32"/>
          <w:szCs w:val="32"/>
          <w:shd w:val="clear" w:color="auto" w:fill="FFFFFF"/>
          <w:lang w:val="zh-CN" w:eastAsia="zh-CN"/>
        </w:rPr>
        <w:t>人，事业编制</w:t>
      </w:r>
      <w:r>
        <w:rPr>
          <w:rFonts w:hint="eastAsia" w:ascii="仿宋_GB2312" w:eastAsia="仿宋_GB2312" w:cs="宋体"/>
          <w:color w:val="000000"/>
          <w:kern w:val="0"/>
          <w:sz w:val="32"/>
          <w:szCs w:val="32"/>
          <w:shd w:val="clear" w:color="auto" w:fill="FFFFFF"/>
          <w:lang w:val="en-US" w:eastAsia="zh-CN"/>
        </w:rPr>
        <w:t>15</w:t>
      </w:r>
      <w:r>
        <w:rPr>
          <w:rFonts w:hint="eastAsia" w:ascii="仿宋_GB2312" w:eastAsia="仿宋_GB2312" w:cs="宋体"/>
          <w:color w:val="000000"/>
          <w:kern w:val="0"/>
          <w:sz w:val="32"/>
          <w:szCs w:val="32"/>
          <w:shd w:val="clear" w:color="auto" w:fill="FFFFFF"/>
          <w:lang w:val="zh-CN" w:eastAsia="zh-CN"/>
        </w:rPr>
        <w:t>人。</w:t>
      </w:r>
    </w:p>
    <w:p>
      <w:pPr>
        <w:widowControl/>
        <w:adjustRightInd w:val="0"/>
        <w:snapToGrid w:val="0"/>
        <w:spacing w:line="580" w:lineRule="exact"/>
        <w:ind w:firstLine="640" w:firstLineChars="200"/>
        <w:contextualSpacing/>
        <w:jc w:val="left"/>
        <w:rPr>
          <w:rFonts w:hint="eastAsia" w:ascii="黑体" w:eastAsia="黑体" w:cs="宋体"/>
          <w:color w:val="000000"/>
          <w:kern w:val="0"/>
          <w:sz w:val="32"/>
          <w:szCs w:val="32"/>
          <w:shd w:val="clear" w:color="auto" w:fill="FFFFFF"/>
          <w:lang w:val="zh-CN" w:eastAsia="zh-CN"/>
        </w:rPr>
      </w:pPr>
      <w:r>
        <w:rPr>
          <w:rFonts w:hint="eastAsia" w:ascii="黑体" w:eastAsia="黑体" w:cs="宋体"/>
          <w:color w:val="000000"/>
          <w:kern w:val="0"/>
          <w:sz w:val="32"/>
          <w:szCs w:val="32"/>
          <w:shd w:val="clear" w:color="auto" w:fill="FFFFFF"/>
          <w:lang w:val="zh-CN" w:eastAsia="zh-CN"/>
        </w:rPr>
        <w:t>二、部门财政资金收支情况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（一）部门财政资金收入情况。</w:t>
      </w:r>
    </w:p>
    <w:p>
      <w:pPr>
        <w:widowControl/>
        <w:numPr>
          <w:ilvl w:val="0"/>
          <w:numId w:val="0"/>
        </w:numPr>
        <w:adjustRightInd w:val="0"/>
        <w:snapToGrid w:val="0"/>
        <w:spacing w:line="580" w:lineRule="exact"/>
        <w:ind w:firstLine="640" w:firstLineChars="200"/>
        <w:contextualSpacing/>
        <w:jc w:val="left"/>
        <w:rPr>
          <w:rFonts w:hint="default"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2021年我单位收入决算总额为2605.65万元，</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部门财政资金支出情况。</w:t>
      </w:r>
    </w:p>
    <w:p>
      <w:pPr>
        <w:widowControl/>
        <w:numPr>
          <w:ilvl w:val="0"/>
          <w:numId w:val="0"/>
        </w:numPr>
        <w:adjustRightInd w:val="0"/>
        <w:snapToGrid w:val="0"/>
        <w:spacing w:line="580" w:lineRule="exact"/>
        <w:ind w:firstLine="640" w:firstLineChars="200"/>
        <w:contextualSpacing/>
        <w:jc w:val="left"/>
        <w:rPr>
          <w:rFonts w:hint="default"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2021年我单位支出决算总额为2605.65万元，其中社会保障和就业支出65.55万元，卫生健康支出2490.97万元，住房保障支出49.13万元。按性质为一是基本支出725.21万元（其中人员经费624.41万元，公用经费100.8万元），项目支出是1880.44万元。</w:t>
      </w:r>
    </w:p>
    <w:p>
      <w:pPr>
        <w:widowControl/>
        <w:adjustRightInd w:val="0"/>
        <w:snapToGrid w:val="0"/>
        <w:spacing w:line="580" w:lineRule="exact"/>
        <w:ind w:firstLine="640" w:firstLineChars="200"/>
        <w:contextualSpacing/>
        <w:jc w:val="left"/>
        <w:rPr>
          <w:rFonts w:hint="eastAsia" w:ascii="黑体" w:eastAsia="黑体" w:cs="宋体"/>
          <w:color w:val="000000"/>
          <w:kern w:val="0"/>
          <w:sz w:val="32"/>
          <w:szCs w:val="32"/>
          <w:shd w:val="clear" w:color="auto" w:fill="FFFFFF"/>
          <w:lang w:val="zh-CN" w:eastAsia="zh-CN"/>
        </w:rPr>
      </w:pPr>
      <w:r>
        <w:rPr>
          <w:rFonts w:hint="eastAsia" w:ascii="黑体" w:eastAsia="黑体" w:cs="宋体"/>
          <w:color w:val="000000"/>
          <w:kern w:val="0"/>
          <w:sz w:val="32"/>
          <w:szCs w:val="32"/>
          <w:shd w:val="clear" w:color="auto" w:fill="FFFFFF"/>
          <w:lang w:val="zh-CN" w:eastAsia="zh-CN"/>
        </w:rPr>
        <w:t>三、部门整体预算绩效管理情况（根据适用指标体系进行调整，涉及到有专项预算的部门（单位），专项预算项目自评报告根据要求另行单独报送）</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（一）部门预算项目绩效管理。</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1.预决算编制情况</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开江县财政局预算批复开江县卫生健康局预算收入611.35万元，其中：人员经费546.25万元，公用经费65.1万元。</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2.执行管理情况</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2021年度支出611.35万元，其中：人员经费546.25万元，公用经费65.1万元。</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3.预算年度内目标完成情况</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（1）基本支出情况</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2021年度基本支出579.5万元，其中：工资福利支出514.4万元，商品和服务支出65.1万元。</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（2）项目支出情况</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2021年度自收自支项目支出31.85万元。</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4.预算执行管理情况</w:t>
      </w:r>
    </w:p>
    <w:p>
      <w:pPr>
        <w:widowControl/>
        <w:numPr>
          <w:ilvl w:val="0"/>
          <w:numId w:val="0"/>
        </w:numPr>
        <w:adjustRightInd w:val="0"/>
        <w:snapToGrid w:val="0"/>
        <w:spacing w:line="580" w:lineRule="exact"/>
        <w:ind w:firstLine="640" w:firstLineChars="200"/>
        <w:contextualSpacing/>
        <w:jc w:val="left"/>
        <w:rPr>
          <w:rFonts w:hint="default"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开江县卫生健康局严格按县委、县政府确定的2021年预算安排指导思想，原则以及支出序列和部门预算批复的内容组织支出预算执行，没有自行扩大支出范围和提高支出标准，没有自行改变专项资金使用方向。一是职工工资和津贴均按照集中支付制度通过银行代发；二是按照中央、省、市的相关规定，厉行节约、大力压缩一般性支出；三是按照《预算法》、《会计法》和行政、事业单位财务制度的要求，建立建全内部监管机制，加强内控制度、支出管理、使有限的资金发挥最佳的使用效果；四是专项资金实行专款专用；五是较为合理的安排资金使用进度。</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（二）结果应用情况。</w:t>
      </w:r>
    </w:p>
    <w:p>
      <w:pPr>
        <w:widowControl/>
        <w:numPr>
          <w:ilvl w:val="0"/>
          <w:numId w:val="0"/>
        </w:numPr>
        <w:adjustRightInd w:val="0"/>
        <w:snapToGrid w:val="0"/>
        <w:spacing w:line="580" w:lineRule="exact"/>
        <w:ind w:firstLine="640" w:firstLineChars="200"/>
        <w:contextualSpacing/>
        <w:jc w:val="left"/>
        <w:rPr>
          <w:rFonts w:hint="default"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zh-CN" w:eastAsia="zh-CN"/>
        </w:rPr>
        <w:t>我单位实施覆盖预算管理全过程的结果应用机制，加强绩效与预算管理事前、事中、事后全过程衔接。</w:t>
      </w:r>
      <w:r>
        <w:rPr>
          <w:rFonts w:hint="eastAsia" w:ascii="仿宋_GB2312" w:eastAsia="仿宋_GB2312" w:cs="宋体"/>
          <w:color w:val="000000"/>
          <w:kern w:val="0"/>
          <w:sz w:val="32"/>
          <w:szCs w:val="32"/>
          <w:shd w:val="clear" w:color="auto" w:fill="FFFFFF"/>
          <w:lang w:val="en-US" w:eastAsia="zh-CN"/>
        </w:rPr>
        <w:t>2021年度预算绩效自评均按财政局要求填报，及时报送。</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自评质量</w:t>
      </w:r>
    </w:p>
    <w:p>
      <w:pPr>
        <w:widowControl/>
        <w:numPr>
          <w:ilvl w:val="0"/>
          <w:numId w:val="0"/>
        </w:numPr>
        <w:adjustRightInd w:val="0"/>
        <w:snapToGrid w:val="0"/>
        <w:spacing w:line="580" w:lineRule="exact"/>
        <w:ind w:firstLine="640" w:firstLineChars="200"/>
        <w:contextualSpacing/>
        <w:jc w:val="left"/>
        <w:rPr>
          <w:rFonts w:hint="default"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 xml:space="preserve">    2021年度部门整体支出和日常预算项目自评均按时按质按要求完成。</w:t>
      </w:r>
    </w:p>
    <w:p>
      <w:pPr>
        <w:widowControl/>
        <w:adjustRightInd w:val="0"/>
        <w:snapToGrid w:val="0"/>
        <w:spacing w:line="580" w:lineRule="exact"/>
        <w:ind w:firstLine="640" w:firstLineChars="200"/>
        <w:contextualSpacing/>
        <w:jc w:val="left"/>
        <w:rPr>
          <w:rFonts w:hint="eastAsia" w:ascii="黑体" w:eastAsia="黑体" w:cs="宋体"/>
          <w:color w:val="000000"/>
          <w:kern w:val="0"/>
          <w:sz w:val="32"/>
          <w:szCs w:val="32"/>
          <w:shd w:val="clear" w:color="auto" w:fill="FFFFFF"/>
          <w:lang w:val="zh-CN" w:eastAsia="zh-CN"/>
        </w:rPr>
      </w:pPr>
      <w:r>
        <w:rPr>
          <w:rFonts w:hint="eastAsia" w:ascii="黑体" w:eastAsia="黑体" w:cs="宋体"/>
          <w:color w:val="000000"/>
          <w:kern w:val="0"/>
          <w:sz w:val="32"/>
          <w:szCs w:val="32"/>
          <w:shd w:val="clear" w:color="auto" w:fill="FFFFFF"/>
          <w:lang w:val="zh-CN" w:eastAsia="zh-CN"/>
        </w:rPr>
        <w:t>四、评价结论及建议</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（一）评价结论。</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zh-CN" w:eastAsia="zh-CN"/>
        </w:rPr>
        <w:t>根据部门整体支出绩效评价体系，我单位</w:t>
      </w:r>
      <w:r>
        <w:rPr>
          <w:rFonts w:hint="eastAsia" w:ascii="仿宋_GB2312" w:eastAsia="仿宋_GB2312" w:cs="宋体"/>
          <w:color w:val="000000"/>
          <w:kern w:val="0"/>
          <w:sz w:val="32"/>
          <w:szCs w:val="32"/>
          <w:shd w:val="clear" w:color="auto" w:fill="FFFFFF"/>
          <w:lang w:val="en-US" w:eastAsia="zh-CN"/>
        </w:rPr>
        <w:t>2021年自评得分88分。</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（二）存在问题。</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目前绩效评价指标体系还不够完善，部分项目考核标准不够科学，有待进一步加强调查论证和完善制度。</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（三）改进建议。</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p>
    <w:p>
      <w:pPr>
        <w:pStyle w:val="32"/>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开江县卫生健康局</w:t>
      </w:r>
    </w:p>
    <w:p>
      <w:pPr>
        <w:pStyle w:val="32"/>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专项预算项目支出</w:t>
      </w:r>
      <w:r>
        <w:rPr>
          <w:rFonts w:hint="eastAsia" w:ascii="方正小标宋简体" w:eastAsia="方正小标宋简体"/>
          <w:sz w:val="44"/>
          <w:szCs w:val="44"/>
        </w:rPr>
        <w:t>绩效自评报告</w:t>
      </w:r>
    </w:p>
    <w:p>
      <w:pPr>
        <w:pStyle w:val="32"/>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color w:val="auto"/>
          <w:kern w:val="2"/>
          <w:sz w:val="32"/>
          <w:szCs w:val="32"/>
        </w:rPr>
      </w:pPr>
      <w:r>
        <w:rPr>
          <w:rFonts w:hint="eastAsia" w:ascii="仿宋_GB2312" w:eastAsia="仿宋_GB2312"/>
          <w:color w:val="auto"/>
          <w:kern w:val="2"/>
          <w:sz w:val="32"/>
          <w:szCs w:val="32"/>
        </w:rPr>
        <w:t>（</w:t>
      </w:r>
      <w:r>
        <w:rPr>
          <w:rFonts w:hint="eastAsia" w:ascii="仿宋_GB2312" w:eastAsia="仿宋_GB2312"/>
          <w:color w:val="auto"/>
          <w:kern w:val="2"/>
          <w:sz w:val="32"/>
          <w:szCs w:val="32"/>
          <w:lang w:eastAsia="zh-CN"/>
        </w:rPr>
        <w:t>计划生育转移支付资金</w:t>
      </w:r>
      <w:r>
        <w:rPr>
          <w:rFonts w:hint="eastAsia" w:ascii="仿宋_GB2312" w:eastAsia="仿宋_GB2312"/>
          <w:color w:val="auto"/>
          <w:kern w:val="2"/>
          <w:sz w:val="32"/>
          <w:szCs w:val="32"/>
        </w:rPr>
        <w:t>）</w:t>
      </w:r>
    </w:p>
    <w:p>
      <w:pPr>
        <w:pStyle w:val="32"/>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Times New Roman" w:eastAsia="黑体" w:cs="Times New Roman"/>
          <w:sz w:val="32"/>
          <w:szCs w:val="32"/>
          <w:lang w:val="zh-CN"/>
        </w:rPr>
      </w:pPr>
      <w:r>
        <w:rPr>
          <w:rFonts w:hint="eastAsia" w:ascii="黑体" w:hAnsi="Times New Roman" w:eastAsia="黑体" w:cs="Times New Roman"/>
          <w:sz w:val="32"/>
          <w:szCs w:val="32"/>
        </w:rPr>
        <w:t>一、</w:t>
      </w:r>
      <w:r>
        <w:rPr>
          <w:rFonts w:hint="eastAsia" w:ascii="黑体" w:hAnsi="Times New Roman" w:eastAsia="黑体"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lang w:val="zh-CN"/>
        </w:rPr>
        <w:t>介绍项目基本情况，重点说明以下内容：</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lang w:val="zh-CN"/>
        </w:rPr>
      </w:pPr>
      <w:r>
        <w:rPr>
          <w:rFonts w:hint="eastAsia" w:ascii="仿宋" w:hAnsi="仿宋" w:eastAsia="仿宋" w:cs="仿宋"/>
          <w:sz w:val="32"/>
          <w:szCs w:val="32"/>
        </w:rPr>
        <w:t>按照国务院办公厅转发《人口计生委、财政部关于开展对农村部分计划生育家庭实行奖励扶助制度试点工作意见的通知》（国办发〔2004〕21号）、《人口计生委财政部关于印发全国独生子女伤残死亡家庭扶助制度试点方案的通知》（国人口发〔</w:t>
      </w:r>
      <w:r>
        <w:rPr>
          <w:rFonts w:ascii="仿宋" w:hAnsi="仿宋" w:eastAsia="仿宋" w:cs="仿宋"/>
          <w:sz w:val="32"/>
          <w:szCs w:val="32"/>
        </w:rPr>
        <w:t>2007</w:t>
      </w:r>
      <w:r>
        <w:rPr>
          <w:rFonts w:hint="eastAsia" w:ascii="仿宋" w:hAnsi="仿宋" w:eastAsia="仿宋" w:cs="仿宋"/>
          <w:sz w:val="32"/>
          <w:szCs w:val="32"/>
        </w:rPr>
        <w:t>〕</w:t>
      </w:r>
      <w:r>
        <w:rPr>
          <w:rFonts w:ascii="仿宋" w:hAnsi="仿宋" w:eastAsia="仿宋" w:cs="仿宋"/>
          <w:sz w:val="32"/>
          <w:szCs w:val="32"/>
        </w:rPr>
        <w:t>78</w:t>
      </w:r>
      <w:r>
        <w:rPr>
          <w:rFonts w:hint="eastAsia" w:ascii="仿宋" w:hAnsi="仿宋" w:eastAsia="仿宋" w:cs="仿宋"/>
          <w:sz w:val="32"/>
          <w:szCs w:val="32"/>
        </w:rPr>
        <w:t>号）和《四川省卫生和计划生育委员会办公室关于印发〈四川省农村部分计划生育家庭奖励扶助、计划生育家庭特别扶助工作规范〉的通知》（</w:t>
      </w:r>
      <w:r>
        <w:rPr>
          <w:rFonts w:hint="eastAsia" w:ascii="仿宋_GB2312" w:eastAsia="仿宋_GB2312"/>
          <w:sz w:val="32"/>
          <w:szCs w:val="32"/>
        </w:rPr>
        <w:t>川卫办发〔2016〕223号</w:t>
      </w:r>
      <w:r>
        <w:rPr>
          <w:rFonts w:hint="eastAsia" w:ascii="仿宋" w:hAnsi="仿宋" w:eastAsia="仿宋" w:cs="仿宋"/>
          <w:sz w:val="32"/>
          <w:szCs w:val="32"/>
        </w:rPr>
        <w:t>）的要求，</w:t>
      </w:r>
      <w:r>
        <w:rPr>
          <w:rFonts w:hint="eastAsia" w:ascii="仿宋_GB2312" w:hAnsi="仿宋" w:eastAsia="仿宋_GB2312"/>
          <w:snapToGrid w:val="0"/>
          <w:color w:val="000000"/>
          <w:sz w:val="32"/>
          <w:szCs w:val="32"/>
        </w:rPr>
        <w:t>严格执行工作规范，严禁随意减少或增加工作流程，严禁敷衍塞责不按程序，确保工作质量。进一步加强监管，严格遵守资金发放管理规范，确保资格确认准确无误，确保资金及时足额发放</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720"/>
        <w:textAlignment w:val="auto"/>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根据《四川省财政厅四川省卫生健康委员会关于提前下达</w:t>
      </w:r>
      <w:r>
        <w:rPr>
          <w:rFonts w:hint="eastAsia" w:ascii="仿宋" w:hAnsi="仿宋" w:eastAsia="仿宋" w:cs="仿宋"/>
          <w:sz w:val="32"/>
          <w:szCs w:val="32"/>
          <w:lang w:val="en-US" w:eastAsia="zh-CN"/>
        </w:rPr>
        <w:t>2021年计划生育制度中央补助资金的通知》</w:t>
      </w:r>
      <w:r>
        <w:rPr>
          <w:rFonts w:hint="eastAsia" w:ascii="仿宋" w:hAnsi="仿宋" w:eastAsia="仿宋" w:cs="仿宋"/>
          <w:sz w:val="32"/>
          <w:szCs w:val="32"/>
          <w:lang w:val="zh-CN"/>
        </w:rPr>
        <w:t>川财社</w:t>
      </w:r>
      <w:r>
        <w:rPr>
          <w:rFonts w:hint="eastAsia" w:ascii="仿宋" w:hAnsi="仿宋" w:eastAsia="仿宋" w:cs="仿宋"/>
          <w:sz w:val="32"/>
          <w:szCs w:val="32"/>
          <w:lang w:val="en-US" w:eastAsia="zh-CN"/>
        </w:rPr>
        <w:t>[2020]171号文件、</w:t>
      </w:r>
      <w:r>
        <w:rPr>
          <w:rFonts w:hint="eastAsia" w:ascii="仿宋" w:hAnsi="仿宋" w:eastAsia="仿宋" w:cs="仿宋"/>
          <w:sz w:val="32"/>
          <w:szCs w:val="32"/>
          <w:lang w:val="zh-CN"/>
        </w:rPr>
        <w:t>川财社</w:t>
      </w:r>
      <w:r>
        <w:rPr>
          <w:rFonts w:hint="eastAsia" w:ascii="仿宋" w:hAnsi="仿宋" w:eastAsia="仿宋" w:cs="仿宋"/>
          <w:sz w:val="32"/>
          <w:szCs w:val="32"/>
          <w:lang w:val="en-US" w:eastAsia="zh-CN"/>
        </w:rPr>
        <w:t>[2020]210号文件、</w:t>
      </w:r>
      <w:r>
        <w:rPr>
          <w:rFonts w:hint="eastAsia" w:ascii="仿宋" w:hAnsi="仿宋" w:eastAsia="仿宋" w:cs="仿宋"/>
          <w:sz w:val="32"/>
          <w:szCs w:val="32"/>
          <w:lang w:val="zh-CN"/>
        </w:rPr>
        <w:t>川财社</w:t>
      </w:r>
      <w:r>
        <w:rPr>
          <w:rFonts w:hint="eastAsia" w:ascii="仿宋" w:hAnsi="仿宋" w:eastAsia="仿宋" w:cs="仿宋"/>
          <w:sz w:val="32"/>
          <w:szCs w:val="32"/>
          <w:lang w:val="en-US" w:eastAsia="zh-CN"/>
        </w:rPr>
        <w:t>[2021]50号文件共下达资金745.46万元。符合资金管理办法等相关规定。</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720"/>
        <w:textAlignment w:val="auto"/>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eastAsia="zh-CN"/>
        </w:rPr>
        <w:t>计划生育</w:t>
      </w:r>
      <w:r>
        <w:rPr>
          <w:rFonts w:hint="eastAsia" w:ascii="仿宋" w:hAnsi="仿宋" w:eastAsia="仿宋" w:cs="仿宋"/>
          <w:sz w:val="32"/>
          <w:szCs w:val="32"/>
          <w:lang w:val="zh-CN"/>
        </w:rPr>
        <w:t>服务补助资金应实现的目标为：</w:t>
      </w:r>
      <w:r>
        <w:rPr>
          <w:rFonts w:hint="eastAsia" w:ascii="仿宋" w:hAnsi="仿宋" w:eastAsia="仿宋" w:cs="仿宋"/>
          <w:sz w:val="32"/>
          <w:szCs w:val="32"/>
          <w:lang w:val="en-US" w:eastAsia="zh-CN"/>
        </w:rPr>
        <w:t>1.实施农村计划生育家庭奖励扶助制度，解决农村独生子女和双女家庭的养老问题，提高家庭发展能力。2.实施计划生育家庭特别扶助制度，缓解计划生育有困难家庭在生产、生活、医疗和养老等方面的特殊困难，保障和改善民生，促进社会和谐稳定。3.计划扶助独生子女伤残家庭人数68人，扶助独生子女死亡家庭人数250人，</w:t>
      </w:r>
      <w:r>
        <w:rPr>
          <w:rFonts w:hint="eastAsia" w:ascii="仿宋" w:hAnsi="仿宋" w:eastAsia="仿宋" w:cs="仿宋"/>
          <w:sz w:val="32"/>
          <w:szCs w:val="32"/>
          <w:lang w:val="zh-CN"/>
        </w:rPr>
        <w:t>扶助计划生育手术并发症一级、二级、三级补助人数</w:t>
      </w:r>
      <w:r>
        <w:rPr>
          <w:rFonts w:hint="eastAsia" w:ascii="仿宋" w:hAnsi="仿宋" w:eastAsia="仿宋" w:cs="仿宋"/>
          <w:sz w:val="32"/>
          <w:szCs w:val="32"/>
          <w:lang w:val="en-US" w:eastAsia="zh-CN"/>
        </w:rPr>
        <w:t>76人，</w:t>
      </w:r>
      <w:r>
        <w:rPr>
          <w:rFonts w:hint="eastAsia" w:ascii="仿宋" w:hAnsi="仿宋" w:eastAsia="仿宋" w:cs="仿宋"/>
          <w:sz w:val="32"/>
          <w:szCs w:val="32"/>
          <w:lang w:val="zh-CN"/>
        </w:rPr>
        <w:t>农村部分计划生育家庭奖励补助人数</w:t>
      </w:r>
      <w:r>
        <w:rPr>
          <w:rFonts w:hint="eastAsia" w:ascii="仿宋" w:hAnsi="仿宋" w:eastAsia="仿宋" w:cs="仿宋"/>
          <w:sz w:val="32"/>
          <w:szCs w:val="32"/>
          <w:lang w:val="en-US" w:eastAsia="zh-CN"/>
        </w:rPr>
        <w:t>5382人。该项目已于2021年全部实施完成。</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720"/>
        <w:textAlignment w:val="auto"/>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项目资金申报相符性。</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二、项目实施及管理情况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Times New Roman" w:eastAsia="楷体_GB2312" w:cs="Times New Roman"/>
          <w:sz w:val="32"/>
          <w:szCs w:val="32"/>
          <w:lang w:val="zh-CN"/>
        </w:rPr>
      </w:pPr>
      <w:r>
        <w:rPr>
          <w:rFonts w:hint="eastAsia" w:ascii="楷体_GB2312" w:hAnsi="Times New Roman" w:eastAsia="楷体_GB2312" w:cs="Times New Roman"/>
          <w:sz w:val="32"/>
          <w:szCs w:val="32"/>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开财社</w:t>
      </w:r>
      <w:r>
        <w:rPr>
          <w:rFonts w:hint="eastAsia" w:ascii="仿宋" w:hAnsi="仿宋" w:eastAsia="仿宋" w:cs="仿宋"/>
          <w:sz w:val="32"/>
          <w:szCs w:val="32"/>
          <w:lang w:val="en-US" w:eastAsia="zh-CN"/>
        </w:rPr>
        <w:t>[2021]12号文件下达我县奖励扶助经费318万元，特别扶助经费112万元，均为中央资金。</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开财社[2021]19号文件下达我县奖励扶助经费75.71万元，特别扶助经费85.15万元，独生子女父母奖励经费2.92万元，均为省级资金。</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开财社[2021]150号文件下达我县奖励扶助经费102.05万元，其中中央资金89万元、省级资金13.05万元；特别扶助经费47.56万元，其中中央资金36万元，省级资金11.56万元；独生子女父母奖励经费2.07万元，为省级资金。</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lang w:val="zh-CN"/>
        </w:rPr>
      </w:pPr>
      <w:r>
        <w:rPr>
          <w:rFonts w:hint="eastAsia" w:ascii="仿宋" w:hAnsi="仿宋" w:eastAsia="仿宋" w:cs="仿宋"/>
          <w:sz w:val="32"/>
          <w:szCs w:val="32"/>
          <w:lang w:val="en-US" w:eastAsia="zh-CN"/>
        </w:rPr>
        <w:t>符合条件申报对象覆盖率100%，奖励和扶助资金到位率100%。</w:t>
      </w:r>
    </w:p>
    <w:p>
      <w:pPr>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firstLine="720"/>
        <w:textAlignment w:val="auto"/>
        <w:rPr>
          <w:rFonts w:hint="eastAsia" w:ascii="楷体_GB2312" w:hAnsi="Times New Roman" w:eastAsia="楷体_GB2312" w:cs="Times New Roman"/>
          <w:sz w:val="32"/>
          <w:szCs w:val="32"/>
          <w:lang w:val="zh-CN"/>
        </w:rPr>
      </w:pPr>
      <w:r>
        <w:rPr>
          <w:rFonts w:hint="eastAsia" w:ascii="楷体_GB2312" w:hAnsi="Times New Roman" w:eastAsia="楷体_GB2312" w:cs="Times New Roman"/>
          <w:sz w:val="32"/>
          <w:szCs w:val="32"/>
          <w:lang w:val="zh-CN"/>
        </w:rPr>
        <w:t>资金使用。</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开财社</w:t>
      </w:r>
      <w:r>
        <w:rPr>
          <w:rFonts w:hint="eastAsia" w:ascii="仿宋" w:hAnsi="仿宋" w:eastAsia="仿宋" w:cs="仿宋"/>
          <w:sz w:val="32"/>
          <w:szCs w:val="32"/>
          <w:lang w:val="en-US" w:eastAsia="zh-CN"/>
        </w:rPr>
        <w:t>[2021]12号、开财社[2021]19号、开财社[2021]150号共下达我县2021年计划生育服务补助资金745.46万元，通过县财政局的一卡通平台共发放745.46万元。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本单位制度了《财务管理制度》，按时按规进行会计核算。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（三）项目组织实施情况。</w:t>
      </w:r>
    </w:p>
    <w:p>
      <w:pPr>
        <w:adjustRightInd w:val="0"/>
        <w:snapToGrid w:val="0"/>
        <w:spacing w:line="560" w:lineRule="exact"/>
        <w:ind w:firstLine="640" w:firstLineChars="200"/>
        <w:jc w:val="left"/>
        <w:rPr>
          <w:rFonts w:hint="eastAsia" w:ascii="仿宋_GB2312"/>
          <w:lang w:val="zh-CN"/>
        </w:rPr>
      </w:pPr>
      <w:r>
        <w:rPr>
          <w:rFonts w:hint="eastAsia" w:ascii="仿宋" w:hAnsi="仿宋" w:eastAsia="仿宋" w:cs="仿宋"/>
          <w:sz w:val="32"/>
          <w:szCs w:val="32"/>
          <w:lang w:val="zh-CN" w:eastAsia="zh-CN"/>
        </w:rPr>
        <w:t>该项目由家发股股长蒋斌整体实施。对全县农村部分计划生育家庭奖励扶助制度、计划生育特别扶助和独生子女父母奖励对象资格确认，严格按照窗口申报、年审受理，乡村联合核查，乡级初审、乡级公示、县级复查确认、档案管理工作等个环节进行。在资格确认上，发挥网络遍及乡村的优势，积极做好资格确认工作，坚持 “三个严格”：一是严格政策界限。二是严格确认程序。三是严格监督管理。在资金管理上全县所有资金都由县级财政进行管理。统一管理，封闭运行，减少中间环节，防止挤占、挪用和截留，保证了奖励扶助资金运行安全。到每年给对象户发放资金时形成报告形式上报县级政府，再由县级财政将其资金拨付银行，由银行将资金打卡直发给对象户。</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Times New Roman" w:eastAsia="黑体" w:cs="Times New Roman"/>
          <w:sz w:val="32"/>
          <w:szCs w:val="32"/>
          <w:lang w:val="zh-CN"/>
        </w:rPr>
      </w:pPr>
      <w:r>
        <w:rPr>
          <w:rFonts w:hint="eastAsia" w:ascii="黑体" w:hAnsi="Times New Roman" w:eastAsia="黑体" w:cs="Times New Roman"/>
          <w:sz w:val="32"/>
          <w:szCs w:val="32"/>
        </w:rPr>
        <w:t>三、项目绩效情况</w:t>
      </w:r>
      <w:r>
        <w:rPr>
          <w:rFonts w:hint="eastAsia" w:ascii="黑体" w:hAnsi="Times New Roman" w:eastAsia="黑体" w:cs="Times New Roman"/>
          <w:sz w:val="32"/>
          <w:szCs w:val="32"/>
          <w:lang w:val="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（一）项目完成情况。</w:t>
      </w:r>
    </w:p>
    <w:p>
      <w:pPr>
        <w:adjustRightInd w:val="0"/>
        <w:snapToGrid w:val="0"/>
        <w:spacing w:line="560" w:lineRule="exact"/>
        <w:ind w:firstLine="640" w:firstLineChars="200"/>
        <w:jc w:val="left"/>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开江县农村部分计划生育家庭奖励扶助制度、计划生育特别扶助和独生子女父母奖励制度严格落实上级文件要求：一是做好政策宣传。各乡镇充分利用广播电视、宣传栏、标语、发放宣传资料等方式，广泛宣传奖励扶助政策，提高群众政策知晓率，使广大群众熟悉奖励扶助资格的认定条件等内容，做好群众自我申报与监督。二是确定奖扶对象。各乡镇积极开展计划生育奖励扶助、特别扶助及独生子女父母奖励资格确认，按照奖特扶工作的有关要求，严格工作程序，组织人员进村入户走访调查、核实身份、确认对象资格，认真做好摸底调查、评议、上报、公示等工作，切实做到公开透明、公平公正，保证资格确认准确无误。三是严格扶助管理。各乡镇严格工作程序和政策规定，认真做好年审工作，及时对往年的对象户进行年审，对死亡对象及其他原因不符合享受条件的对象及时做出变更，保证了奖特扶工作有序进行。</w:t>
      </w:r>
    </w:p>
    <w:p>
      <w:pPr>
        <w:adjustRightInd w:val="0"/>
        <w:snapToGrid w:val="0"/>
        <w:spacing w:line="560" w:lineRule="exact"/>
        <w:ind w:firstLine="640" w:firstLineChars="200"/>
        <w:jc w:val="left"/>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2021年度已完成扶助独生子女伤残家庭68人，扶助独生子女死亡家庭250人，扶助计划生育手术并发症一级、二级、三级76人，农村部分计划生育家庭奖励扶助5382人。计划生育服务补助资金发放标准为：独生子女伤残家庭680元/人/月，独生子女死亡家庭860元/人/月，计划生育手术并发症一级600元/人/月、二级400元/人/月、三级200元/人/月，农村部分计划生育家庭奖励扶助80元/人/月。独生子女符合条件申报对象覆盖率100%，奖励和扶助资金到位率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Times New Roman" w:eastAsia="楷体_GB2312" w:cs="Times New Roman"/>
          <w:b/>
          <w:sz w:val="32"/>
          <w:szCs w:val="32"/>
          <w:lang w:val="zh-CN"/>
        </w:rPr>
      </w:pPr>
      <w:r>
        <w:rPr>
          <w:rFonts w:hint="eastAsia" w:ascii="楷体_GB2312" w:eastAsia="楷体_GB2312" w:cs="Times New Roman"/>
          <w:b/>
          <w:sz w:val="32"/>
          <w:szCs w:val="32"/>
          <w:lang w:val="zh-CN"/>
        </w:rPr>
        <w:t>（二）</w:t>
      </w:r>
      <w:r>
        <w:rPr>
          <w:rFonts w:hint="eastAsia" w:ascii="楷体_GB2312" w:hAnsi="Times New Roman" w:eastAsia="楷体_GB2312" w:cs="Times New Roman"/>
          <w:b/>
          <w:sz w:val="32"/>
          <w:szCs w:val="32"/>
          <w:lang w:val="zh-CN"/>
        </w:rPr>
        <w:t>项目效益情况。</w:t>
      </w:r>
    </w:p>
    <w:p>
      <w:pPr>
        <w:tabs>
          <w:tab w:val="left" w:pos="645"/>
        </w:tabs>
        <w:spacing w:line="560" w:lineRule="exact"/>
        <w:ind w:firstLine="640" w:firstLineChars="200"/>
        <w:rPr>
          <w:rFonts w:hint="eastAsia" w:ascii="仿宋_GB2312"/>
          <w:lang w:val="zh-CN"/>
        </w:rPr>
      </w:pPr>
      <w:r>
        <w:rPr>
          <w:rFonts w:hint="eastAsia" w:ascii="仿宋_GB2312" w:hAnsi="仿宋_GB2312" w:eastAsia="仿宋_GB2312" w:cs="仿宋_GB2312"/>
          <w:color w:val="000000"/>
          <w:sz w:val="32"/>
          <w:szCs w:val="32"/>
        </w:rPr>
        <w:t>实施农村部分计划生育家庭奖励扶和计划生育家庭特别扶助制度，有利于进一步完善计划生育利益导向机制，促进人口计生工作的新发展，受到了群众的广泛欢迎，取得了比较明显的社会效果，</w:t>
      </w:r>
      <w:r>
        <w:rPr>
          <w:rFonts w:hint="eastAsia" w:ascii="仿宋_GB2312" w:hAnsi="仿宋_GB2312" w:eastAsia="仿宋_GB2312" w:cs="仿宋_GB2312"/>
          <w:sz w:val="32"/>
          <w:szCs w:val="32"/>
        </w:rPr>
        <w:t>建立和实施计划生育家庭特别扶助制度，通过稳定的制度保障，以利益调节为主要手段，为这些家庭提供多种形式的国家补偿、社会救助和人道关怀，有利于缓解他们由于子女伤残死亡带来的生活困难和精神痛苦，使他们精神上获得慰藉，生活上得到帮助。</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四、问题及建议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eastAsia="楷体_GB2312" w:cs="Times New Roman"/>
          <w:b/>
          <w:sz w:val="32"/>
          <w:szCs w:val="32"/>
          <w:lang w:val="zh-CN"/>
        </w:rPr>
      </w:pPr>
      <w:r>
        <w:rPr>
          <w:rFonts w:hint="eastAsia" w:ascii="楷体_GB2312" w:eastAsia="楷体_GB2312" w:cs="Times New Roman"/>
          <w:b/>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b/>
          <w:lang w:val="zh-CN"/>
        </w:rPr>
      </w:pPr>
      <w:r>
        <w:rPr>
          <w:rFonts w:hint="eastAsia" w:ascii="楷体_GB2312" w:eastAsia="楷体_GB2312"/>
          <w:b/>
          <w:lang w:val="zh-CN"/>
        </w:rPr>
        <w:t>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eastAsia="楷体_GB2312" w:cs="Times New Roman"/>
          <w:b/>
          <w:sz w:val="32"/>
          <w:szCs w:val="32"/>
          <w:lang w:val="zh-CN"/>
        </w:rPr>
      </w:pPr>
      <w:r>
        <w:rPr>
          <w:rFonts w:hint="eastAsia" w:ascii="楷体_GB2312" w:eastAsia="楷体_GB2312" w:cs="Times New Roman"/>
          <w:b/>
          <w:sz w:val="32"/>
          <w:szCs w:val="32"/>
          <w:lang w:val="zh-CN"/>
        </w:rPr>
        <w:t>（二）相关建议。</w:t>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楷体_GB2312" w:eastAsia="楷体_GB2312"/>
          <w:b/>
          <w:lang w:val="zh-CN"/>
        </w:rPr>
      </w:pPr>
      <w:r>
        <w:rPr>
          <w:rFonts w:hint="eastAsia" w:ascii="楷体_GB2312" w:eastAsia="楷体_GB2312"/>
          <w:b/>
          <w:lang w:val="zh-CN"/>
        </w:rPr>
        <w:t>无</w:t>
      </w: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p>
    <w:p>
      <w:pPr>
        <w:widowControl/>
        <w:numPr>
          <w:ilvl w:val="0"/>
          <w:numId w:val="0"/>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widowControl/>
        <w:jc w:val="left"/>
        <w:rPr>
          <w:rStyle w:val="26"/>
          <w:rFonts w:ascii="黑体" w:hAnsi="黑体" w:eastAsia="黑体"/>
          <w:b w:val="0"/>
          <w:color w:val="auto"/>
          <w:highlight w:val="none"/>
        </w:rPr>
      </w:pPr>
      <w:r>
        <w:rPr>
          <w:rStyle w:val="26"/>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67" w:name="_Toc15396618"/>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65"/>
      <w:bookmarkEnd w:id="67"/>
      <w:bookmarkStart w:id="68" w:name="_Toc15396619"/>
    </w:p>
    <w:p>
      <w:pPr>
        <w:pStyle w:val="5"/>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68"/>
    </w:p>
    <w:p>
      <w:pPr>
        <w:pStyle w:val="5"/>
        <w:rPr>
          <w:rFonts w:ascii="仿宋" w:hAnsi="仿宋" w:eastAsia="仿宋"/>
          <w:color w:val="auto"/>
          <w:highlight w:val="none"/>
        </w:rPr>
      </w:pPr>
      <w:bookmarkStart w:id="69"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69"/>
    </w:p>
    <w:p>
      <w:pPr>
        <w:pStyle w:val="5"/>
        <w:rPr>
          <w:rFonts w:ascii="仿宋" w:hAnsi="仿宋" w:eastAsia="仿宋"/>
          <w:color w:val="auto"/>
          <w:highlight w:val="none"/>
        </w:rPr>
      </w:pPr>
      <w:bookmarkStart w:id="70"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70"/>
    </w:p>
    <w:p>
      <w:pPr>
        <w:pStyle w:val="5"/>
        <w:rPr>
          <w:rFonts w:ascii="仿宋" w:hAnsi="仿宋" w:eastAsia="仿宋"/>
          <w:b w:val="0"/>
          <w:color w:val="auto"/>
          <w:highlight w:val="none"/>
        </w:rPr>
      </w:pPr>
      <w:bookmarkStart w:id="71"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71"/>
    </w:p>
    <w:p>
      <w:pPr>
        <w:pStyle w:val="5"/>
        <w:rPr>
          <w:rStyle w:val="27"/>
          <w:rFonts w:ascii="仿宋" w:hAnsi="仿宋" w:eastAsia="仿宋"/>
          <w:b w:val="0"/>
          <w:bCs w:val="0"/>
          <w:color w:val="auto"/>
          <w:highlight w:val="none"/>
        </w:rPr>
      </w:pPr>
      <w:bookmarkStart w:id="72"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72"/>
      <w:bookmarkStart w:id="73" w:name="_Toc15396624"/>
    </w:p>
    <w:p>
      <w:pPr>
        <w:pStyle w:val="5"/>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73"/>
    </w:p>
    <w:p>
      <w:pPr>
        <w:pStyle w:val="5"/>
        <w:rPr>
          <w:rFonts w:ascii="仿宋" w:hAnsi="仿宋" w:eastAsia="仿宋"/>
          <w:color w:val="auto"/>
          <w:highlight w:val="none"/>
        </w:rPr>
      </w:pPr>
      <w:bookmarkStart w:id="74"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74"/>
    </w:p>
    <w:p>
      <w:pPr>
        <w:pStyle w:val="5"/>
        <w:rPr>
          <w:rFonts w:ascii="仿宋" w:hAnsi="仿宋" w:eastAsia="仿宋"/>
          <w:color w:val="auto"/>
          <w:highlight w:val="none"/>
        </w:rPr>
      </w:pPr>
      <w:bookmarkStart w:id="75"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75"/>
    </w:p>
    <w:p>
      <w:pPr>
        <w:pStyle w:val="5"/>
        <w:rPr>
          <w:rFonts w:ascii="仿宋" w:hAnsi="仿宋" w:eastAsia="仿宋"/>
          <w:color w:val="auto"/>
          <w:highlight w:val="none"/>
        </w:rPr>
      </w:pPr>
      <w:bookmarkStart w:id="76"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76"/>
    </w:p>
    <w:p>
      <w:pPr>
        <w:pStyle w:val="5"/>
        <w:rPr>
          <w:rFonts w:ascii="仿宋" w:hAnsi="仿宋" w:eastAsia="仿宋"/>
          <w:color w:val="auto"/>
          <w:highlight w:val="none"/>
        </w:rPr>
      </w:pPr>
      <w:bookmarkStart w:id="77"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77"/>
    </w:p>
    <w:p>
      <w:pPr>
        <w:pStyle w:val="5"/>
        <w:rPr>
          <w:rFonts w:ascii="仿宋" w:hAnsi="仿宋" w:eastAsia="仿宋"/>
          <w:color w:val="auto"/>
          <w:highlight w:val="none"/>
        </w:rPr>
      </w:pPr>
      <w:bookmarkStart w:id="78"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78"/>
    </w:p>
    <w:p>
      <w:pPr>
        <w:pStyle w:val="5"/>
        <w:rPr>
          <w:rFonts w:ascii="仿宋" w:hAnsi="仿宋" w:eastAsia="仿宋"/>
          <w:color w:val="auto"/>
          <w:highlight w:val="none"/>
        </w:rPr>
      </w:pPr>
      <w:bookmarkStart w:id="79"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79"/>
    </w:p>
    <w:p>
      <w:pPr>
        <w:pStyle w:val="5"/>
        <w:rPr>
          <w:rStyle w:val="27"/>
          <w:rFonts w:hint="eastAsia" w:ascii="仿宋" w:hAnsi="仿宋" w:eastAsia="仿宋"/>
          <w:b w:val="0"/>
          <w:bCs w:val="0"/>
          <w:color w:val="auto"/>
          <w:highlight w:val="none"/>
        </w:rPr>
      </w:pPr>
      <w:bookmarkStart w:id="80"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80"/>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46709"/>
    <w:multiLevelType w:val="singleLevel"/>
    <w:tmpl w:val="A3A46709"/>
    <w:lvl w:ilvl="0" w:tentative="0">
      <w:start w:val="2"/>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4D65993"/>
    <w:multiLevelType w:val="singleLevel"/>
    <w:tmpl w:val="D4D65993"/>
    <w:lvl w:ilvl="0" w:tentative="0">
      <w:start w:val="1"/>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GM5ZDY3YWE4NjJkNmVlZGFjMjgwZmZjYWU4N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721EA"/>
    <w:rsid w:val="066E0107"/>
    <w:rsid w:val="07996F6E"/>
    <w:rsid w:val="0A2032A3"/>
    <w:rsid w:val="101860EC"/>
    <w:rsid w:val="10C055FF"/>
    <w:rsid w:val="118107EC"/>
    <w:rsid w:val="13D50BC4"/>
    <w:rsid w:val="16BB723D"/>
    <w:rsid w:val="1BE8440E"/>
    <w:rsid w:val="1D155CEE"/>
    <w:rsid w:val="23860B96"/>
    <w:rsid w:val="240371BF"/>
    <w:rsid w:val="29FD04D3"/>
    <w:rsid w:val="2A1E276E"/>
    <w:rsid w:val="2AEE1F44"/>
    <w:rsid w:val="2BEC43D8"/>
    <w:rsid w:val="2C8A61B5"/>
    <w:rsid w:val="2DF04E50"/>
    <w:rsid w:val="319F7F4E"/>
    <w:rsid w:val="35DD7500"/>
    <w:rsid w:val="36AA5135"/>
    <w:rsid w:val="37E16F03"/>
    <w:rsid w:val="3D98207C"/>
    <w:rsid w:val="3DDB539E"/>
    <w:rsid w:val="42062508"/>
    <w:rsid w:val="44E268DA"/>
    <w:rsid w:val="4A627F82"/>
    <w:rsid w:val="4B4F25DA"/>
    <w:rsid w:val="4BE068DB"/>
    <w:rsid w:val="4D577224"/>
    <w:rsid w:val="4EAB630A"/>
    <w:rsid w:val="4ECE2238"/>
    <w:rsid w:val="5AF92295"/>
    <w:rsid w:val="5CD71FC4"/>
    <w:rsid w:val="5DAC6996"/>
    <w:rsid w:val="6C4A05C8"/>
    <w:rsid w:val="6E7E3605"/>
    <w:rsid w:val="6FF5CC65"/>
    <w:rsid w:val="715C0E4B"/>
    <w:rsid w:val="72734D90"/>
    <w:rsid w:val="73AD73D5"/>
    <w:rsid w:val="73B6EB34"/>
    <w:rsid w:val="76773352"/>
    <w:rsid w:val="79EE5BA4"/>
    <w:rsid w:val="7A894339"/>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ind w:firstLine="628" w:firstLineChars="200"/>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4"/>
    <w:qFormat/>
    <w:uiPriority w:val="9"/>
    <w:rPr>
      <w:rFonts w:ascii="Times New Roman" w:hAnsi="Times New Roman"/>
      <w:b/>
      <w:bCs/>
      <w:kern w:val="44"/>
      <w:sz w:val="44"/>
      <w:szCs w:val="44"/>
    </w:rPr>
  </w:style>
  <w:style w:type="character" w:customStyle="1" w:styleId="27">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6"/>
    <w:qFormat/>
    <w:uiPriority w:val="9"/>
    <w:rPr>
      <w:rFonts w:ascii="Times New Roman" w:hAnsi="Times New Roman"/>
      <w:b/>
      <w:bCs/>
      <w:kern w:val="2"/>
      <w:sz w:val="32"/>
      <w:szCs w:val="32"/>
    </w:r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69950467804073"/>
          <c:y val="0.244305239179954"/>
          <c:w val="0.883104017611447"/>
          <c:h val="0.677562642369021"/>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4578.24</c:v>
                </c:pt>
                <c:pt idx="1">
                  <c:v>4578.24</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2605.05</c:v>
                </c:pt>
                <c:pt idx="1">
                  <c:v>2605.05</c:v>
                </c:pt>
              </c:numCache>
            </c:numRef>
          </c:val>
        </c:ser>
        <c:dLbls>
          <c:showLegendKey val="0"/>
          <c:showVal val="0"/>
          <c:showCatName val="0"/>
          <c:showSerName val="0"/>
          <c:showPercent val="0"/>
          <c:showBubbleSize val="0"/>
        </c:dLbls>
        <c:gapWidth val="219"/>
        <c:overlap val="-27"/>
        <c:axId val="83176852"/>
        <c:axId val="130011346"/>
      </c:barChart>
      <c:catAx>
        <c:axId val="831768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011346"/>
        <c:crosses val="autoZero"/>
        <c:auto val="1"/>
        <c:lblAlgn val="ctr"/>
        <c:lblOffset val="100"/>
        <c:noMultiLvlLbl val="0"/>
      </c:catAx>
      <c:valAx>
        <c:axId val="1300113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1768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c:v>
                </c:pt>
              </c:strCache>
            </c:strRef>
          </c:cat>
          <c:val>
            <c:numRef>
              <c:f>Sheet1!$B$2:$B$3</c:f>
              <c:numCache>
                <c:formatCode>General</c:formatCode>
                <c:ptCount val="2"/>
                <c:pt idx="0">
                  <c:v>2605.65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725.21</c:v>
                </c:pt>
                <c:pt idx="1">
                  <c:v>1880.44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12768299394607"/>
          <c:y val="0.244305239179954"/>
          <c:w val="0.883104017611447"/>
          <c:h val="0.677562642369021"/>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4578.24</c:v>
                </c:pt>
                <c:pt idx="1">
                  <c:v>4578.24</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2605.05</c:v>
                </c:pt>
                <c:pt idx="1">
                  <c:v>2605.05</c:v>
                </c:pt>
              </c:numCache>
            </c:numRef>
          </c:val>
        </c:ser>
        <c:dLbls>
          <c:showLegendKey val="0"/>
          <c:showVal val="0"/>
          <c:showCatName val="0"/>
          <c:showSerName val="0"/>
          <c:showPercent val="0"/>
          <c:showBubbleSize val="0"/>
        </c:dLbls>
        <c:gapWidth val="219"/>
        <c:overlap val="-27"/>
        <c:axId val="83176852"/>
        <c:axId val="130011346"/>
      </c:barChart>
      <c:catAx>
        <c:axId val="831768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011346"/>
        <c:crosses val="autoZero"/>
        <c:auto val="1"/>
        <c:lblAlgn val="ctr"/>
        <c:lblOffset val="100"/>
        <c:noMultiLvlLbl val="0"/>
      </c:catAx>
      <c:valAx>
        <c:axId val="1300113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1768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3378.24</c:v>
                </c:pt>
                <c:pt idx="1">
                  <c:v>2605.65</c:v>
                </c:pt>
              </c:numCache>
            </c:numRef>
          </c:val>
        </c:ser>
        <c:dLbls>
          <c:showLegendKey val="0"/>
          <c:showVal val="0"/>
          <c:showCatName val="0"/>
          <c:showSerName val="0"/>
          <c:showPercent val="0"/>
          <c:showBubbleSize val="0"/>
        </c:dLbls>
        <c:gapWidth val="219"/>
        <c:overlap val="-27"/>
        <c:axId val="577610512"/>
        <c:axId val="906322210"/>
      </c:barChart>
      <c:catAx>
        <c:axId val="5776105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6322210"/>
        <c:crosses val="autoZero"/>
        <c:auto val="1"/>
        <c:lblAlgn val="ctr"/>
        <c:lblOffset val="100"/>
        <c:noMultiLvlLbl val="0"/>
      </c:catAx>
      <c:valAx>
        <c:axId val="9063222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76105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65.55</c:v>
                </c:pt>
                <c:pt idx="1">
                  <c:v>2490.97</c:v>
                </c:pt>
                <c:pt idx="2">
                  <c:v>49.13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12768</Words>
  <Characters>13892</Characters>
  <Lines>61</Lines>
  <Paragraphs>17</Paragraphs>
  <TotalTime>6</TotalTime>
  <ScaleCrop>false</ScaleCrop>
  <LinksUpToDate>false</LinksUpToDate>
  <CharactersWithSpaces>13925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cp:lastModifiedBy>
  <cp:lastPrinted>2022-08-08T09:11:00Z</cp:lastPrinted>
  <dcterms:modified xsi:type="dcterms:W3CDTF">2022-10-12T02:33:15Z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CA31CFE6FB714CB08A2C19B872D929A5</vt:lpwstr>
  </property>
</Properties>
</file>