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keepNext w:val="0"/>
        <w:keepLines w:val="0"/>
        <w:pageBreakBefore w:val="0"/>
        <w:widowControl w:val="0"/>
        <w:kinsoku/>
        <w:wordWrap/>
        <w:overflowPunct/>
        <w:topLinePunct w:val="0"/>
        <w:autoSpaceDE/>
        <w:autoSpaceDN/>
        <w:bidi w:val="0"/>
        <w:spacing w:line="540" w:lineRule="exact"/>
        <w:ind w:left="0" w:leftChars="0"/>
        <w:jc w:val="center"/>
        <w:textAlignment w:val="auto"/>
        <w:rPr>
          <w:rFonts w:hint="eastAsia" w:ascii="方正小标宋简体" w:hAnsi="方正小标宋简体" w:eastAsia="方正小标宋简体" w:cs="方正小标宋简体"/>
          <w:color w:val="auto"/>
          <w:kern w:val="2"/>
          <w:sz w:val="44"/>
          <w:szCs w:val="44"/>
          <w:highlight w:val="none"/>
          <w:lang w:val="en-US" w:eastAsia="zh-CN"/>
        </w:rPr>
      </w:pPr>
      <w:bookmarkStart w:id="1" w:name="_GoBack"/>
      <w:bookmarkEnd w:id="1"/>
      <w:r>
        <w:rPr>
          <w:rFonts w:hint="eastAsia" w:ascii="方正小标宋简体" w:hAnsi="方正小标宋简体" w:eastAsia="方正小标宋简体" w:cs="方正小标宋简体"/>
          <w:color w:val="auto"/>
          <w:kern w:val="2"/>
          <w:sz w:val="44"/>
          <w:szCs w:val="44"/>
          <w:highlight w:val="none"/>
          <w:lang w:val="en-US" w:eastAsia="zh-CN"/>
        </w:rPr>
        <w:t>开江县讲治镇人民政府退休人员丧葬抚恤专项预算项目绩效评价报告</w:t>
      </w:r>
    </w:p>
    <w:p>
      <w:pPr>
        <w:pStyle w:val="13"/>
        <w:keepNext w:val="0"/>
        <w:keepLines w:val="0"/>
        <w:pageBreakBefore w:val="0"/>
        <w:widowControl w:val="0"/>
        <w:kinsoku/>
        <w:wordWrap/>
        <w:overflowPunct/>
        <w:topLinePunct w:val="0"/>
        <w:autoSpaceDE/>
        <w:autoSpaceDN/>
        <w:bidi w:val="0"/>
        <w:spacing w:line="540" w:lineRule="exact"/>
        <w:ind w:left="0" w:leftChars="0" w:firstLine="640"/>
        <w:jc w:val="center"/>
        <w:textAlignment w:val="auto"/>
        <w:rPr>
          <w:rFonts w:hint="default" w:ascii="Times New Roman" w:hAnsi="Times New Roman" w:eastAsia="方正仿宋简体" w:cs="Times New Roman"/>
          <w:color w:val="auto"/>
          <w:kern w:val="2"/>
          <w:sz w:val="32"/>
          <w:szCs w:val="32"/>
          <w:highlight w:val="none"/>
        </w:rPr>
      </w:pPr>
    </w:p>
    <w:p>
      <w:pPr>
        <w:keepNext w:val="0"/>
        <w:keepLines w:val="0"/>
        <w:pageBreakBefore w:val="0"/>
        <w:widowControl w:val="0"/>
        <w:kinsoku/>
        <w:wordWrap/>
        <w:overflowPunct/>
        <w:topLinePunct w:val="0"/>
        <w:autoSpaceDE/>
        <w:autoSpaceDN/>
        <w:bidi w:val="0"/>
        <w:adjustRightInd w:val="0"/>
        <w:snapToGrid w:val="0"/>
        <w:spacing w:line="540" w:lineRule="exact"/>
        <w:ind w:left="0" w:leftChars="0" w:firstLine="640" w:firstLineChars="200"/>
        <w:jc w:val="both"/>
        <w:textAlignment w:val="auto"/>
        <w:rPr>
          <w:rFonts w:hint="eastAsia" w:ascii="方正黑体简体" w:hAnsi="方正黑体简体" w:eastAsia="方正黑体简体" w:cs="方正黑体简体"/>
          <w:b w:val="0"/>
          <w:bCs w:val="0"/>
          <w:highlight w:val="none"/>
          <w:lang w:val="zh-CN"/>
        </w:rPr>
      </w:pPr>
      <w:r>
        <w:rPr>
          <w:rFonts w:hint="eastAsia" w:ascii="方正黑体简体" w:hAnsi="方正黑体简体" w:eastAsia="方正黑体简体" w:cs="方正黑体简体"/>
          <w:b w:val="0"/>
          <w:bCs w:val="0"/>
          <w:highlight w:val="none"/>
        </w:rPr>
        <w:t>一、</w:t>
      </w:r>
      <w:r>
        <w:rPr>
          <w:rFonts w:hint="eastAsia" w:ascii="方正黑体简体" w:hAnsi="方正黑体简体" w:eastAsia="方正黑体简体" w:cs="方正黑体简体"/>
          <w:b w:val="0"/>
          <w:bCs w:val="0"/>
          <w:highlight w:val="none"/>
          <w:lang w:val="zh-CN"/>
        </w:rPr>
        <w:t>项目概况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left="0" w:leftChars="0" w:firstLine="640" w:firstLineChars="200"/>
        <w:contextualSpacing/>
        <w:jc w:val="both"/>
        <w:textAlignment w:val="auto"/>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pPr>
      <w:r>
        <w:rPr>
          <w:rFonts w:hint="eastAsia" w:ascii="方正楷体简体" w:hAnsi="方正楷体简体" w:eastAsia="方正楷体简体" w:cs="方正楷体简体"/>
          <w:b w:val="0"/>
          <w:bCs w:val="0"/>
          <w:color w:val="auto"/>
          <w:sz w:val="32"/>
          <w:szCs w:val="32"/>
          <w:highlight w:val="none"/>
          <w:u w:val="none"/>
          <w:lang w:val="zh-CN"/>
        </w:rPr>
        <w:t>（一）设立背景及基本情况。</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丧葬抚恤金</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eastAsia="zh-CN"/>
        </w:rPr>
        <w:t>项</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目的设立，</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eastAsia="zh-CN"/>
        </w:rPr>
        <w:t>主要</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是国家机关和事业单位</w:t>
      </w:r>
      <w:r>
        <w:rPr>
          <w:rFonts w:hint="eastAsia" w:ascii="Times New Roman" w:hAnsi="Times New Roman" w:eastAsia="方正仿宋简体" w:cs="Times New Roman"/>
          <w:b w:val="0"/>
          <w:bCs w:val="0"/>
          <w:color w:val="auto"/>
          <w:kern w:val="0"/>
          <w:sz w:val="32"/>
          <w:szCs w:val="32"/>
          <w:highlight w:val="none"/>
          <w:u w:val="none"/>
          <w:shd w:val="clear" w:color="auto" w:fill="FFFFFF"/>
          <w:lang w:val="en-US" w:eastAsia="zh-CN"/>
        </w:rPr>
        <w:t>（</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企业参照执行</w:t>
      </w:r>
      <w:r>
        <w:rPr>
          <w:rFonts w:hint="eastAsia" w:ascii="Times New Roman" w:hAnsi="Times New Roman" w:eastAsia="方正仿宋简体" w:cs="Times New Roman"/>
          <w:b w:val="0"/>
          <w:bCs w:val="0"/>
          <w:color w:val="auto"/>
          <w:kern w:val="0"/>
          <w:sz w:val="32"/>
          <w:szCs w:val="32"/>
          <w:highlight w:val="none"/>
          <w:u w:val="none"/>
          <w:shd w:val="clear" w:color="auto" w:fill="FFFFFF"/>
          <w:lang w:val="en-US" w:eastAsia="zh-CN"/>
        </w:rPr>
        <w:t>）</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的</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fldChar w:fldCharType="begin"/>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instrText xml:space="preserve"> HYPERLINK "https://www.64365.com/baike/tx/" \o "退休" \t "https://www.64365.com/zs/_blank" </w:instrTex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fldChar w:fldCharType="separate"/>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退休</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fldChar w:fldCharType="end"/>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人员病逝后，由国家发给死者亲属的费用，在于抚慰死者家属。国家抚恤金最新标准为</w:t>
      </w:r>
      <w:r>
        <w:rPr>
          <w:rFonts w:hint="eastAsia" w:ascii="Times New Roman" w:hAnsi="Times New Roman" w:eastAsia="方正仿宋简体" w:cs="Times New Roman"/>
          <w:b w:val="0"/>
          <w:bCs w:val="0"/>
          <w:color w:val="auto"/>
          <w:kern w:val="0"/>
          <w:sz w:val="32"/>
          <w:szCs w:val="32"/>
          <w:highlight w:val="none"/>
          <w:u w:val="none"/>
          <w:shd w:val="clear" w:color="auto" w:fill="FFFFFF"/>
          <w:lang w:val="en-US" w:eastAsia="zh-CN"/>
        </w:rPr>
        <w:t>：</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死后评为烈士的，一次性抚恤金为80个月基本退休费</w:t>
      </w:r>
      <w:r>
        <w:rPr>
          <w:rFonts w:hint="eastAsia" w:ascii="Times New Roman" w:hAnsi="Times New Roman" w:eastAsia="方正仿宋简体" w:cs="Times New Roman"/>
          <w:b w:val="0"/>
          <w:bCs w:val="0"/>
          <w:color w:val="auto"/>
          <w:kern w:val="0"/>
          <w:sz w:val="32"/>
          <w:szCs w:val="32"/>
          <w:highlight w:val="none"/>
          <w:u w:val="none"/>
          <w:shd w:val="clear" w:color="auto" w:fill="FFFFFF"/>
          <w:lang w:val="en-US" w:eastAsia="zh-CN"/>
        </w:rPr>
        <w:t>；</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因公牺牲的，为40个月</w:t>
      </w:r>
      <w:r>
        <w:rPr>
          <w:rFonts w:hint="eastAsia" w:ascii="Times New Roman" w:hAnsi="Times New Roman" w:eastAsia="方正仿宋简体" w:cs="Times New Roman"/>
          <w:b w:val="0"/>
          <w:bCs w:val="0"/>
          <w:color w:val="auto"/>
          <w:kern w:val="0"/>
          <w:sz w:val="32"/>
          <w:szCs w:val="32"/>
          <w:highlight w:val="none"/>
          <w:u w:val="none"/>
          <w:shd w:val="clear" w:color="auto" w:fill="FFFFFF"/>
          <w:lang w:val="en-US" w:eastAsia="zh-CN"/>
        </w:rPr>
        <w:t>；</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病故的，为20个月</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eastAsia="zh-CN"/>
        </w:rPr>
        <w:t>。</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死亡抚恤及丧葬金</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由所在单位负责发放，所需经费从原渠道列支。项目立项、资金申报的依据</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为《关于国家机关工作人员及离退休人员死亡一次性抚恤发放办法的</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fldChar w:fldCharType="begin"/>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instrText xml:space="preserve"> HYPERLINK "https://www.findlaw.cn/133000/" \t "https://china.findlaw.cn/wuhan/_blank" </w:instrTex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fldChar w:fldCharType="separate"/>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通知</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fldChar w:fldCharType="end"/>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》及开江府函</w:t>
      </w:r>
      <w:r>
        <w:rPr>
          <w:rFonts w:hint="eastAsia" w:ascii="Times New Roman" w:hAnsi="Times New Roman" w:eastAsia="方正仿宋简体" w:cs="Times New Roman"/>
          <w:b w:val="0"/>
          <w:bCs w:val="0"/>
          <w:color w:val="auto"/>
          <w:kern w:val="0"/>
          <w:sz w:val="32"/>
          <w:szCs w:val="32"/>
          <w:highlight w:val="none"/>
          <w:u w:val="none"/>
          <w:shd w:val="clear" w:color="auto" w:fill="FFFFFF"/>
          <w:lang w:val="en-US" w:eastAsia="zh-CN"/>
        </w:rPr>
        <w:t>〔</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2022</w:t>
      </w:r>
      <w:r>
        <w:rPr>
          <w:rFonts w:hint="eastAsia" w:ascii="Times New Roman" w:hAnsi="Times New Roman" w:eastAsia="方正仿宋简体" w:cs="Times New Roman"/>
          <w:b w:val="0"/>
          <w:bCs w:val="0"/>
          <w:color w:val="auto"/>
          <w:kern w:val="0"/>
          <w:sz w:val="32"/>
          <w:szCs w:val="32"/>
          <w:highlight w:val="none"/>
          <w:u w:val="none"/>
          <w:shd w:val="clear" w:color="auto" w:fill="FFFFFF"/>
          <w:lang w:val="en-US" w:eastAsia="zh-CN"/>
        </w:rPr>
        <w:t>〕</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597号文件</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，项目主要内容为</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文宪海、周家容、李生根3</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人，</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死亡</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时间</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分别</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为</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2022年12月、2022年11月、2022年12月，一次性退休补贴298100元</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firstLine="640" w:firstLineChars="200"/>
        <w:jc w:val="both"/>
        <w:textAlignment w:val="auto"/>
        <w:rPr>
          <w:rFonts w:hint="default" w:ascii="Times New Roman" w:hAnsi="Times New Roman" w:eastAsia="方正仿宋简体" w:cs="Times New Roman"/>
          <w:b w:val="0"/>
          <w:bCs w:val="0"/>
          <w:color w:val="auto"/>
          <w:sz w:val="32"/>
          <w:szCs w:val="32"/>
          <w:highlight w:val="none"/>
          <w:u w:val="none"/>
          <w:lang w:val="zh-CN"/>
        </w:rPr>
      </w:pPr>
      <w:r>
        <w:rPr>
          <w:rFonts w:hint="default" w:ascii="方正楷体简体" w:hAnsi="方正楷体简体" w:eastAsia="方正楷体简体" w:cs="方正楷体简体"/>
          <w:b w:val="0"/>
          <w:bCs w:val="0"/>
          <w:color w:val="auto"/>
          <w:sz w:val="32"/>
          <w:szCs w:val="32"/>
          <w:highlight w:val="none"/>
          <w:u w:val="none"/>
          <w:lang w:val="zh-CN"/>
        </w:rPr>
        <w:t>（二）</w:t>
      </w:r>
      <w:r>
        <w:rPr>
          <w:rFonts w:hint="default" w:ascii="方正楷体简体" w:hAnsi="方正楷体简体" w:eastAsia="方正楷体简体" w:cs="方正楷体简体"/>
          <w:b w:val="0"/>
          <w:bCs w:val="0"/>
          <w:color w:val="auto"/>
          <w:sz w:val="32"/>
          <w:szCs w:val="32"/>
          <w:highlight w:val="none"/>
          <w:u w:val="none"/>
          <w:lang w:val="en-US" w:eastAsia="zh-CN"/>
        </w:rPr>
        <w:t>实施目的及支持方向。</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已</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制定</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项目资金</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管理办法情况，根据符合补贴条件的退休人员数量、补贴标准等，合理编制资金预算。资金使用范围，严格限定资金只能用于支付退休人员的</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死亡抚恤及丧葬费</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，不得挪作他用。项目实施目的是为了</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抚慰死者家属</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，帮助他们更好地满足基本生活需求，应对生活负担。主要工作任务有确定补贴标准、宣传落实、效果评估等重点内容。</w:t>
      </w:r>
    </w:p>
    <w:p>
      <w:pPr>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left="0" w:leftChars="0" w:firstLine="640" w:firstLineChars="200"/>
        <w:contextualSpacing/>
        <w:jc w:val="both"/>
        <w:textAlignment w:val="auto"/>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pPr>
      <w:r>
        <w:rPr>
          <w:rFonts w:hint="default" w:ascii="方正楷体简体" w:hAnsi="方正楷体简体" w:eastAsia="方正楷体简体" w:cs="方正楷体简体"/>
          <w:b w:val="0"/>
          <w:bCs w:val="0"/>
          <w:color w:val="auto"/>
          <w:sz w:val="32"/>
          <w:szCs w:val="32"/>
          <w:highlight w:val="none"/>
          <w:u w:val="none"/>
          <w:lang w:val="zh-CN" w:eastAsia="zh-CN"/>
        </w:rPr>
        <w:t>（三）</w:t>
      </w:r>
      <w:r>
        <w:rPr>
          <w:rFonts w:hint="default" w:ascii="方正楷体简体" w:hAnsi="方正楷体简体" w:eastAsia="方正楷体简体" w:cs="方正楷体简体"/>
          <w:b w:val="0"/>
          <w:bCs w:val="0"/>
          <w:color w:val="auto"/>
          <w:sz w:val="32"/>
          <w:szCs w:val="32"/>
          <w:highlight w:val="none"/>
          <w:u w:val="none"/>
          <w:lang w:val="en-US" w:eastAsia="zh-CN"/>
        </w:rPr>
        <w:t>预算安排及分配管理</w:t>
      </w:r>
      <w:r>
        <w:rPr>
          <w:rFonts w:hint="default" w:ascii="方正楷体简体" w:hAnsi="方正楷体简体" w:eastAsia="方正楷体简体" w:cs="方正楷体简体"/>
          <w:b w:val="0"/>
          <w:bCs w:val="0"/>
          <w:color w:val="auto"/>
          <w:sz w:val="32"/>
          <w:szCs w:val="32"/>
          <w:highlight w:val="none"/>
          <w:u w:val="none"/>
          <w:lang w:val="zh-CN" w:eastAsia="zh-CN"/>
        </w:rPr>
        <w:t>。</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eastAsia="zh-CN"/>
        </w:rPr>
        <w:t>项目预算安排情况为</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死亡抚恤及丧葬费298100元</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eastAsia="zh-CN"/>
        </w:rPr>
        <w:t>，</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项目资金分配情况退休人员</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谭文宪海、周家容、李升根3</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人。</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firstLine="640" w:firstLineChars="200"/>
        <w:jc w:val="both"/>
        <w:textAlignment w:val="auto"/>
        <w:rPr>
          <w:rFonts w:hint="default" w:ascii="Times New Roman" w:hAnsi="Times New Roman" w:eastAsia="方正仿宋简体" w:cs="Times New Roman"/>
          <w:b w:val="0"/>
          <w:bCs w:val="0"/>
          <w:color w:val="auto"/>
          <w:kern w:val="0"/>
          <w:sz w:val="32"/>
          <w:szCs w:val="32"/>
          <w:highlight w:val="none"/>
          <w:u w:val="none"/>
          <w:shd w:val="clear" w:color="auto" w:fill="FFFFFF"/>
          <w:lang w:val="zh-CN" w:eastAsia="zh-CN"/>
        </w:rPr>
      </w:pPr>
      <w:r>
        <w:rPr>
          <w:rFonts w:hint="default" w:ascii="方正楷体简体" w:hAnsi="方正楷体简体" w:eastAsia="方正楷体简体" w:cs="方正楷体简体"/>
          <w:b w:val="0"/>
          <w:bCs w:val="0"/>
          <w:color w:val="auto"/>
          <w:sz w:val="32"/>
          <w:szCs w:val="32"/>
          <w:highlight w:val="none"/>
          <w:u w:val="none"/>
          <w:lang w:val="zh-CN" w:eastAsia="zh-CN"/>
        </w:rPr>
        <w:t>（四）项目绩效目标设置。</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eastAsia="zh-CN"/>
        </w:rPr>
        <w:t>项目整体、区域和具体绩效目标设置为</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谭文宪海、周家容、李升根3</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rPr>
        <w:t>人</w:t>
      </w:r>
      <w:r>
        <w:rPr>
          <w:rFonts w:hint="default" w:ascii="Times New Roman" w:hAnsi="Times New Roman" w:eastAsia="方正仿宋简体" w:cs="Times New Roman"/>
          <w:b w:val="0"/>
          <w:bCs w:val="0"/>
          <w:color w:val="auto"/>
          <w:kern w:val="0"/>
          <w:sz w:val="32"/>
          <w:szCs w:val="32"/>
          <w:highlight w:val="none"/>
          <w:u w:val="none"/>
          <w:shd w:val="clear" w:color="auto" w:fill="FFFFFF"/>
          <w:lang w:val="en-US" w:eastAsia="zh-CN"/>
        </w:rPr>
        <w:t>项目资金发放到位</w:t>
      </w:r>
      <w:r>
        <w:rPr>
          <w:rFonts w:hint="default" w:ascii="Times New Roman" w:hAnsi="Times New Roman" w:eastAsia="方正仿宋简体" w:cs="Times New Roman"/>
          <w:b w:val="0"/>
          <w:bCs w:val="0"/>
          <w:color w:val="auto"/>
          <w:kern w:val="0"/>
          <w:sz w:val="32"/>
          <w:szCs w:val="32"/>
          <w:highlight w:val="none"/>
          <w:u w:val="none"/>
          <w:shd w:val="clear" w:color="auto" w:fill="FFFFFF"/>
          <w:lang w:val="zh-CN" w:eastAsia="zh-CN"/>
        </w:rPr>
        <w:t>，项目自评工作已按时开展。</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firstLine="640" w:firstLineChars="200"/>
        <w:jc w:val="both"/>
        <w:textAlignment w:val="auto"/>
        <w:rPr>
          <w:rFonts w:hint="default" w:ascii="方正黑体简体" w:hAnsi="方正黑体简体" w:eastAsia="方正黑体简体" w:cs="方正黑体简体"/>
          <w:b w:val="0"/>
          <w:bCs w:val="0"/>
          <w:highlight w:val="none"/>
          <w:lang w:eastAsia="zh-CN"/>
        </w:rPr>
      </w:pPr>
      <w:r>
        <w:rPr>
          <w:rFonts w:hint="default" w:ascii="方正黑体简体" w:hAnsi="方正黑体简体" w:eastAsia="方正黑体简体" w:cs="方正黑体简体"/>
          <w:b w:val="0"/>
          <w:bCs w:val="0"/>
          <w:highlight w:val="none"/>
        </w:rPr>
        <w:t>二、</w:t>
      </w:r>
      <w:r>
        <w:rPr>
          <w:rFonts w:hint="default" w:ascii="方正黑体简体" w:hAnsi="方正黑体简体" w:eastAsia="方正黑体简体" w:cs="方正黑体简体"/>
          <w:b w:val="0"/>
          <w:bCs w:val="0"/>
          <w:highlight w:val="none"/>
          <w:lang w:eastAsia="zh-CN"/>
        </w:rPr>
        <w:t>评价实施</w:t>
      </w:r>
    </w:p>
    <w:p>
      <w:pPr>
        <w:keepNext w:val="0"/>
        <w:keepLines w:val="0"/>
        <w:pageBreakBefore w:val="0"/>
        <w:widowControl w:val="0"/>
        <w:kinsoku/>
        <w:wordWrap/>
        <w:overflowPunct/>
        <w:topLinePunct w:val="0"/>
        <w:autoSpaceDE/>
        <w:autoSpaceDN/>
        <w:bidi w:val="0"/>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szCs w:val="32"/>
        </w:rPr>
      </w:pPr>
      <w:r>
        <w:rPr>
          <w:rFonts w:hint="default" w:ascii="方正楷体简体" w:hAnsi="方正楷体简体" w:eastAsia="方正楷体简体" w:cs="方正楷体简体"/>
          <w:b w:val="0"/>
          <w:bCs w:val="0"/>
          <w:color w:val="auto"/>
          <w:sz w:val="32"/>
          <w:szCs w:val="32"/>
          <w:highlight w:val="none"/>
          <w:u w:val="none"/>
          <w:lang w:val="zh-CN"/>
        </w:rPr>
        <w:t>（一）评价目的。</w:t>
      </w:r>
      <w:r>
        <w:rPr>
          <w:rFonts w:hint="default" w:ascii="Times New Roman" w:hAnsi="Times New Roman" w:eastAsia="方正仿宋简体" w:cs="Times New Roman"/>
          <w:b w:val="0"/>
          <w:bCs w:val="0"/>
          <w:szCs w:val="32"/>
        </w:rPr>
        <w:t>通过</w:t>
      </w:r>
      <w:r>
        <w:rPr>
          <w:rFonts w:hint="default" w:ascii="Times New Roman" w:hAnsi="Times New Roman" w:eastAsia="方正仿宋简体" w:cs="Times New Roman"/>
          <w:b w:val="0"/>
          <w:bCs w:val="0"/>
          <w:szCs w:val="32"/>
          <w:lang w:eastAsia="zh-CN"/>
        </w:rPr>
        <w:t>项目</w:t>
      </w:r>
      <w:r>
        <w:rPr>
          <w:rFonts w:hint="default" w:ascii="Times New Roman" w:hAnsi="Times New Roman" w:eastAsia="方正仿宋简体" w:cs="Times New Roman"/>
          <w:b w:val="0"/>
          <w:bCs w:val="0"/>
          <w:szCs w:val="32"/>
        </w:rPr>
        <w:t>绩效</w:t>
      </w:r>
      <w:r>
        <w:rPr>
          <w:rFonts w:hint="default" w:ascii="Times New Roman" w:hAnsi="Times New Roman" w:eastAsia="方正仿宋简体" w:cs="Times New Roman"/>
          <w:b w:val="0"/>
          <w:bCs w:val="0"/>
          <w:szCs w:val="32"/>
          <w:lang w:eastAsia="zh-CN"/>
        </w:rPr>
        <w:t>自评要实现退休人员</w:t>
      </w:r>
      <w:r>
        <w:rPr>
          <w:rFonts w:hint="default" w:ascii="Times New Roman" w:hAnsi="Times New Roman" w:eastAsia="方正仿宋简体" w:cs="Times New Roman"/>
          <w:b w:val="0"/>
          <w:bCs w:val="0"/>
          <w:szCs w:val="32"/>
          <w:lang w:val="en-US" w:eastAsia="zh-CN"/>
        </w:rPr>
        <w:t>丧葬抚恤金</w:t>
      </w:r>
      <w:r>
        <w:rPr>
          <w:rFonts w:hint="default" w:ascii="Times New Roman" w:hAnsi="Times New Roman" w:eastAsia="方正仿宋简体" w:cs="Times New Roman"/>
          <w:b w:val="0"/>
          <w:bCs w:val="0"/>
          <w:szCs w:val="32"/>
          <w:lang w:eastAsia="zh-CN"/>
        </w:rPr>
        <w:t>按时发放并</w:t>
      </w:r>
      <w:r>
        <w:rPr>
          <w:rFonts w:hint="default" w:ascii="Times New Roman" w:hAnsi="Times New Roman" w:eastAsia="方正仿宋简体" w:cs="Times New Roman"/>
          <w:b w:val="0"/>
          <w:bCs w:val="0"/>
          <w:szCs w:val="32"/>
          <w:lang w:val="en-US" w:eastAsia="zh-CN"/>
        </w:rPr>
        <w:t>抚慰家属，保障</w:t>
      </w:r>
      <w:r>
        <w:rPr>
          <w:rFonts w:hint="default" w:ascii="Times New Roman" w:hAnsi="Times New Roman" w:eastAsia="方正仿宋简体" w:cs="Times New Roman"/>
          <w:b w:val="0"/>
          <w:bCs w:val="0"/>
          <w:szCs w:val="32"/>
          <w:lang w:eastAsia="zh-CN"/>
        </w:rPr>
        <w:t>生活质量和获得感。</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szCs w:val="32"/>
          <w:lang w:eastAsia="zh-CN"/>
        </w:rPr>
      </w:pPr>
      <w:r>
        <w:rPr>
          <w:rFonts w:hint="default" w:ascii="方正楷体简体" w:hAnsi="方正楷体简体" w:eastAsia="方正楷体简体" w:cs="方正楷体简体"/>
          <w:b w:val="0"/>
          <w:bCs w:val="0"/>
          <w:color w:val="auto"/>
          <w:sz w:val="32"/>
          <w:szCs w:val="32"/>
          <w:highlight w:val="none"/>
          <w:u w:val="none"/>
          <w:lang w:val="zh-CN"/>
        </w:rPr>
        <w:t>（二）预设问题及评价重点。</w:t>
      </w:r>
      <w:r>
        <w:rPr>
          <w:rFonts w:hint="default" w:ascii="Times New Roman" w:hAnsi="Times New Roman" w:eastAsia="方正仿宋简体" w:cs="Times New Roman"/>
          <w:b w:val="0"/>
          <w:bCs w:val="0"/>
          <w:szCs w:val="32"/>
        </w:rPr>
        <w:t>按照绩效评价指标体系，资金支出使用全过程及其实施效果</w:t>
      </w:r>
      <w:r>
        <w:rPr>
          <w:rFonts w:hint="default" w:ascii="Times New Roman" w:hAnsi="Times New Roman" w:eastAsia="方正仿宋简体" w:cs="Times New Roman"/>
          <w:b w:val="0"/>
          <w:bCs w:val="0"/>
          <w:szCs w:val="32"/>
          <w:lang w:eastAsia="zh-CN"/>
        </w:rPr>
        <w:t>较好。</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szCs w:val="32"/>
          <w:lang w:val="zh-CN" w:eastAsia="zh-CN"/>
        </w:rPr>
      </w:pPr>
      <w:r>
        <w:rPr>
          <w:rFonts w:hint="default" w:ascii="方正楷体简体" w:hAnsi="方正楷体简体" w:eastAsia="方正楷体简体" w:cs="方正楷体简体"/>
          <w:b w:val="0"/>
          <w:bCs w:val="0"/>
          <w:color w:val="auto"/>
          <w:sz w:val="32"/>
          <w:szCs w:val="32"/>
          <w:highlight w:val="none"/>
          <w:u w:val="none"/>
          <w:lang w:val="zh-CN"/>
        </w:rPr>
        <w:t>（三）评价选点。</w:t>
      </w:r>
      <w:r>
        <w:rPr>
          <w:rFonts w:hint="default" w:ascii="Times New Roman" w:hAnsi="Times New Roman" w:eastAsia="方正仿宋简体" w:cs="Times New Roman"/>
          <w:b w:val="0"/>
          <w:bCs w:val="0"/>
          <w:szCs w:val="32"/>
          <w:lang w:val="zh-CN" w:eastAsia="zh-CN"/>
        </w:rPr>
        <w:t>通过电话抽查，</w:t>
      </w:r>
      <w:r>
        <w:rPr>
          <w:rFonts w:hint="default" w:ascii="Times New Roman" w:hAnsi="Times New Roman" w:eastAsia="方正仿宋简体" w:cs="Times New Roman"/>
          <w:b w:val="0"/>
          <w:bCs w:val="0"/>
          <w:szCs w:val="32"/>
          <w:lang w:val="en-US" w:eastAsia="zh-CN"/>
        </w:rPr>
        <w:t>死者家属</w:t>
      </w:r>
      <w:r>
        <w:rPr>
          <w:rFonts w:hint="default" w:ascii="Times New Roman" w:hAnsi="Times New Roman" w:eastAsia="方正仿宋简体" w:cs="Times New Roman"/>
          <w:b w:val="0"/>
          <w:bCs w:val="0"/>
          <w:szCs w:val="32"/>
          <w:lang w:val="zh-CN" w:eastAsia="zh-CN"/>
        </w:rPr>
        <w:t>满意度评价高。</w:t>
      </w:r>
    </w:p>
    <w:p>
      <w:pPr>
        <w:keepNext w:val="0"/>
        <w:keepLines w:val="0"/>
        <w:pageBreakBefore w:val="0"/>
        <w:widowControl w:val="0"/>
        <w:kinsoku/>
        <w:wordWrap/>
        <w:overflowPunct/>
        <w:topLinePunct w:val="0"/>
        <w:autoSpaceDE/>
        <w:autoSpaceDN/>
        <w:bidi w:val="0"/>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szCs w:val="32"/>
          <w:lang w:eastAsia="zh-CN"/>
        </w:rPr>
      </w:pPr>
      <w:r>
        <w:rPr>
          <w:rFonts w:hint="default" w:ascii="方正楷体简体" w:hAnsi="方正楷体简体" w:eastAsia="方正楷体简体" w:cs="方正楷体简体"/>
          <w:b w:val="0"/>
          <w:bCs w:val="0"/>
          <w:color w:val="auto"/>
          <w:sz w:val="32"/>
          <w:szCs w:val="32"/>
          <w:highlight w:val="none"/>
          <w:u w:val="none"/>
          <w:lang w:val="zh-CN"/>
        </w:rPr>
        <w:t>（四）评价方法。</w:t>
      </w:r>
      <w:r>
        <w:rPr>
          <w:rFonts w:hint="default" w:ascii="Times New Roman" w:hAnsi="Times New Roman" w:eastAsia="方正仿宋简体" w:cs="Times New Roman"/>
          <w:b w:val="0"/>
          <w:bCs w:val="0"/>
          <w:szCs w:val="32"/>
        </w:rPr>
        <w:t>实地勘察法、</w:t>
      </w:r>
      <w:r>
        <w:rPr>
          <w:rFonts w:hint="default" w:ascii="Times New Roman" w:hAnsi="Times New Roman" w:eastAsia="方正仿宋简体" w:cs="Times New Roman"/>
          <w:b w:val="0"/>
          <w:bCs w:val="0"/>
          <w:szCs w:val="32"/>
          <w:lang w:eastAsia="zh-CN"/>
        </w:rPr>
        <w:t>电话</w:t>
      </w:r>
      <w:r>
        <w:rPr>
          <w:rFonts w:hint="default" w:ascii="Times New Roman" w:hAnsi="Times New Roman" w:eastAsia="方正仿宋简体" w:cs="Times New Roman"/>
          <w:b w:val="0"/>
          <w:bCs w:val="0"/>
          <w:szCs w:val="32"/>
        </w:rPr>
        <w:t>调查法、座谈调研法等多种方法</w:t>
      </w:r>
      <w:r>
        <w:rPr>
          <w:rFonts w:hint="default" w:ascii="Times New Roman" w:hAnsi="Times New Roman" w:eastAsia="方正仿宋简体" w:cs="Times New Roman"/>
          <w:b w:val="0"/>
          <w:bCs w:val="0"/>
          <w:szCs w:val="32"/>
          <w:lang w:eastAsia="zh-CN"/>
        </w:rPr>
        <w:t>开展。</w:t>
      </w:r>
    </w:p>
    <w:p>
      <w:pPr>
        <w:keepNext w:val="0"/>
        <w:keepLines w:val="0"/>
        <w:pageBreakBefore w:val="0"/>
        <w:widowControl w:val="0"/>
        <w:kinsoku/>
        <w:wordWrap/>
        <w:overflowPunct/>
        <w:topLinePunct w:val="0"/>
        <w:autoSpaceDE/>
        <w:autoSpaceDN/>
        <w:bidi w:val="0"/>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lang w:eastAsia="zh-CN"/>
        </w:rPr>
      </w:pPr>
      <w:r>
        <w:rPr>
          <w:rFonts w:hint="default" w:ascii="方正楷体简体" w:hAnsi="方正楷体简体" w:eastAsia="方正楷体简体" w:cs="方正楷体简体"/>
          <w:b w:val="0"/>
          <w:bCs w:val="0"/>
          <w:color w:val="auto"/>
          <w:sz w:val="32"/>
          <w:szCs w:val="32"/>
          <w:highlight w:val="none"/>
          <w:u w:val="none"/>
          <w:lang w:val="zh-CN"/>
        </w:rPr>
        <w:t>（五）评价组织。</w:t>
      </w:r>
      <w:r>
        <w:rPr>
          <w:rFonts w:hint="default" w:ascii="Times New Roman" w:hAnsi="Times New Roman" w:eastAsia="方正仿宋简体" w:cs="Times New Roman"/>
          <w:b w:val="0"/>
          <w:bCs w:val="0"/>
          <w:szCs w:val="32"/>
        </w:rPr>
        <w:t>评价组人员</w:t>
      </w:r>
      <w:r>
        <w:rPr>
          <w:rFonts w:hint="default" w:ascii="Times New Roman" w:hAnsi="Times New Roman" w:eastAsia="方正仿宋简体" w:cs="Times New Roman"/>
          <w:b w:val="0"/>
          <w:bCs w:val="0"/>
          <w:szCs w:val="32"/>
          <w:lang w:eastAsia="zh-CN"/>
        </w:rPr>
        <w:t>由单位负责人、财政所负责人、业务相关工作人员等组成。</w:t>
      </w:r>
      <w:r>
        <w:rPr>
          <w:rFonts w:hint="default" w:ascii="Times New Roman" w:hAnsi="Times New Roman" w:eastAsia="方正仿宋简体" w:cs="Times New Roman"/>
          <w:b w:val="0"/>
          <w:bCs w:val="0"/>
          <w:szCs w:val="32"/>
        </w:rPr>
        <w:t>构成</w:t>
      </w:r>
      <w:r>
        <w:rPr>
          <w:rFonts w:hint="default" w:ascii="Times New Roman" w:hAnsi="Times New Roman" w:eastAsia="方正仿宋简体" w:cs="Times New Roman"/>
          <w:b w:val="0"/>
          <w:bCs w:val="0"/>
          <w:szCs w:val="32"/>
          <w:lang w:eastAsia="zh-CN"/>
        </w:rPr>
        <w:t>和</w:t>
      </w:r>
      <w:r>
        <w:rPr>
          <w:rFonts w:hint="default" w:ascii="Times New Roman" w:hAnsi="Times New Roman" w:eastAsia="方正仿宋简体" w:cs="Times New Roman"/>
          <w:b w:val="0"/>
          <w:bCs w:val="0"/>
          <w:szCs w:val="32"/>
        </w:rPr>
        <w:t>职责分工</w:t>
      </w:r>
      <w:r>
        <w:rPr>
          <w:rFonts w:hint="default" w:ascii="Times New Roman" w:hAnsi="Times New Roman" w:eastAsia="方正仿宋简体" w:cs="Times New Roman"/>
          <w:b w:val="0"/>
          <w:bCs w:val="0"/>
          <w:szCs w:val="32"/>
          <w:lang w:eastAsia="zh-CN"/>
        </w:rPr>
        <w:t>单位负责人总体协调和管理绩效评价工作，财政所负责人核查财务数据和预算执行情况，业务人员基于业务实际操作，评价项目对业务流程和业务目标的影响。</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firstLine="640" w:firstLineChars="200"/>
        <w:jc w:val="both"/>
        <w:textAlignment w:val="auto"/>
        <w:rPr>
          <w:rFonts w:hint="default" w:ascii="方正黑体简体" w:hAnsi="方正黑体简体" w:eastAsia="方正黑体简体" w:cs="方正黑体简体"/>
          <w:b w:val="0"/>
          <w:bCs w:val="0"/>
          <w:highlight w:val="none"/>
          <w:lang w:val="zh-CN"/>
        </w:rPr>
      </w:pPr>
      <w:r>
        <w:rPr>
          <w:rFonts w:hint="default" w:ascii="方正黑体简体" w:hAnsi="方正黑体简体" w:eastAsia="方正黑体简体" w:cs="方正黑体简体"/>
          <w:b w:val="0"/>
          <w:bCs w:val="0"/>
          <w:highlight w:val="none"/>
        </w:rPr>
        <w:t>三、</w:t>
      </w:r>
      <w:r>
        <w:rPr>
          <w:rFonts w:hint="default" w:ascii="方正黑体简体" w:hAnsi="方正黑体简体" w:eastAsia="方正黑体简体" w:cs="方正黑体简体"/>
          <w:b w:val="0"/>
          <w:bCs w:val="0"/>
          <w:highlight w:val="none"/>
          <w:lang w:eastAsia="zh-CN"/>
        </w:rPr>
        <w:t>绩效分析</w:t>
      </w:r>
      <w:r>
        <w:rPr>
          <w:rFonts w:hint="default" w:ascii="方正黑体简体" w:hAnsi="方正黑体简体" w:eastAsia="方正黑体简体" w:cs="方正黑体简体"/>
          <w:b w:val="0"/>
          <w:bCs w:val="0"/>
          <w:highlight w:val="none"/>
          <w:lang w:val="zh-CN"/>
        </w:rPr>
        <w:tab/>
      </w:r>
    </w:p>
    <w:p>
      <w:pPr>
        <w:keepNext w:val="0"/>
        <w:keepLines w:val="0"/>
        <w:pageBreakBefore w:val="0"/>
        <w:widowControl w:val="0"/>
        <w:kinsoku/>
        <w:wordWrap/>
        <w:overflowPunct/>
        <w:topLinePunct w:val="0"/>
        <w:autoSpaceDE/>
        <w:autoSpaceDN/>
        <w:bidi w:val="0"/>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szCs w:val="32"/>
          <w:lang w:val="en-US" w:eastAsia="zh-CN"/>
        </w:rPr>
      </w:pPr>
      <w:r>
        <w:rPr>
          <w:rFonts w:hint="default" w:ascii="Times New Roman" w:hAnsi="Times New Roman" w:eastAsia="方正仿宋简体" w:cs="Times New Roman"/>
          <w:b w:val="0"/>
          <w:bCs w:val="0"/>
          <w:szCs w:val="32"/>
          <w:lang w:val="zh-CN" w:eastAsia="zh-CN"/>
        </w:rPr>
        <w:t>根据项目预算绩效评价指标体系“通用指标”“专用指标”“个性指标”涉及二、三级指标进行逐项绩效分析并评分</w:t>
      </w:r>
      <w:r>
        <w:rPr>
          <w:rFonts w:hint="default" w:ascii="Times New Roman" w:hAnsi="Times New Roman" w:eastAsia="方正仿宋简体" w:cs="Times New Roman"/>
          <w:b w:val="0"/>
          <w:bCs w:val="0"/>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left="0" w:leftChars="0" w:firstLine="640" w:firstLineChars="200"/>
        <w:contextualSpacing/>
        <w:jc w:val="both"/>
        <w:textAlignment w:val="auto"/>
        <w:rPr>
          <w:rFonts w:hint="default" w:ascii="方正楷体简体" w:hAnsi="方正楷体简体" w:eastAsia="方正楷体简体" w:cs="方正楷体简体"/>
          <w:b w:val="0"/>
          <w:bCs w:val="0"/>
          <w:color w:val="auto"/>
          <w:sz w:val="32"/>
          <w:szCs w:val="32"/>
          <w:highlight w:val="none"/>
          <w:u w:val="none"/>
          <w:lang w:val="en-US" w:eastAsia="zh-CN"/>
        </w:rPr>
      </w:pPr>
      <w:r>
        <w:rPr>
          <w:rFonts w:hint="default" w:ascii="方正楷体简体" w:hAnsi="方正楷体简体" w:eastAsia="方正楷体简体" w:cs="方正楷体简体"/>
          <w:b w:val="0"/>
          <w:bCs w:val="0"/>
          <w:color w:val="auto"/>
          <w:sz w:val="32"/>
          <w:szCs w:val="32"/>
          <w:highlight w:val="none"/>
          <w:u w:val="none"/>
          <w:lang w:val="zh-CN"/>
        </w:rPr>
        <w:t>（一）</w:t>
      </w:r>
      <w:r>
        <w:rPr>
          <w:rFonts w:hint="default" w:ascii="方正楷体简体" w:hAnsi="方正楷体简体" w:eastAsia="方正楷体简体" w:cs="方正楷体简体"/>
          <w:b w:val="0"/>
          <w:bCs w:val="0"/>
          <w:color w:val="auto"/>
          <w:sz w:val="32"/>
          <w:szCs w:val="32"/>
          <w:highlight w:val="none"/>
          <w:u w:val="none"/>
          <w:lang w:val="en-US" w:eastAsia="zh-CN"/>
        </w:rPr>
        <w:t>通用指标</w:t>
      </w:r>
      <w:r>
        <w:rPr>
          <w:rFonts w:hint="default" w:ascii="方正楷体简体" w:hAnsi="方正楷体简体" w:eastAsia="方正楷体简体" w:cs="方正楷体简体"/>
          <w:b w:val="0"/>
          <w:bCs w:val="0"/>
          <w:color w:val="auto"/>
          <w:sz w:val="32"/>
          <w:szCs w:val="32"/>
          <w:highlight w:val="none"/>
          <w:u w:val="none"/>
          <w:lang w:val="zh-CN"/>
        </w:rPr>
        <w:t>绩效分析。</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color w:val="auto"/>
          <w:szCs w:val="32"/>
          <w:lang w:eastAsia="zh-CN"/>
        </w:rPr>
      </w:pPr>
      <w:r>
        <w:rPr>
          <w:rFonts w:hint="default" w:ascii="Times New Roman" w:hAnsi="Times New Roman" w:eastAsia="方正仿宋简体" w:cs="Times New Roman"/>
          <w:b w:val="0"/>
          <w:bCs w:val="0"/>
          <w:color w:val="auto"/>
          <w:szCs w:val="32"/>
          <w:lang w:val="en-US" w:eastAsia="zh-CN"/>
        </w:rPr>
        <w:t>1.</w:t>
      </w:r>
      <w:r>
        <w:rPr>
          <w:rFonts w:hint="default" w:ascii="Times New Roman" w:hAnsi="Times New Roman" w:eastAsia="方正仿宋简体" w:cs="Times New Roman"/>
          <w:b w:val="0"/>
          <w:bCs w:val="0"/>
          <w:color w:val="auto"/>
          <w:szCs w:val="32"/>
          <w:lang w:eastAsia="zh-CN"/>
        </w:rPr>
        <w:t>项目决策。决策程序规范，规划论证具有合理性，资金投向准确。</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color w:val="auto"/>
          <w:szCs w:val="32"/>
          <w:lang w:eastAsia="zh-CN"/>
        </w:rPr>
      </w:pPr>
      <w:r>
        <w:rPr>
          <w:rFonts w:hint="default" w:ascii="Times New Roman" w:hAnsi="Times New Roman" w:eastAsia="方正仿宋简体" w:cs="Times New Roman"/>
          <w:b w:val="0"/>
          <w:bCs w:val="0"/>
          <w:color w:val="auto"/>
          <w:szCs w:val="32"/>
          <w:lang w:val="en-US" w:eastAsia="zh-CN"/>
        </w:rPr>
        <w:t>2.</w:t>
      </w:r>
      <w:r>
        <w:rPr>
          <w:rFonts w:hint="default" w:ascii="Times New Roman" w:hAnsi="Times New Roman" w:eastAsia="方正仿宋简体" w:cs="Times New Roman"/>
          <w:b w:val="0"/>
          <w:bCs w:val="0"/>
          <w:color w:val="auto"/>
          <w:szCs w:val="32"/>
          <w:lang w:eastAsia="zh-CN"/>
        </w:rPr>
        <w:t>项目管理。制度办法为项目管理提供了明确的操作规范和流程，确保项目活动在合法合规的框架内进行，项目分配合理，资金得到充分利用。</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color w:val="auto"/>
          <w:szCs w:val="32"/>
          <w:lang w:eastAsia="zh-CN"/>
        </w:rPr>
      </w:pPr>
      <w:r>
        <w:rPr>
          <w:rFonts w:hint="default" w:ascii="Times New Roman" w:hAnsi="Times New Roman" w:eastAsia="方正仿宋简体" w:cs="Times New Roman"/>
          <w:b w:val="0"/>
          <w:bCs w:val="0"/>
          <w:color w:val="auto"/>
          <w:szCs w:val="32"/>
          <w:lang w:val="en-US" w:eastAsia="zh-CN"/>
        </w:rPr>
        <w:t>3.项目实施。</w:t>
      </w:r>
      <w:r>
        <w:rPr>
          <w:rFonts w:hint="default" w:ascii="Times New Roman" w:hAnsi="Times New Roman" w:eastAsia="方正仿宋简体" w:cs="Times New Roman"/>
          <w:b w:val="0"/>
          <w:bCs w:val="0"/>
          <w:color w:val="auto"/>
          <w:szCs w:val="32"/>
          <w:lang w:eastAsia="zh-CN"/>
        </w:rPr>
        <w:t>预算</w:t>
      </w:r>
      <w:r>
        <w:rPr>
          <w:rFonts w:hint="default" w:ascii="Times New Roman" w:hAnsi="Times New Roman" w:eastAsia="方正仿宋简体" w:cs="Times New Roman"/>
          <w:b w:val="0"/>
          <w:bCs w:val="0"/>
          <w:color w:val="auto"/>
          <w:szCs w:val="32"/>
          <w:lang w:val="zh-CN" w:eastAsia="zh-CN"/>
        </w:rPr>
        <w:t>执行完成率</w:t>
      </w:r>
      <w:r>
        <w:rPr>
          <w:rFonts w:hint="default" w:ascii="Times New Roman" w:hAnsi="Times New Roman" w:eastAsia="方正仿宋简体" w:cs="Times New Roman"/>
          <w:b w:val="0"/>
          <w:bCs w:val="0"/>
          <w:color w:val="auto"/>
          <w:szCs w:val="32"/>
          <w:lang w:val="en-US" w:eastAsia="zh-CN"/>
        </w:rPr>
        <w:t>100%</w:t>
      </w:r>
      <w:r>
        <w:rPr>
          <w:rFonts w:hint="default" w:ascii="Times New Roman" w:hAnsi="Times New Roman" w:eastAsia="方正仿宋简体" w:cs="Times New Roman"/>
          <w:b w:val="0"/>
          <w:bCs w:val="0"/>
          <w:color w:val="auto"/>
          <w:szCs w:val="32"/>
          <w:lang w:eastAsia="zh-CN"/>
        </w:rPr>
        <w:t>、资金使用合法合理。</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color w:val="auto"/>
          <w:szCs w:val="32"/>
          <w:lang w:eastAsia="zh-CN"/>
        </w:rPr>
      </w:pPr>
      <w:r>
        <w:rPr>
          <w:rFonts w:hint="default" w:ascii="Times New Roman" w:hAnsi="Times New Roman" w:eastAsia="方正仿宋简体" w:cs="Times New Roman"/>
          <w:b w:val="0"/>
          <w:bCs w:val="0"/>
          <w:color w:val="auto"/>
          <w:szCs w:val="32"/>
          <w:lang w:val="en-US" w:eastAsia="zh-CN"/>
        </w:rPr>
        <w:t>4.项目结果。该资金于2023年12月前已拨付完成</w:t>
      </w:r>
      <w:r>
        <w:rPr>
          <w:rFonts w:hint="default" w:ascii="Times New Roman" w:hAnsi="Times New Roman" w:eastAsia="方正仿宋简体" w:cs="Times New Roman"/>
          <w:b w:val="0"/>
          <w:bCs w:val="0"/>
          <w:color w:val="auto"/>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left="0" w:leftChars="0" w:firstLine="640" w:firstLineChars="200"/>
        <w:contextualSpacing/>
        <w:jc w:val="both"/>
        <w:textAlignment w:val="auto"/>
        <w:rPr>
          <w:rFonts w:hint="default" w:ascii="方正楷体简体" w:hAnsi="方正楷体简体" w:eastAsia="方正楷体简体" w:cs="方正楷体简体"/>
          <w:b w:val="0"/>
          <w:bCs w:val="0"/>
          <w:color w:val="auto"/>
          <w:sz w:val="32"/>
          <w:szCs w:val="32"/>
          <w:highlight w:val="none"/>
          <w:u w:val="none"/>
          <w:lang w:val="zh-CN" w:eastAsia="zh-CN"/>
        </w:rPr>
      </w:pPr>
      <w:r>
        <w:rPr>
          <w:rFonts w:hint="default" w:ascii="方正楷体简体" w:hAnsi="方正楷体简体" w:eastAsia="方正楷体简体" w:cs="方正楷体简体"/>
          <w:b w:val="0"/>
          <w:bCs w:val="0"/>
          <w:color w:val="auto"/>
          <w:sz w:val="32"/>
          <w:szCs w:val="32"/>
          <w:highlight w:val="none"/>
          <w:u w:val="none"/>
          <w:lang w:val="zh-CN"/>
        </w:rPr>
        <w:t>（二）</w:t>
      </w:r>
      <w:r>
        <w:rPr>
          <w:rFonts w:hint="default" w:ascii="方正楷体简体" w:hAnsi="方正楷体简体" w:eastAsia="方正楷体简体" w:cs="方正楷体简体"/>
          <w:b w:val="0"/>
          <w:bCs w:val="0"/>
          <w:color w:val="auto"/>
          <w:sz w:val="32"/>
          <w:szCs w:val="32"/>
          <w:highlight w:val="none"/>
          <w:u w:val="none"/>
          <w:lang w:val="en-US" w:eastAsia="zh-CN"/>
        </w:rPr>
        <w:t>专用指标</w:t>
      </w:r>
      <w:r>
        <w:rPr>
          <w:rFonts w:hint="default" w:ascii="方正楷体简体" w:hAnsi="方正楷体简体" w:eastAsia="方正楷体简体" w:cs="方正楷体简体"/>
          <w:b w:val="0"/>
          <w:bCs w:val="0"/>
          <w:color w:val="auto"/>
          <w:sz w:val="32"/>
          <w:szCs w:val="32"/>
          <w:highlight w:val="none"/>
          <w:u w:val="none"/>
          <w:lang w:val="zh-CN"/>
        </w:rPr>
        <w:t>绩效分析。</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color w:val="auto"/>
          <w:szCs w:val="32"/>
          <w:lang w:eastAsia="zh-CN"/>
        </w:rPr>
      </w:pPr>
      <w:r>
        <w:rPr>
          <w:rFonts w:hint="default" w:ascii="Times New Roman" w:hAnsi="Times New Roman" w:eastAsia="方正仿宋简体" w:cs="Times New Roman"/>
          <w:b w:val="0"/>
          <w:bCs w:val="0"/>
          <w:color w:val="auto"/>
          <w:szCs w:val="32"/>
          <w:lang w:val="en-US" w:eastAsia="zh-CN"/>
        </w:rPr>
        <w:t>1.产业发展。</w:t>
      </w:r>
      <w:r>
        <w:rPr>
          <w:rFonts w:hint="default" w:ascii="Times New Roman" w:hAnsi="Times New Roman" w:eastAsia="方正仿宋简体" w:cs="Times New Roman"/>
          <w:b w:val="0"/>
          <w:bCs w:val="0"/>
          <w:color w:val="auto"/>
          <w:szCs w:val="32"/>
          <w:lang w:eastAsia="zh-CN"/>
        </w:rPr>
        <w:t>无</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color w:val="auto"/>
          <w:szCs w:val="32"/>
          <w:lang w:val="en-US" w:eastAsia="zh-CN"/>
        </w:rPr>
      </w:pPr>
      <w:r>
        <w:rPr>
          <w:rFonts w:hint="default" w:ascii="Times New Roman" w:hAnsi="Times New Roman" w:eastAsia="方正仿宋简体" w:cs="Times New Roman"/>
          <w:b w:val="0"/>
          <w:bCs w:val="0"/>
          <w:color w:val="auto"/>
          <w:szCs w:val="32"/>
          <w:lang w:val="en-US" w:eastAsia="zh-CN"/>
        </w:rPr>
        <w:t>2.</w:t>
      </w:r>
      <w:r>
        <w:rPr>
          <w:rFonts w:hint="default" w:ascii="Times New Roman" w:hAnsi="Times New Roman" w:eastAsia="方正仿宋简体" w:cs="Times New Roman"/>
          <w:b w:val="0"/>
          <w:bCs w:val="0"/>
          <w:color w:val="auto"/>
          <w:szCs w:val="32"/>
          <w:lang w:val="zh-CN" w:eastAsia="zh-CN"/>
        </w:rPr>
        <w:t>民生保障。</w:t>
      </w:r>
      <w:r>
        <w:rPr>
          <w:rFonts w:hint="default" w:ascii="Times New Roman" w:hAnsi="Times New Roman" w:eastAsia="方正仿宋简体" w:cs="Times New Roman"/>
          <w:b w:val="0"/>
          <w:bCs w:val="0"/>
          <w:color w:val="auto"/>
          <w:szCs w:val="32"/>
          <w:lang w:eastAsia="zh-CN"/>
        </w:rPr>
        <w:t>群</w:t>
      </w:r>
      <w:r>
        <w:rPr>
          <w:rFonts w:hint="default" w:ascii="Times New Roman" w:hAnsi="Times New Roman" w:eastAsia="方正仿宋简体" w:cs="Times New Roman"/>
          <w:b w:val="0"/>
          <w:bCs w:val="0"/>
          <w:color w:val="auto"/>
          <w:szCs w:val="32"/>
          <w:lang w:val="en-US" w:eastAsia="zh-CN"/>
        </w:rPr>
        <w:t>众</w:t>
      </w:r>
      <w:r>
        <w:rPr>
          <w:rFonts w:hint="default" w:ascii="Times New Roman" w:hAnsi="Times New Roman" w:eastAsia="方正仿宋简体" w:cs="Times New Roman"/>
          <w:b w:val="0"/>
          <w:bCs w:val="0"/>
          <w:color w:val="auto"/>
          <w:szCs w:val="32"/>
          <w:lang w:eastAsia="zh-CN"/>
        </w:rPr>
        <w:t>满意度</w:t>
      </w:r>
      <w:r>
        <w:rPr>
          <w:rFonts w:hint="default" w:ascii="Times New Roman" w:hAnsi="Times New Roman" w:eastAsia="方正仿宋简体" w:cs="Times New Roman"/>
          <w:b w:val="0"/>
          <w:bCs w:val="0"/>
          <w:color w:val="auto"/>
          <w:szCs w:val="32"/>
          <w:lang w:val="en-US" w:eastAsia="zh-CN"/>
        </w:rPr>
        <w:t>100%</w:t>
      </w:r>
      <w:r>
        <w:rPr>
          <w:rFonts w:hint="default" w:ascii="Times New Roman" w:hAnsi="Times New Roman" w:eastAsia="方正仿宋简体" w:cs="Times New Roman"/>
          <w:b w:val="0"/>
          <w:bCs w:val="0"/>
          <w:color w:val="auto"/>
          <w:szCs w:val="32"/>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color w:val="auto"/>
          <w:szCs w:val="32"/>
          <w:lang w:eastAsia="zh-CN"/>
        </w:rPr>
      </w:pPr>
      <w:r>
        <w:rPr>
          <w:rFonts w:hint="default" w:ascii="Times New Roman" w:hAnsi="Times New Roman" w:eastAsia="方正仿宋简体" w:cs="Times New Roman"/>
          <w:b w:val="0"/>
          <w:bCs w:val="0"/>
          <w:color w:val="auto"/>
          <w:szCs w:val="32"/>
          <w:lang w:val="en-US" w:eastAsia="zh-CN"/>
        </w:rPr>
        <w:t>3.基础设施。</w:t>
      </w:r>
      <w:r>
        <w:rPr>
          <w:rFonts w:hint="default" w:ascii="Times New Roman" w:hAnsi="Times New Roman" w:eastAsia="方正仿宋简体" w:cs="Times New Roman"/>
          <w:b w:val="0"/>
          <w:bCs w:val="0"/>
          <w:color w:val="auto"/>
          <w:szCs w:val="32"/>
          <w:lang w:eastAsia="zh-CN"/>
        </w:rPr>
        <w:t>无</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color w:val="auto"/>
          <w:szCs w:val="32"/>
          <w:lang w:val="en-US" w:eastAsia="zh-CN"/>
        </w:rPr>
      </w:pPr>
      <w:r>
        <w:rPr>
          <w:rFonts w:hint="default" w:ascii="Times New Roman" w:hAnsi="Times New Roman" w:eastAsia="方正仿宋简体" w:cs="Times New Roman"/>
          <w:b w:val="0"/>
          <w:bCs w:val="0"/>
          <w:color w:val="auto"/>
          <w:szCs w:val="32"/>
          <w:lang w:val="en-US" w:eastAsia="zh-CN"/>
        </w:rPr>
        <w:t>4.</w:t>
      </w:r>
      <w:r>
        <w:rPr>
          <w:rFonts w:hint="default" w:ascii="Times New Roman" w:hAnsi="Times New Roman" w:eastAsia="方正仿宋简体" w:cs="Times New Roman"/>
          <w:b w:val="0"/>
          <w:bCs w:val="0"/>
          <w:color w:val="auto"/>
          <w:szCs w:val="32"/>
          <w:lang w:val="zh-CN" w:eastAsia="zh-CN"/>
        </w:rPr>
        <w:t>行政运转。</w:t>
      </w:r>
      <w:r>
        <w:rPr>
          <w:rFonts w:hint="default" w:ascii="Times New Roman" w:hAnsi="Times New Roman" w:eastAsia="方正仿宋简体" w:cs="Times New Roman"/>
          <w:b w:val="0"/>
          <w:bCs w:val="0"/>
          <w:color w:val="auto"/>
          <w:szCs w:val="32"/>
          <w:lang w:eastAsia="zh-CN"/>
        </w:rPr>
        <w:t>无</w:t>
      </w:r>
    </w:p>
    <w:p>
      <w:pPr>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left="0" w:leftChars="0" w:firstLine="640" w:firstLineChars="200"/>
        <w:contextualSpacing/>
        <w:jc w:val="both"/>
        <w:textAlignment w:val="auto"/>
        <w:rPr>
          <w:rFonts w:hint="default" w:ascii="方正楷体简体" w:hAnsi="方正楷体简体" w:eastAsia="方正楷体简体" w:cs="方正楷体简体"/>
          <w:b w:val="0"/>
          <w:bCs w:val="0"/>
          <w:color w:val="auto"/>
          <w:sz w:val="32"/>
          <w:szCs w:val="32"/>
          <w:highlight w:val="none"/>
          <w:u w:val="none"/>
          <w:lang w:val="zh-CN"/>
        </w:rPr>
      </w:pPr>
      <w:r>
        <w:rPr>
          <w:rFonts w:hint="default" w:ascii="方正楷体简体" w:hAnsi="方正楷体简体" w:eastAsia="方正楷体简体" w:cs="方正楷体简体"/>
          <w:b w:val="0"/>
          <w:bCs w:val="0"/>
          <w:color w:val="auto"/>
          <w:sz w:val="32"/>
          <w:szCs w:val="32"/>
          <w:highlight w:val="none"/>
          <w:u w:val="none"/>
          <w:lang w:val="zh-CN"/>
        </w:rPr>
        <w:t>（三）</w:t>
      </w:r>
      <w:r>
        <w:rPr>
          <w:rFonts w:hint="default" w:ascii="方正楷体简体" w:hAnsi="方正楷体简体" w:eastAsia="方正楷体简体" w:cs="方正楷体简体"/>
          <w:b w:val="0"/>
          <w:bCs w:val="0"/>
          <w:color w:val="auto"/>
          <w:sz w:val="32"/>
          <w:szCs w:val="32"/>
          <w:highlight w:val="none"/>
          <w:u w:val="none"/>
          <w:lang w:val="en-US" w:eastAsia="zh-CN"/>
        </w:rPr>
        <w:t>个性指标</w:t>
      </w:r>
      <w:r>
        <w:rPr>
          <w:rFonts w:hint="default" w:ascii="方正楷体简体" w:hAnsi="方正楷体简体" w:eastAsia="方正楷体简体" w:cs="方正楷体简体"/>
          <w:b w:val="0"/>
          <w:bCs w:val="0"/>
          <w:color w:val="auto"/>
          <w:sz w:val="32"/>
          <w:szCs w:val="32"/>
          <w:highlight w:val="none"/>
          <w:u w:val="none"/>
          <w:lang w:val="zh-CN"/>
        </w:rPr>
        <w:t>绩效分析。</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firstLine="640" w:firstLineChars="200"/>
        <w:jc w:val="both"/>
        <w:textAlignment w:val="auto"/>
        <w:rPr>
          <w:rFonts w:hint="default" w:ascii="Times New Roman" w:hAnsi="Times New Roman" w:eastAsia="方正仿宋简体" w:cs="Times New Roman"/>
          <w:b w:val="0"/>
          <w:bCs w:val="0"/>
          <w:color w:val="auto"/>
          <w:szCs w:val="32"/>
          <w:lang w:val="en-US" w:eastAsia="zh-CN"/>
        </w:rPr>
      </w:pPr>
      <w:r>
        <w:rPr>
          <w:rFonts w:hint="default" w:ascii="Times New Roman" w:hAnsi="Times New Roman" w:eastAsia="方正仿宋简体" w:cs="Times New Roman"/>
          <w:b w:val="0"/>
          <w:bCs w:val="0"/>
          <w:color w:val="auto"/>
          <w:szCs w:val="32"/>
          <w:lang w:eastAsia="zh-CN"/>
        </w:rPr>
        <w:t>无</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firstLine="640" w:firstLineChars="200"/>
        <w:jc w:val="both"/>
        <w:textAlignment w:val="auto"/>
        <w:rPr>
          <w:rFonts w:hint="default" w:ascii="方正黑体简体" w:hAnsi="方正黑体简体" w:eastAsia="方正黑体简体" w:cs="方正黑体简体"/>
          <w:b w:val="0"/>
          <w:bCs w:val="0"/>
          <w:highlight w:val="none"/>
        </w:rPr>
      </w:pPr>
      <w:r>
        <w:rPr>
          <w:rFonts w:hint="default" w:ascii="方正黑体简体" w:hAnsi="方正黑体简体" w:eastAsia="方正黑体简体" w:cs="方正黑体简体"/>
          <w:b w:val="0"/>
          <w:bCs w:val="0"/>
          <w:highlight w:val="none"/>
          <w:lang w:eastAsia="zh-CN"/>
        </w:rPr>
        <w:t>四</w:t>
      </w:r>
      <w:r>
        <w:rPr>
          <w:rFonts w:hint="default" w:ascii="方正黑体简体" w:hAnsi="方正黑体简体" w:eastAsia="方正黑体简体" w:cs="方正黑体简体"/>
          <w:b w:val="0"/>
          <w:bCs w:val="0"/>
          <w:highlight w:val="none"/>
        </w:rPr>
        <w:t>、评价结论</w:t>
      </w:r>
    </w:p>
    <w:p>
      <w:pPr>
        <w:pStyle w:val="3"/>
        <w:keepNext w:val="0"/>
        <w:keepLines w:val="0"/>
        <w:pageBreakBefore w:val="0"/>
        <w:widowControl w:val="0"/>
        <w:numPr>
          <w:ilvl w:val="0"/>
          <w:numId w:val="0"/>
        </w:numPr>
        <w:kinsoku/>
        <w:wordWrap/>
        <w:overflowPunct/>
        <w:topLinePunct w:val="0"/>
        <w:autoSpaceDE/>
        <w:autoSpaceDN/>
        <w:bidi w:val="0"/>
        <w:adjustRightInd/>
        <w:spacing w:line="540" w:lineRule="exact"/>
        <w:ind w:left="0" w:leftChars="0" w:firstLine="640" w:firstLineChars="200"/>
        <w:jc w:val="both"/>
        <w:textAlignment w:val="auto"/>
        <w:rPr>
          <w:rFonts w:hint="default" w:ascii="Times New Roman" w:hAnsi="Times New Roman" w:eastAsia="方正仿宋简体" w:cs="Times New Roman"/>
          <w:b w:val="0"/>
          <w:bCs w:val="0"/>
          <w:kern w:val="2"/>
          <w:position w:val="0"/>
          <w:sz w:val="32"/>
          <w:szCs w:val="32"/>
          <w:highlight w:val="none"/>
          <w:lang w:val="en-US" w:eastAsia="zh-CN" w:bidi="ar-SA"/>
        </w:rPr>
      </w:pPr>
      <w:r>
        <w:rPr>
          <w:rFonts w:hint="default" w:ascii="Times New Roman" w:hAnsi="Times New Roman" w:eastAsia="方正仿宋简体" w:cs="Times New Roman"/>
          <w:b w:val="0"/>
          <w:bCs w:val="0"/>
          <w:kern w:val="0"/>
          <w:position w:val="0"/>
          <w:sz w:val="32"/>
          <w:szCs w:val="32"/>
          <w:highlight w:val="none"/>
          <w:lang w:val="en-US" w:eastAsia="zh-CN" w:bidi="ar-SA"/>
        </w:rPr>
        <w:t>退休人员死亡抚恤金专项预算项目绩效自评评价总分为94分，该项目通过预算、立项、开展等流程，</w:t>
      </w:r>
      <w:r>
        <w:rPr>
          <w:rFonts w:hint="default" w:ascii="Times New Roman" w:hAnsi="Times New Roman" w:eastAsia="方正仿宋简体" w:cs="Times New Roman"/>
          <w:b w:val="0"/>
          <w:bCs w:val="0"/>
          <w:sz w:val="32"/>
          <w:szCs w:val="32"/>
          <w:highlight w:val="none"/>
          <w:lang w:val="zh-CN"/>
        </w:rPr>
        <w:t>项目资金已经拨付到位，项目已经顺利完成。</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firstLine="640" w:firstLineChars="200"/>
        <w:jc w:val="both"/>
        <w:textAlignment w:val="auto"/>
        <w:rPr>
          <w:rFonts w:hint="default" w:ascii="方正黑体简体" w:hAnsi="方正黑体简体" w:eastAsia="方正黑体简体" w:cs="方正黑体简体"/>
          <w:b w:val="0"/>
          <w:bCs w:val="0"/>
          <w:highlight w:val="none"/>
          <w:lang w:eastAsia="zh-CN"/>
        </w:rPr>
      </w:pPr>
      <w:r>
        <w:rPr>
          <w:rFonts w:hint="default" w:ascii="方正黑体简体" w:hAnsi="方正黑体简体" w:eastAsia="方正黑体简体" w:cs="方正黑体简体"/>
          <w:b w:val="0"/>
          <w:bCs w:val="0"/>
          <w:highlight w:val="none"/>
          <w:lang w:eastAsia="zh-CN"/>
        </w:rPr>
        <w:t>五、存在主要问题</w:t>
      </w:r>
    </w:p>
    <w:p>
      <w:pPr>
        <w:pStyle w:val="3"/>
        <w:keepNext w:val="0"/>
        <w:keepLines w:val="0"/>
        <w:pageBreakBefore w:val="0"/>
        <w:widowControl w:val="0"/>
        <w:numPr>
          <w:ilvl w:val="0"/>
          <w:numId w:val="0"/>
        </w:numPr>
        <w:kinsoku/>
        <w:wordWrap/>
        <w:overflowPunct/>
        <w:topLinePunct w:val="0"/>
        <w:autoSpaceDE/>
        <w:autoSpaceDN/>
        <w:bidi w:val="0"/>
        <w:adjustRightInd/>
        <w:spacing w:line="540" w:lineRule="exact"/>
        <w:ind w:left="0" w:leftChars="0" w:firstLine="640" w:firstLineChars="200"/>
        <w:jc w:val="both"/>
        <w:textAlignment w:val="auto"/>
        <w:rPr>
          <w:rFonts w:hint="default" w:ascii="Times New Roman" w:hAnsi="Times New Roman" w:eastAsia="方正仿宋简体" w:cs="Times New Roman"/>
          <w:b w:val="0"/>
          <w:bCs w:val="0"/>
          <w:kern w:val="0"/>
          <w:position w:val="0"/>
          <w:sz w:val="32"/>
          <w:szCs w:val="32"/>
          <w:highlight w:val="none"/>
          <w:lang w:val="en-US" w:eastAsia="zh-CN" w:bidi="ar-SA"/>
        </w:rPr>
      </w:pPr>
      <w:r>
        <w:rPr>
          <w:rFonts w:hint="default" w:ascii="Times New Roman" w:hAnsi="Times New Roman" w:eastAsia="方正仿宋简体" w:cs="Times New Roman"/>
          <w:b w:val="0"/>
          <w:bCs w:val="0"/>
          <w:kern w:val="0"/>
          <w:position w:val="0"/>
          <w:sz w:val="32"/>
          <w:szCs w:val="32"/>
          <w:highlight w:val="none"/>
          <w:lang w:val="en-US" w:eastAsia="zh-CN" w:bidi="ar-SA"/>
        </w:rPr>
        <w:t>无</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firstLine="640" w:firstLineChars="200"/>
        <w:jc w:val="both"/>
        <w:textAlignment w:val="auto"/>
        <w:rPr>
          <w:rFonts w:hint="default" w:ascii="方正黑体简体" w:hAnsi="方正黑体简体" w:eastAsia="方正黑体简体" w:cs="方正黑体简体"/>
          <w:b w:val="0"/>
          <w:bCs w:val="0"/>
          <w:highlight w:val="none"/>
          <w:lang w:val="zh-CN" w:eastAsia="zh-CN"/>
        </w:rPr>
      </w:pPr>
      <w:r>
        <w:rPr>
          <w:rFonts w:hint="default" w:ascii="方正黑体简体" w:hAnsi="方正黑体简体" w:eastAsia="方正黑体简体" w:cs="方正黑体简体"/>
          <w:b w:val="0"/>
          <w:bCs w:val="0"/>
          <w:highlight w:val="none"/>
          <w:lang w:val="zh-CN" w:eastAsia="zh-CN"/>
        </w:rPr>
        <w:t>六、改进建议</w:t>
      </w:r>
    </w:p>
    <w:p>
      <w:pPr>
        <w:keepNext w:val="0"/>
        <w:keepLines w:val="0"/>
        <w:pageBreakBefore w:val="0"/>
        <w:widowControl w:val="0"/>
        <w:tabs>
          <w:tab w:val="left" w:pos="1911"/>
        </w:tabs>
        <w:kinsoku/>
        <w:wordWrap/>
        <w:overflowPunct/>
        <w:topLinePunct w:val="0"/>
        <w:autoSpaceDE/>
        <w:autoSpaceDN/>
        <w:bidi w:val="0"/>
        <w:spacing w:line="540" w:lineRule="exact"/>
        <w:ind w:left="0" w:leftChars="0" w:firstLine="640" w:firstLineChars="200"/>
        <w:jc w:val="both"/>
        <w:textAlignment w:val="auto"/>
        <w:rPr>
          <w:rFonts w:hint="default" w:ascii="Times New Roman" w:hAnsi="Times New Roman" w:eastAsia="方正仿宋简体" w:cs="Times New Roman"/>
          <w:b w:val="0"/>
          <w:bCs w:val="0"/>
          <w:kern w:val="0"/>
          <w:position w:val="0"/>
          <w:sz w:val="32"/>
          <w:szCs w:val="32"/>
          <w:highlight w:val="none"/>
          <w:lang w:val="en-US" w:eastAsia="zh-CN" w:bidi="ar-SA"/>
        </w:rPr>
      </w:pPr>
      <w:bookmarkStart w:id="0" w:name="_Hlk110546638"/>
      <w:r>
        <w:rPr>
          <w:rFonts w:hint="default" w:ascii="Times New Roman" w:hAnsi="Times New Roman" w:eastAsia="方正仿宋简体" w:cs="Times New Roman"/>
          <w:b w:val="0"/>
          <w:bCs w:val="0"/>
          <w:kern w:val="0"/>
          <w:position w:val="0"/>
          <w:sz w:val="32"/>
          <w:szCs w:val="32"/>
          <w:highlight w:val="none"/>
          <w:lang w:val="en-US" w:eastAsia="zh-CN" w:bidi="ar-SA"/>
        </w:rPr>
        <w:t>无</w:t>
      </w:r>
    </w:p>
    <w:bookmarkEnd w:id="0"/>
    <w:p>
      <w:pPr>
        <w:keepNext w:val="0"/>
        <w:keepLines w:val="0"/>
        <w:pageBreakBefore w:val="0"/>
        <w:widowControl w:val="0"/>
        <w:kinsoku/>
        <w:wordWrap/>
        <w:overflowPunct/>
        <w:topLinePunct w:val="0"/>
        <w:autoSpaceDE/>
        <w:autoSpaceDN/>
        <w:bidi w:val="0"/>
        <w:adjustRightInd/>
        <w:snapToGrid w:val="0"/>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color w:val="000000"/>
          <w:kern w:val="0"/>
          <w:szCs w:val="32"/>
          <w:highlight w:val="none"/>
          <w:shd w:val="clear" w:color="auto" w:fill="FFFFFF"/>
          <w:lang w:val="zh-CN" w:eastAsia="zh-CN"/>
        </w:rPr>
      </w:pPr>
    </w:p>
    <w:p>
      <w:pPr>
        <w:keepNext w:val="0"/>
        <w:keepLines w:val="0"/>
        <w:pageBreakBefore w:val="0"/>
        <w:widowControl w:val="0"/>
        <w:kinsoku/>
        <w:wordWrap/>
        <w:overflowPunct/>
        <w:topLinePunct w:val="0"/>
        <w:autoSpaceDE/>
        <w:autoSpaceDN/>
        <w:bidi w:val="0"/>
        <w:adjustRightInd/>
        <w:snapToGrid w:val="0"/>
        <w:spacing w:line="540" w:lineRule="exact"/>
        <w:ind w:left="0" w:leftChars="0" w:firstLine="640" w:firstLineChars="200"/>
        <w:jc w:val="both"/>
        <w:textAlignment w:val="auto"/>
        <w:outlineLvl w:val="9"/>
        <w:rPr>
          <w:rFonts w:hint="default" w:ascii="Times New Roman" w:hAnsi="Times New Roman" w:eastAsia="方正仿宋简体" w:cs="Times New Roman"/>
          <w:b w:val="0"/>
          <w:bCs w:val="0"/>
          <w:color w:val="000000"/>
          <w:kern w:val="0"/>
          <w:szCs w:val="32"/>
          <w:highlight w:val="none"/>
          <w:shd w:val="clear" w:color="auto" w:fill="FFFFFF"/>
          <w:lang w:val="en-US" w:eastAsia="zh-CN"/>
        </w:rPr>
      </w:pPr>
      <w:r>
        <w:rPr>
          <w:rFonts w:hint="default" w:ascii="Times New Roman" w:hAnsi="Times New Roman" w:eastAsia="方正仿宋简体" w:cs="Times New Roman"/>
          <w:b w:val="0"/>
          <w:bCs w:val="0"/>
          <w:color w:val="000000"/>
          <w:kern w:val="0"/>
          <w:szCs w:val="32"/>
          <w:highlight w:val="none"/>
          <w:shd w:val="clear" w:color="auto" w:fill="FFFFFF"/>
          <w:lang w:val="en-US" w:eastAsia="zh-CN"/>
        </w:rPr>
        <w:t>附表：专项预算项目绩效目标完成情况自评表</w:t>
      </w:r>
    </w:p>
    <w:p>
      <w:pPr>
        <w:keepNext w:val="0"/>
        <w:keepLines w:val="0"/>
        <w:pageBreakBefore w:val="0"/>
        <w:widowControl w:val="0"/>
        <w:kinsoku/>
        <w:wordWrap/>
        <w:overflowPunct/>
        <w:topLinePunct w:val="0"/>
        <w:autoSpaceDE/>
        <w:autoSpaceDN/>
        <w:bidi w:val="0"/>
        <w:adjustRightInd/>
        <w:snapToGrid w:val="0"/>
        <w:spacing w:line="540" w:lineRule="exact"/>
        <w:ind w:left="0" w:leftChars="0" w:firstLine="640" w:firstLineChars="200"/>
        <w:textAlignment w:val="auto"/>
        <w:outlineLvl w:val="9"/>
        <w:rPr>
          <w:rFonts w:hint="default" w:ascii="Times New Roman" w:hAnsi="Times New Roman" w:eastAsia="方正仿宋简体" w:cs="Times New Roman"/>
          <w:color w:val="000000"/>
          <w:kern w:val="0"/>
          <w:szCs w:val="32"/>
          <w:highlight w:val="none"/>
          <w:shd w:val="clear" w:color="auto" w:fill="FFFFFF"/>
          <w:lang w:val="zh-CN" w:eastAsia="zh-CN"/>
        </w:rPr>
      </w:pPr>
      <w:r>
        <w:rPr>
          <w:rFonts w:hint="default" w:ascii="Times New Roman" w:hAnsi="Times New Roman" w:eastAsia="方正仿宋简体" w:cs="Times New Roman"/>
          <w:color w:val="000000"/>
          <w:kern w:val="0"/>
          <w:szCs w:val="32"/>
          <w:highlight w:val="none"/>
          <w:shd w:val="clear" w:color="auto" w:fill="FFFFFF"/>
          <w:lang w:val="zh-CN" w:eastAsia="zh-CN"/>
        </w:rPr>
        <w:br w:type="page"/>
      </w:r>
    </w:p>
    <w:p>
      <w:pPr>
        <w:pStyle w:val="8"/>
        <w:keepNext w:val="0"/>
        <w:keepLines w:val="0"/>
        <w:pageBreakBefore w:val="0"/>
        <w:kinsoku/>
        <w:wordWrap/>
        <w:overflowPunct/>
        <w:topLinePunct w:val="0"/>
        <w:autoSpaceDE/>
        <w:autoSpaceDN/>
        <w:bidi w:val="0"/>
        <w:spacing w:after="0" w:line="578" w:lineRule="exact"/>
        <w:ind w:left="0" w:leftChars="0" w:firstLine="0" w:firstLineChars="0"/>
        <w:rPr>
          <w:rFonts w:hint="eastAsia" w:ascii="黑体" w:hAnsi="黑体" w:eastAsia="黑体" w:cs="黑体"/>
          <w:kern w:val="2"/>
          <w:sz w:val="32"/>
          <w:szCs w:val="24"/>
          <w:highlight w:val="none"/>
          <w:lang w:val="en-US" w:eastAsia="zh-CN" w:bidi="ar-SA"/>
        </w:rPr>
      </w:pPr>
      <w:r>
        <w:rPr>
          <w:rFonts w:hint="eastAsia" w:ascii="黑体" w:hAnsi="黑体" w:eastAsia="黑体" w:cs="黑体"/>
          <w:kern w:val="2"/>
          <w:sz w:val="32"/>
          <w:szCs w:val="24"/>
          <w:highlight w:val="none"/>
          <w:lang w:val="en-US" w:eastAsia="zh-CN" w:bidi="ar-SA"/>
        </w:rPr>
        <w:t>附表</w:t>
      </w:r>
    </w:p>
    <w:tbl>
      <w:tblPr>
        <w:tblStyle w:val="9"/>
        <w:tblW w:w="1023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52"/>
        <w:gridCol w:w="1081"/>
        <w:gridCol w:w="1250"/>
        <w:gridCol w:w="1312"/>
        <w:gridCol w:w="1127"/>
        <w:gridCol w:w="971"/>
        <w:gridCol w:w="1061"/>
        <w:gridCol w:w="938"/>
        <w:gridCol w:w="184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76" w:hRule="atLeast"/>
          <w:jc w:val="center"/>
        </w:trPr>
        <w:tc>
          <w:tcPr>
            <w:tcW w:w="10233" w:type="dxa"/>
            <w:gridSpan w:val="9"/>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left="0" w:leftChars="0"/>
              <w:jc w:val="center"/>
              <w:textAlignment w:val="center"/>
              <w:rPr>
                <w:rFonts w:hint="default" w:ascii="Times New Roman" w:hAnsi="Times New Roman" w:eastAsia="方正仿宋简体" w:cs="Times New Roman"/>
                <w:i w:val="0"/>
                <w:color w:val="000000"/>
                <w:sz w:val="30"/>
                <w:szCs w:val="30"/>
                <w:u w:val="none"/>
              </w:rPr>
            </w:pPr>
            <w:r>
              <w:rPr>
                <w:rFonts w:hint="eastAsia" w:ascii="方正小标宋简体" w:hAnsi="方正小标宋简体" w:eastAsia="方正小标宋简体" w:cs="方正小标宋简体"/>
                <w:i w:val="0"/>
                <w:color w:val="000000"/>
                <w:kern w:val="0"/>
                <w:sz w:val="44"/>
                <w:szCs w:val="44"/>
                <w:u w:val="none"/>
                <w:lang w:val="en-US" w:eastAsia="zh-CN" w:bidi="ar"/>
              </w:rPr>
              <w:t>专项预算项目绩效目标完成情况自评表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429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项目名称</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lang w:val="en-US" w:eastAsia="zh-CN"/>
              </w:rPr>
            </w:pPr>
            <w:r>
              <w:rPr>
                <w:rFonts w:hint="default" w:ascii="Times New Roman" w:hAnsi="Times New Roman" w:eastAsia="方正仿宋简体" w:cs="Times New Roman"/>
                <w:i w:val="0"/>
                <w:color w:val="000000"/>
                <w:sz w:val="24"/>
                <w:szCs w:val="24"/>
                <w:u w:val="none"/>
              </w:rPr>
              <w:t>5117232</w:t>
            </w:r>
            <w:r>
              <w:rPr>
                <w:rFonts w:hint="default" w:ascii="Times New Roman" w:hAnsi="Times New Roman" w:eastAsia="方正仿宋简体" w:cs="Times New Roman"/>
                <w:i w:val="0"/>
                <w:color w:val="000000"/>
                <w:sz w:val="24"/>
                <w:szCs w:val="24"/>
                <w:u w:val="none"/>
                <w:lang w:val="en-US" w:eastAsia="zh-CN"/>
              </w:rPr>
              <w:t>3</w:t>
            </w:r>
            <w:r>
              <w:rPr>
                <w:rFonts w:hint="default" w:ascii="Times New Roman" w:hAnsi="Times New Roman" w:eastAsia="方正仿宋简体" w:cs="Times New Roman"/>
                <w:i w:val="0"/>
                <w:color w:val="000000"/>
                <w:sz w:val="24"/>
                <w:szCs w:val="24"/>
                <w:u w:val="none"/>
              </w:rPr>
              <w:t>T00000</w:t>
            </w:r>
            <w:r>
              <w:rPr>
                <w:rFonts w:hint="default" w:ascii="Times New Roman" w:hAnsi="Times New Roman" w:eastAsia="方正仿宋简体" w:cs="Times New Roman"/>
                <w:i w:val="0"/>
                <w:color w:val="000000"/>
                <w:sz w:val="24"/>
                <w:szCs w:val="24"/>
                <w:u w:val="none"/>
                <w:lang w:val="en-US" w:eastAsia="zh-CN"/>
              </w:rPr>
              <w:t>5880241</w:t>
            </w:r>
            <w:r>
              <w:rPr>
                <w:rFonts w:hint="eastAsia" w:ascii="Times New Roman" w:hAnsi="Times New Roman" w:eastAsia="方正仿宋简体" w:cs="Times New Roman"/>
                <w:i w:val="0"/>
                <w:color w:val="000000"/>
                <w:sz w:val="24"/>
                <w:szCs w:val="24"/>
                <w:u w:val="none"/>
                <w:lang w:val="en-US" w:eastAsia="zh-CN"/>
              </w:rPr>
              <w:t>－</w:t>
            </w:r>
            <w:r>
              <w:rPr>
                <w:rFonts w:hint="default" w:ascii="Times New Roman" w:hAnsi="Times New Roman" w:eastAsia="方正仿宋简体" w:cs="Times New Roman"/>
                <w:i w:val="0"/>
                <w:color w:val="000000"/>
                <w:sz w:val="24"/>
                <w:szCs w:val="24"/>
                <w:u w:val="none"/>
                <w:lang w:val="en-US" w:eastAsia="zh-CN"/>
              </w:rPr>
              <w:t>丧葬抚恤金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429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预算单位</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lang w:val="en-US" w:eastAsia="zh-CN"/>
              </w:rPr>
            </w:pPr>
            <w:r>
              <w:rPr>
                <w:rFonts w:hint="default" w:ascii="Times New Roman" w:hAnsi="Times New Roman" w:eastAsia="方正仿宋简体" w:cs="Times New Roman"/>
                <w:i w:val="0"/>
                <w:color w:val="000000"/>
                <w:sz w:val="24"/>
                <w:szCs w:val="24"/>
                <w:u w:val="none"/>
                <w:lang w:val="en-US" w:eastAsia="zh-CN"/>
              </w:rPr>
              <w:t>开江县讲治镇人民政府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429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项目类型</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left"/>
              <w:rPr>
                <w:rFonts w:hint="default" w:ascii="Times New Roman" w:hAnsi="Times New Roman" w:eastAsia="方正仿宋简体" w:cs="Times New Roman"/>
                <w:i w:val="0"/>
                <w:color w:val="000000"/>
                <w:sz w:val="24"/>
                <w:szCs w:val="24"/>
                <w:u w:val="none"/>
                <w:lang w:eastAsia="zh-CN"/>
              </w:rPr>
            </w:pPr>
            <w:r>
              <w:rPr>
                <w:rFonts w:hint="default" w:ascii="Times New Roman" w:hAnsi="Times New Roman" w:eastAsia="方正仿宋简体" w:cs="Times New Roman"/>
                <w:i w:val="0"/>
                <w:color w:val="000000"/>
                <w:sz w:val="24"/>
                <w:szCs w:val="24"/>
                <w:u w:val="none"/>
                <w:lang w:eastAsia="zh-CN"/>
              </w:rPr>
              <w:t>阶段项目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项目 概况</w:t>
            </w:r>
          </w:p>
        </w:tc>
        <w:tc>
          <w:tcPr>
            <w:tcW w:w="36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kern w:val="0"/>
                <w:sz w:val="24"/>
                <w:szCs w:val="24"/>
                <w:u w:val="none"/>
                <w:lang w:val="en-US" w:eastAsia="zh-CN" w:bidi="ar"/>
              </w:rPr>
            </w:pPr>
            <w:r>
              <w:rPr>
                <w:rFonts w:hint="default" w:ascii="Times New Roman" w:hAnsi="Times New Roman" w:eastAsia="方正仿宋简体" w:cs="Times New Roman"/>
                <w:i w:val="0"/>
                <w:color w:val="000000"/>
                <w:kern w:val="0"/>
                <w:sz w:val="24"/>
                <w:szCs w:val="24"/>
                <w:u w:val="none"/>
                <w:lang w:val="en-US" w:eastAsia="zh-CN" w:bidi="ar"/>
              </w:rPr>
              <w:t>中长期规划（名称、文号，仅指</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常年项目）</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left"/>
              <w:rPr>
                <w:rFonts w:hint="default" w:ascii="Times New Roman" w:hAnsi="Times New Roman" w:eastAsia="方正仿宋简体" w:cs="Times New Roman"/>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rPr>
            </w:pPr>
          </w:p>
        </w:tc>
        <w:tc>
          <w:tcPr>
            <w:tcW w:w="36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资金管理办法（名称、文号）</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left"/>
              <w:rPr>
                <w:rFonts w:hint="default" w:ascii="Times New Roman" w:hAnsi="Times New Roman" w:eastAsia="方正仿宋简体" w:cs="Times New Roman"/>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rPr>
            </w:pPr>
          </w:p>
        </w:tc>
        <w:tc>
          <w:tcPr>
            <w:tcW w:w="36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绩效分配方式</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sym w:font="Wingdings 2" w:char="00A3"/>
            </w:r>
            <w:r>
              <w:rPr>
                <w:rFonts w:hint="default" w:ascii="Times New Roman" w:hAnsi="Times New Roman" w:eastAsia="方正仿宋简体" w:cs="Times New Roman"/>
                <w:i w:val="0"/>
                <w:color w:val="000000"/>
                <w:kern w:val="0"/>
                <w:sz w:val="24"/>
                <w:szCs w:val="24"/>
                <w:u w:val="none"/>
                <w:lang w:val="en-US" w:eastAsia="zh-CN" w:bidi="ar"/>
              </w:rPr>
              <w:t>因素法</w:t>
            </w:r>
          </w:p>
        </w:tc>
        <w:tc>
          <w:tcPr>
            <w:tcW w:w="203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sym w:font="Wingdings 2" w:char="0052"/>
            </w:r>
            <w:r>
              <w:rPr>
                <w:rFonts w:hint="default" w:ascii="Times New Roman" w:hAnsi="Times New Roman" w:eastAsia="方正仿宋简体" w:cs="Times New Roman"/>
                <w:i w:val="0"/>
                <w:color w:val="000000"/>
                <w:kern w:val="0"/>
                <w:sz w:val="24"/>
                <w:szCs w:val="24"/>
                <w:u w:val="none"/>
                <w:lang w:val="en-US" w:eastAsia="zh-CN" w:bidi="ar"/>
              </w:rPr>
              <w:t>项目法</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£据实据效</w:t>
            </w:r>
          </w:p>
        </w:tc>
        <w:tc>
          <w:tcPr>
            <w:tcW w:w="18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£因素法与项目法相结合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rPr>
            </w:pPr>
          </w:p>
        </w:tc>
        <w:tc>
          <w:tcPr>
            <w:tcW w:w="36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立项依据</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left"/>
              <w:rPr>
                <w:rFonts w:hint="default" w:ascii="Times New Roman" w:hAnsi="Times New Roman" w:eastAsia="方正仿宋简体" w:cs="Times New Roman"/>
                <w:i w:val="0"/>
                <w:color w:val="000000"/>
                <w:sz w:val="24"/>
                <w:szCs w:val="24"/>
                <w:u w:val="none"/>
                <w:lang w:val="en-US" w:eastAsia="zh-CN"/>
              </w:rPr>
            </w:pPr>
            <w:r>
              <w:rPr>
                <w:rFonts w:hint="default" w:ascii="Times New Roman" w:hAnsi="Times New Roman" w:eastAsia="方正仿宋简体" w:cs="Times New Roman"/>
                <w:i w:val="0"/>
                <w:color w:val="000000"/>
                <w:sz w:val="24"/>
                <w:szCs w:val="24"/>
                <w:u w:val="none"/>
                <w:lang w:val="en-US" w:eastAsia="zh-CN"/>
              </w:rPr>
              <w:t>开江府资</w:t>
            </w:r>
            <w:r>
              <w:rPr>
                <w:rFonts w:hint="eastAsia" w:ascii="Times New Roman" w:hAnsi="Times New Roman" w:eastAsia="方正仿宋简体" w:cs="Times New Roman"/>
                <w:i w:val="0"/>
                <w:color w:val="000000"/>
                <w:sz w:val="24"/>
                <w:szCs w:val="24"/>
                <w:u w:val="none"/>
                <w:lang w:val="en-US" w:eastAsia="zh-CN"/>
              </w:rPr>
              <w:t>〔</w:t>
            </w:r>
            <w:r>
              <w:rPr>
                <w:rFonts w:hint="default" w:ascii="Times New Roman" w:hAnsi="Times New Roman" w:eastAsia="方正仿宋简体" w:cs="Times New Roman"/>
                <w:i w:val="0"/>
                <w:color w:val="000000"/>
                <w:sz w:val="24"/>
                <w:szCs w:val="24"/>
                <w:u w:val="none"/>
                <w:lang w:val="en-US" w:eastAsia="zh-CN"/>
              </w:rPr>
              <w:t>2022</w:t>
            </w:r>
            <w:r>
              <w:rPr>
                <w:rFonts w:hint="eastAsia" w:ascii="Times New Roman" w:hAnsi="Times New Roman" w:eastAsia="方正仿宋简体" w:cs="Times New Roman"/>
                <w:i w:val="0"/>
                <w:color w:val="000000"/>
                <w:sz w:val="24"/>
                <w:szCs w:val="24"/>
                <w:u w:val="none"/>
                <w:lang w:val="en-US" w:eastAsia="zh-CN"/>
              </w:rPr>
              <w:t>〕</w:t>
            </w:r>
            <w:r>
              <w:rPr>
                <w:rFonts w:hint="default" w:ascii="Times New Roman" w:hAnsi="Times New Roman" w:eastAsia="方正仿宋简体" w:cs="Times New Roman"/>
                <w:i w:val="0"/>
                <w:color w:val="000000"/>
                <w:sz w:val="24"/>
                <w:szCs w:val="24"/>
                <w:u w:val="none"/>
                <w:lang w:val="en-US" w:eastAsia="zh-CN"/>
              </w:rPr>
              <w:t>597号文件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15" w:hRule="atLeast"/>
          <w:jc w:val="center"/>
        </w:trPr>
        <w:tc>
          <w:tcPr>
            <w:tcW w:w="6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rPr>
            </w:pPr>
          </w:p>
        </w:tc>
        <w:tc>
          <w:tcPr>
            <w:tcW w:w="36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使用范围</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left"/>
              <w:rPr>
                <w:rFonts w:hint="default" w:ascii="Times New Roman" w:hAnsi="Times New Roman" w:eastAsia="方正仿宋简体" w:cs="Times New Roman"/>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rPr>
            </w:pPr>
          </w:p>
        </w:tc>
        <w:tc>
          <w:tcPr>
            <w:tcW w:w="36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申报（补助）条件</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left"/>
              <w:rPr>
                <w:rFonts w:hint="default" w:ascii="Times New Roman" w:hAnsi="Times New Roman" w:eastAsia="方正仿宋简体" w:cs="Times New Roman"/>
                <w:i w:val="0"/>
                <w:color w:val="000000"/>
                <w:sz w:val="24"/>
                <w:szCs w:val="24"/>
                <w:u w:val="none"/>
                <w:lang w:eastAsia="zh-CN"/>
              </w:rPr>
            </w:pPr>
            <w:r>
              <w:rPr>
                <w:rFonts w:hint="default" w:ascii="Times New Roman" w:hAnsi="Times New Roman" w:eastAsia="方正仿宋简体" w:cs="Times New Roman"/>
                <w:i w:val="0"/>
                <w:color w:val="000000"/>
                <w:sz w:val="24"/>
                <w:szCs w:val="24"/>
                <w:u w:val="none"/>
                <w:lang w:eastAsia="zh-CN"/>
              </w:rPr>
              <w:t>机关事业单位退休人员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rPr>
            </w:pPr>
          </w:p>
        </w:tc>
        <w:tc>
          <w:tcPr>
            <w:tcW w:w="36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项目起止年限</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lang w:val="en-US" w:eastAsia="zh-CN"/>
              </w:rPr>
            </w:pPr>
            <w:r>
              <w:rPr>
                <w:rFonts w:hint="default" w:ascii="Times New Roman" w:hAnsi="Times New Roman" w:eastAsia="方正仿宋简体" w:cs="Times New Roman"/>
                <w:i w:val="0"/>
                <w:color w:val="000000"/>
                <w:sz w:val="24"/>
                <w:szCs w:val="24"/>
                <w:u w:val="none"/>
                <w:lang w:val="en-US" w:eastAsia="zh-CN"/>
              </w:rPr>
              <w:t>2023-2023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173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kern w:val="0"/>
                <w:sz w:val="24"/>
                <w:szCs w:val="24"/>
                <w:u w:val="none"/>
                <w:lang w:val="en-US" w:eastAsia="zh-CN" w:bidi="ar"/>
              </w:rPr>
            </w:pPr>
            <w:r>
              <w:rPr>
                <w:rFonts w:hint="default" w:ascii="Times New Roman" w:hAnsi="Times New Roman" w:eastAsia="方正仿宋简体" w:cs="Times New Roman"/>
                <w:i w:val="0"/>
                <w:color w:val="000000"/>
                <w:kern w:val="0"/>
                <w:sz w:val="24"/>
                <w:szCs w:val="24"/>
                <w:u w:val="none"/>
                <w:lang w:val="en-US" w:eastAsia="zh-CN" w:bidi="ar"/>
              </w:rPr>
              <w:t>项目资金</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（万元）</w:t>
            </w:r>
          </w:p>
        </w:tc>
        <w:tc>
          <w:tcPr>
            <w:tcW w:w="256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 xml:space="preserve">  年度资金总额：</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tabs>
                <w:tab w:val="left" w:pos="725"/>
              </w:tabs>
              <w:kinsoku/>
              <w:wordWrap/>
              <w:overflowPunct/>
              <w:topLinePunct w:val="0"/>
              <w:autoSpaceDE/>
              <w:autoSpaceDN/>
              <w:bidi w:val="0"/>
              <w:adjustRightInd/>
              <w:snapToGrid/>
              <w:spacing w:line="300" w:lineRule="exact"/>
              <w:ind w:left="0" w:leftChars="0"/>
              <w:jc w:val="left"/>
              <w:rPr>
                <w:rFonts w:hint="default" w:ascii="Times New Roman" w:hAnsi="Times New Roman" w:eastAsia="方正仿宋简体" w:cs="Times New Roman"/>
                <w:i w:val="0"/>
                <w:color w:val="000000"/>
                <w:sz w:val="24"/>
                <w:szCs w:val="24"/>
                <w:u w:val="none"/>
                <w:lang w:eastAsia="zh-CN"/>
              </w:rPr>
            </w:pPr>
            <w:r>
              <w:rPr>
                <w:rFonts w:hint="default" w:ascii="Times New Roman" w:hAnsi="Times New Roman" w:eastAsia="方正仿宋简体" w:cs="Times New Roman"/>
                <w:i w:val="0"/>
                <w:color w:val="000000"/>
                <w:sz w:val="24"/>
                <w:szCs w:val="24"/>
                <w:u w:val="none"/>
                <w:lang w:val="en-US" w:eastAsia="zh-CN"/>
              </w:rPr>
              <w:t>298100</w:t>
            </w:r>
            <w:r>
              <w:rPr>
                <w:rFonts w:hint="default" w:ascii="Times New Roman" w:hAnsi="Times New Roman" w:eastAsia="方正仿宋简体" w:cs="Times New Roman"/>
                <w:i w:val="0"/>
                <w:color w:val="000000"/>
                <w:sz w:val="24"/>
                <w:szCs w:val="24"/>
                <w:u w:val="none"/>
                <w:lang w:eastAsia="zh-CN"/>
              </w:rPr>
              <w:t>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0" w:hRule="atLeast"/>
          <w:jc w:val="center"/>
        </w:trPr>
        <w:tc>
          <w:tcPr>
            <w:tcW w:w="173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rPr>
            </w:pPr>
          </w:p>
        </w:tc>
        <w:tc>
          <w:tcPr>
            <w:tcW w:w="256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 xml:space="preserve">      其中：财政拨款</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both"/>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sz w:val="24"/>
                <w:szCs w:val="24"/>
                <w:u w:val="none"/>
                <w:lang w:val="en-US" w:eastAsia="zh-CN"/>
              </w:rPr>
              <w:t>298100</w:t>
            </w:r>
            <w:r>
              <w:rPr>
                <w:rFonts w:hint="default" w:ascii="Times New Roman" w:hAnsi="Times New Roman" w:eastAsia="方正仿宋简体" w:cs="Times New Roman"/>
                <w:i w:val="0"/>
                <w:color w:val="000000"/>
                <w:sz w:val="24"/>
                <w:szCs w:val="24"/>
                <w:u w:val="none"/>
              </w:rPr>
              <w:t>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173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rPr>
            </w:pPr>
          </w:p>
        </w:tc>
        <w:tc>
          <w:tcPr>
            <w:tcW w:w="256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left"/>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 xml:space="preserve">            其他资金</w:t>
            </w:r>
          </w:p>
        </w:tc>
        <w:tc>
          <w:tcPr>
            <w:tcW w:w="59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both"/>
              <w:rPr>
                <w:rFonts w:hint="default" w:ascii="Times New Roman" w:hAnsi="Times New Roman" w:eastAsia="方正仿宋简体" w:cs="Times New Roman"/>
                <w:i w:val="0"/>
                <w:color w:val="000000"/>
                <w:sz w:val="24"/>
                <w:szCs w:val="24"/>
                <w:u w:val="none"/>
                <w:lang w:val="en-US" w:eastAsia="zh-CN"/>
              </w:rPr>
            </w:pPr>
            <w:r>
              <w:rPr>
                <w:rFonts w:hint="default" w:ascii="Times New Roman" w:hAnsi="Times New Roman" w:eastAsia="方正仿宋简体" w:cs="Times New Roman"/>
                <w:i w:val="0"/>
                <w:color w:val="000000"/>
                <w:sz w:val="24"/>
                <w:szCs w:val="24"/>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总体 目标</w:t>
            </w:r>
          </w:p>
        </w:tc>
        <w:tc>
          <w:tcPr>
            <w:tcW w:w="9581"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年度目标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rPr>
            </w:pPr>
          </w:p>
        </w:tc>
        <w:tc>
          <w:tcPr>
            <w:tcW w:w="9581"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Pr>
                <w:rFonts w:hint="default" w:ascii="Times New Roman" w:hAnsi="Times New Roman" w:eastAsia="方正仿宋简体" w:cs="Times New Roman"/>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restart"/>
            <w:tcBorders>
              <w:top w:val="single" w:color="000000" w:sz="4" w:space="0"/>
              <w:left w:val="single" w:color="000000" w:sz="4" w:space="0"/>
              <w:bottom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绩效 指标</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一级指标</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二级指标</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三级指标</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指标性质</w:t>
            </w: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指标值</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度量单位</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权重</w:t>
            </w:r>
          </w:p>
        </w:tc>
        <w:tc>
          <w:tcPr>
            <w:tcW w:w="18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实际完成指标值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center"/>
              <w:rPr>
                <w:rFonts w:hint="default" w:ascii="Times New Roman" w:hAnsi="Times New Roman" w:eastAsia="方正仿宋简体" w:cs="Times New Roman"/>
                <w:i w:val="0"/>
                <w:color w:val="000000"/>
                <w:sz w:val="24"/>
                <w:szCs w:val="24"/>
                <w:u w:val="none"/>
              </w:rPr>
            </w:pP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产出指标</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数量指标</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死亡退休人员数量</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w:t>
            </w: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3</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人</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10</w:t>
            </w:r>
          </w:p>
        </w:tc>
        <w:tc>
          <w:tcPr>
            <w:tcW w:w="18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center"/>
              <w:rPr>
                <w:rFonts w:hint="default" w:ascii="Times New Roman" w:hAnsi="Times New Roman" w:eastAsia="方正仿宋简体" w:cs="Times New Roman"/>
                <w:i w:val="0"/>
                <w:color w:val="000000"/>
                <w:sz w:val="24"/>
                <w:szCs w:val="24"/>
                <w:u w:val="none"/>
                <w:lang w:val="en-US" w:eastAsia="zh-CN"/>
              </w:rPr>
            </w:pPr>
            <w:r>
              <w:rPr>
                <w:rFonts w:hint="default" w:ascii="Times New Roman" w:hAnsi="Times New Roman" w:eastAsia="方正仿宋简体" w:cs="Times New Roman"/>
                <w:i w:val="0"/>
                <w:color w:val="000000"/>
                <w:sz w:val="24"/>
                <w:szCs w:val="24"/>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center"/>
              <w:rPr>
                <w:rFonts w:hint="default" w:ascii="Times New Roman" w:hAnsi="Times New Roman" w:eastAsia="方正仿宋简体" w:cs="Times New Roman"/>
                <w:i w:val="0"/>
                <w:color w:val="000000"/>
                <w:sz w:val="24"/>
                <w:szCs w:val="24"/>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center"/>
              <w:rPr>
                <w:rFonts w:hint="default" w:ascii="Times New Roman" w:hAnsi="Times New Roman" w:eastAsia="方正仿宋简体" w:cs="Times New Roman"/>
                <w:i w:val="0"/>
                <w:color w:val="000000"/>
                <w:sz w:val="24"/>
                <w:szCs w:val="24"/>
                <w:u w:val="none"/>
              </w:rPr>
            </w:pP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质量指标</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家属享受应有的待遇</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定性</w:t>
            </w: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好</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简体" w:cs="Times New Roman"/>
                <w:i w:val="0"/>
                <w:color w:val="000000"/>
                <w:sz w:val="24"/>
                <w:szCs w:val="24"/>
                <w:u w:val="none"/>
              </w:rPr>
            </w:pP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20</w:t>
            </w:r>
          </w:p>
        </w:tc>
        <w:tc>
          <w:tcPr>
            <w:tcW w:w="18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center"/>
              <w:rPr>
                <w:rFonts w:hint="default" w:ascii="Times New Roman" w:hAnsi="Times New Roman" w:eastAsia="方正仿宋简体" w:cs="Times New Roman"/>
                <w:i w:val="0"/>
                <w:color w:val="000000"/>
                <w:sz w:val="24"/>
                <w:szCs w:val="24"/>
                <w:u w:val="none"/>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center"/>
              <w:rPr>
                <w:rFonts w:hint="default" w:ascii="Times New Roman" w:hAnsi="Times New Roman" w:eastAsia="方正仿宋简体" w:cs="Times New Roman"/>
                <w:i w:val="0"/>
                <w:color w:val="000000"/>
                <w:sz w:val="24"/>
                <w:szCs w:val="24"/>
                <w:u w:val="none"/>
              </w:rPr>
            </w:pP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时效指标</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资金的到位时效</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定性</w:t>
            </w: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及时</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20</w:t>
            </w:r>
          </w:p>
        </w:tc>
        <w:tc>
          <w:tcPr>
            <w:tcW w:w="18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center"/>
              <w:rPr>
                <w:rFonts w:hint="default" w:ascii="Times New Roman" w:hAnsi="Times New Roman" w:eastAsia="方正仿宋简体" w:cs="Times New Roman"/>
                <w:i w:val="0"/>
                <w:color w:val="000000"/>
                <w:sz w:val="24"/>
                <w:szCs w:val="24"/>
                <w:u w:val="none"/>
                <w:lang w:val="en-US" w:eastAsia="zh-CN"/>
              </w:rPr>
            </w:pPr>
            <w:r>
              <w:rPr>
                <w:rFonts w:hint="default" w:ascii="Times New Roman" w:hAnsi="Times New Roman" w:eastAsia="方正仿宋简体" w:cs="Times New Roman"/>
                <w:i w:val="0"/>
                <w:color w:val="000000"/>
                <w:sz w:val="24"/>
                <w:szCs w:val="24"/>
                <w:u w:val="none"/>
                <w:lang w:val="en-US" w:eastAsia="zh-CN"/>
              </w:rPr>
              <w:t>已及时发放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center"/>
              <w:rPr>
                <w:rFonts w:hint="default" w:ascii="Times New Roman" w:hAnsi="Times New Roman" w:eastAsia="方正仿宋简体" w:cs="Times New Roman"/>
                <w:i w:val="0"/>
                <w:color w:val="000000"/>
                <w:sz w:val="24"/>
                <w:szCs w:val="24"/>
                <w:u w:val="none"/>
              </w:rPr>
            </w:pP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效益指标</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kern w:val="0"/>
                <w:sz w:val="24"/>
                <w:szCs w:val="24"/>
                <w:u w:val="none"/>
                <w:lang w:val="en-US" w:eastAsia="zh-CN" w:bidi="ar"/>
              </w:rPr>
            </w:pPr>
            <w:r>
              <w:rPr>
                <w:rFonts w:hint="default" w:ascii="Times New Roman" w:hAnsi="Times New Roman" w:eastAsia="方正仿宋简体" w:cs="Times New Roman"/>
                <w:i w:val="0"/>
                <w:color w:val="000000"/>
                <w:kern w:val="0"/>
                <w:sz w:val="24"/>
                <w:szCs w:val="24"/>
                <w:u w:val="none"/>
                <w:lang w:val="en-US" w:eastAsia="zh-CN" w:bidi="ar"/>
              </w:rPr>
              <w:t>社会效益</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指标</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退休人员权益得到保障</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定性</w:t>
            </w: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社会和谐</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简体" w:cs="Times New Roman"/>
                <w:i w:val="0"/>
                <w:color w:val="000000"/>
                <w:sz w:val="24"/>
                <w:szCs w:val="24"/>
                <w:u w:val="none"/>
              </w:rPr>
            </w:pP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kern w:val="2"/>
                <w:sz w:val="24"/>
                <w:szCs w:val="24"/>
                <w:u w:val="none"/>
                <w:lang w:val="en-US" w:eastAsia="zh-CN" w:bidi="ar-SA"/>
              </w:rPr>
            </w:pPr>
            <w:r>
              <w:rPr>
                <w:rFonts w:hint="default" w:ascii="Times New Roman" w:hAnsi="Times New Roman" w:eastAsia="方正仿宋简体" w:cs="Times New Roman"/>
                <w:i w:val="0"/>
                <w:iCs w:val="0"/>
                <w:color w:val="000000"/>
                <w:kern w:val="0"/>
                <w:sz w:val="24"/>
                <w:szCs w:val="24"/>
                <w:u w:val="none"/>
                <w:lang w:val="en-US" w:eastAsia="zh-CN" w:bidi="ar"/>
              </w:rPr>
              <w:t>20</w:t>
            </w:r>
          </w:p>
        </w:tc>
        <w:tc>
          <w:tcPr>
            <w:tcW w:w="18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社会和谐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center"/>
              <w:rPr>
                <w:rFonts w:hint="default" w:ascii="Times New Roman" w:hAnsi="Times New Roman" w:eastAsia="方正仿宋简体" w:cs="Times New Roman"/>
                <w:i w:val="0"/>
                <w:color w:val="000000"/>
                <w:sz w:val="24"/>
                <w:szCs w:val="24"/>
                <w:u w:val="none"/>
              </w:rPr>
            </w:pPr>
          </w:p>
        </w:tc>
        <w:tc>
          <w:tcPr>
            <w:tcW w:w="1081"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kern w:val="0"/>
                <w:sz w:val="24"/>
                <w:szCs w:val="24"/>
                <w:u w:val="none"/>
                <w:lang w:val="en-US" w:eastAsia="zh-CN" w:bidi="ar"/>
              </w:rPr>
            </w:pPr>
            <w:r>
              <w:rPr>
                <w:rFonts w:hint="default" w:ascii="Times New Roman" w:hAnsi="Times New Roman" w:eastAsia="方正仿宋简体" w:cs="Times New Roman"/>
                <w:i w:val="0"/>
                <w:color w:val="000000"/>
                <w:kern w:val="0"/>
                <w:sz w:val="24"/>
                <w:szCs w:val="24"/>
                <w:u w:val="none"/>
                <w:lang w:val="en-US" w:eastAsia="zh-CN" w:bidi="ar"/>
              </w:rPr>
              <w:t>满意度</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指标</w:t>
            </w:r>
          </w:p>
        </w:tc>
        <w:tc>
          <w:tcPr>
            <w:tcW w:w="1250"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kern w:val="0"/>
                <w:sz w:val="24"/>
                <w:szCs w:val="24"/>
                <w:u w:val="none"/>
                <w:lang w:val="en-US" w:eastAsia="zh-CN" w:bidi="ar"/>
              </w:rPr>
            </w:pPr>
            <w:r>
              <w:rPr>
                <w:rFonts w:hint="default" w:ascii="Times New Roman" w:hAnsi="Times New Roman" w:eastAsia="方正仿宋简体" w:cs="Times New Roman"/>
                <w:i w:val="0"/>
                <w:color w:val="000000"/>
                <w:kern w:val="0"/>
                <w:sz w:val="24"/>
                <w:szCs w:val="24"/>
                <w:u w:val="none"/>
                <w:lang w:val="en-US" w:eastAsia="zh-CN" w:bidi="ar"/>
              </w:rPr>
              <w:t>服务对象</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满意度指标</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退休人员的满意程度</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w:t>
            </w: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95</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kern w:val="2"/>
                <w:sz w:val="24"/>
                <w:szCs w:val="24"/>
                <w:u w:val="none"/>
                <w:lang w:val="en-US" w:eastAsia="zh-CN" w:bidi="ar-SA"/>
              </w:rPr>
            </w:pPr>
            <w:r>
              <w:rPr>
                <w:rFonts w:hint="default" w:ascii="Times New Roman" w:hAnsi="Times New Roman" w:eastAsia="方正仿宋简体" w:cs="Times New Roman"/>
                <w:i w:val="0"/>
                <w:iCs w:val="0"/>
                <w:color w:val="000000"/>
                <w:kern w:val="0"/>
                <w:sz w:val="24"/>
                <w:szCs w:val="24"/>
                <w:u w:val="none"/>
                <w:lang w:val="en-US" w:eastAsia="zh-CN" w:bidi="ar"/>
              </w:rPr>
              <w:t>10</w:t>
            </w:r>
          </w:p>
        </w:tc>
        <w:tc>
          <w:tcPr>
            <w:tcW w:w="18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lang w:val="en-US"/>
              </w:rPr>
            </w:pPr>
            <w:r>
              <w:rPr>
                <w:rFonts w:hint="default" w:ascii="Times New Roman" w:hAnsi="Times New Roman" w:eastAsia="方正仿宋简体" w:cs="Times New Roman"/>
                <w:i w:val="0"/>
                <w:iCs w:val="0"/>
                <w:color w:val="000000"/>
                <w:kern w:val="0"/>
                <w:sz w:val="24"/>
                <w:szCs w:val="24"/>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3" w:hRule="atLeast"/>
          <w:jc w:val="center"/>
        </w:trPr>
        <w:tc>
          <w:tcPr>
            <w:tcW w:w="652" w:type="dxa"/>
            <w:vMerge w:val="continue"/>
            <w:tcBorders>
              <w:top w:val="single" w:color="000000" w:sz="4" w:space="0"/>
              <w:left w:val="single" w:color="000000" w:sz="4" w:space="0"/>
              <w:bottom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jc w:val="center"/>
              <w:rPr>
                <w:rFonts w:hint="default" w:ascii="Times New Roman" w:hAnsi="Times New Roman" w:eastAsia="方正仿宋简体" w:cs="Times New Roman"/>
                <w:i w:val="0"/>
                <w:color w:val="000000"/>
                <w:sz w:val="24"/>
                <w:szCs w:val="24"/>
                <w:u w:val="none"/>
              </w:rPr>
            </w:pP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成本指标</w:t>
            </w:r>
          </w:p>
        </w:tc>
        <w:tc>
          <w:tcPr>
            <w:tcW w:w="1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kern w:val="0"/>
                <w:sz w:val="24"/>
                <w:szCs w:val="24"/>
                <w:u w:val="none"/>
                <w:lang w:val="en-US" w:eastAsia="zh-CN" w:bidi="ar"/>
              </w:rPr>
            </w:pPr>
            <w:r>
              <w:rPr>
                <w:rFonts w:hint="default" w:ascii="Times New Roman" w:hAnsi="Times New Roman" w:eastAsia="方正仿宋简体" w:cs="Times New Roman"/>
                <w:i w:val="0"/>
                <w:color w:val="000000"/>
                <w:kern w:val="0"/>
                <w:sz w:val="24"/>
                <w:szCs w:val="24"/>
                <w:u w:val="none"/>
                <w:lang w:val="en-US" w:eastAsia="zh-CN" w:bidi="ar"/>
              </w:rPr>
              <w:t>经济成本</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color w:val="000000"/>
                <w:kern w:val="0"/>
                <w:sz w:val="24"/>
                <w:szCs w:val="24"/>
                <w:u w:val="none"/>
                <w:lang w:val="en-US" w:eastAsia="zh-CN" w:bidi="ar"/>
              </w:rPr>
              <w:t>指标</w:t>
            </w:r>
          </w:p>
        </w:tc>
        <w:tc>
          <w:tcPr>
            <w:tcW w:w="1312" w:type="dxa"/>
            <w:tcBorders>
              <w:top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退休人员的资金保障</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lang w:val="en-US" w:eastAsia="zh-CN"/>
              </w:rPr>
            </w:pPr>
            <w:r>
              <w:rPr>
                <w:rFonts w:hint="default" w:ascii="Times New Roman" w:hAnsi="Times New Roman" w:eastAsia="方正仿宋简体" w:cs="Times New Roman"/>
                <w:i w:val="0"/>
                <w:color w:val="000000"/>
                <w:sz w:val="24"/>
                <w:szCs w:val="24"/>
                <w:u w:val="none"/>
                <w:lang w:val="en-US" w:eastAsia="zh-CN"/>
              </w:rPr>
              <w:t>=</w:t>
            </w: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lang w:val="en-US"/>
              </w:rPr>
            </w:pPr>
            <w:r>
              <w:rPr>
                <w:rFonts w:hint="default" w:ascii="Times New Roman" w:hAnsi="Times New Roman" w:eastAsia="方正仿宋简体" w:cs="Times New Roman"/>
                <w:i w:val="0"/>
                <w:iCs w:val="0"/>
                <w:color w:val="000000"/>
                <w:kern w:val="0"/>
                <w:sz w:val="24"/>
                <w:szCs w:val="24"/>
                <w:u w:val="none"/>
                <w:lang w:val="en-US" w:eastAsia="zh-CN" w:bidi="ar"/>
              </w:rPr>
              <w:t>298100</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rPr>
            </w:pPr>
            <w:r>
              <w:rPr>
                <w:rFonts w:hint="default" w:ascii="Times New Roman" w:hAnsi="Times New Roman" w:eastAsia="方正仿宋简体" w:cs="Times New Roman"/>
                <w:i w:val="0"/>
                <w:iCs w:val="0"/>
                <w:color w:val="000000"/>
                <w:kern w:val="0"/>
                <w:sz w:val="24"/>
                <w:szCs w:val="24"/>
                <w:u w:val="none"/>
                <w:lang w:val="en-US" w:eastAsia="zh-CN" w:bidi="ar"/>
              </w:rPr>
              <w:t>元</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kern w:val="2"/>
                <w:sz w:val="24"/>
                <w:szCs w:val="24"/>
                <w:u w:val="none"/>
                <w:lang w:val="en-US" w:eastAsia="zh-CN" w:bidi="ar-SA"/>
              </w:rPr>
            </w:pPr>
            <w:r>
              <w:rPr>
                <w:rFonts w:hint="default" w:ascii="Times New Roman" w:hAnsi="Times New Roman" w:eastAsia="方正仿宋简体" w:cs="Times New Roman"/>
                <w:i w:val="0"/>
                <w:iCs w:val="0"/>
                <w:color w:val="000000"/>
                <w:kern w:val="0"/>
                <w:sz w:val="24"/>
                <w:szCs w:val="24"/>
                <w:u w:val="none"/>
                <w:lang w:val="en-US" w:eastAsia="zh-CN" w:bidi="ar"/>
              </w:rPr>
              <w:t>10</w:t>
            </w:r>
          </w:p>
        </w:tc>
        <w:tc>
          <w:tcPr>
            <w:tcW w:w="18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简体" w:cs="Times New Roman"/>
                <w:i w:val="0"/>
                <w:color w:val="000000"/>
                <w:sz w:val="24"/>
                <w:szCs w:val="24"/>
                <w:u w:val="none"/>
                <w:lang w:val="en-US" w:eastAsia="zh-CN"/>
              </w:rPr>
            </w:pPr>
            <w:r>
              <w:rPr>
                <w:rFonts w:hint="default" w:ascii="Times New Roman" w:hAnsi="Times New Roman" w:eastAsia="方正仿宋简体" w:cs="Times New Roman"/>
                <w:i w:val="0"/>
                <w:iCs w:val="0"/>
                <w:color w:val="000000"/>
                <w:kern w:val="0"/>
                <w:sz w:val="24"/>
                <w:szCs w:val="24"/>
                <w:u w:val="none"/>
                <w:lang w:val="en-US" w:eastAsia="zh-CN" w:bidi="ar"/>
              </w:rPr>
              <w:t>298100</w:t>
            </w:r>
          </w:p>
        </w:tc>
      </w:tr>
    </w:tbl>
    <w:p>
      <w:pPr>
        <w:pStyle w:val="8"/>
        <w:keepNext w:val="0"/>
        <w:keepLines w:val="0"/>
        <w:pageBreakBefore w:val="0"/>
        <w:kinsoku/>
        <w:wordWrap/>
        <w:overflowPunct/>
        <w:topLinePunct w:val="0"/>
        <w:autoSpaceDE/>
        <w:autoSpaceDN/>
        <w:bidi w:val="0"/>
        <w:spacing w:after="0" w:line="578" w:lineRule="exact"/>
        <w:ind w:left="0" w:leftChars="0"/>
        <w:rPr>
          <w:rFonts w:hint="default" w:ascii="黑体" w:hAnsi="黑体" w:eastAsia="黑体" w:cs="黑体"/>
          <w:sz w:val="24"/>
          <w:szCs w:val="24"/>
          <w:highlight w:val="none"/>
          <w:lang w:val="en-US" w:eastAsia="zh-CN"/>
        </w:rPr>
      </w:pPr>
    </w:p>
    <w:sectPr>
      <w:footerReference r:id="rId3" w:type="default"/>
      <w:pgSz w:w="11906" w:h="16838"/>
      <w:pgMar w:top="2098" w:right="1474" w:bottom="1984" w:left="1587"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D308395-98B0-4ED5-9E6E-8E592D45C78E}"/>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
    <w:altName w:val="仿宋"/>
    <w:panose1 w:val="00000000000000000000"/>
    <w:charset w:val="00"/>
    <w:family w:val="roman"/>
    <w:pitch w:val="default"/>
    <w:sig w:usb0="00000000" w:usb1="00000000" w:usb2="00000000" w:usb3="00000000" w:csb0="00000000" w:csb1="00000000"/>
  </w:font>
  <w:font w:name="方正小标宋简体">
    <w:panose1 w:val="02000000000000000000"/>
    <w:charset w:val="86"/>
    <w:family w:val="script"/>
    <w:pitch w:val="default"/>
    <w:sig w:usb0="00000001" w:usb1="080E0000" w:usb2="00000000" w:usb3="00000000" w:csb0="00040000" w:csb1="00000000"/>
    <w:embedRegular r:id="rId2" w:fontKey="{556DF234-428D-4EF0-959D-87DAA28834D2}"/>
  </w:font>
  <w:font w:name="Wingdings 2">
    <w:panose1 w:val="05020102010507070707"/>
    <w:charset w:val="00"/>
    <w:family w:val="auto"/>
    <w:pitch w:val="default"/>
    <w:sig w:usb0="00000000" w:usb1="00000000" w:usb2="00000000" w:usb3="00000000" w:csb0="80000000" w:csb1="00000000"/>
    <w:embedRegular r:id="rId3" w:fontKey="{C3A0F9C3-7A1B-4101-8286-D272A3798CBF}"/>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仿宋简体">
    <w:panose1 w:val="02000000000000000000"/>
    <w:charset w:val="86"/>
    <w:family w:val="auto"/>
    <w:pitch w:val="default"/>
    <w:sig w:usb0="00000001" w:usb1="080E0000" w:usb2="00000000" w:usb3="00000000" w:csb0="00040000" w:csb1="00000000"/>
    <w:embedRegular r:id="rId4" w:fontKey="{16179F3F-CCA2-4DB8-8C39-727E560141AC}"/>
  </w:font>
  <w:font w:name="方正楷体_GB2312">
    <w:panose1 w:val="02000000000000000000"/>
    <w:charset w:val="86"/>
    <w:family w:val="auto"/>
    <w:pitch w:val="default"/>
    <w:sig w:usb0="A00002BF" w:usb1="184F6CFA" w:usb2="00000012" w:usb3="00000000" w:csb0="00040001" w:csb1="00000000"/>
  </w:font>
  <w:font w:name="华文细黑">
    <w:panose1 w:val="02010600040101010101"/>
    <w:charset w:val="86"/>
    <w:family w:val="auto"/>
    <w:pitch w:val="default"/>
    <w:sig w:usb0="00000287" w:usb1="080F0000" w:usb2="00000000" w:usb3="00000000" w:csb0="0004009F" w:csb1="DFD70000"/>
  </w:font>
  <w:font w:name="华文琥珀">
    <w:panose1 w:val="02010800040101010101"/>
    <w:charset w:val="86"/>
    <w:family w:val="auto"/>
    <w:pitch w:val="default"/>
    <w:sig w:usb0="00000001" w:usb1="080F0000" w:usb2="00000000" w:usb3="00000000" w:csb0="00040000" w:csb1="00000000"/>
  </w:font>
  <w:font w:name="方正黑体_GBK">
    <w:panose1 w:val="02000000000000000000"/>
    <w:charset w:val="86"/>
    <w:family w:val="auto"/>
    <w:pitch w:val="default"/>
    <w:sig w:usb0="A00002BF" w:usb1="38CF7CFA" w:usb2="00082016" w:usb3="00000000" w:csb0="00040001" w:csb1="00000000"/>
  </w:font>
  <w:font w:name="BatangChe">
    <w:panose1 w:val="02030609000101010101"/>
    <w:charset w:val="81"/>
    <w:family w:val="auto"/>
    <w:pitch w:val="default"/>
    <w:sig w:usb0="B00002AF" w:usb1="69D77CFB" w:usb2="00000030" w:usb3="00000000" w:csb0="4008009F" w:csb1="DFD70000"/>
  </w:font>
  <w:font w:name="Batang">
    <w:panose1 w:val="02030600000101010101"/>
    <w:charset w:val="81"/>
    <w:family w:val="auto"/>
    <w:pitch w:val="default"/>
    <w:sig w:usb0="B00002AF" w:usb1="69D77CFB" w:usb2="00000030" w:usb3="00000000" w:csb0="4008009F" w:csb1="DFD70000"/>
  </w:font>
  <w:font w:name="方正粗黑宋简体">
    <w:panose1 w:val="02000000000000000000"/>
    <w:charset w:val="86"/>
    <w:family w:val="auto"/>
    <w:pitch w:val="default"/>
    <w:sig w:usb0="A00002BF" w:usb1="184F6CFA" w:usb2="00000012" w:usb3="00000000" w:csb0="00040001" w:csb1="00000000"/>
  </w:font>
  <w:font w:name="方正小标宋_GBK">
    <w:panose1 w:val="02000000000000000000"/>
    <w:charset w:val="86"/>
    <w:family w:val="auto"/>
    <w:pitch w:val="default"/>
    <w:sig w:usb0="A00002BF" w:usb1="38CF7CFA" w:usb2="00082016" w:usb3="00000000" w:csb0="00040001" w:csb1="00000000"/>
  </w:font>
  <w:font w:name="方正黑体简体">
    <w:panose1 w:val="03000509000000000000"/>
    <w:charset w:val="86"/>
    <w:family w:val="auto"/>
    <w:pitch w:val="default"/>
    <w:sig w:usb0="00000001" w:usb1="080E0000" w:usb2="00000000" w:usb3="00000000" w:csb0="00040000" w:csb1="00000000"/>
    <w:embedRegular r:id="rId5" w:fontKey="{4E6682BB-4168-4655-8EB3-2A517EFC8141}"/>
  </w:font>
  <w:font w:name="方正楷体简体">
    <w:panose1 w:val="03000509000000000000"/>
    <w:charset w:val="86"/>
    <w:family w:val="auto"/>
    <w:pitch w:val="default"/>
    <w:sig w:usb0="00000001" w:usb1="080E0000" w:usb2="00000000" w:usb3="00000000" w:csb0="00040000" w:csb1="00000000"/>
    <w:embedRegular r:id="rId6" w:fontKey="{D6AB2E0D-C82C-4CBC-B28F-294972674AF5}"/>
  </w:font>
  <w:font w:name="华文楷体">
    <w:panose1 w:val="02010600040101010101"/>
    <w:charset w:val="86"/>
    <w:family w:val="auto"/>
    <w:pitch w:val="default"/>
    <w:sig w:usb0="00000287" w:usb1="080F0000" w:usb2="00000000" w:usb3="00000000" w:csb0="0004009F" w:csb1="DFD70000"/>
  </w:font>
  <w:font w:name="方正仿宋_GBK">
    <w:panose1 w:val="02000000000000000000"/>
    <w:charset w:val="86"/>
    <w:family w:val="auto"/>
    <w:pitch w:val="default"/>
    <w:sig w:usb0="A00002BF" w:usb1="38CF7CFA" w:usb2="00082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2NGI1YWZkMzY2ZmJjMmNlMTM4MmNjZDg0YjRiMzMifQ=="/>
    <w:docVar w:name="KSO_WPS_MARK_KEY" w:val="62ac13cd-214c-4351-bd61-e5344be54921"/>
  </w:docVars>
  <w:rsids>
    <w:rsidRoot w:val="771D4D51"/>
    <w:rsid w:val="028C42D4"/>
    <w:rsid w:val="03C07382"/>
    <w:rsid w:val="04B073F7"/>
    <w:rsid w:val="0560706F"/>
    <w:rsid w:val="05B64EE1"/>
    <w:rsid w:val="069114AA"/>
    <w:rsid w:val="0A283ED3"/>
    <w:rsid w:val="0BB53545"/>
    <w:rsid w:val="0D6671EC"/>
    <w:rsid w:val="0E5434E9"/>
    <w:rsid w:val="0E772D33"/>
    <w:rsid w:val="12102A91"/>
    <w:rsid w:val="132C6D7F"/>
    <w:rsid w:val="1399374C"/>
    <w:rsid w:val="13F37300"/>
    <w:rsid w:val="14404667"/>
    <w:rsid w:val="151E65FF"/>
    <w:rsid w:val="16EB42BE"/>
    <w:rsid w:val="17824C23"/>
    <w:rsid w:val="17C0574B"/>
    <w:rsid w:val="18B04FBB"/>
    <w:rsid w:val="19EE47F1"/>
    <w:rsid w:val="1B065B6B"/>
    <w:rsid w:val="1B58213F"/>
    <w:rsid w:val="1C25106F"/>
    <w:rsid w:val="1CFD8DF6"/>
    <w:rsid w:val="1D444728"/>
    <w:rsid w:val="1E4E1D03"/>
    <w:rsid w:val="1EBF49AE"/>
    <w:rsid w:val="1EEB7551"/>
    <w:rsid w:val="1FFF9AD9"/>
    <w:rsid w:val="205253AE"/>
    <w:rsid w:val="22AD555F"/>
    <w:rsid w:val="22E04EF3"/>
    <w:rsid w:val="22FB7F7F"/>
    <w:rsid w:val="236478D2"/>
    <w:rsid w:val="25BA1A2C"/>
    <w:rsid w:val="26924756"/>
    <w:rsid w:val="26CF2DB3"/>
    <w:rsid w:val="27734588"/>
    <w:rsid w:val="292D69B8"/>
    <w:rsid w:val="29826D04"/>
    <w:rsid w:val="29B42C36"/>
    <w:rsid w:val="2AB0164F"/>
    <w:rsid w:val="2AF86ED7"/>
    <w:rsid w:val="2AFDF212"/>
    <w:rsid w:val="2B385C88"/>
    <w:rsid w:val="2B6BF484"/>
    <w:rsid w:val="2BA03472"/>
    <w:rsid w:val="2C167BD8"/>
    <w:rsid w:val="2DA059AB"/>
    <w:rsid w:val="2DBD47AF"/>
    <w:rsid w:val="2EC83B1E"/>
    <w:rsid w:val="2FFF7DE7"/>
    <w:rsid w:val="3071362F"/>
    <w:rsid w:val="30BF78D5"/>
    <w:rsid w:val="31FC7390"/>
    <w:rsid w:val="332826CA"/>
    <w:rsid w:val="33550FE6"/>
    <w:rsid w:val="33F748AD"/>
    <w:rsid w:val="349B45FD"/>
    <w:rsid w:val="35874596"/>
    <w:rsid w:val="3595168F"/>
    <w:rsid w:val="35F2A362"/>
    <w:rsid w:val="36BD75CE"/>
    <w:rsid w:val="36EA2AC9"/>
    <w:rsid w:val="371A51D2"/>
    <w:rsid w:val="373BBD0C"/>
    <w:rsid w:val="39BFEDBA"/>
    <w:rsid w:val="39CD3FCC"/>
    <w:rsid w:val="39DBABD8"/>
    <w:rsid w:val="3AED12ED"/>
    <w:rsid w:val="3AFF6A5D"/>
    <w:rsid w:val="3B0A4DAB"/>
    <w:rsid w:val="3BB64791"/>
    <w:rsid w:val="3BDD34D2"/>
    <w:rsid w:val="3BDDFF97"/>
    <w:rsid w:val="3BFFD43B"/>
    <w:rsid w:val="3C7BD5C9"/>
    <w:rsid w:val="3D6B01DA"/>
    <w:rsid w:val="3E3F4D6C"/>
    <w:rsid w:val="3FBF9251"/>
    <w:rsid w:val="3FED766E"/>
    <w:rsid w:val="3FFEEAD9"/>
    <w:rsid w:val="3FFFE931"/>
    <w:rsid w:val="401144E6"/>
    <w:rsid w:val="422D28C4"/>
    <w:rsid w:val="430D71E7"/>
    <w:rsid w:val="434A3F97"/>
    <w:rsid w:val="43EC504E"/>
    <w:rsid w:val="43EF0FE2"/>
    <w:rsid w:val="457F07F2"/>
    <w:rsid w:val="4587774F"/>
    <w:rsid w:val="47280A93"/>
    <w:rsid w:val="48082673"/>
    <w:rsid w:val="48904B42"/>
    <w:rsid w:val="48D82045"/>
    <w:rsid w:val="48E3695A"/>
    <w:rsid w:val="48E7672C"/>
    <w:rsid w:val="4AED73DD"/>
    <w:rsid w:val="4BDA4326"/>
    <w:rsid w:val="4CC36B68"/>
    <w:rsid w:val="4CC6FDBD"/>
    <w:rsid w:val="4E07F45D"/>
    <w:rsid w:val="4FF59AF5"/>
    <w:rsid w:val="503D00E8"/>
    <w:rsid w:val="50DF7374"/>
    <w:rsid w:val="55FE10A2"/>
    <w:rsid w:val="560E52F8"/>
    <w:rsid w:val="56EF6619"/>
    <w:rsid w:val="57AC301B"/>
    <w:rsid w:val="57AF1E73"/>
    <w:rsid w:val="59CA59DA"/>
    <w:rsid w:val="5A272E2C"/>
    <w:rsid w:val="5AA1673B"/>
    <w:rsid w:val="5AB21C33"/>
    <w:rsid w:val="5B778EC0"/>
    <w:rsid w:val="5BFD93EC"/>
    <w:rsid w:val="5C8A1451"/>
    <w:rsid w:val="5CBA8FF2"/>
    <w:rsid w:val="5CE837F7"/>
    <w:rsid w:val="5D5F7E21"/>
    <w:rsid w:val="5D9B1B67"/>
    <w:rsid w:val="5F5B35E4"/>
    <w:rsid w:val="60536729"/>
    <w:rsid w:val="609FA7B0"/>
    <w:rsid w:val="614918DA"/>
    <w:rsid w:val="61F41846"/>
    <w:rsid w:val="626F711E"/>
    <w:rsid w:val="64487C27"/>
    <w:rsid w:val="64986E00"/>
    <w:rsid w:val="65C854C3"/>
    <w:rsid w:val="695E7EED"/>
    <w:rsid w:val="69FCE5E7"/>
    <w:rsid w:val="6A2B4273"/>
    <w:rsid w:val="6BCDA9CC"/>
    <w:rsid w:val="6BE446D9"/>
    <w:rsid w:val="6C136D6D"/>
    <w:rsid w:val="6D3C22F3"/>
    <w:rsid w:val="6D7819D5"/>
    <w:rsid w:val="6D9F2765"/>
    <w:rsid w:val="6DB508E5"/>
    <w:rsid w:val="6DD4077E"/>
    <w:rsid w:val="6DDFA6BD"/>
    <w:rsid w:val="6E767ACE"/>
    <w:rsid w:val="6E781687"/>
    <w:rsid w:val="6EEE3ED1"/>
    <w:rsid w:val="6EFFED40"/>
    <w:rsid w:val="6F1B2166"/>
    <w:rsid w:val="6F5FC1DE"/>
    <w:rsid w:val="6FB3E1FD"/>
    <w:rsid w:val="6FD768E4"/>
    <w:rsid w:val="6FF341F1"/>
    <w:rsid w:val="6FF43359"/>
    <w:rsid w:val="6FFEBD86"/>
    <w:rsid w:val="7036571F"/>
    <w:rsid w:val="70B12FF8"/>
    <w:rsid w:val="73FF1F09"/>
    <w:rsid w:val="73FF684B"/>
    <w:rsid w:val="74A708C5"/>
    <w:rsid w:val="76DFCB7D"/>
    <w:rsid w:val="771D4D51"/>
    <w:rsid w:val="7735A28E"/>
    <w:rsid w:val="77778F6D"/>
    <w:rsid w:val="77ABFD6B"/>
    <w:rsid w:val="77B7A121"/>
    <w:rsid w:val="77C748BA"/>
    <w:rsid w:val="77DD24F1"/>
    <w:rsid w:val="77ED0DBA"/>
    <w:rsid w:val="77F10335"/>
    <w:rsid w:val="77F7E860"/>
    <w:rsid w:val="77FB8D34"/>
    <w:rsid w:val="797D0128"/>
    <w:rsid w:val="79EDB415"/>
    <w:rsid w:val="7ABBCDAB"/>
    <w:rsid w:val="7AFCAD25"/>
    <w:rsid w:val="7AFEB9B4"/>
    <w:rsid w:val="7B1623D5"/>
    <w:rsid w:val="7B5E0C37"/>
    <w:rsid w:val="7B63F034"/>
    <w:rsid w:val="7B735637"/>
    <w:rsid w:val="7B7DE504"/>
    <w:rsid w:val="7BFEC4F8"/>
    <w:rsid w:val="7DA14F75"/>
    <w:rsid w:val="7DB57A61"/>
    <w:rsid w:val="7DC7DC1F"/>
    <w:rsid w:val="7DF95E12"/>
    <w:rsid w:val="7DFDF40F"/>
    <w:rsid w:val="7DFF9BC7"/>
    <w:rsid w:val="7E130E4E"/>
    <w:rsid w:val="7E7A0ECD"/>
    <w:rsid w:val="7EB645E3"/>
    <w:rsid w:val="7EB6B7AB"/>
    <w:rsid w:val="7EDEF702"/>
    <w:rsid w:val="7EFD6908"/>
    <w:rsid w:val="7EFF8787"/>
    <w:rsid w:val="7F1C270D"/>
    <w:rsid w:val="7F5F4807"/>
    <w:rsid w:val="7F722518"/>
    <w:rsid w:val="7F7CF90E"/>
    <w:rsid w:val="7F9E3557"/>
    <w:rsid w:val="7FBF2857"/>
    <w:rsid w:val="7FD3B1BB"/>
    <w:rsid w:val="7FE7031F"/>
    <w:rsid w:val="7FEC5D3B"/>
    <w:rsid w:val="7FEF37E2"/>
    <w:rsid w:val="7FF70813"/>
    <w:rsid w:val="7FF7B584"/>
    <w:rsid w:val="7FFDFB4B"/>
    <w:rsid w:val="7FFF1910"/>
    <w:rsid w:val="7FFF8C1D"/>
    <w:rsid w:val="7FFF92F0"/>
    <w:rsid w:val="7FFFF07C"/>
    <w:rsid w:val="9BF3195D"/>
    <w:rsid w:val="A5DB4128"/>
    <w:rsid w:val="A6E375DB"/>
    <w:rsid w:val="A6EFA809"/>
    <w:rsid w:val="A6F7CC0B"/>
    <w:rsid w:val="AABFBDFA"/>
    <w:rsid w:val="AF7DE88E"/>
    <w:rsid w:val="AFED1DC0"/>
    <w:rsid w:val="AFFBB299"/>
    <w:rsid w:val="B3ECA4C8"/>
    <w:rsid w:val="B4D7E8EA"/>
    <w:rsid w:val="B4EF3795"/>
    <w:rsid w:val="B5E79B51"/>
    <w:rsid w:val="B6E7F02A"/>
    <w:rsid w:val="B797ED78"/>
    <w:rsid w:val="BB75119C"/>
    <w:rsid w:val="BBD3B774"/>
    <w:rsid w:val="BBDF02B2"/>
    <w:rsid w:val="BCFB0575"/>
    <w:rsid w:val="BE5EC634"/>
    <w:rsid w:val="BEC77393"/>
    <w:rsid w:val="BEFECBAE"/>
    <w:rsid w:val="BF2F7DA9"/>
    <w:rsid w:val="BF7F7592"/>
    <w:rsid w:val="BFB71281"/>
    <w:rsid w:val="BFBDF2DF"/>
    <w:rsid w:val="BFF9117D"/>
    <w:rsid w:val="BFFF6947"/>
    <w:rsid w:val="C8FDA203"/>
    <w:rsid w:val="CEF79301"/>
    <w:rsid w:val="CEFBB93B"/>
    <w:rsid w:val="CF7C6158"/>
    <w:rsid w:val="CF9D4E98"/>
    <w:rsid w:val="CFBFEC5E"/>
    <w:rsid w:val="D65BF816"/>
    <w:rsid w:val="D73F10CF"/>
    <w:rsid w:val="D977C3BB"/>
    <w:rsid w:val="D977C9A6"/>
    <w:rsid w:val="D9FF310B"/>
    <w:rsid w:val="DBF57698"/>
    <w:rsid w:val="DBFFAB54"/>
    <w:rsid w:val="DDFF5069"/>
    <w:rsid w:val="DECF83A1"/>
    <w:rsid w:val="DEEBD176"/>
    <w:rsid w:val="DEED29CB"/>
    <w:rsid w:val="DEFF6025"/>
    <w:rsid w:val="DF4E686F"/>
    <w:rsid w:val="DF7F78BD"/>
    <w:rsid w:val="DFDFC0CD"/>
    <w:rsid w:val="DFF7F21C"/>
    <w:rsid w:val="DFFE4986"/>
    <w:rsid w:val="E3F74AB8"/>
    <w:rsid w:val="E5FD7CF6"/>
    <w:rsid w:val="E7FE6222"/>
    <w:rsid w:val="E9BB2A12"/>
    <w:rsid w:val="EDDF69E1"/>
    <w:rsid w:val="EDF76BB3"/>
    <w:rsid w:val="EEF68640"/>
    <w:rsid w:val="EFF41AC0"/>
    <w:rsid w:val="EFF76D95"/>
    <w:rsid w:val="EFFF2C87"/>
    <w:rsid w:val="EFFFA435"/>
    <w:rsid w:val="F1DF82E1"/>
    <w:rsid w:val="F1F64F55"/>
    <w:rsid w:val="F2E22473"/>
    <w:rsid w:val="F35D14F0"/>
    <w:rsid w:val="F3F4C349"/>
    <w:rsid w:val="F3F64609"/>
    <w:rsid w:val="F4E96614"/>
    <w:rsid w:val="F4F54B3B"/>
    <w:rsid w:val="F58EBBB0"/>
    <w:rsid w:val="F5CBD2AD"/>
    <w:rsid w:val="F6FE0D0F"/>
    <w:rsid w:val="F9B8FDC3"/>
    <w:rsid w:val="F9BF4E89"/>
    <w:rsid w:val="FA79E738"/>
    <w:rsid w:val="FAD729CA"/>
    <w:rsid w:val="FB1B5977"/>
    <w:rsid w:val="FBF62448"/>
    <w:rsid w:val="FBF76486"/>
    <w:rsid w:val="FBFF7DC7"/>
    <w:rsid w:val="FC37AF17"/>
    <w:rsid w:val="FCDE5A6F"/>
    <w:rsid w:val="FCFE5638"/>
    <w:rsid w:val="FCFF1FE1"/>
    <w:rsid w:val="FD7C7175"/>
    <w:rsid w:val="FDD7319B"/>
    <w:rsid w:val="FDDE4FF7"/>
    <w:rsid w:val="FDF8F696"/>
    <w:rsid w:val="FE7B38A4"/>
    <w:rsid w:val="FE7EBDAF"/>
    <w:rsid w:val="FEAF5424"/>
    <w:rsid w:val="FECB8DB0"/>
    <w:rsid w:val="FECF948F"/>
    <w:rsid w:val="FEDCE487"/>
    <w:rsid w:val="FEED62B0"/>
    <w:rsid w:val="FEEFF60E"/>
    <w:rsid w:val="FEFD6F73"/>
    <w:rsid w:val="FF0F1500"/>
    <w:rsid w:val="FF5995C2"/>
    <w:rsid w:val="FF6B552C"/>
    <w:rsid w:val="FF6F74D4"/>
    <w:rsid w:val="FFBB4B28"/>
    <w:rsid w:val="FFCFE300"/>
    <w:rsid w:val="FFD58A98"/>
    <w:rsid w:val="FFDD382A"/>
    <w:rsid w:val="FFDFD60A"/>
    <w:rsid w:val="FFE6F78D"/>
    <w:rsid w:val="FFEBBD1A"/>
    <w:rsid w:val="FFEF3B9A"/>
    <w:rsid w:val="FFF171B6"/>
    <w:rsid w:val="FFF33D76"/>
    <w:rsid w:val="FFFA984C"/>
    <w:rsid w:val="FFFB4651"/>
    <w:rsid w:val="FFFD90B9"/>
    <w:rsid w:val="FFFF2620"/>
    <w:rsid w:val="FFFF5C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customStyle="1" w:styleId="2">
    <w:name w:val="标题 5（有编号）（绿盟科技）"/>
    <w:next w:val="1"/>
    <w:qFormat/>
    <w:uiPriority w:val="99"/>
    <w:pPr>
      <w:keepNext/>
      <w:keepLines/>
      <w:widowControl w:val="0"/>
      <w:spacing w:before="280" w:after="156" w:line="377" w:lineRule="auto"/>
      <w:jc w:val="left"/>
      <w:outlineLvl w:val="4"/>
    </w:pPr>
    <w:rPr>
      <w:rFonts w:ascii="Arial" w:hAnsi="Arial" w:eastAsia="黑体" w:cs="Times New Roman"/>
      <w:b/>
      <w:kern w:val="2"/>
      <w:sz w:val="24"/>
      <w:szCs w:val="28"/>
      <w:lang w:val="en-US" w:eastAsia="zh-CN" w:bidi="ar-SA"/>
    </w:rPr>
  </w:style>
  <w:style w:type="paragraph" w:styleId="3">
    <w:name w:val="Body Text"/>
    <w:basedOn w:val="1"/>
    <w:qFormat/>
    <w:uiPriority w:val="99"/>
    <w:pPr>
      <w:widowControl/>
      <w:tabs>
        <w:tab w:val="left" w:pos="2160"/>
      </w:tabs>
      <w:spacing w:line="480" w:lineRule="auto"/>
      <w:jc w:val="left"/>
    </w:pPr>
    <w:rPr>
      <w:rFonts w:ascii="楷体_GB2312" w:eastAsia="黑体"/>
      <w:kern w:val="0"/>
      <w:position w:val="3"/>
      <w:sz w:val="20"/>
      <w:szCs w:val="20"/>
      <w:lang w:eastAsia="en-US"/>
    </w:rPr>
  </w:style>
  <w:style w:type="paragraph" w:styleId="4">
    <w:name w:val="Body Text Indent"/>
    <w:basedOn w:val="1"/>
    <w:qFormat/>
    <w:uiPriority w:val="0"/>
    <w:pPr>
      <w:spacing w:after="120"/>
      <w:ind w:leftChars="200"/>
    </w:pPr>
    <w:rPr>
      <w:rFonts w:ascii="仿宋_GB2312"/>
      <w:szCs w:val="32"/>
    </w:rPr>
  </w:style>
  <w:style w:type="paragraph" w:styleId="5">
    <w:name w:val="footer"/>
    <w:basedOn w:val="1"/>
    <w:unhideWhenUsed/>
    <w:qFormat/>
    <w:uiPriority w:val="99"/>
    <w:pPr>
      <w:tabs>
        <w:tab w:val="center" w:pos="4153"/>
        <w:tab w:val="right" w:pos="8306"/>
      </w:tabs>
      <w:snapToGrid w:val="0"/>
      <w:jc w:val="left"/>
    </w:pPr>
    <w:rPr>
      <w:sz w:val="18"/>
      <w:szCs w:val="18"/>
      <w:lang w:val="zh-CN" w:eastAsia="zh-CN"/>
    </w:rPr>
  </w:style>
  <w:style w:type="paragraph" w:styleId="6">
    <w:name w:val="header"/>
    <w:basedOn w:val="1"/>
    <w:unhideWhenUsed/>
    <w:qFormat/>
    <w:uiPriority w:val="99"/>
    <w:pPr>
      <w:pBdr>
        <w:bottom w:val="single" w:color="auto" w:sz="6" w:space="1"/>
      </w:pBdr>
      <w:tabs>
        <w:tab w:val="center" w:pos="4153"/>
        <w:tab w:val="right" w:pos="8306"/>
      </w:tabs>
      <w:snapToGrid w:val="0"/>
      <w:jc w:val="center"/>
    </w:pPr>
    <w:rPr>
      <w:sz w:val="18"/>
      <w:szCs w:val="18"/>
      <w:lang w:val="zh-CN" w:eastAsia="zh-CN"/>
    </w:rPr>
  </w:style>
  <w:style w:type="paragraph" w:styleId="7">
    <w:name w:val="toc 1"/>
    <w:basedOn w:val="1"/>
    <w:next w:val="1"/>
    <w:qFormat/>
    <w:uiPriority w:val="0"/>
  </w:style>
  <w:style w:type="paragraph" w:styleId="8">
    <w:name w:val="Body Text First Indent 2"/>
    <w:basedOn w:val="4"/>
    <w:unhideWhenUsed/>
    <w:qFormat/>
    <w:uiPriority w:val="99"/>
    <w:pPr>
      <w:ind w:firstLine="420" w:firstLineChars="200"/>
    </w:p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Hyperlink"/>
    <w:basedOn w:val="11"/>
    <w:qFormat/>
    <w:uiPriority w:val="0"/>
    <w:rPr>
      <w:color w:val="0000FF"/>
      <w:u w:val="single"/>
    </w:rPr>
  </w:style>
  <w:style w:type="paragraph" w:customStyle="1" w:styleId="13">
    <w:name w:val="四号正文"/>
    <w:basedOn w:val="1"/>
    <w:qFormat/>
    <w:uiPriority w:val="0"/>
    <w:pPr>
      <w:spacing w:line="360" w:lineRule="auto"/>
    </w:pPr>
    <w:rPr>
      <w:rFonts w:ascii="??" w:hAnsi="??" w:eastAsia="宋体"/>
      <w:color w:val="000000"/>
      <w:kern w:val="0"/>
      <w:sz w:val="28"/>
      <w:szCs w:val="21"/>
      <w:lang w:val="zh-CN" w:eastAsia="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1622</Words>
  <Characters>1735</Characters>
  <Lines>0</Lines>
  <Paragraphs>0</Paragraphs>
  <TotalTime>14</TotalTime>
  <ScaleCrop>false</ScaleCrop>
  <LinksUpToDate>false</LinksUpToDate>
  <CharactersWithSpaces>1773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2020-07-11T08:13:00Z</dcterms:created>
  <dc:creator>Administrator</dc:creator>
  <cp:lastModifiedBy>三分邪气</cp:lastModifiedBy>
  <cp:lastPrinted>2016-02-12T11:32:00Z</cp:lastPrinted>
  <dcterms:modified xsi:type="dcterms:W3CDTF">2024-09-29T07:11:57Z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A67AC439FC3B44E1B955F3275E8EF550_13</vt:lpwstr>
  </property>
</Properties>
</file>