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3BEF2">
      <w:pPr>
        <w:pStyle w:val="2"/>
        <w:rPr>
          <w:sz w:val="44"/>
          <w:szCs w:val="44"/>
        </w:rPr>
      </w:pPr>
      <w:bookmarkStart w:id="1" w:name="_GoBack"/>
      <w:bookmarkStart w:id="0" w:name="_Toc196405857"/>
      <w:r>
        <w:rPr>
          <w:rFonts w:hint="eastAsia"/>
          <w:sz w:val="44"/>
          <w:szCs w:val="44"/>
          <w:lang w:eastAsia="zh-CN"/>
        </w:rPr>
        <w:t>开江</w:t>
      </w:r>
      <w:r>
        <w:rPr>
          <w:rFonts w:hint="eastAsia"/>
          <w:sz w:val="44"/>
          <w:szCs w:val="44"/>
        </w:rPr>
        <w:t>县气象局</w:t>
      </w:r>
      <w:r>
        <w:rPr>
          <w:rFonts w:hint="eastAsia"/>
          <w:sz w:val="44"/>
          <w:szCs w:val="44"/>
          <w:lang w:eastAsia="zh-CN"/>
        </w:rPr>
        <w:t>涉企</w:t>
      </w:r>
      <w:r>
        <w:rPr>
          <w:rFonts w:hint="eastAsia"/>
          <w:sz w:val="44"/>
          <w:szCs w:val="44"/>
        </w:rPr>
        <w:t>行政检查事项和依据</w:t>
      </w:r>
      <w:bookmarkEnd w:id="0"/>
    </w:p>
    <w:bookmarkEnd w:id="1"/>
    <w:tbl>
      <w:tblPr>
        <w:tblStyle w:val="4"/>
        <w:tblW w:w="15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764"/>
        <w:gridCol w:w="2315"/>
        <w:gridCol w:w="3035"/>
        <w:gridCol w:w="3827"/>
        <w:gridCol w:w="3960"/>
      </w:tblGrid>
      <w:tr w14:paraId="7D28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restart"/>
            <w:vAlign w:val="center"/>
          </w:tcPr>
          <w:p w14:paraId="4DF18460">
            <w:pPr>
              <w:widowControl/>
              <w:jc w:val="center"/>
              <w:rPr>
                <w:rFonts w:ascii="Times New Roman" w:hAnsi="Times New Roman" w:eastAsia="方正小标宋简体" w:cs="Times New Roman"/>
                <w:sz w:val="44"/>
                <w:szCs w:val="44"/>
              </w:rPr>
            </w:pPr>
            <w:r>
              <w:rPr>
                <w:rFonts w:hint="eastAsia" w:ascii="黑体" w:hAnsi="黑体" w:eastAsia="黑体" w:cs="宋体"/>
                <w:color w:val="000000"/>
                <w:kern w:val="0"/>
                <w:sz w:val="32"/>
                <w:szCs w:val="32"/>
              </w:rPr>
              <w:t>序号</w:t>
            </w:r>
          </w:p>
        </w:tc>
        <w:tc>
          <w:tcPr>
            <w:tcW w:w="1764" w:type="dxa"/>
            <w:vMerge w:val="restart"/>
          </w:tcPr>
          <w:p w14:paraId="2FF9C0CA">
            <w:pPr>
              <w:spacing w:line="700" w:lineRule="exact"/>
              <w:jc w:val="center"/>
              <w:rPr>
                <w:rFonts w:ascii="Times New Roman" w:hAnsi="Times New Roman" w:eastAsia="方正小标宋简体" w:cs="Times New Roman"/>
                <w:sz w:val="44"/>
                <w:szCs w:val="44"/>
              </w:rPr>
            </w:pPr>
            <w:r>
              <w:rPr>
                <w:rFonts w:hint="eastAsia" w:ascii="黑体" w:hAnsi="黑体" w:eastAsia="黑体" w:cs="宋体"/>
                <w:color w:val="000000"/>
                <w:kern w:val="0"/>
                <w:sz w:val="32"/>
                <w:szCs w:val="32"/>
              </w:rPr>
              <w:t>行政检查事项名称</w:t>
            </w:r>
          </w:p>
        </w:tc>
        <w:tc>
          <w:tcPr>
            <w:tcW w:w="2315" w:type="dxa"/>
            <w:vMerge w:val="restart"/>
            <w:vAlign w:val="center"/>
          </w:tcPr>
          <w:p w14:paraId="32559D8E">
            <w:pPr>
              <w:widowControl/>
              <w:jc w:val="center"/>
              <w:rPr>
                <w:rFonts w:ascii="Times New Roman" w:hAnsi="Times New Roman" w:eastAsia="方正小标宋简体" w:cs="Times New Roman"/>
                <w:sz w:val="44"/>
                <w:szCs w:val="44"/>
              </w:rPr>
            </w:pPr>
            <w:r>
              <w:rPr>
                <w:rFonts w:hint="eastAsia" w:ascii="黑体" w:hAnsi="黑体" w:eastAsia="黑体" w:cs="宋体"/>
                <w:color w:val="000000"/>
                <w:kern w:val="0"/>
                <w:sz w:val="32"/>
                <w:szCs w:val="32"/>
              </w:rPr>
              <w:t>检查对象</w:t>
            </w:r>
          </w:p>
        </w:tc>
        <w:tc>
          <w:tcPr>
            <w:tcW w:w="10822" w:type="dxa"/>
            <w:gridSpan w:val="3"/>
          </w:tcPr>
          <w:p w14:paraId="333D8B47">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实施依据</w:t>
            </w:r>
          </w:p>
        </w:tc>
      </w:tr>
      <w:tr w14:paraId="223C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tcPr>
          <w:p w14:paraId="045852DF">
            <w:pPr>
              <w:spacing w:line="700" w:lineRule="exact"/>
              <w:jc w:val="center"/>
              <w:rPr>
                <w:rFonts w:ascii="Times New Roman" w:hAnsi="Times New Roman" w:eastAsia="方正小标宋简体" w:cs="Times New Roman"/>
                <w:sz w:val="44"/>
                <w:szCs w:val="44"/>
              </w:rPr>
            </w:pPr>
          </w:p>
        </w:tc>
        <w:tc>
          <w:tcPr>
            <w:tcW w:w="1764" w:type="dxa"/>
            <w:vMerge w:val="continue"/>
          </w:tcPr>
          <w:p w14:paraId="3578BEE9">
            <w:pPr>
              <w:spacing w:line="700" w:lineRule="exact"/>
              <w:jc w:val="center"/>
              <w:rPr>
                <w:rFonts w:ascii="Times New Roman" w:hAnsi="Times New Roman" w:eastAsia="方正小标宋简体" w:cs="Times New Roman"/>
                <w:sz w:val="44"/>
                <w:szCs w:val="44"/>
              </w:rPr>
            </w:pPr>
          </w:p>
        </w:tc>
        <w:tc>
          <w:tcPr>
            <w:tcW w:w="2315" w:type="dxa"/>
            <w:vMerge w:val="continue"/>
          </w:tcPr>
          <w:p w14:paraId="3CCC8AD2">
            <w:pPr>
              <w:spacing w:line="700" w:lineRule="exact"/>
              <w:jc w:val="center"/>
              <w:rPr>
                <w:rFonts w:ascii="Times New Roman" w:hAnsi="Times New Roman" w:eastAsia="方正小标宋简体" w:cs="Times New Roman"/>
                <w:sz w:val="44"/>
                <w:szCs w:val="44"/>
              </w:rPr>
            </w:pPr>
          </w:p>
        </w:tc>
        <w:tc>
          <w:tcPr>
            <w:tcW w:w="3035" w:type="dxa"/>
          </w:tcPr>
          <w:p w14:paraId="35D7F056">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法律</w:t>
            </w:r>
          </w:p>
        </w:tc>
        <w:tc>
          <w:tcPr>
            <w:tcW w:w="3827" w:type="dxa"/>
          </w:tcPr>
          <w:p w14:paraId="0F8EFAAB">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法规</w:t>
            </w:r>
          </w:p>
        </w:tc>
        <w:tc>
          <w:tcPr>
            <w:tcW w:w="3960" w:type="dxa"/>
          </w:tcPr>
          <w:p w14:paraId="67EFC770">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规章</w:t>
            </w:r>
          </w:p>
        </w:tc>
      </w:tr>
      <w:tr w14:paraId="75AB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793BF6D9">
            <w:pPr>
              <w:widowControl/>
              <w:jc w:val="center"/>
              <w:rPr>
                <w:color w:val="000000"/>
                <w:sz w:val="32"/>
                <w:szCs w:val="32"/>
              </w:rPr>
            </w:pPr>
            <w:r>
              <w:rPr>
                <w:rFonts w:hint="eastAsia"/>
                <w:color w:val="000000"/>
                <w:sz w:val="32"/>
                <w:szCs w:val="32"/>
              </w:rPr>
              <w:t>1</w:t>
            </w:r>
          </w:p>
        </w:tc>
        <w:tc>
          <w:tcPr>
            <w:tcW w:w="1764" w:type="dxa"/>
            <w:vAlign w:val="center"/>
          </w:tcPr>
          <w:p w14:paraId="46262CF3">
            <w:pPr>
              <w:jc w:val="left"/>
              <w:rPr>
                <w:color w:val="000000"/>
                <w:sz w:val="24"/>
                <w:szCs w:val="24"/>
              </w:rPr>
            </w:pPr>
            <w:r>
              <w:rPr>
                <w:rFonts w:hint="eastAsia"/>
                <w:color w:val="000000"/>
              </w:rPr>
              <w:t>对防雷减灾工作的监督管理</w:t>
            </w:r>
          </w:p>
        </w:tc>
        <w:tc>
          <w:tcPr>
            <w:tcW w:w="2315" w:type="dxa"/>
            <w:vAlign w:val="center"/>
          </w:tcPr>
          <w:p w14:paraId="2059689D">
            <w:pPr>
              <w:rPr>
                <w:color w:val="000000"/>
              </w:rPr>
            </w:pPr>
            <w:r>
              <w:rPr>
                <w:rFonts w:hint="eastAsia"/>
                <w:color w:val="000000"/>
              </w:rPr>
              <w:t>油库（含加油站）、气库、弹药库、化学品仓库、烟花爆竹、石化等易燃易爆建设工程和场所，雷电易发区内 的矿区、旅游景点等</w:t>
            </w:r>
          </w:p>
        </w:tc>
        <w:tc>
          <w:tcPr>
            <w:tcW w:w="3035" w:type="dxa"/>
            <w:vAlign w:val="center"/>
          </w:tcPr>
          <w:p w14:paraId="34449D34">
            <w:pPr>
              <w:rPr>
                <w:color w:val="000000"/>
              </w:rPr>
            </w:pPr>
            <w:r>
              <w:rPr>
                <w:rFonts w:hint="eastAsia"/>
                <w:color w:val="000000"/>
              </w:rPr>
              <w:t>《中华人民共和国气象法》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tc>
        <w:tc>
          <w:tcPr>
            <w:tcW w:w="3827" w:type="dxa"/>
            <w:vAlign w:val="center"/>
          </w:tcPr>
          <w:p w14:paraId="070B0F79">
            <w:pPr>
              <w:rPr>
                <w:color w:val="000000"/>
              </w:rPr>
            </w:pPr>
            <w:r>
              <w:rPr>
                <w:rFonts w:hint="eastAsia"/>
                <w:color w:val="000000"/>
              </w:rPr>
              <w:t>《气象灾害防御条例》第二十三条“各类建（构）筑物、场所和设施安装雷电防护装置应当符合国家有关防雷标准的规定。对新建、改建、扩建建（构）筑物设计文件进行审查，应当就雷电防护装置的《气象灾害防御条例》第二十三条“设计征求气象主管机构的意见；对新建、改建、扩建建（构）筑物进行竣工验收，应当同时验收雷电防护装置并有气象主管机构参加。雷电易发区内的矿区、旅游景点或者投入使用的建（构）筑物、设施需要单独安装雷电防护装置的，雷电防护装置的设计审核和竣工验收由县级以上地方气象主管机构负责。”</w:t>
            </w:r>
          </w:p>
        </w:tc>
        <w:tc>
          <w:tcPr>
            <w:tcW w:w="3960" w:type="dxa"/>
            <w:vAlign w:val="center"/>
          </w:tcPr>
          <w:p w14:paraId="0D29C7C2">
            <w:pPr>
              <w:rPr>
                <w:color w:val="000000"/>
              </w:rPr>
            </w:pPr>
            <w:r>
              <w:rPr>
                <w:rFonts w:hint="eastAsia"/>
                <w:color w:val="000000"/>
              </w:rPr>
              <w:t>《防雷减灾管理办法》（中国气象局令第24号）第四条“国务院气象主管机构负责组织管理和指导全国防雷减灾工作。地方各级气象主管机构在上级气象主管机构和本级人民政府的领导下，负责组织管理本行政区域内的防雷减灾工作。国务院其他有关部门和地方各级人民政府其他有关部门应当按照职责做好本部门和本单位的防雷减灾工作，并接受同级气象主管机构的监督管理”；第十六条第一款“防雷工程的施工单位应当按照审核同意的设计方案进行施工，并接受当地气象主管机构监督管理”；第二十三条“已安装防雷装置的单位或者个人应当主动委托有相应资质的防雷装置检测机构进行定期检测，并接受当地气象主管机构和当地人民政府安全生产管理部门的管理和监督检查”。</w:t>
            </w:r>
          </w:p>
        </w:tc>
      </w:tr>
      <w:tr w14:paraId="06F4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1D12E075">
            <w:pPr>
              <w:jc w:val="center"/>
              <w:rPr>
                <w:color w:val="000000"/>
                <w:sz w:val="32"/>
                <w:szCs w:val="32"/>
              </w:rPr>
            </w:pPr>
            <w:r>
              <w:rPr>
                <w:rFonts w:hint="eastAsia"/>
                <w:color w:val="000000"/>
                <w:sz w:val="32"/>
                <w:szCs w:val="32"/>
              </w:rPr>
              <w:t>2</w:t>
            </w:r>
          </w:p>
        </w:tc>
        <w:tc>
          <w:tcPr>
            <w:tcW w:w="1764" w:type="dxa"/>
            <w:vAlign w:val="center"/>
          </w:tcPr>
          <w:p w14:paraId="3C01E4E7">
            <w:pPr>
              <w:jc w:val="left"/>
              <w:rPr>
                <w:color w:val="000000"/>
                <w:sz w:val="24"/>
                <w:szCs w:val="24"/>
              </w:rPr>
            </w:pPr>
            <w:r>
              <w:rPr>
                <w:rFonts w:hint="eastAsia"/>
                <w:color w:val="000000"/>
              </w:rPr>
              <w:t>对升放气球活动的监督管理</w:t>
            </w:r>
          </w:p>
        </w:tc>
        <w:tc>
          <w:tcPr>
            <w:tcW w:w="2315" w:type="dxa"/>
            <w:vAlign w:val="center"/>
          </w:tcPr>
          <w:p w14:paraId="7173708C">
            <w:pPr>
              <w:rPr>
                <w:color w:val="000000"/>
              </w:rPr>
            </w:pPr>
            <w:r>
              <w:rPr>
                <w:rFonts w:hint="eastAsia"/>
                <w:color w:val="000000"/>
              </w:rPr>
              <w:t>行政区域内升放气象活动的主体</w:t>
            </w:r>
          </w:p>
        </w:tc>
        <w:tc>
          <w:tcPr>
            <w:tcW w:w="3035" w:type="dxa"/>
            <w:vAlign w:val="center"/>
          </w:tcPr>
          <w:p w14:paraId="2AD74CE5">
            <w:pPr>
              <w:rPr>
                <w:color w:val="000000"/>
              </w:rPr>
            </w:pPr>
            <w:r>
              <w:rPr>
                <w:rFonts w:hint="eastAsia"/>
                <w:color w:val="000000"/>
              </w:rPr>
              <w:t>　</w:t>
            </w:r>
          </w:p>
        </w:tc>
        <w:tc>
          <w:tcPr>
            <w:tcW w:w="3827" w:type="dxa"/>
            <w:vAlign w:val="center"/>
          </w:tcPr>
          <w:p w14:paraId="0AC9909E">
            <w:pPr>
              <w:rPr>
                <w:color w:val="000000"/>
              </w:rPr>
            </w:pPr>
            <w:r>
              <w:rPr>
                <w:rFonts w:hint="eastAsia"/>
                <w:color w:val="000000"/>
              </w:rPr>
              <w:t>　</w:t>
            </w:r>
          </w:p>
        </w:tc>
        <w:tc>
          <w:tcPr>
            <w:tcW w:w="3960" w:type="dxa"/>
            <w:vAlign w:val="center"/>
          </w:tcPr>
          <w:p w14:paraId="30D3B19E">
            <w:pPr>
              <w:rPr>
                <w:color w:val="000000"/>
              </w:rPr>
            </w:pPr>
            <w:r>
              <w:rPr>
                <w:rFonts w:hint="eastAsia"/>
                <w:color w:val="000000"/>
              </w:rPr>
              <w:t>《升放气球管理办法》（中国气象局令第36号）第二十三条“县级以上气象主管机构应当对下列内容进行监督检查：(一)升放气球单位是否具有资质证；(二)升放气球单位是否按照规定程序进行申报并获得批准；(三)升放气球的时间、地点、种类和数量等是否与所批准的内容相符合；(四)升放气球单位和作业人员、技术人员是否遵守有关技术规范、标准和规程；(五)升放现场是否有专人值守；(六)气球的升放是否符合有关安全要求。”</w:t>
            </w:r>
          </w:p>
        </w:tc>
      </w:tr>
    </w:tbl>
    <w:p w14:paraId="7EE4E15A">
      <w:pPr>
        <w:spacing w:line="700" w:lineRule="exact"/>
        <w:jc w:val="center"/>
        <w:rPr>
          <w:rFonts w:ascii="Times New Roman" w:hAnsi="Times New Roman" w:eastAsia="方正小标宋简体" w:cs="Times New Roman"/>
          <w:sz w:val="44"/>
          <w:szCs w:val="44"/>
        </w:rPr>
      </w:pPr>
    </w:p>
    <w:p w14:paraId="6313D56B">
      <w:pPr>
        <w:spacing w:line="700" w:lineRule="exact"/>
        <w:jc w:val="center"/>
        <w:rPr>
          <w:rFonts w:ascii="Times New Roman" w:hAnsi="Times New Roman" w:eastAsia="方正小标宋简体" w:cs="Times New Roman"/>
          <w:sz w:val="44"/>
          <w:szCs w:val="44"/>
        </w:rPr>
      </w:pPr>
    </w:p>
    <w:p w14:paraId="0132E0C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514FA"/>
    <w:rsid w:val="6C85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eastAsia="黑体" w:asciiTheme="majorHAnsi" w:hAnsiTheme="majorHAnsi" w:cstheme="majorBidi"/>
      <w:b/>
      <w:bCs/>
      <w:sz w:val="32"/>
      <w:szCs w:val="32"/>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2025-08-07T01:37:00Z</dcterms:created>
  <dc:creator>玉面郎君</dc:creator>
  <cp:lastModifiedBy>玉面郎君</cp:lastModifiedBy>
  <dcterms:modified xsi:type="dcterms:W3CDTF">2025-08-07T01:38:15Z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8908BBA21AC74683AECB767E2C37B16A_11</vt:lpwstr>
  </property>
  <property fmtid="{D5CDD505-2E9C-101B-9397-08002B2CF9AE}" pid="4" name="KSOTemplateDocerSaveRecord">
    <vt:lpwstr>eyJoZGlkIjoiZGRhMjZhMWI2ZjM4MWM3NTVkNzJjM2U2NWZkN2Q3OTMiLCJ1c2VySWQiOiI1MzYwOTA0OTQifQ==</vt:lpwstr>
  </property>
</Properties>
</file>