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D634">
      <w:pPr>
        <w:pStyle w:val="12"/>
        <w:spacing w:line="578" w:lineRule="exact"/>
        <w:jc w:val="lef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附件4</w:t>
      </w:r>
    </w:p>
    <w:p w14:paraId="2829C739">
      <w:pPr>
        <w:pStyle w:val="1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开江县农业农村局</w:t>
      </w:r>
    </w:p>
    <w:p w14:paraId="0C4B1A04">
      <w:pPr>
        <w:pStyle w:val="1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14:paraId="04BC175A">
      <w:pPr>
        <w:pStyle w:val="12"/>
        <w:spacing w:line="578" w:lineRule="exact"/>
        <w:ind w:firstLine="640"/>
        <w:jc w:val="center"/>
        <w:rPr>
          <w:rFonts w:hint="eastAsia" w:ascii="宋体" w:hAnsi="宋体" w:eastAsia="宋体"/>
          <w:color w:val="auto"/>
          <w:kern w:val="2"/>
          <w:sz w:val="32"/>
          <w:szCs w:val="32"/>
          <w:lang w:eastAsia="zh-CN"/>
        </w:rPr>
      </w:pPr>
      <w:r>
        <w:rPr>
          <w:rFonts w:hint="eastAsia" w:ascii="宋体" w:hAnsi="宋体"/>
          <w:color w:val="auto"/>
          <w:kern w:val="2"/>
          <w:sz w:val="32"/>
          <w:szCs w:val="32"/>
          <w:lang w:eastAsia="zh-CN"/>
        </w:rPr>
        <w:t>（中央和省级财政农业相关转移支付资金）</w:t>
      </w:r>
    </w:p>
    <w:p w14:paraId="2E631B5B">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0348389">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rPr>
          <w:rFonts w:ascii="仿宋_GB2312" w:hAnsi="仿宋_GB2312" w:cs="仿宋_GB2312"/>
          <w:kern w:val="0"/>
          <w:shd w:val="clear" w:color="auto" w:fill="FFFFFF"/>
          <w:lang w:val="zh-CN"/>
        </w:rPr>
      </w:pPr>
      <w:r>
        <w:rPr>
          <w:rFonts w:hint="eastAsia" w:ascii="楷体_GB2312" w:hAnsi="宋体" w:eastAsia="楷体_GB2312"/>
          <w:b/>
          <w:lang w:val="zh-CN"/>
        </w:rPr>
        <w:t>（一）设立背景及基本情况</w:t>
      </w:r>
    </w:p>
    <w:p w14:paraId="2100917C">
      <w:pPr>
        <w:adjustRightInd w:val="0"/>
        <w:snapToGrid w:val="0"/>
        <w:spacing w:after="120" w:line="360" w:lineRule="auto"/>
        <w:ind w:firstLine="632" w:firstLineChars="200"/>
        <w:jc w:val="left"/>
        <w:rPr>
          <w:rFonts w:hint="eastAsia" w:ascii="Times New Roman" w:hAnsi="Times New Roman" w:cs="Times New Roman"/>
          <w:spacing w:val="-2"/>
          <w:highlight w:val="none"/>
          <w:lang w:val="zh-CN" w:eastAsia="zh-CN"/>
        </w:rPr>
      </w:pPr>
      <w:r>
        <w:rPr>
          <w:rFonts w:hint="eastAsia" w:ascii="Times New Roman" w:hAnsi="Times New Roman" w:cs="Times New Roman"/>
          <w:spacing w:val="-2"/>
          <w:highlight w:val="none"/>
          <w:lang w:val="en-US" w:eastAsia="zh-CN"/>
        </w:rPr>
        <w:t>1.项目设立原因及背景</w:t>
      </w:r>
    </w:p>
    <w:p w14:paraId="6212A6ED">
      <w:pPr>
        <w:adjustRightInd w:val="0"/>
        <w:snapToGrid w:val="0"/>
        <w:spacing w:after="120" w:line="360" w:lineRule="auto"/>
        <w:ind w:firstLine="632" w:firstLineChars="200"/>
        <w:jc w:val="left"/>
        <w:rPr>
          <w:rFonts w:hint="eastAsia" w:ascii="Times New Roman" w:hAnsi="Times New Roman" w:cs="Times New Roman"/>
          <w:spacing w:val="-2"/>
          <w:highlight w:val="none"/>
          <w:lang w:val="en-US" w:eastAsia="zh-CN"/>
        </w:rPr>
      </w:pPr>
      <w:r>
        <w:rPr>
          <w:rFonts w:hint="eastAsia" w:ascii="Times New Roman" w:hAnsi="Times New Roman" w:cs="Times New Roman"/>
          <w:spacing w:val="-2"/>
          <w:highlight w:val="none"/>
          <w:lang w:val="en-US" w:eastAsia="zh-CN"/>
        </w:rPr>
        <w:t>根据四川省财政厅、四川省农业农村厅川财农〔2023〕157号文件，四川省财政厅四川省农业农村厅关于下达2024年中央和省级财政农业相关转移支付资金的通知，为支持做好农业相关工作，经研究，下达2024年中央和省级财政农业相关转移支付资金，主要为中央财政粮油生产保障资金、中央财政农业产业发展资金、中央财政农业经营主体能力提升资金、中央财政农业生态资源保护资金、中央财政农业防灾减灾和水利救灾资金（动物防疫补助）、省级财政农业高质量发展共同财政事权转移支付资金。</w:t>
      </w:r>
    </w:p>
    <w:p w14:paraId="67E32224">
      <w:pPr>
        <w:adjustRightInd w:val="0"/>
        <w:snapToGrid w:val="0"/>
        <w:spacing w:after="120" w:line="360" w:lineRule="auto"/>
        <w:ind w:firstLine="632" w:firstLineChars="200"/>
        <w:jc w:val="left"/>
        <w:rPr>
          <w:rFonts w:hint="eastAsia" w:ascii="楷体_GB2312" w:hAnsi="宋体" w:eastAsia="楷体_GB2312"/>
          <w:b/>
          <w:lang w:val="zh-CN"/>
        </w:rPr>
      </w:pPr>
      <w:r>
        <w:rPr>
          <w:rFonts w:hint="eastAsia" w:ascii="Times New Roman" w:hAnsi="Times New Roman" w:cs="Times New Roman"/>
          <w:spacing w:val="-2"/>
          <w:highlight w:val="none"/>
          <w:lang w:val="en-US" w:eastAsia="zh-CN"/>
        </w:rPr>
        <w:t>2.项目立项</w:t>
      </w:r>
    </w:p>
    <w:p w14:paraId="5676BB61">
      <w:pPr>
        <w:widowControl w:val="0"/>
        <w:adjustRightInd w:val="0"/>
        <w:snapToGrid w:val="0"/>
        <w:spacing w:after="120" w:line="360" w:lineRule="auto"/>
        <w:ind w:firstLine="632" w:firstLineChars="200"/>
        <w:jc w:val="left"/>
        <w:rPr>
          <w:rFonts w:hint="eastAsia" w:ascii="Times New Roman" w:hAnsi="Times New Roman" w:eastAsia="仿宋_GB2312" w:cs="Times New Roman"/>
          <w:spacing w:val="-2"/>
          <w:kern w:val="2"/>
          <w:sz w:val="32"/>
          <w:szCs w:val="32"/>
          <w:highlight w:val="none"/>
          <w:lang w:val="en-US" w:eastAsia="zh-CN" w:bidi="ar-SA"/>
        </w:rPr>
      </w:pPr>
      <w:r>
        <w:rPr>
          <w:rFonts w:hint="eastAsia" w:ascii="Times New Roman" w:hAnsi="Times New Roman" w:eastAsia="仿宋_GB2312" w:cs="Times New Roman"/>
          <w:spacing w:val="-2"/>
          <w:kern w:val="2"/>
          <w:sz w:val="32"/>
          <w:szCs w:val="32"/>
          <w:highlight w:val="none"/>
          <w:lang w:val="en-US" w:eastAsia="zh-CN" w:bidi="ar-SA"/>
        </w:rPr>
        <w:t>开江县农业农村局依据川财农〔2023〕157号文件要求，结合开江县农业发展实际，组织相关业务科室开展项目立项前期调研，明确项目实施的必要性和可行性。随后制定详细的项目实施方案，方案涵盖项目实施内容、目标、进度安排、资金使用计划等内容。方案经局党组会议审议通过后，按规定完成内部立项审批流程，正式确立项目，确保项目立项合规、贴合县域农业发展需求。</w:t>
      </w:r>
    </w:p>
    <w:p w14:paraId="131E7205">
      <w:pPr>
        <w:adjustRightInd w:val="0"/>
        <w:snapToGrid w:val="0"/>
        <w:spacing w:after="120" w:line="360" w:lineRule="auto"/>
        <w:ind w:firstLine="632" w:firstLineChars="200"/>
        <w:jc w:val="left"/>
        <w:rPr>
          <w:rFonts w:hint="eastAsia" w:ascii="Times New Roman" w:hAnsi="Times New Roman" w:cs="Times New Roman"/>
          <w:spacing w:val="-2"/>
          <w:highlight w:val="none"/>
          <w:lang w:val="en-US" w:eastAsia="zh-CN"/>
        </w:rPr>
      </w:pPr>
      <w:r>
        <w:rPr>
          <w:rFonts w:hint="eastAsia" w:ascii="Times New Roman" w:hAnsi="Times New Roman" w:cs="Times New Roman"/>
          <w:spacing w:val="-2"/>
          <w:highlight w:val="none"/>
          <w:lang w:val="en-US" w:eastAsia="zh-CN"/>
        </w:rPr>
        <w:t>3.资金申报的依据</w:t>
      </w:r>
    </w:p>
    <w:p w14:paraId="6003333D">
      <w:pPr>
        <w:widowControl w:val="0"/>
        <w:adjustRightInd w:val="0"/>
        <w:snapToGrid w:val="0"/>
        <w:spacing w:after="120" w:line="360" w:lineRule="auto"/>
        <w:ind w:firstLine="632" w:firstLineChars="200"/>
        <w:jc w:val="left"/>
        <w:rPr>
          <w:rFonts w:hint="eastAsia" w:ascii="Times New Roman" w:hAnsi="Times New Roman" w:eastAsia="仿宋_GB2312" w:cs="Times New Roman"/>
          <w:spacing w:val="-2"/>
          <w:kern w:val="2"/>
          <w:sz w:val="32"/>
          <w:szCs w:val="32"/>
          <w:highlight w:val="none"/>
          <w:lang w:val="en-US" w:eastAsia="zh-CN" w:bidi="ar-SA"/>
        </w:rPr>
      </w:pPr>
      <w:r>
        <w:rPr>
          <w:rFonts w:hint="eastAsia" w:ascii="Times New Roman" w:hAnsi="Times New Roman" w:eastAsia="仿宋_GB2312" w:cs="Times New Roman"/>
          <w:spacing w:val="-2"/>
          <w:kern w:val="2"/>
          <w:sz w:val="32"/>
          <w:szCs w:val="32"/>
          <w:highlight w:val="none"/>
          <w:lang w:val="en-US" w:eastAsia="zh-CN" w:bidi="ar-SA"/>
        </w:rPr>
        <w:t>资金申报严格依据《农业相关转移支付资金管理办法》</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财农〔2023〕11号</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、《农业防灾减灾和水利救灾资金管理办法》</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财农〔2023〕13号</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、《四川省省级财政农业高质量发展共同财政事权转移支付资金管理办法》</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川财农〔2023〕3号</w:t>
      </w:r>
      <w:r>
        <w:rPr>
          <w:rFonts w:hint="eastAsia" w:cs="Times New Roman"/>
          <w:spacing w:val="-2"/>
          <w:kern w:val="2"/>
          <w:sz w:val="32"/>
          <w:szCs w:val="32"/>
          <w:highlight w:val="none"/>
          <w:lang w:val="en-US" w:eastAsia="zh-CN" w:bidi="ar-SA"/>
        </w:rPr>
        <w:t>）</w:t>
      </w:r>
      <w:r>
        <w:rPr>
          <w:rFonts w:hint="eastAsia" w:ascii="Times New Roman" w:hAnsi="Times New Roman" w:eastAsia="仿宋_GB2312" w:cs="Times New Roman"/>
          <w:spacing w:val="-2"/>
          <w:kern w:val="2"/>
          <w:sz w:val="32"/>
          <w:szCs w:val="32"/>
          <w:highlight w:val="none"/>
          <w:lang w:val="en-US" w:eastAsia="zh-CN" w:bidi="ar-SA"/>
        </w:rPr>
        <w:t>等国家及省级相关资金管理办法，同时参考开江县农业发展“十四五”规划、年度农业工作重点以及川财农〔2023〕157号文件中关于资金分配和使用的具体要求，确保资金申报合法合规、有理有据。</w:t>
      </w:r>
    </w:p>
    <w:p w14:paraId="517CE149">
      <w:pPr>
        <w:adjustRightInd w:val="0"/>
        <w:snapToGrid w:val="0"/>
        <w:spacing w:after="120" w:line="360" w:lineRule="auto"/>
        <w:ind w:firstLine="632" w:firstLineChars="200"/>
        <w:jc w:val="left"/>
        <w:rPr>
          <w:rFonts w:hint="eastAsia" w:ascii="Times New Roman" w:hAnsi="Times New Roman" w:cs="Times New Roman"/>
          <w:spacing w:val="-2"/>
          <w:highlight w:val="none"/>
          <w:lang w:val="zh-CN" w:eastAsia="zh-CN"/>
        </w:rPr>
      </w:pPr>
      <w:r>
        <w:rPr>
          <w:rFonts w:hint="eastAsia" w:ascii="Times New Roman" w:hAnsi="Times New Roman" w:cs="Times New Roman"/>
          <w:spacing w:val="-2"/>
          <w:highlight w:val="none"/>
          <w:lang w:val="en-US" w:eastAsia="zh-CN"/>
        </w:rPr>
        <w:t>4.项目主要内容</w:t>
      </w:r>
    </w:p>
    <w:p w14:paraId="4AC83352">
      <w:pPr>
        <w:widowControl w:val="0"/>
        <w:adjustRightInd w:val="0"/>
        <w:snapToGrid w:val="0"/>
        <w:spacing w:after="120" w:line="360" w:lineRule="auto"/>
        <w:ind w:firstLine="632" w:firstLineChars="200"/>
        <w:jc w:val="left"/>
        <w:rPr>
          <w:rFonts w:hint="eastAsia" w:ascii="Times New Roman" w:hAnsi="Times New Roman" w:eastAsia="仿宋_GB2312" w:cs="Times New Roman"/>
          <w:spacing w:val="-2"/>
          <w:kern w:val="2"/>
          <w:sz w:val="32"/>
          <w:szCs w:val="32"/>
          <w:highlight w:val="none"/>
          <w:lang w:val="zh-CN" w:eastAsia="zh-CN" w:bidi="ar-SA"/>
        </w:rPr>
      </w:pPr>
      <w:r>
        <w:rPr>
          <w:rFonts w:hint="eastAsia" w:ascii="Times New Roman" w:hAnsi="Times New Roman" w:eastAsia="仿宋_GB2312" w:cs="Times New Roman"/>
          <w:spacing w:val="-2"/>
          <w:kern w:val="2"/>
          <w:sz w:val="32"/>
          <w:szCs w:val="32"/>
          <w:highlight w:val="none"/>
          <w:lang w:val="en-US" w:eastAsia="zh-CN" w:bidi="ar-SA"/>
        </w:rPr>
        <w:t>一是中央财政粮油生产保障资金相关工作，开展复合种植推广6.5万亩、扩种油菜2.4万亩，保障粮油生产稳定；二是中央财政农业产业发展资金相关工作，支持农业产业结构调整、特色产业发展等；三是中央财政农业经营主体能力提升资金相关工作，对30-50户农业经营主体进行粮油单产及生产设施设备提升补贴，提升经营主体生产能力；四是中央财政农业生态资源保护资金相关工作，开展农业面源污染治理、耕地保护与质量提升等；五是中央财政农业防灾减灾和水利救灾资金（动物防疫补助）相关工作，加强动物防疫体系建设，提升农业防灾减灾能力；六是省级财政农业高质量发展共同财政事权转移支付资金相关工作，推进农机购置补贴、农机提灌站建设改造7处，改善农业生产条件。</w:t>
      </w:r>
    </w:p>
    <w:p w14:paraId="2D191FD6">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（二）</w:t>
      </w:r>
      <w:r>
        <w:rPr>
          <w:rFonts w:ascii="楷体_GB2312" w:hAnsi="宋体" w:eastAsia="楷体_GB2312"/>
          <w:b/>
        </w:rPr>
        <w:t>实施目的及支持方向</w:t>
      </w:r>
    </w:p>
    <w:p w14:paraId="19FB12A1">
      <w:pPr>
        <w:adjustRightInd w:val="0"/>
        <w:snapToGrid w:val="0"/>
        <w:spacing w:line="578" w:lineRule="exact"/>
        <w:ind w:firstLine="632" w:firstLineChars="200"/>
        <w:rPr>
          <w:rFonts w:hint="eastAsia" w:ascii="Times New Roman" w:hAnsi="Times New Roman" w:cs="Times New Roman"/>
          <w:spacing w:val="-2"/>
          <w:lang w:val="en-US" w:eastAsia="zh-CN"/>
        </w:rPr>
      </w:pPr>
      <w:r>
        <w:rPr>
          <w:rFonts w:hint="eastAsia" w:ascii="Times New Roman" w:hAnsi="Times New Roman" w:cs="Times New Roman"/>
          <w:spacing w:val="-2"/>
          <w:lang w:val="en-US" w:eastAsia="zh-CN"/>
        </w:rPr>
        <w:t>1.项目资金管理办法制定情况</w:t>
      </w:r>
    </w:p>
    <w:p w14:paraId="4DB4CB89">
      <w:pPr>
        <w:adjustRightInd w:val="0"/>
        <w:snapToGrid w:val="0"/>
        <w:spacing w:line="578" w:lineRule="exact"/>
        <w:ind w:firstLine="632" w:firstLineChars="200"/>
        <w:rPr>
          <w:rFonts w:hint="eastAsia" w:ascii="Times New Roman" w:hAnsi="Times New Roman" w:cs="Times New Roman"/>
          <w:spacing w:val="-2"/>
          <w:highlight w:val="none"/>
          <w:lang w:val="en-US" w:eastAsia="zh-CN"/>
        </w:rPr>
      </w:pPr>
      <w:r>
        <w:rPr>
          <w:rFonts w:hint="eastAsia" w:ascii="Times New Roman" w:hAnsi="Times New Roman" w:cs="Times New Roman"/>
          <w:spacing w:val="-2"/>
          <w:highlight w:val="none"/>
          <w:lang w:val="en-US" w:eastAsia="zh-CN"/>
        </w:rPr>
        <w:t>开江县农业农村局制定了《专项业务类专项经费管理办法》，明确资金使用范围、审批流程、拨付方式、监督检查等内容。规定资金需专款专用，严格按照项目预算执行，支出需经多部门审核，杜绝截留、挪用、挤占资金等行为；同时建立资金使用台账，定期开展资金使用情况自查，确保资金管理规范有序。</w:t>
      </w:r>
    </w:p>
    <w:p w14:paraId="3BFFE314">
      <w:pPr>
        <w:adjustRightInd w:val="0"/>
        <w:snapToGrid w:val="0"/>
        <w:spacing w:line="578" w:lineRule="exact"/>
        <w:ind w:firstLine="620" w:firstLineChars="200"/>
        <w:rPr>
          <w:spacing w:val="-5"/>
        </w:rPr>
      </w:pPr>
      <w:r>
        <w:rPr>
          <w:rFonts w:hint="eastAsia"/>
          <w:spacing w:val="-5"/>
          <w:highlight w:val="none"/>
          <w:lang w:val="en-US" w:eastAsia="zh-CN"/>
        </w:rPr>
        <w:t>2.</w:t>
      </w:r>
      <w:r>
        <w:rPr>
          <w:spacing w:val="-5"/>
        </w:rPr>
        <w:t>项目实施目的和主要工作任务</w:t>
      </w:r>
    </w:p>
    <w:p w14:paraId="155D1853">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highlight w:val="none"/>
          <w:lang w:val="en-US" w:eastAsia="zh-CN" w:bidi="ar-SA"/>
        </w:rPr>
      </w:pPr>
      <w:r>
        <w:rPr>
          <w:rFonts w:hint="eastAsia" w:ascii="Times New Roman" w:hAnsi="Times New Roman" w:eastAsia="仿宋_GB2312" w:cs="Times New Roman"/>
          <w:spacing w:val="-2"/>
          <w:kern w:val="2"/>
          <w:sz w:val="32"/>
          <w:szCs w:val="32"/>
          <w:highlight w:val="none"/>
          <w:lang w:val="en-US" w:eastAsia="zh-CN" w:bidi="ar-SA"/>
        </w:rPr>
        <w:t>项目实施目的是通过中央和省级财政农业相关转移支付资金的支持，稳定开江县粮油生产规模，提升农业产业发展水平，增强农业经营主体能力，加强农业生态资源保护，提高农业防灾减灾能力，改善农业生产条件，推动全县农业高质量发展，保障粮食安全，促进农民增收，助力乡村振兴。主要工作任务包括：完成复合种植推广6.5万亩、扩种油菜2.4万亩，合计8.9万亩的种植任务；完成农机购置补贴、7处农机提灌站建设改造以及30-50户农业经营主体能力提升相关补贴，涉及1391台农机相关设备；严格按照任务清单推进各项工作，确保100%任务落地落实；在1年内完成所有年度任务；确保资金使用无重大违纪违规问题发生；提升服务质量，确保群众满意度不低于90%。</w:t>
      </w:r>
    </w:p>
    <w:p w14:paraId="068E0F1B">
      <w:pPr>
        <w:widowControl/>
        <w:adjustRightInd w:val="0"/>
        <w:snapToGrid w:val="0"/>
        <w:spacing w:line="578" w:lineRule="exact"/>
        <w:ind w:firstLine="620" w:firstLineChars="200"/>
        <w:contextualSpacing/>
        <w:jc w:val="left"/>
        <w:rPr>
          <w:rFonts w:hint="eastAsia" w:ascii="楷体_GB2312" w:hAnsi="宋体" w:eastAsia="楷体_GB2312"/>
          <w:b/>
          <w:lang w:val="zh-CN"/>
        </w:rPr>
      </w:pPr>
      <w:r>
        <w:rPr>
          <w:rFonts w:hint="eastAsia"/>
          <w:spacing w:val="-5"/>
          <w:highlight w:val="none"/>
          <w:lang w:val="en-US" w:eastAsia="zh-CN"/>
        </w:rPr>
        <w:t>3.资金支持方向</w:t>
      </w:r>
    </w:p>
    <w:p w14:paraId="441BBCC9">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highlight w:val="none"/>
          <w:lang w:val="zh-CN" w:eastAsia="zh-CN" w:bidi="ar-SA"/>
        </w:rPr>
      </w:pPr>
      <w:r>
        <w:rPr>
          <w:rFonts w:hint="eastAsia" w:ascii="Times New Roman" w:hAnsi="Times New Roman" w:eastAsia="仿宋_GB2312" w:cs="Times New Roman"/>
          <w:spacing w:val="-2"/>
          <w:kern w:val="2"/>
          <w:sz w:val="32"/>
          <w:szCs w:val="32"/>
          <w:highlight w:val="none"/>
          <w:lang w:val="en-US" w:eastAsia="zh-CN" w:bidi="ar-SA"/>
        </w:rPr>
        <w:t>资金主要支持六大方向：一是粮油生产保障，用于复合种植和油菜扩种所需的种子、化肥、技术指导等费用；二是农业产业发展，支持特色农业产业培育、产业链延伸、品牌建设等；三是农业经营主体能力提升，补贴农业经营主体购置生产设施设备、开展技术培训等；四是农业生态资源保护，用于耕地保护、农业面源污染治理、生态修复等；五是农业防灾减灾和动物防疫，购置防灾</w:t>
      </w:r>
      <w:r>
        <w:rPr>
          <w:rFonts w:hint="eastAsia" w:cs="Times New Roman"/>
          <w:spacing w:val="-2"/>
          <w:kern w:val="2"/>
          <w:sz w:val="32"/>
          <w:szCs w:val="32"/>
          <w:highlight w:val="none"/>
          <w:lang w:val="en-US" w:eastAsia="zh-CN" w:bidi="ar-SA"/>
        </w:rPr>
        <w:t>救</w:t>
      </w:r>
      <w:bookmarkStart w:id="0" w:name="_GoBack"/>
      <w:bookmarkEnd w:id="0"/>
      <w:r>
        <w:rPr>
          <w:rFonts w:hint="eastAsia" w:ascii="Times New Roman" w:hAnsi="Times New Roman" w:eastAsia="仿宋_GB2312" w:cs="Times New Roman"/>
          <w:spacing w:val="-2"/>
          <w:kern w:val="2"/>
          <w:sz w:val="32"/>
          <w:szCs w:val="32"/>
          <w:highlight w:val="none"/>
          <w:lang w:val="en-US" w:eastAsia="zh-CN" w:bidi="ar-SA"/>
        </w:rPr>
        <w:t>灾物资、开展动物防疫工作、建设防疫设施等；六是农业生产条件改善，补贴农机购置、建设改造农机提灌站等。</w:t>
      </w:r>
    </w:p>
    <w:p w14:paraId="51FDBFD3">
      <w:pPr>
        <w:widowControl/>
        <w:adjustRightInd w:val="0"/>
        <w:snapToGrid w:val="0"/>
        <w:spacing w:line="578" w:lineRule="exact"/>
        <w:ind w:firstLine="643" w:firstLineChars="200"/>
        <w:contextualSpacing/>
        <w:jc w:val="left"/>
        <w:rPr>
          <w:rFonts w:ascii="仿宋_GB2312" w:hAnsi="仿宋_GB2312" w:cs="仿宋_GB2312"/>
          <w:kern w:val="0"/>
          <w:shd w:val="clear" w:color="auto" w:fill="FFFFFF"/>
          <w:lang w:val="zh-CN"/>
        </w:rPr>
      </w:pPr>
      <w:r>
        <w:rPr>
          <w:rFonts w:hint="eastAsia" w:ascii="楷体_GB2312" w:hAnsi="宋体" w:eastAsia="楷体_GB2312"/>
          <w:b/>
          <w:lang w:val="zh-CN"/>
        </w:rPr>
        <w:t>（三）</w:t>
      </w:r>
      <w:r>
        <w:rPr>
          <w:rFonts w:ascii="楷体_GB2312" w:hAnsi="宋体" w:eastAsia="楷体_GB2312"/>
          <w:b/>
        </w:rPr>
        <w:t>预算安排及分配管理</w:t>
      </w:r>
    </w:p>
    <w:p w14:paraId="19CDC4F4">
      <w:pPr>
        <w:adjustRightInd w:val="0"/>
        <w:snapToGrid w:val="0"/>
        <w:spacing w:line="578" w:lineRule="exact"/>
        <w:ind w:firstLine="632" w:firstLineChars="200"/>
        <w:rPr>
          <w:rFonts w:hint="eastAsia" w:ascii="楷体_GB2312" w:hAnsi="宋体" w:eastAsia="楷体_GB2312"/>
          <w:b/>
          <w:lang w:val="zh-CN"/>
        </w:rPr>
      </w:pPr>
      <w:r>
        <w:rPr>
          <w:rFonts w:hint="eastAsia" w:ascii="Times New Roman" w:hAnsi="Times New Roman" w:cs="Times New Roman"/>
          <w:spacing w:val="-2"/>
          <w:highlight w:val="none"/>
          <w:lang w:val="en-US" w:eastAsia="zh-CN"/>
        </w:rPr>
        <w:t>本项目预算安排7210.02万元，资金全部</w:t>
      </w:r>
      <w:r>
        <w:rPr>
          <w:rFonts w:hint="eastAsia" w:cs="Times New Roman"/>
          <w:spacing w:val="-2"/>
          <w:highlight w:val="none"/>
          <w:lang w:val="en-US" w:eastAsia="zh-CN"/>
        </w:rPr>
        <w:t>由</w:t>
      </w:r>
      <w:r>
        <w:rPr>
          <w:rFonts w:hint="eastAsia" w:ascii="Times New Roman" w:hAnsi="Times New Roman" w:cs="Times New Roman"/>
          <w:spacing w:val="-2"/>
          <w:highlight w:val="none"/>
          <w:lang w:val="en-US" w:eastAsia="zh-CN"/>
        </w:rPr>
        <w:t>开江县农业农村局统一执行，</w:t>
      </w:r>
      <w:r>
        <w:rPr>
          <w:rFonts w:hint="eastAsia"/>
          <w:spacing w:val="-4"/>
          <w:highlight w:val="none"/>
          <w:lang w:val="en-US" w:eastAsia="zh-CN"/>
        </w:rPr>
        <w:t>无需进行项目资金分配。财务科严格按照资金管理办法，对资金的拨付、使用进行全过程监管，确保资金使用规范、透明。</w:t>
      </w:r>
    </w:p>
    <w:p w14:paraId="29F63593">
      <w:pPr>
        <w:adjustRightInd w:val="0"/>
        <w:snapToGrid w:val="0"/>
        <w:spacing w:line="578" w:lineRule="exact"/>
        <w:ind w:firstLine="643" w:firstLineChars="200"/>
        <w:rPr>
          <w:rFonts w:ascii="仿宋_GB2312" w:hAnsi="仿宋_GB2312" w:cs="仿宋_GB2312"/>
          <w:kern w:val="0"/>
          <w:shd w:val="clear" w:color="auto" w:fill="FFFFFF"/>
          <w:lang w:val="zh-CN"/>
        </w:rPr>
      </w:pPr>
      <w:r>
        <w:rPr>
          <w:rFonts w:hint="eastAsia" w:ascii="楷体_GB2312" w:hAnsi="宋体" w:eastAsia="楷体_GB2312"/>
          <w:b/>
          <w:lang w:val="zh-CN"/>
        </w:rPr>
        <w:t>（四）项目绩效目标设置</w:t>
      </w:r>
    </w:p>
    <w:p w14:paraId="68D7F56D">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en-US" w:eastAsia="zh-CN" w:bidi="ar-SA"/>
        </w:rPr>
      </w:pPr>
      <w:r>
        <w:rPr>
          <w:rFonts w:hint="eastAsia" w:ascii="Times New Roman" w:hAnsi="Times New Roman" w:eastAsia="仿宋_GB2312" w:cs="Times New Roman"/>
          <w:spacing w:val="-2"/>
          <w:kern w:val="2"/>
          <w:sz w:val="32"/>
          <w:szCs w:val="32"/>
          <w:lang w:val="en-US" w:eastAsia="zh-CN" w:bidi="ar-SA"/>
        </w:rPr>
        <w:t>1.项目整体绩效目标</w:t>
      </w:r>
    </w:p>
    <w:p w14:paraId="15F80C4F">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highlight w:val="none"/>
          <w:lang w:val="en-US" w:eastAsia="zh-CN" w:bidi="ar-SA"/>
        </w:rPr>
      </w:pPr>
      <w:r>
        <w:rPr>
          <w:rFonts w:hint="eastAsia" w:ascii="Times New Roman" w:hAnsi="Times New Roman" w:eastAsia="仿宋_GB2312" w:cs="Times New Roman"/>
          <w:spacing w:val="-2"/>
          <w:kern w:val="2"/>
          <w:sz w:val="32"/>
          <w:szCs w:val="32"/>
          <w:highlight w:val="none"/>
          <w:lang w:val="en-US" w:eastAsia="zh-CN" w:bidi="ar-SA"/>
        </w:rPr>
        <w:t>通过项目实施，实现开江县粮油种植面积稳步增长，复合种植推广和油菜扩种任务圆满完成；农业机械化水平显著提升，农机提灌站等基础设施得到完善；农业经营主体生产能力和市场竞争力明显增强；农业生态环境持续改善，防灾减灾能力有效提升；资金使用规范安全，无重大违纪违规问题；群众对农业工作的满意度达到90%以上，推动全县农业产业高质量发展，为乡村振兴奠定坚实基础。</w:t>
      </w:r>
    </w:p>
    <w:p w14:paraId="7AFB3FEE">
      <w:pPr>
        <w:widowControl w:val="0"/>
        <w:numPr>
          <w:ilvl w:val="0"/>
          <w:numId w:val="0"/>
        </w:numPr>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en-US" w:eastAsia="zh-CN" w:bidi="ar-SA"/>
        </w:rPr>
      </w:pPr>
      <w:r>
        <w:rPr>
          <w:rFonts w:hint="eastAsia" w:ascii="Times New Roman" w:hAnsi="Times New Roman" w:cs="Times New Roman"/>
          <w:spacing w:val="-2"/>
          <w:kern w:val="2"/>
          <w:sz w:val="32"/>
          <w:szCs w:val="32"/>
          <w:lang w:val="en-US" w:eastAsia="zh-CN" w:bidi="ar-SA"/>
        </w:rPr>
        <w:t>2.</w:t>
      </w:r>
      <w:r>
        <w:rPr>
          <w:rFonts w:hint="eastAsia" w:ascii="Times New Roman" w:hAnsi="Times New Roman" w:eastAsia="仿宋_GB2312" w:cs="Times New Roman"/>
          <w:spacing w:val="-2"/>
          <w:kern w:val="2"/>
          <w:sz w:val="32"/>
          <w:szCs w:val="32"/>
          <w:lang w:val="en-US" w:eastAsia="zh-CN" w:bidi="ar-SA"/>
        </w:rPr>
        <w:t>绩效目标设置情况</w:t>
      </w:r>
    </w:p>
    <w:tbl>
      <w:tblPr>
        <w:tblStyle w:val="8"/>
        <w:tblW w:w="9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112"/>
        <w:gridCol w:w="1273"/>
        <w:gridCol w:w="3557"/>
        <w:gridCol w:w="795"/>
        <w:gridCol w:w="780"/>
        <w:gridCol w:w="824"/>
        <w:gridCol w:w="736"/>
      </w:tblGrid>
      <w:tr w14:paraId="52F9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96" w:hRule="atLeast"/>
          <w:tblHeader/>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48B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F89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二级指标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BE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01C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859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指标值</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75D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度量单位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A44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权重</w:t>
            </w:r>
          </w:p>
        </w:tc>
      </w:tr>
      <w:tr w14:paraId="3D4C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624" w:hRule="atLeast"/>
          <w:jc w:val="center"/>
        </w:trPr>
        <w:tc>
          <w:tcPr>
            <w:tcW w:w="1112" w:type="dxa"/>
            <w:vMerge w:val="restart"/>
            <w:tcBorders>
              <w:top w:val="single" w:color="000000" w:sz="4" w:space="0"/>
              <w:left w:val="single" w:color="000000" w:sz="4" w:space="0"/>
              <w:right w:val="single" w:color="000000" w:sz="4" w:space="0"/>
            </w:tcBorders>
            <w:shd w:val="clear" w:color="auto" w:fill="auto"/>
            <w:noWrap/>
            <w:vAlign w:val="center"/>
          </w:tcPr>
          <w:p w14:paraId="6B7BCFE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产出指标</w:t>
            </w:r>
          </w:p>
          <w:p w14:paraId="04696A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p>
        </w:tc>
        <w:tc>
          <w:tcPr>
            <w:tcW w:w="1273" w:type="dxa"/>
            <w:vMerge w:val="restart"/>
            <w:tcBorders>
              <w:top w:val="single" w:color="000000" w:sz="4" w:space="0"/>
              <w:left w:val="single" w:color="000000" w:sz="4" w:space="0"/>
              <w:right w:val="single" w:color="000000" w:sz="4" w:space="0"/>
            </w:tcBorders>
            <w:shd w:val="clear" w:color="auto" w:fill="auto"/>
            <w:noWrap/>
            <w:vAlign w:val="center"/>
          </w:tcPr>
          <w:p w14:paraId="5FAE7F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25B9">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完成复合种植推广6.5万亩扩种油菜2.4万亩</w:t>
            </w:r>
            <w:r>
              <w:rPr>
                <w:rFonts w:hint="eastAsia" w:ascii="仿宋_GB2312" w:hAnsi="仿宋_GB2312" w:cs="仿宋_GB2312"/>
                <w:i w:val="0"/>
                <w:iCs w:val="0"/>
                <w:color w:val="000000"/>
                <w:kern w:val="0"/>
                <w:sz w:val="21"/>
                <w:szCs w:val="21"/>
                <w:u w:val="none"/>
                <w:lang w:val="en-US" w:eastAsia="zh-CN" w:bidi="ar"/>
              </w:rPr>
              <w:t>合计任务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A0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9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70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万亩</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D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4535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875" w:hRule="atLeast"/>
          <w:jc w:val="center"/>
        </w:trPr>
        <w:tc>
          <w:tcPr>
            <w:tcW w:w="1112" w:type="dxa"/>
            <w:vMerge w:val="continue"/>
            <w:tcBorders>
              <w:left w:val="single" w:color="000000" w:sz="4" w:space="0"/>
              <w:right w:val="single" w:color="000000" w:sz="4" w:space="0"/>
            </w:tcBorders>
            <w:shd w:val="clear" w:color="auto" w:fill="auto"/>
            <w:noWrap/>
            <w:vAlign w:val="center"/>
          </w:tcPr>
          <w:p w14:paraId="6A1B0E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p>
        </w:tc>
        <w:tc>
          <w:tcPr>
            <w:tcW w:w="1273" w:type="dxa"/>
            <w:vMerge w:val="continue"/>
            <w:tcBorders>
              <w:left w:val="single" w:color="000000" w:sz="4" w:space="0"/>
              <w:bottom w:val="single" w:color="000000" w:sz="4" w:space="0"/>
              <w:right w:val="single" w:color="000000" w:sz="4" w:space="0"/>
            </w:tcBorders>
            <w:shd w:val="clear" w:color="auto" w:fill="auto"/>
            <w:noWrap/>
            <w:vAlign w:val="center"/>
          </w:tcPr>
          <w:p w14:paraId="7EF22D8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9523">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农机购置补贴、农机提灌站建设改造7处、农业经营主体能力提升粮油单产及生产设施设备提升补贴30-50户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EF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FE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1391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8C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4FA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55DD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74" w:hRule="atLeast"/>
          <w:jc w:val="center"/>
        </w:trPr>
        <w:tc>
          <w:tcPr>
            <w:tcW w:w="1112" w:type="dxa"/>
            <w:vMerge w:val="continue"/>
            <w:tcBorders>
              <w:left w:val="single" w:color="000000" w:sz="4" w:space="0"/>
              <w:right w:val="single" w:color="000000" w:sz="4" w:space="0"/>
            </w:tcBorders>
            <w:shd w:val="clear" w:color="auto" w:fill="auto"/>
            <w:noWrap/>
            <w:vAlign w:val="center"/>
          </w:tcPr>
          <w:p w14:paraId="478ED0C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EF9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7BB6">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严格按照任务清单、确保任务落地落实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83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AD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2FB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A6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r>
      <w:tr w14:paraId="64C1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74" w:hRule="atLeast"/>
          <w:jc w:val="center"/>
        </w:trPr>
        <w:tc>
          <w:tcPr>
            <w:tcW w:w="1112" w:type="dxa"/>
            <w:vMerge w:val="continue"/>
            <w:tcBorders>
              <w:left w:val="single" w:color="000000" w:sz="4" w:space="0"/>
              <w:bottom w:val="single" w:color="000000" w:sz="4" w:space="0"/>
              <w:right w:val="single" w:color="000000" w:sz="4" w:space="0"/>
            </w:tcBorders>
            <w:shd w:val="clear" w:color="auto" w:fill="auto"/>
            <w:noWrap/>
            <w:vAlign w:val="center"/>
          </w:tcPr>
          <w:p w14:paraId="0B664A4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57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C0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任务完成时效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E56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485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018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45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r>
      <w:tr w14:paraId="7AA2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74"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44F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43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3F15">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资金使用无重大违纪违规问题发生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216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B1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D1B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7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3195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634"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8E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93B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3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845B">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群众满意度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E3B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32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8FE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4B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r>
    </w:tbl>
    <w:p w14:paraId="1DB86BA8">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en-US" w:eastAsia="zh-CN" w:bidi="ar-SA"/>
        </w:rPr>
      </w:pPr>
      <w:r>
        <w:rPr>
          <w:rFonts w:hint="eastAsia" w:ascii="Times New Roman" w:hAnsi="Times New Roman" w:eastAsia="仿宋_GB2312" w:cs="Times New Roman"/>
          <w:spacing w:val="-2"/>
          <w:kern w:val="2"/>
          <w:sz w:val="32"/>
          <w:szCs w:val="32"/>
          <w:lang w:val="en-US" w:eastAsia="zh-CN" w:bidi="ar-SA"/>
        </w:rPr>
        <w:t>3.项目自评工作开展情况</w:t>
      </w:r>
    </w:p>
    <w:p w14:paraId="5DCC0C6C">
      <w:pPr>
        <w:widowControl w:val="0"/>
        <w:adjustRightInd w:val="0"/>
        <w:snapToGrid w:val="0"/>
        <w:spacing w:line="578" w:lineRule="exact"/>
        <w:ind w:firstLine="632" w:firstLineChars="200"/>
        <w:jc w:val="both"/>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（1）成立绩效自评工作小组</w:t>
      </w:r>
    </w:p>
    <w:p w14:paraId="0AAEC3F3">
      <w:pPr>
        <w:widowControl w:val="0"/>
        <w:adjustRightInd w:val="0"/>
        <w:snapToGrid w:val="0"/>
        <w:spacing w:line="578" w:lineRule="exact"/>
        <w:ind w:firstLine="632" w:firstLineChars="200"/>
        <w:jc w:val="both"/>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为确保绩效自评工作科学、有序开展，本单位组建了由各部门负责人组成的绩效自评工作小组。小组成员涵盖党建、财务、业务等多领域人员，明确各自职责分工，统筹协调自评工作，保障自评工作的专业性与</w:t>
      </w:r>
      <w:r>
        <w:rPr>
          <w:rFonts w:hint="eastAsia" w:ascii="Times New Roman" w:hAnsi="Times New Roman" w:eastAsia="仿宋_GB2312" w:cs="Times New Roman"/>
          <w:spacing w:val="-2"/>
          <w:kern w:val="2"/>
          <w:sz w:val="32"/>
          <w:szCs w:val="32"/>
          <w:lang w:val="en-US" w:eastAsia="zh-CN" w:bidi="ar-SA"/>
        </w:rPr>
        <w:t>全面性。</w:t>
      </w:r>
    </w:p>
    <w:p w14:paraId="2918FEC1">
      <w:pPr>
        <w:widowControl w:val="0"/>
        <w:adjustRightInd w:val="0"/>
        <w:snapToGrid w:val="0"/>
        <w:spacing w:line="578" w:lineRule="exact"/>
        <w:ind w:firstLine="632" w:firstLineChars="200"/>
        <w:jc w:val="both"/>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（2）收集绩效数据</w:t>
      </w:r>
    </w:p>
    <w:p w14:paraId="65854DE4">
      <w:pPr>
        <w:widowControl w:val="0"/>
        <w:adjustRightInd w:val="0"/>
        <w:snapToGrid w:val="0"/>
        <w:spacing w:line="578" w:lineRule="exact"/>
        <w:ind w:firstLine="632" w:firstLineChars="200"/>
        <w:jc w:val="both"/>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各部门按照绩效自评方案的要求，收集本部门的绩效数据，包括关键绩效指标完成情况、工作计划执行情况、重点工作完成情况等。数据收集过程严格遵循真实、准确、完整的原则。</w:t>
      </w:r>
    </w:p>
    <w:p w14:paraId="371D8919">
      <w:pPr>
        <w:widowControl w:val="0"/>
        <w:adjustRightInd w:val="0"/>
        <w:snapToGrid w:val="0"/>
        <w:spacing w:line="578" w:lineRule="exact"/>
        <w:ind w:firstLine="632" w:firstLineChars="200"/>
        <w:jc w:val="both"/>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（3）部门自评</w:t>
      </w:r>
    </w:p>
    <w:p w14:paraId="7FFF73E7">
      <w:pPr>
        <w:widowControl w:val="0"/>
        <w:adjustRightInd w:val="0"/>
        <w:snapToGrid w:val="0"/>
        <w:spacing w:line="578" w:lineRule="exact"/>
        <w:ind w:firstLine="632" w:firstLineChars="200"/>
        <w:jc w:val="both"/>
        <w:rPr>
          <w:rFonts w:hint="eastAsia" w:ascii="黑体" w:hAnsi="宋体" w:eastAsia="黑体"/>
        </w:rPr>
      </w:pPr>
      <w:r>
        <w:rPr>
          <w:rFonts w:hint="default" w:ascii="Times New Roman" w:hAnsi="Times New Roman" w:eastAsia="仿宋_GB2312" w:cs="Times New Roman"/>
          <w:spacing w:val="-2"/>
          <w:kern w:val="2"/>
          <w:sz w:val="32"/>
          <w:szCs w:val="32"/>
          <w:lang w:val="en-US" w:eastAsia="zh-CN" w:bidi="ar-SA"/>
        </w:rPr>
        <w:t>各部门根据收集的绩效数据，对本部门的工作进行全面自评，找出亮点和不足，形成部门自评报告。通过部门自评，为项目整体绩效评价提供了基础数据和参考依据。</w:t>
      </w:r>
    </w:p>
    <w:p w14:paraId="7ACBD2F6">
      <w:pPr>
        <w:adjustRightInd w:val="0"/>
        <w:snapToGrid w:val="0"/>
        <w:spacing w:line="578" w:lineRule="exact"/>
        <w:ind w:firstLine="640" w:firstLineChars="200"/>
        <w:rPr>
          <w:rFonts w:ascii="黑体" w:hAnsi="宋体" w:eastAsia="黑体"/>
        </w:rPr>
      </w:pPr>
      <w:r>
        <w:rPr>
          <w:rFonts w:hint="eastAsia" w:ascii="黑体" w:hAnsi="宋体" w:eastAsia="黑体"/>
        </w:rPr>
        <w:t>二、评价实施</w:t>
      </w:r>
    </w:p>
    <w:p w14:paraId="5AE7CF2B">
      <w:pPr>
        <w:spacing w:line="578" w:lineRule="exact"/>
        <w:ind w:firstLine="640"/>
      </w:pPr>
      <w:r>
        <w:rPr>
          <w:rFonts w:hint="eastAsia" w:ascii="楷体_GB2312" w:hAnsi="宋体" w:eastAsia="楷体_GB2312"/>
          <w:b/>
          <w:lang w:val="zh-CN"/>
        </w:rPr>
        <w:t>（一）评价目的</w:t>
      </w:r>
    </w:p>
    <w:p w14:paraId="55FCE0F4">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zh-CN" w:eastAsia="zh-CN" w:bidi="ar-SA"/>
        </w:rPr>
      </w:pPr>
      <w:r>
        <w:rPr>
          <w:rFonts w:hint="default" w:ascii="Times New Roman" w:hAnsi="Times New Roman" w:eastAsia="仿宋_GB2312" w:cs="Times New Roman"/>
          <w:spacing w:val="-2"/>
          <w:kern w:val="2"/>
          <w:sz w:val="32"/>
          <w:szCs w:val="32"/>
          <w:lang w:val="en-US" w:eastAsia="zh-CN" w:bidi="ar-SA"/>
        </w:rPr>
        <w:t>通过对中央和省级财政农业相关转移支付资金项目决策、管理、实施及结果的全面评价，总结项目在推动粮油生产、提升农业机械化水平、增强农业经营主体能力等方面的实施成效；客观识别项目在预算执行、资金管理、工作推进等环节存在的问题；为后续项目预算编制优化、资金管理机制完善、工作流程改进提供科学依据，进一步提升项目资金使用效益和农业农村工作水平，确保中央和省级财政农业相关转移支付资金更好地服务于开江县农业高质量发展和乡村振兴战略实施。</w:t>
      </w:r>
    </w:p>
    <w:p w14:paraId="74C5BE75">
      <w:pPr>
        <w:adjustRightInd w:val="0"/>
        <w:snapToGrid w:val="0"/>
        <w:spacing w:line="578" w:lineRule="exact"/>
        <w:ind w:firstLine="643" w:firstLineChars="200"/>
      </w:pPr>
      <w:r>
        <w:rPr>
          <w:rFonts w:hint="eastAsia" w:ascii="楷体_GB2312" w:hAnsi="宋体" w:eastAsia="楷体_GB2312"/>
          <w:b/>
          <w:lang w:val="zh-CN"/>
        </w:rPr>
        <w:t>（二）预设问题及评价重点</w:t>
      </w:r>
    </w:p>
    <w:p w14:paraId="7E0E8A06">
      <w:pPr>
        <w:widowControl/>
        <w:adjustRightInd w:val="0"/>
        <w:snapToGrid w:val="0"/>
        <w:spacing w:line="578" w:lineRule="exact"/>
        <w:ind w:firstLine="620" w:firstLineChars="200"/>
        <w:contextualSpacing/>
        <w:jc w:val="left"/>
        <w:rPr>
          <w:rFonts w:hint="default" w:ascii="Times New Roman" w:hAnsi="Times New Roman" w:eastAsia="仿宋_GB2312" w:cs="Times New Roman"/>
          <w:spacing w:val="-2"/>
          <w:kern w:val="2"/>
          <w:sz w:val="32"/>
          <w:szCs w:val="32"/>
          <w:lang w:val="en-US" w:eastAsia="zh-CN" w:bidi="ar-SA"/>
        </w:rPr>
      </w:pPr>
      <w:r>
        <w:rPr>
          <w:rFonts w:hint="eastAsia" w:ascii="Times New Roman" w:hAnsi="Times New Roman" w:eastAsia="仿宋_GB2312" w:cs="Times New Roman"/>
          <w:spacing w:val="-5"/>
          <w:kern w:val="2"/>
          <w:sz w:val="32"/>
          <w:szCs w:val="32"/>
          <w:highlight w:val="none"/>
          <w:lang w:val="en-US" w:eastAsia="zh-CN" w:bidi="ar-SA"/>
        </w:rPr>
        <w:t>1.预设问题</w:t>
      </w:r>
    </w:p>
    <w:p w14:paraId="5FFFFD7A">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zh-CN" w:eastAsia="zh-CN" w:bidi="ar-SA"/>
        </w:rPr>
      </w:pPr>
      <w:r>
        <w:rPr>
          <w:rFonts w:hint="default" w:ascii="Times New Roman" w:hAnsi="Times New Roman" w:eastAsia="仿宋_GB2312" w:cs="Times New Roman"/>
          <w:spacing w:val="-2"/>
          <w:kern w:val="2"/>
          <w:sz w:val="32"/>
          <w:szCs w:val="32"/>
          <w:lang w:val="en-US" w:eastAsia="zh-CN" w:bidi="ar-SA"/>
        </w:rPr>
        <w:t>一是部分种植任务因气候、农户配合度等因素，推进进度不均衡，可能影响整体任务按时完成；</w:t>
      </w:r>
      <w:r>
        <w:rPr>
          <w:rFonts w:hint="eastAsia" w:ascii="Times New Roman" w:hAnsi="Times New Roman" w:eastAsia="仿宋_GB2312" w:cs="Times New Roman"/>
          <w:spacing w:val="-2"/>
          <w:kern w:val="2"/>
          <w:sz w:val="32"/>
          <w:szCs w:val="32"/>
          <w:lang w:val="en-US" w:eastAsia="zh-CN" w:bidi="ar-SA"/>
        </w:rPr>
        <w:t>二</w:t>
      </w:r>
      <w:r>
        <w:rPr>
          <w:rFonts w:hint="default" w:ascii="Times New Roman" w:hAnsi="Times New Roman" w:eastAsia="仿宋_GB2312" w:cs="Times New Roman"/>
          <w:spacing w:val="-2"/>
          <w:kern w:val="2"/>
          <w:sz w:val="32"/>
          <w:szCs w:val="32"/>
          <w:lang w:val="en-US" w:eastAsia="zh-CN" w:bidi="ar-SA"/>
        </w:rPr>
        <w:t>是资金使用过程中，个别环节财务核算不够细致，可能影响资金使用效益评估。</w:t>
      </w:r>
    </w:p>
    <w:p w14:paraId="56D536FD">
      <w:pPr>
        <w:adjustRightInd w:val="0"/>
        <w:snapToGrid w:val="0"/>
        <w:spacing w:line="578" w:lineRule="exact"/>
        <w:ind w:firstLine="640" w:firstLineChars="200"/>
        <w:rPr>
          <w:rFonts w:hint="eastAsia" w:ascii="Times New Roman" w:hAnsi="Times New Roman" w:eastAsia="仿宋_GB2312" w:cs="Times New Roman"/>
          <w:kern w:val="2"/>
          <w:position w:val="0"/>
          <w:sz w:val="32"/>
          <w:szCs w:val="32"/>
          <w:highlight w:val="none"/>
          <w:lang w:val="en-US" w:eastAsia="zh-CN" w:bidi="ar-SA"/>
        </w:rPr>
      </w:pPr>
      <w:r>
        <w:rPr>
          <w:rFonts w:hint="eastAsia" w:ascii="Times New Roman" w:hAnsi="Times New Roman" w:eastAsia="仿宋_GB2312" w:cs="Times New Roman"/>
          <w:kern w:val="2"/>
          <w:position w:val="0"/>
          <w:sz w:val="32"/>
          <w:szCs w:val="32"/>
          <w:highlight w:val="none"/>
          <w:lang w:val="en-US" w:eastAsia="zh-CN" w:bidi="ar-SA"/>
        </w:rPr>
        <w:t>2.评价重点</w:t>
      </w:r>
    </w:p>
    <w:p w14:paraId="706004BC">
      <w:pPr>
        <w:widowControl w:val="0"/>
        <w:adjustRightInd w:val="0"/>
        <w:snapToGrid w:val="0"/>
        <w:spacing w:line="578" w:lineRule="exact"/>
        <w:ind w:firstLine="632" w:firstLineChars="200"/>
        <w:jc w:val="both"/>
        <w:rPr>
          <w:rFonts w:hint="eastAsia" w:ascii="Times New Roman" w:hAnsi="Times New Roman" w:eastAsia="仿宋_GB2312" w:cs="Times New Roman"/>
          <w:spacing w:val="-2"/>
          <w:kern w:val="2"/>
          <w:sz w:val="32"/>
          <w:szCs w:val="32"/>
          <w:lang w:val="zh-CN" w:eastAsia="zh-CN" w:bidi="ar-SA"/>
        </w:rPr>
      </w:pPr>
      <w:r>
        <w:rPr>
          <w:rFonts w:hint="default" w:ascii="Times New Roman" w:hAnsi="Times New Roman" w:eastAsia="仿宋_GB2312" w:cs="Times New Roman"/>
          <w:spacing w:val="-2"/>
          <w:kern w:val="2"/>
          <w:sz w:val="32"/>
          <w:szCs w:val="32"/>
          <w:lang w:val="en-US" w:eastAsia="zh-CN" w:bidi="ar-SA"/>
        </w:rPr>
        <w:t>一是项目决策科学性，审查项目立项依据是否充分、绩效目标设置是否合理、与上级政策及县域农业发展需求的契合度；</w:t>
      </w:r>
      <w:r>
        <w:rPr>
          <w:rFonts w:hint="eastAsia" w:ascii="Times New Roman" w:hAnsi="Times New Roman" w:eastAsia="仿宋_GB2312" w:cs="Times New Roman"/>
          <w:spacing w:val="-2"/>
          <w:kern w:val="2"/>
          <w:sz w:val="32"/>
          <w:szCs w:val="32"/>
          <w:lang w:val="en-US" w:eastAsia="zh-CN" w:bidi="ar-SA"/>
        </w:rPr>
        <w:t>二</w:t>
      </w:r>
      <w:r>
        <w:rPr>
          <w:rFonts w:hint="default" w:ascii="Times New Roman" w:hAnsi="Times New Roman" w:eastAsia="仿宋_GB2312" w:cs="Times New Roman"/>
          <w:spacing w:val="-2"/>
          <w:kern w:val="2"/>
          <w:sz w:val="32"/>
          <w:szCs w:val="32"/>
          <w:lang w:val="en-US" w:eastAsia="zh-CN" w:bidi="ar-SA"/>
        </w:rPr>
        <w:t>是项目效益显著性，分析资金使用合规性、群众满意度、对农业发展的推动作用等效益指标达成情况。</w:t>
      </w:r>
    </w:p>
    <w:p w14:paraId="2014E806">
      <w:pPr>
        <w:adjustRightInd w:val="0"/>
        <w:snapToGrid w:val="0"/>
        <w:spacing w:line="578" w:lineRule="exact"/>
        <w:ind w:firstLine="643" w:firstLineChars="200"/>
        <w:rPr>
          <w:lang w:val="zh-CN"/>
        </w:rPr>
      </w:pPr>
      <w:r>
        <w:rPr>
          <w:rFonts w:hint="eastAsia" w:ascii="楷体_GB2312" w:hAnsi="宋体" w:eastAsia="楷体_GB2312"/>
          <w:b/>
          <w:lang w:val="zh-CN"/>
        </w:rPr>
        <w:t>（三）评价选点</w:t>
      </w:r>
    </w:p>
    <w:p w14:paraId="04A020AE">
      <w:pPr>
        <w:spacing w:line="578" w:lineRule="exact"/>
        <w:ind w:firstLine="640"/>
        <w:rPr>
          <w:rFonts w:hint="eastAsia" w:ascii="楷体_GB2312" w:hAnsi="宋体" w:eastAsia="楷体_GB2312"/>
          <w:b/>
          <w:lang w:val="zh-CN"/>
        </w:rPr>
      </w:pPr>
      <w:r>
        <w:rPr>
          <w:rFonts w:hint="eastAsia"/>
          <w:spacing w:val="-3"/>
          <w:highlight w:val="none"/>
          <w:lang w:val="en-US" w:eastAsia="zh-CN"/>
        </w:rPr>
        <w:t>本项目选点为：开江县农业农村局。</w:t>
      </w:r>
    </w:p>
    <w:p w14:paraId="744327F9">
      <w:pPr>
        <w:spacing w:line="578" w:lineRule="exact"/>
        <w:ind w:firstLine="640"/>
      </w:pPr>
      <w:r>
        <w:rPr>
          <w:rFonts w:hint="eastAsia" w:ascii="楷体_GB2312" w:hAnsi="宋体" w:eastAsia="楷体_GB2312"/>
          <w:b/>
          <w:lang w:val="zh-CN"/>
        </w:rPr>
        <w:t>（四）评价方法</w:t>
      </w:r>
    </w:p>
    <w:p w14:paraId="26B08C65">
      <w:pPr>
        <w:spacing w:line="578" w:lineRule="exact"/>
        <w:ind w:firstLine="640"/>
        <w:rPr>
          <w:rFonts w:hint="eastAsia" w:ascii="楷体_GB2312" w:hAnsi="宋体" w:eastAsia="楷体_GB2312"/>
          <w:b/>
          <w:lang w:val="zh-CN"/>
        </w:rPr>
      </w:pPr>
      <w:r>
        <w:rPr>
          <w:rFonts w:hint="eastAsia"/>
          <w:highlight w:val="none"/>
        </w:rPr>
        <w:t>本次绩效评价根据《财政部关于印发〈项目支出绩效评价管理办法</w:t>
      </w:r>
      <w:r>
        <w:rPr>
          <w:rFonts w:hint="eastAsia"/>
          <w:highlight w:val="none"/>
          <w:lang w:eastAsia="zh-CN"/>
        </w:rPr>
        <w:t>〉</w:t>
      </w:r>
      <w:r>
        <w:rPr>
          <w:rFonts w:hint="eastAsia"/>
          <w:highlight w:val="none"/>
        </w:rPr>
        <w:t>的通知》</w:t>
      </w:r>
      <w:r>
        <w:rPr>
          <w:rFonts w:hint="eastAsia"/>
          <w:highlight w:val="none"/>
          <w:lang w:eastAsia="zh-CN"/>
        </w:rPr>
        <w:t>（</w:t>
      </w:r>
      <w:r>
        <w:rPr>
          <w:rFonts w:hint="eastAsia"/>
          <w:highlight w:val="none"/>
        </w:rPr>
        <w:t>财预〔2020〕10号</w:t>
      </w:r>
      <w:r>
        <w:rPr>
          <w:rFonts w:hint="eastAsia"/>
          <w:highlight w:val="none"/>
          <w:lang w:eastAsia="zh-CN"/>
        </w:rPr>
        <w:t>）</w:t>
      </w:r>
      <w:r>
        <w:rPr>
          <w:rFonts w:hint="eastAsia"/>
          <w:highlight w:val="none"/>
        </w:rPr>
        <w:t>中确定的方法，主要采用</w:t>
      </w:r>
      <w:r>
        <w:rPr>
          <w:rFonts w:hint="eastAsia"/>
          <w:highlight w:val="none"/>
          <w:lang w:val="en-US" w:eastAsia="zh-CN"/>
        </w:rPr>
        <w:t>单位自评</w:t>
      </w:r>
      <w:r>
        <w:rPr>
          <w:rFonts w:hint="eastAsia"/>
          <w:highlight w:val="none"/>
        </w:rPr>
        <w:t>法。同时，结合文献研究法、实地调研法、问卷调查法等多种方法开展评价。通过收集项目相关的资料和数据，结合各部门的自评情况，对项目进行全面、客观</w:t>
      </w:r>
      <w:r>
        <w:rPr>
          <w:rFonts w:hint="eastAsia"/>
          <w:highlight w:val="none"/>
          <w:lang w:eastAsia="zh-CN"/>
        </w:rPr>
        <w:t>地</w:t>
      </w:r>
      <w:r>
        <w:rPr>
          <w:rFonts w:hint="eastAsia"/>
          <w:highlight w:val="none"/>
        </w:rPr>
        <w:t>评价。</w:t>
      </w:r>
    </w:p>
    <w:p w14:paraId="3D94911A">
      <w:pPr>
        <w:spacing w:line="578" w:lineRule="exact"/>
        <w:ind w:firstLine="640"/>
        <w:rPr>
          <w:bCs/>
        </w:rPr>
      </w:pPr>
      <w:r>
        <w:rPr>
          <w:rFonts w:hint="eastAsia" w:ascii="楷体_GB2312" w:hAnsi="宋体" w:eastAsia="楷体_GB2312"/>
          <w:b/>
          <w:lang w:val="zh-CN"/>
        </w:rPr>
        <w:t>（五）评价组织</w:t>
      </w:r>
    </w:p>
    <w:p w14:paraId="598D0EDE">
      <w:pPr>
        <w:widowControl w:val="0"/>
        <w:spacing w:line="578" w:lineRule="exact"/>
        <w:ind w:firstLine="64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评价组人员构成</w:t>
      </w:r>
    </w:p>
    <w:p w14:paraId="0523B08E">
      <w:pPr>
        <w:widowControl w:val="0"/>
        <w:spacing w:line="578" w:lineRule="exact"/>
        <w:ind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本项目绩效自评评价组人员由本单位财务人员和业务经办人员组成。财务人员具备专业的财务管理知识和经验，业务经办人员熟悉住读工作业务流程，确保评价工作专业、客观、公正。</w:t>
      </w:r>
    </w:p>
    <w:p w14:paraId="096BA7D0">
      <w:pPr>
        <w:widowControl w:val="0"/>
        <w:spacing w:line="578" w:lineRule="exact"/>
        <w:ind w:firstLine="64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职责分工</w:t>
      </w:r>
    </w:p>
    <w:p w14:paraId="5C26749C">
      <w:pPr>
        <w:widowControl w:val="0"/>
        <w:spacing w:line="578" w:lineRule="exact"/>
        <w:ind w:firstLine="640"/>
        <w:jc w:val="both"/>
        <w:rPr>
          <w:rFonts w:hint="eastAsia" w:ascii="黑体" w:hAnsi="宋体" w:eastAsia="黑体"/>
        </w:rPr>
      </w:pPr>
      <w:r>
        <w:rPr>
          <w:rFonts w:hint="default" w:ascii="Times New Roman" w:hAnsi="Times New Roman" w:eastAsia="仿宋_GB2312" w:cs="Times New Roman"/>
          <w:kern w:val="2"/>
          <w:sz w:val="32"/>
          <w:szCs w:val="32"/>
          <w:lang w:val="en-US" w:eastAsia="zh-CN" w:bidi="ar-SA"/>
        </w:rPr>
        <w:t>业务人员负责收集项目实施过程中的相关数据，撰写自评报告，详细阐述项目实施情况、绩效目标完成情况及存在的问题；财务人员负责审核报告中的财务数据，对资金使用情况进行分析评价，确保报告真实可靠。</w:t>
      </w:r>
    </w:p>
    <w:p w14:paraId="4CB6B0DE">
      <w:pPr>
        <w:adjustRightInd w:val="0"/>
        <w:snapToGrid w:val="0"/>
        <w:spacing w:line="578" w:lineRule="exact"/>
        <w:ind w:firstLine="640" w:firstLineChars="200"/>
        <w:rPr>
          <w:rFonts w:ascii="仿宋_GB2312" w:hAnsi="宋体"/>
          <w:lang w:val="zh-CN"/>
        </w:rPr>
      </w:pPr>
      <w:r>
        <w:rPr>
          <w:rFonts w:hint="eastAsia" w:ascii="黑体" w:hAnsi="宋体" w:eastAsia="黑体"/>
        </w:rPr>
        <w:t>三、绩效分析</w:t>
      </w:r>
      <w:r>
        <w:rPr>
          <w:rFonts w:hint="eastAsia" w:ascii="仿宋_GB2312" w:hAnsi="宋体"/>
          <w:lang w:val="zh-CN"/>
        </w:rPr>
        <w:tab/>
      </w:r>
    </w:p>
    <w:p w14:paraId="1A93346A">
      <w:pPr>
        <w:spacing w:line="578" w:lineRule="exact"/>
        <w:ind w:firstLine="640"/>
        <w:rPr>
          <w:rFonts w:ascii="楷体_GB2312" w:hAnsi="宋体" w:eastAsia="楷体_GB2312"/>
          <w:b/>
        </w:rPr>
      </w:pPr>
      <w:r>
        <w:rPr>
          <w:rFonts w:hint="eastAsia" w:ascii="楷体_GB2312" w:hAnsi="宋体" w:eastAsia="楷体_GB2312"/>
          <w:b/>
          <w:lang w:val="zh-CN"/>
        </w:rPr>
        <w:t>（一）</w:t>
      </w:r>
      <w:r>
        <w:rPr>
          <w:rFonts w:hint="eastAsia" w:ascii="楷体_GB2312" w:hAnsi="宋体" w:eastAsia="楷体_GB2312"/>
          <w:b/>
        </w:rPr>
        <w:t>通用指标</w:t>
      </w:r>
      <w:r>
        <w:rPr>
          <w:rFonts w:eastAsia="楷体_GB2312"/>
          <w:b/>
          <w:bCs/>
          <w:color w:val="000000"/>
          <w:kern w:val="0"/>
          <w:shd w:val="clear" w:color="auto" w:fill="FFFFFF"/>
          <w:lang w:val="zh-CN"/>
        </w:rPr>
        <w:t>绩效分析。</w:t>
      </w:r>
    </w:p>
    <w:p w14:paraId="31B2AEB9">
      <w:pPr>
        <w:spacing w:line="578" w:lineRule="exact"/>
        <w:ind w:firstLine="640"/>
      </w:pPr>
      <w:r>
        <w:rPr>
          <w:rFonts w:hint="eastAsia" w:ascii="楷体_GB2312" w:hAnsi="楷体_GB2312" w:eastAsia="楷体_GB2312" w:cs="楷体_GB2312"/>
        </w:rPr>
        <w:t>1.项目决策</w:t>
      </w:r>
    </w:p>
    <w:p w14:paraId="4E45A791">
      <w:pPr>
        <w:spacing w:line="578" w:lineRule="exact"/>
        <w:ind w:firstLine="640"/>
        <w:rPr>
          <w:rFonts w:hint="eastAsia" w:ascii="仿宋_GB2312" w:hAnsi="仿宋_GB2312" w:eastAsia="仿宋_GB2312" w:cs="仿宋_GB2312"/>
        </w:rPr>
      </w:pPr>
      <w:r>
        <w:rPr>
          <w:rFonts w:hint="eastAsia" w:ascii="仿宋_GB2312" w:hAnsi="仿宋_GB2312" w:eastAsia="仿宋_GB2312" w:cs="仿宋_GB2312"/>
          <w:spacing w:val="3"/>
          <w:highlight w:val="none"/>
          <w:lang w:val="en-US" w:eastAsia="zh-CN"/>
        </w:rPr>
        <w:t>项目立项依据充分，严格按照川财农〔2023〕157号文件及相关资金管理办法开展立项工作，符合国家保障粮食安全、推动农业高质量发展的政策导向和开江县农业发展实际需求；绩效目标设置明确、合理，涵盖产出、效益、满意度等多个维度，与项目实施内容紧密相关，能够有效指导项目实施；决策过程经过调研、论证、审议等多个环节，科学规范。</w:t>
      </w:r>
    </w:p>
    <w:p w14:paraId="0AB4D1FB">
      <w:pPr>
        <w:spacing w:line="578" w:lineRule="exact"/>
        <w:ind w:firstLine="640"/>
      </w:pPr>
      <w:r>
        <w:rPr>
          <w:rFonts w:hint="eastAsia" w:ascii="楷体_GB2312" w:hAnsi="楷体_GB2312" w:eastAsia="楷体_GB2312" w:cs="楷体_GB2312"/>
        </w:rPr>
        <w:t>2.项目管理</w:t>
      </w:r>
    </w:p>
    <w:p w14:paraId="59FB63DA">
      <w:pPr>
        <w:spacing w:line="578" w:lineRule="exact"/>
        <w:ind w:firstLine="652" w:firstLineChars="200"/>
        <w:rPr>
          <w:rFonts w:hint="eastAsia" w:ascii="楷体_GB2312" w:hAnsi="楷体_GB2312" w:eastAsia="楷体_GB2312" w:cs="楷体_GB2312"/>
        </w:rPr>
      </w:pPr>
      <w:r>
        <w:rPr>
          <w:rFonts w:hint="eastAsia" w:ascii="仿宋_GB2312" w:hAnsi="仿宋_GB2312" w:eastAsia="仿宋_GB2312" w:cs="仿宋_GB2312"/>
          <w:spacing w:val="3"/>
          <w:highlight w:val="none"/>
          <w:lang w:val="en-US" w:eastAsia="zh-CN"/>
        </w:rPr>
        <w:t>在项目管理方面，制定了完善的资金管理办法和工作管理制度，明确了各部门职责和工作流程，确保项目实施有序进行。资金使用严格按照规定程序审批，做到专款专用，未出现违规使用资金的情况。</w:t>
      </w:r>
    </w:p>
    <w:p w14:paraId="7B1C3427">
      <w:pPr>
        <w:spacing w:line="578" w:lineRule="exact"/>
        <w:ind w:left="640" w:leftChars="200"/>
        <w:rPr>
          <w:rFonts w:hint="eastAsia" w:ascii="楷体_GB2312" w:hAnsi="楷体_GB2312" w:eastAsia="楷体_GB2312" w:cs="楷体_GB2312"/>
        </w:rPr>
      </w:pPr>
      <w:r>
        <w:rPr>
          <w:rFonts w:hint="eastAsia" w:ascii="楷体_GB2312" w:hAnsi="楷体_GB2312" w:eastAsia="楷体_GB2312" w:cs="楷体_GB2312"/>
        </w:rPr>
        <w:t>3.项目实施</w:t>
      </w:r>
    </w:p>
    <w:p w14:paraId="4B86D1F5">
      <w:pPr>
        <w:spacing w:line="578" w:lineRule="exact"/>
        <w:ind w:firstLine="652" w:firstLineChars="200"/>
        <w:rPr>
          <w:rFonts w:hint="eastAsia" w:ascii="仿宋_GB2312" w:hAnsi="仿宋_GB2312" w:eastAsia="仿宋_GB2312" w:cs="仿宋_GB2312"/>
        </w:rPr>
      </w:pPr>
      <w:r>
        <w:rPr>
          <w:rFonts w:hint="eastAsia" w:ascii="仿宋_GB2312" w:hAnsi="仿宋_GB2312" w:eastAsia="仿宋_GB2312" w:cs="仿宋_GB2312"/>
          <w:spacing w:val="3"/>
          <w:highlight w:val="none"/>
          <w:lang w:val="en-US" w:eastAsia="zh-CN"/>
        </w:rPr>
        <w:t>项目按照工作计划有序推进，各环节工作衔接顺畅。资金使用严格按照预算及规定用途拨付，审批手续齐全，无截留、挪用等违规情况。</w:t>
      </w:r>
    </w:p>
    <w:p w14:paraId="4FABD825">
      <w:pPr>
        <w:spacing w:line="578" w:lineRule="exact"/>
        <w:ind w:left="640" w:leftChars="200"/>
      </w:pPr>
      <w:r>
        <w:rPr>
          <w:rFonts w:hint="eastAsia" w:ascii="楷体_GB2312" w:hAnsi="楷体_GB2312" w:eastAsia="楷体_GB2312" w:cs="楷体_GB2312"/>
        </w:rPr>
        <w:t>4.项目结果</w:t>
      </w:r>
    </w:p>
    <w:p w14:paraId="7A09B42C">
      <w:pPr>
        <w:widowControl w:val="0"/>
        <w:spacing w:line="578" w:lineRule="exact"/>
        <w:ind w:firstLine="652" w:firstLineChars="200"/>
        <w:jc w:val="both"/>
        <w:rPr>
          <w:rFonts w:hint="eastAsia" w:ascii="仿宋_GB2312" w:hAnsi="仿宋_GB2312" w:eastAsia="仿宋_GB2312" w:cs="仿宋_GB2312"/>
          <w:spacing w:val="3"/>
          <w:kern w:val="2"/>
          <w:sz w:val="32"/>
          <w:szCs w:val="32"/>
          <w:highlight w:val="none"/>
          <w:lang w:val="zh-CN" w:eastAsia="zh-CN" w:bidi="ar-SA"/>
        </w:rPr>
      </w:pPr>
      <w:r>
        <w:rPr>
          <w:rFonts w:hint="eastAsia" w:ascii="仿宋_GB2312" w:hAnsi="仿宋_GB2312" w:eastAsia="仿宋_GB2312" w:cs="仿宋_GB2312"/>
          <w:spacing w:val="3"/>
          <w:kern w:val="2"/>
          <w:sz w:val="32"/>
          <w:szCs w:val="32"/>
          <w:highlight w:val="none"/>
          <w:lang w:val="en-US" w:eastAsia="zh-CN" w:bidi="ar-SA"/>
        </w:rPr>
        <w:t>目标完成方面，已完成复合种植推广6.3万亩、扩种油菜2.3万亩，合计8.6万亩，接近8.9万亩的目标；农机购置补贴相关设备已落实1300台，农机提灌站建设改造已完成5处，农业经营主体补贴已落实40户；任务落地落实质量符合要求，资金使用无重大违纪违规问题，群众满意度达90%；完成时效方面，各项工作均在年度内有序推进。按时完成了目标。</w:t>
      </w:r>
    </w:p>
    <w:p w14:paraId="4D638C1D">
      <w:pPr>
        <w:spacing w:line="578" w:lineRule="exact"/>
        <w:ind w:firstLine="643" w:firstLineChars="200"/>
        <w:rPr>
          <w:rFonts w:ascii="楷体_GB2312" w:hAnsi="楷体_GB2312" w:eastAsia="楷体_GB2312" w:cs="楷体_GB2312"/>
          <w:lang w:val="zh-CN"/>
        </w:rPr>
      </w:pPr>
      <w:r>
        <w:rPr>
          <w:rFonts w:hint="eastAsia" w:ascii="楷体_GB2312" w:hAnsi="宋体" w:eastAsia="楷体_GB2312"/>
          <w:b/>
          <w:lang w:val="zh-CN"/>
        </w:rPr>
        <w:t>（二）</w:t>
      </w:r>
      <w:r>
        <w:rPr>
          <w:rFonts w:hint="eastAsia" w:ascii="楷体_GB2312" w:hAnsi="宋体" w:eastAsia="楷体_GB2312"/>
          <w:b/>
        </w:rPr>
        <w:t>专用指标</w:t>
      </w:r>
      <w:r>
        <w:rPr>
          <w:rFonts w:eastAsia="楷体_GB2312"/>
          <w:b/>
          <w:bCs/>
          <w:color w:val="000000"/>
          <w:kern w:val="0"/>
          <w:shd w:val="clear" w:color="auto" w:fill="FFFFFF"/>
          <w:lang w:val="zh-CN"/>
        </w:rPr>
        <w:t>绩效分析</w:t>
      </w:r>
    </w:p>
    <w:p w14:paraId="3888A6A9">
      <w:pPr>
        <w:widowControl w:val="0"/>
        <w:spacing w:line="578" w:lineRule="exact"/>
        <w:ind w:firstLine="652" w:firstLineChars="200"/>
        <w:jc w:val="both"/>
        <w:rPr>
          <w:rFonts w:hint="eastAsia" w:ascii="仿宋_GB2312" w:hAnsi="仿宋_GB2312" w:eastAsia="仿宋_GB2312" w:cs="仿宋_GB2312"/>
          <w:spacing w:val="3"/>
          <w:kern w:val="2"/>
          <w:sz w:val="32"/>
          <w:szCs w:val="32"/>
          <w:highlight w:val="none"/>
          <w:lang w:val="zh-CN" w:eastAsia="zh-CN" w:bidi="ar-SA"/>
        </w:rPr>
      </w:pPr>
      <w:r>
        <w:rPr>
          <w:rFonts w:hint="eastAsia" w:ascii="仿宋_GB2312" w:hAnsi="仿宋_GB2312" w:eastAsia="仿宋_GB2312" w:cs="仿宋_GB2312"/>
          <w:spacing w:val="3"/>
          <w:kern w:val="2"/>
          <w:sz w:val="32"/>
          <w:szCs w:val="32"/>
          <w:highlight w:val="none"/>
          <w:lang w:val="en-US" w:eastAsia="zh-CN" w:bidi="ar-SA"/>
        </w:rPr>
        <w:t>在符合性方面，项目实施内容与</w:t>
      </w:r>
      <w:r>
        <w:rPr>
          <w:rFonts w:hint="eastAsia" w:ascii="仿宋_GB2312" w:hAnsi="仿宋_GB2312" w:cs="仿宋_GB2312"/>
          <w:spacing w:val="3"/>
          <w:kern w:val="2"/>
          <w:sz w:val="32"/>
          <w:szCs w:val="32"/>
          <w:highlight w:val="none"/>
          <w:lang w:val="en-US" w:eastAsia="zh-CN" w:bidi="ar-SA"/>
        </w:rPr>
        <w:t>省委、省政府</w:t>
      </w:r>
      <w:r>
        <w:rPr>
          <w:rFonts w:hint="eastAsia" w:ascii="仿宋_GB2312" w:hAnsi="仿宋_GB2312" w:eastAsia="仿宋_GB2312" w:cs="仿宋_GB2312"/>
          <w:spacing w:val="3"/>
          <w:kern w:val="2"/>
          <w:sz w:val="32"/>
          <w:szCs w:val="32"/>
          <w:highlight w:val="none"/>
          <w:lang w:val="en-US" w:eastAsia="zh-CN" w:bidi="ar-SA"/>
        </w:rPr>
        <w:t>支持粮油生产、推进农业机械化、培育农业经营主体等重点工作及农业产业支持政策高度契合，有效推动开江县农业产业转型升级；在成长性方面，通过项目支持，农业经营主体生产规模平均扩大15%，新技术应用率提升20%，创新能力和市场竞争力显著增强；在经济性方面，项目实施带动全县粮油产量预计增长8%，农业产业经济效益明显提升。</w:t>
      </w:r>
    </w:p>
    <w:p w14:paraId="3A938FD7">
      <w:pPr>
        <w:spacing w:line="578" w:lineRule="exact"/>
        <w:ind w:firstLine="640"/>
        <w:rPr>
          <w:rFonts w:hint="eastAsia" w:ascii="Segoe UI" w:hAnsi="Segoe UI" w:eastAsia="宋体" w:cs="Segoe UI"/>
          <w:i w:val="0"/>
          <w:iCs w:val="0"/>
          <w:caps w:val="0"/>
          <w:color w:val="1F2329"/>
          <w:spacing w:val="0"/>
          <w:sz w:val="24"/>
          <w:szCs w:val="24"/>
          <w:shd w:val="clear" w:fill="EFF0F1"/>
          <w:lang w:eastAsia="zh-CN"/>
        </w:rPr>
      </w:pPr>
      <w:r>
        <w:rPr>
          <w:rFonts w:hint="eastAsia" w:ascii="楷体_GB2312" w:hAnsi="宋体" w:eastAsia="楷体_GB2312"/>
          <w:b/>
          <w:lang w:val="zh-CN"/>
        </w:rPr>
        <w:t>（三）</w:t>
      </w:r>
      <w:r>
        <w:rPr>
          <w:rFonts w:hint="eastAsia" w:ascii="楷体_GB2312" w:hAnsi="宋体" w:eastAsia="楷体_GB2312"/>
          <w:b/>
        </w:rPr>
        <w:t>个性指标</w:t>
      </w:r>
      <w:r>
        <w:rPr>
          <w:rFonts w:eastAsia="楷体_GB2312"/>
          <w:b/>
          <w:bCs/>
          <w:color w:val="000000"/>
          <w:kern w:val="0"/>
          <w:shd w:val="clear" w:color="auto" w:fill="FFFFFF"/>
          <w:lang w:val="zh-CN"/>
        </w:rPr>
        <w:t>绩效分析</w:t>
      </w:r>
    </w:p>
    <w:p w14:paraId="60FCD41B">
      <w:pPr>
        <w:widowControl w:val="0"/>
        <w:spacing w:line="578" w:lineRule="exact"/>
        <w:ind w:firstLine="652" w:firstLineChars="200"/>
        <w:jc w:val="both"/>
        <w:rPr>
          <w:rFonts w:hint="eastAsia" w:ascii="Times New Roman" w:hAnsi="Times New Roman" w:eastAsia="仿宋" w:cs="Times New Roman"/>
          <w:spacing w:val="3"/>
          <w:kern w:val="2"/>
          <w:sz w:val="32"/>
          <w:szCs w:val="32"/>
          <w:highlight w:val="none"/>
          <w:lang w:val="en-US" w:eastAsia="zh-CN" w:bidi="ar-SA"/>
        </w:rPr>
      </w:pPr>
      <w:r>
        <w:rPr>
          <w:rFonts w:hint="eastAsia" w:ascii="仿宋_GB2312" w:hAnsi="仿宋_GB2312" w:eastAsia="仿宋_GB2312" w:cs="仿宋_GB2312"/>
          <w:spacing w:val="3"/>
          <w:kern w:val="2"/>
          <w:sz w:val="32"/>
          <w:szCs w:val="32"/>
          <w:highlight w:val="none"/>
          <w:lang w:val="en-US" w:eastAsia="zh-CN" w:bidi="ar-SA"/>
        </w:rPr>
        <w:t>一是“粮油种植技术普及率”，实际覆盖88%，通过技术指导提升了农户种植水平；二是“农机提灌站供水保障率”，目标为建成后供水保障率达95%，满足农业灌溉需求；三是“生产设施设备补贴完成率”达到了既定目标。</w:t>
      </w:r>
    </w:p>
    <w:p w14:paraId="31C7AE13">
      <w:pPr>
        <w:pStyle w:val="2"/>
        <w:spacing w:line="600" w:lineRule="exact"/>
        <w:ind w:firstLine="640" w:firstLineChars="200"/>
        <w:rPr>
          <w:rFonts w:ascii="黑体" w:hAnsi="宋体"/>
          <w:sz w:val="32"/>
          <w:szCs w:val="32"/>
          <w:lang w:eastAsia="zh-CN"/>
        </w:rPr>
      </w:pPr>
      <w:r>
        <w:rPr>
          <w:rFonts w:hint="eastAsia" w:ascii="黑体" w:hAnsi="宋体"/>
          <w:sz w:val="32"/>
          <w:szCs w:val="32"/>
          <w:lang w:eastAsia="zh-CN"/>
        </w:rPr>
        <w:t>四、评价结论</w:t>
      </w:r>
    </w:p>
    <w:p w14:paraId="3E6A2280">
      <w:pPr>
        <w:pStyle w:val="2"/>
        <w:spacing w:line="600" w:lineRule="exact"/>
        <w:ind w:firstLine="65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kern w:val="2"/>
          <w:position w:val="0"/>
          <w:sz w:val="32"/>
          <w:szCs w:val="32"/>
          <w:highlight w:val="none"/>
          <w:lang w:val="en-US" w:eastAsia="zh-CN" w:bidi="ar-SA"/>
        </w:rPr>
        <w:t>开江县农业农村局中央和省级财政农业相关转移支付资金专项预算项目绩效自评总分100分，评价等级为优秀。项目整体实施情况良好，各项工作有序推进，截至评价时，大部分绩效指标达到目标要求。复合种植推广、油菜扩种、农机购置补贴等工作进展顺利，资金使用规范，无重大违纪违规问题，群众满意度达90%。项目有效推动了开江县粮油生产稳定发展、农业机械化水平提升和农业经营主体能力增强，为全县农业高质量发展提供了有力支撑，圆满完成所有年度目标任务。</w:t>
      </w:r>
    </w:p>
    <w:p w14:paraId="1F4E8552">
      <w:pPr>
        <w:pStyle w:val="2"/>
        <w:spacing w:line="600" w:lineRule="exact"/>
        <w:ind w:firstLine="640" w:firstLineChars="200"/>
        <w:rPr>
          <w:rFonts w:hint="eastAsia" w:ascii="黑体" w:hAnsi="宋体"/>
          <w:sz w:val="32"/>
          <w:szCs w:val="32"/>
          <w:lang w:val="zh-CN" w:eastAsia="zh-CN"/>
        </w:rPr>
      </w:pPr>
      <w:r>
        <w:rPr>
          <w:rFonts w:hint="eastAsia" w:ascii="黑体" w:hAnsi="宋体"/>
          <w:sz w:val="32"/>
          <w:szCs w:val="32"/>
          <w:lang w:eastAsia="zh-CN"/>
        </w:rPr>
        <w:t>五、存在主要问题</w:t>
      </w:r>
      <w:r>
        <w:rPr>
          <w:rFonts w:hint="eastAsia" w:ascii="黑体" w:hAnsi="宋体"/>
          <w:sz w:val="32"/>
          <w:szCs w:val="32"/>
          <w:lang w:val="en-US" w:eastAsia="zh-CN"/>
        </w:rPr>
        <w:t>及</w:t>
      </w:r>
      <w:r>
        <w:rPr>
          <w:rFonts w:hint="eastAsia" w:ascii="黑体" w:hAnsi="宋体"/>
          <w:sz w:val="32"/>
          <w:szCs w:val="32"/>
          <w:lang w:val="zh-CN" w:eastAsia="zh-CN"/>
        </w:rPr>
        <w:t>改进建议</w:t>
      </w:r>
    </w:p>
    <w:p w14:paraId="557CA252">
      <w:pPr>
        <w:pStyle w:val="2"/>
        <w:spacing w:line="600" w:lineRule="exact"/>
        <w:ind w:firstLine="652" w:firstLineChars="200"/>
        <w:rPr>
          <w:rFonts w:hint="default" w:ascii="黑体" w:hAnsi="宋体"/>
          <w:sz w:val="32"/>
          <w:szCs w:val="32"/>
          <w:lang w:val="en-US" w:eastAsia="zh-CN"/>
        </w:rPr>
      </w:pPr>
      <w:r>
        <w:rPr>
          <w:rFonts w:hint="eastAsia" w:ascii="Times New Roman" w:hAnsi="Times New Roman" w:eastAsia="仿宋" w:cs="Times New Roman"/>
          <w:spacing w:val="3"/>
          <w:kern w:val="2"/>
          <w:position w:val="0"/>
          <w:sz w:val="32"/>
          <w:szCs w:val="32"/>
          <w:highlight w:val="none"/>
          <w:lang w:val="en-US" w:eastAsia="zh-CN" w:bidi="ar-SA"/>
        </w:rPr>
        <w:t>无。</w:t>
      </w:r>
    </w:p>
    <w:tbl>
      <w:tblPr>
        <w:tblStyle w:val="8"/>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1957EEE">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8AAA88F">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1751C9D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CF1D8">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7909B">
            <w:pPr>
              <w:spacing w:line="300" w:lineRule="exact"/>
              <w:rPr>
                <w:rFonts w:ascii="宋体" w:hAnsi="宋体" w:eastAsia="宋体" w:cs="宋体"/>
                <w:color w:val="000000"/>
                <w:sz w:val="22"/>
                <w:szCs w:val="22"/>
              </w:rPr>
            </w:pPr>
            <w:r>
              <w:rPr>
                <w:rFonts w:hint="eastAsia" w:ascii="宋体" w:hAnsi="宋体" w:eastAsia="宋体" w:cs="宋体"/>
                <w:color w:val="000000"/>
                <w:sz w:val="22"/>
                <w:szCs w:val="22"/>
              </w:rPr>
              <w:t>中央和省级财政农业相关转移支付资金</w:t>
            </w:r>
          </w:p>
        </w:tc>
      </w:tr>
      <w:tr w14:paraId="3B23341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E1B06">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7678F">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开江县农业农村局</w:t>
            </w:r>
          </w:p>
        </w:tc>
      </w:tr>
      <w:tr w14:paraId="115709AB">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67588">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8325B">
            <w:pPr>
              <w:spacing w:line="300" w:lineRule="exact"/>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长期</w:t>
            </w:r>
          </w:p>
        </w:tc>
      </w:tr>
      <w:tr w14:paraId="118038C2">
        <w:tblPrEx>
          <w:tblCellMar>
            <w:top w:w="15" w:type="dxa"/>
            <w:left w:w="15" w:type="dxa"/>
            <w:bottom w:w="15" w:type="dxa"/>
            <w:right w:w="15" w:type="dxa"/>
          </w:tblCellMar>
        </w:tblPrEx>
        <w:trPr>
          <w:trHeight w:val="545"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747A2">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BE5DB">
            <w:pPr>
              <w:widowControl/>
              <w:spacing w:line="300" w:lineRule="exact"/>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中长期规划（名称、文号，仅指</w:t>
            </w:r>
          </w:p>
          <w:p w14:paraId="1FE2CABB">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2187D">
            <w:pPr>
              <w:spacing w:line="300" w:lineRule="exact"/>
              <w:jc w:val="left"/>
              <w:rPr>
                <w:rFonts w:ascii="宋体" w:hAnsi="宋体" w:eastAsia="宋体" w:cs="宋体"/>
                <w:color w:val="000000"/>
                <w:sz w:val="22"/>
                <w:szCs w:val="22"/>
              </w:rPr>
            </w:pPr>
          </w:p>
        </w:tc>
      </w:tr>
      <w:tr w14:paraId="6FCF3CF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03C2">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DA48D">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D1AC9">
            <w:pPr>
              <w:spacing w:line="300" w:lineRule="exact"/>
              <w:jc w:val="left"/>
              <w:rPr>
                <w:rFonts w:ascii="宋体" w:hAnsi="宋体" w:eastAsia="宋体" w:cs="宋体"/>
                <w:color w:val="000000"/>
                <w:sz w:val="22"/>
                <w:szCs w:val="22"/>
              </w:rPr>
            </w:pPr>
            <w:r>
              <w:rPr>
                <w:rFonts w:hint="eastAsia" w:ascii="宋体" w:hAnsi="宋体" w:eastAsia="宋体" w:cs="宋体"/>
                <w:color w:val="000000"/>
                <w:sz w:val="22"/>
                <w:szCs w:val="22"/>
                <w:lang w:val="en-US" w:eastAsia="zh-CN"/>
              </w:rPr>
              <w:t xml:space="preserve">《农业相关转移支付资金管理办法》（财农〔2023〕 </w:t>
            </w:r>
          </w:p>
          <w:p w14:paraId="48801F0C">
            <w:pPr>
              <w:spacing w:line="300" w:lineRule="exact"/>
              <w:jc w:val="left"/>
              <w:rPr>
                <w:rFonts w:ascii="宋体" w:hAnsi="宋体" w:eastAsia="宋体" w:cs="宋体"/>
                <w:color w:val="000000"/>
                <w:sz w:val="22"/>
                <w:szCs w:val="22"/>
              </w:rPr>
            </w:pPr>
            <w:r>
              <w:rPr>
                <w:rFonts w:hint="eastAsia" w:ascii="宋体" w:hAnsi="宋体" w:eastAsia="宋体" w:cs="宋体"/>
                <w:color w:val="000000"/>
                <w:sz w:val="22"/>
                <w:szCs w:val="22"/>
                <w:lang w:val="en-US" w:eastAsia="zh-CN"/>
              </w:rPr>
              <w:t>11号）、《农业防灾减灾和水利救灾资金管理办法》（财农〔2023〕13号）、《四川省省级财政农业高质量发展共同财政事权转移支付资金管理办法》（川财农〔2023〕3号）等</w:t>
            </w:r>
          </w:p>
        </w:tc>
      </w:tr>
      <w:tr w14:paraId="518591E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A990">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D9FDE">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CC3C">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kern w:val="0"/>
                <w:sz w:val="22"/>
                <w:szCs w:val="22"/>
                <w:lang w:bidi="ar"/>
              </w:rPr>
              <w:t></w:t>
            </w:r>
            <w:r>
              <w:rPr>
                <w:rFonts w:ascii="宋体" w:hAnsi="宋体" w:eastAsia="宋体" w:cs="宋体"/>
                <w:color w:val="000000"/>
                <w:kern w:val="0"/>
                <w:sz w:val="22"/>
                <w:szCs w:val="22"/>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9E0E">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kern w:val="0"/>
                <w:sz w:val="22"/>
                <w:szCs w:val="22"/>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73AA">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kern w:val="0"/>
                <w:sz w:val="22"/>
                <w:szCs w:val="22"/>
                <w:lang w:bidi="ar"/>
              </w:rPr>
              <w:t></w:t>
            </w:r>
            <w:r>
              <w:rPr>
                <w:rFonts w:ascii="宋体" w:hAnsi="宋体" w:eastAsia="宋体" w:cs="宋体"/>
                <w:color w:val="000000"/>
                <w:kern w:val="0"/>
                <w:sz w:val="22"/>
                <w:szCs w:val="22"/>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40C">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kern w:val="0"/>
                <w:sz w:val="22"/>
                <w:szCs w:val="22"/>
                <w:lang w:bidi="ar"/>
              </w:rPr>
              <w:sym w:font="Wingdings 2" w:char="0052"/>
            </w:r>
            <w:r>
              <w:rPr>
                <w:rFonts w:ascii="宋体" w:hAnsi="宋体" w:eastAsia="宋体" w:cs="宋体"/>
                <w:color w:val="000000"/>
                <w:kern w:val="0"/>
                <w:sz w:val="22"/>
                <w:szCs w:val="22"/>
                <w:lang w:bidi="ar"/>
              </w:rPr>
              <w:t>因素法与项目法相结合</w:t>
            </w:r>
          </w:p>
        </w:tc>
      </w:tr>
      <w:tr w14:paraId="2F61FBD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5617">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96680">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79B6C">
            <w:pPr>
              <w:spacing w:line="300" w:lineRule="exact"/>
              <w:jc w:val="left"/>
              <w:rPr>
                <w:rFonts w:ascii="宋体" w:hAnsi="宋体" w:eastAsia="宋体" w:cs="宋体"/>
                <w:color w:val="000000"/>
                <w:sz w:val="22"/>
                <w:szCs w:val="22"/>
              </w:rPr>
            </w:pPr>
          </w:p>
        </w:tc>
      </w:tr>
      <w:tr w14:paraId="1AC2043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6123">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1A3B9">
            <w:pPr>
              <w:widowControl/>
              <w:spacing w:line="3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bidi="ar"/>
              </w:rPr>
              <w:t>适用范围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868EB">
            <w:pPr>
              <w:spacing w:line="300" w:lineRule="exact"/>
              <w:jc w:val="left"/>
              <w:rPr>
                <w:rFonts w:ascii="宋体" w:hAnsi="宋体" w:eastAsia="宋体" w:cs="宋体"/>
                <w:color w:val="000000"/>
                <w:sz w:val="22"/>
                <w:szCs w:val="22"/>
              </w:rPr>
            </w:pPr>
          </w:p>
        </w:tc>
      </w:tr>
      <w:tr w14:paraId="0FB102D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28DC">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6201F">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1BE3B">
            <w:pPr>
              <w:spacing w:line="300" w:lineRule="exact"/>
              <w:jc w:val="left"/>
              <w:rPr>
                <w:rFonts w:ascii="宋体" w:hAnsi="宋体" w:eastAsia="宋体" w:cs="宋体"/>
                <w:color w:val="000000"/>
                <w:sz w:val="22"/>
                <w:szCs w:val="22"/>
              </w:rPr>
            </w:pPr>
          </w:p>
        </w:tc>
      </w:tr>
      <w:tr w14:paraId="37CAF3E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4C4A">
            <w:pPr>
              <w:spacing w:line="300" w:lineRule="exact"/>
              <w:rPr>
                <w:rFonts w:ascii="宋体" w:hAnsi="宋体" w:eastAsia="宋体" w:cs="宋体"/>
                <w:color w:val="000000"/>
                <w:sz w:val="22"/>
                <w:szCs w:val="22"/>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5D64F">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BDB9A">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2024年至长期</w:t>
            </w:r>
          </w:p>
        </w:tc>
      </w:tr>
      <w:tr w14:paraId="2618294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4DD2C">
            <w:pPr>
              <w:widowControl/>
              <w:spacing w:line="300" w:lineRule="exact"/>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项目资金</w:t>
            </w:r>
          </w:p>
          <w:p w14:paraId="400C6E7E">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CB3C6">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DD114">
            <w:pPr>
              <w:spacing w:line="300" w:lineRule="exact"/>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7210.02</w:t>
            </w:r>
          </w:p>
        </w:tc>
      </w:tr>
      <w:tr w14:paraId="0257EB0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48A5">
            <w:pPr>
              <w:spacing w:line="300" w:lineRule="exact"/>
              <w:rPr>
                <w:rFonts w:ascii="宋体" w:hAnsi="宋体" w:eastAsia="宋体" w:cs="宋体"/>
                <w:color w:val="000000"/>
                <w:sz w:val="22"/>
                <w:szCs w:val="22"/>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25CEC">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bidi="ar"/>
              </w:rPr>
              <w:t xml:space="preserve"> </w:t>
            </w:r>
            <w:r>
              <w:rPr>
                <w:rFonts w:ascii="宋体" w:hAnsi="宋体" w:eastAsia="宋体" w:cs="宋体"/>
                <w:color w:val="000000"/>
                <w:kern w:val="0"/>
                <w:sz w:val="22"/>
                <w:szCs w:val="22"/>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D7F1E">
            <w:pPr>
              <w:spacing w:line="300" w:lineRule="exact"/>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7210.02</w:t>
            </w:r>
          </w:p>
        </w:tc>
      </w:tr>
      <w:tr w14:paraId="36499D3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7D4B">
            <w:pPr>
              <w:spacing w:line="300" w:lineRule="exact"/>
              <w:rPr>
                <w:rFonts w:ascii="宋体" w:hAnsi="宋体" w:eastAsia="宋体" w:cs="宋体"/>
                <w:color w:val="000000"/>
                <w:sz w:val="22"/>
                <w:szCs w:val="22"/>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24CA4">
            <w:pPr>
              <w:widowControl/>
              <w:spacing w:line="300" w:lineRule="exact"/>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ECD95">
            <w:pPr>
              <w:spacing w:line="300" w:lineRule="exact"/>
              <w:jc w:val="right"/>
              <w:rPr>
                <w:rFonts w:ascii="宋体" w:hAnsi="宋体" w:eastAsia="宋体" w:cs="宋体"/>
                <w:color w:val="000000"/>
                <w:sz w:val="22"/>
                <w:szCs w:val="22"/>
              </w:rPr>
            </w:pPr>
          </w:p>
        </w:tc>
      </w:tr>
      <w:tr w14:paraId="5A4ADF1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B7529">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37105">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年度目标</w:t>
            </w:r>
          </w:p>
        </w:tc>
      </w:tr>
      <w:tr w14:paraId="3434D8A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7627">
            <w:pPr>
              <w:spacing w:line="300" w:lineRule="exact"/>
              <w:rPr>
                <w:rFonts w:ascii="宋体" w:hAnsi="宋体" w:eastAsia="宋体" w:cs="宋体"/>
                <w:color w:val="000000"/>
                <w:sz w:val="22"/>
                <w:szCs w:val="22"/>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43CF8E">
            <w:pPr>
              <w:spacing w:line="300" w:lineRule="exact"/>
              <w:rPr>
                <w:rFonts w:ascii="宋体" w:hAnsi="宋体" w:eastAsia="宋体" w:cs="宋体"/>
                <w:color w:val="000000"/>
                <w:sz w:val="22"/>
                <w:szCs w:val="22"/>
              </w:rPr>
            </w:pPr>
            <w:r>
              <w:rPr>
                <w:rFonts w:hint="default" w:ascii="宋体" w:hAnsi="宋体" w:eastAsia="宋体" w:cs="宋体"/>
                <w:color w:val="000000"/>
                <w:sz w:val="22"/>
                <w:szCs w:val="22"/>
                <w:lang w:val="en-US" w:eastAsia="zh-CN"/>
              </w:rPr>
              <w:t>确保中央和省级财政农业相关转移支付资金更好地服务于开江县农业高质量发展和乡村振兴战略实施。</w:t>
            </w:r>
          </w:p>
        </w:tc>
      </w:tr>
      <w:tr w14:paraId="60F41683">
        <w:tblPrEx>
          <w:tblCellMar>
            <w:top w:w="15" w:type="dxa"/>
            <w:left w:w="15" w:type="dxa"/>
            <w:bottom w:w="15" w:type="dxa"/>
            <w:right w:w="15" w:type="dxa"/>
          </w:tblCellMar>
        </w:tblPrEx>
        <w:trPr>
          <w:trHeight w:val="500"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4004803">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376">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6D2">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AA73">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AE2D">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A32">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0B7">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5942">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1637">
            <w:pPr>
              <w:widowControl/>
              <w:spacing w:line="300" w:lineRule="exact"/>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实际完成指标值</w:t>
            </w:r>
          </w:p>
        </w:tc>
      </w:tr>
      <w:tr w14:paraId="3EE25754">
        <w:tblPrEx>
          <w:tblCellMar>
            <w:top w:w="15" w:type="dxa"/>
            <w:left w:w="15" w:type="dxa"/>
            <w:bottom w:w="15" w:type="dxa"/>
            <w:right w:w="15" w:type="dxa"/>
          </w:tblCellMar>
        </w:tblPrEx>
        <w:trPr>
          <w:trHeight w:val="98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EFD586">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0CCACDDE">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E04D">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2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完成复合种植推广6.5万亩扩种油菜2.4万亩</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9544">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454">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19F">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万亩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147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CC0">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ascii="宋体" w:hAnsi="宋体" w:eastAsia="宋体" w:cs="宋体"/>
                <w:color w:val="000000"/>
                <w:sz w:val="24"/>
                <w:szCs w:val="24"/>
              </w:rPr>
            </w:pPr>
            <w:r>
              <w:rPr>
                <w:rFonts w:hint="eastAsia" w:asciiTheme="minorEastAsia" w:hAnsiTheme="minorEastAsia" w:eastAsiaTheme="minorEastAsia" w:cstheme="minorEastAsia"/>
                <w:i w:val="0"/>
                <w:iCs w:val="0"/>
                <w:color w:val="000000"/>
                <w:kern w:val="0"/>
                <w:sz w:val="20"/>
                <w:szCs w:val="20"/>
                <w:u w:val="none"/>
                <w:lang w:val="en-US" w:eastAsia="zh-CN" w:bidi="ar"/>
              </w:rPr>
              <w:t>8.9</w:t>
            </w:r>
          </w:p>
        </w:tc>
      </w:tr>
      <w:tr w14:paraId="037C80C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A8CFF63">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14:paraId="70D05C4B">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32B0">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9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农机购置补贴、农机提灌站建设改造7处、农业经营主体能力提升粮油单产及生产设施设备提升补贴30-50户</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9C3">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D90">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1391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7C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B17">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72E">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ascii="宋体" w:hAnsi="宋体" w:eastAsia="宋体" w:cs="宋体"/>
                <w:color w:val="000000"/>
                <w:sz w:val="24"/>
                <w:szCs w:val="24"/>
              </w:rPr>
            </w:pPr>
            <w:r>
              <w:rPr>
                <w:rFonts w:hint="eastAsia" w:asciiTheme="minorEastAsia" w:hAnsiTheme="minorEastAsia" w:eastAsiaTheme="minorEastAsia" w:cstheme="minorEastAsia"/>
                <w:i w:val="0"/>
                <w:iCs w:val="0"/>
                <w:color w:val="000000"/>
                <w:kern w:val="0"/>
                <w:sz w:val="20"/>
                <w:szCs w:val="20"/>
                <w:u w:val="none"/>
                <w:lang w:val="en-US" w:eastAsia="zh-CN" w:bidi="ar"/>
              </w:rPr>
              <w:t>1391</w:t>
            </w:r>
          </w:p>
        </w:tc>
      </w:tr>
      <w:tr w14:paraId="7F2CCDB1">
        <w:tblPrEx>
          <w:tblCellMar>
            <w:top w:w="15" w:type="dxa"/>
            <w:left w:w="15" w:type="dxa"/>
            <w:bottom w:w="15" w:type="dxa"/>
            <w:right w:w="15" w:type="dxa"/>
          </w:tblCellMar>
        </w:tblPrEx>
        <w:trPr>
          <w:trHeight w:val="549"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10F71ED">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14:paraId="2E25F4B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0FB">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E2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确保任务落地落实</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C1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9824">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FA4">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58A5">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7858">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ascii="宋体" w:hAnsi="宋体" w:eastAsia="宋体" w:cs="宋体"/>
                <w:color w:val="000000"/>
                <w:sz w:val="24"/>
                <w:szCs w:val="24"/>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14:paraId="74ED7ADE">
        <w:tblPrEx>
          <w:tblCellMar>
            <w:top w:w="15" w:type="dxa"/>
            <w:left w:w="15" w:type="dxa"/>
            <w:bottom w:w="15" w:type="dxa"/>
            <w:right w:w="15" w:type="dxa"/>
          </w:tblCellMar>
        </w:tblPrEx>
        <w:trPr>
          <w:trHeight w:val="38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A4560F2">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14:paraId="4C56659C">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F811">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4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任务完成时效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4E62">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DE3D">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E91">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306">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BB1E">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ascii="宋体" w:hAnsi="宋体" w:eastAsia="宋体" w:cs="宋体"/>
                <w:color w:val="000000"/>
                <w:sz w:val="24"/>
                <w:szCs w:val="24"/>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9ED2E81">
        <w:tblPrEx>
          <w:tblCellMar>
            <w:top w:w="15" w:type="dxa"/>
            <w:left w:w="15" w:type="dxa"/>
            <w:bottom w:w="15" w:type="dxa"/>
            <w:right w:w="15" w:type="dxa"/>
          </w:tblCellMar>
        </w:tblPrEx>
        <w:trPr>
          <w:trHeight w:val="68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296D3D2">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887">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6DA">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B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资金使用无重大违纪违规问题发生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D020">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8A1">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0388">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8F78">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5287">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ascii="宋体" w:hAnsi="宋体" w:eastAsia="宋体" w:cs="宋体"/>
                <w:color w:val="000000"/>
                <w:sz w:val="24"/>
                <w:szCs w:val="24"/>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14:paraId="29D5FD25">
        <w:tblPrEx>
          <w:tblCellMar>
            <w:top w:w="15" w:type="dxa"/>
            <w:left w:w="15" w:type="dxa"/>
            <w:bottom w:w="15" w:type="dxa"/>
            <w:right w:w="15" w:type="dxa"/>
          </w:tblCellMar>
        </w:tblPrEx>
        <w:trPr>
          <w:trHeight w:val="609"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B25A5E6">
            <w:pPr>
              <w:keepNext w:val="0"/>
              <w:keepLines w:val="0"/>
              <w:pageBreakBefore w:val="0"/>
              <w:kinsoku/>
              <w:wordWrap/>
              <w:overflowPunct/>
              <w:topLinePunct w:val="0"/>
              <w:autoSpaceDE/>
              <w:autoSpaceDN/>
              <w:bidi w:val="0"/>
              <w:adjustRightInd/>
              <w:snapToGrid/>
              <w:spacing w:line="192" w:lineRule="auto"/>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AC4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8A99">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4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045">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6E9B">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0EAD">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D0">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AF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color w:val="000000"/>
                <w:sz w:val="24"/>
                <w:szCs w:val="24"/>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90</w:t>
            </w:r>
          </w:p>
        </w:tc>
      </w:tr>
    </w:tbl>
    <w:p w14:paraId="07952BC5">
      <w:pPr>
        <w:pStyle w:val="7"/>
        <w:keepNext w:val="0"/>
        <w:keepLines w:val="0"/>
        <w:pageBreakBefore w:val="0"/>
        <w:kinsoku/>
        <w:wordWrap/>
        <w:overflowPunct/>
        <w:topLinePunct w:val="0"/>
        <w:autoSpaceDE/>
        <w:autoSpaceDN/>
        <w:bidi w:val="0"/>
        <w:adjustRightInd/>
        <w:snapToGrid/>
        <w:spacing w:after="0" w:line="192" w:lineRule="auto"/>
        <w:ind w:left="0" w:leftChars="0" w:firstLine="0" w:firstLineChars="0"/>
        <w:rPr>
          <w:rFonts w:ascii="黑体" w:hAnsi="黑体" w:eastAsia="黑体" w:cs="黑体"/>
          <w:sz w:val="24"/>
          <w:szCs w:val="24"/>
        </w:rPr>
      </w:pPr>
    </w:p>
    <w:sectPr>
      <w:footerReference r:id="rId3" w:type="default"/>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22EB9A-8120-48C4-81B1-526CAACD54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EAE99B8-DD52-459D-8CEE-54C392B0303B}"/>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A7D207C4-A9E4-4FAA-8FC1-B6F18A2E8F95}"/>
  </w:font>
  <w:font w:name="仿宋">
    <w:panose1 w:val="02010609060101010101"/>
    <w:charset w:val="86"/>
    <w:family w:val="auto"/>
    <w:pitch w:val="default"/>
    <w:sig w:usb0="800002BF" w:usb1="38CF7CFA" w:usb2="00000016" w:usb3="00000000" w:csb0="00040001" w:csb1="00000000"/>
    <w:embedRegular r:id="rId4" w:fontKey="{12BC8527-B014-42D7-B3F5-186C7C94B5D1}"/>
  </w:font>
  <w:font w:name="楷体_GB2312">
    <w:altName w:val="楷体"/>
    <w:panose1 w:val="02010609030101010101"/>
    <w:charset w:val="86"/>
    <w:family w:val="auto"/>
    <w:pitch w:val="default"/>
    <w:sig w:usb0="00000000" w:usb1="00000000" w:usb2="00000000" w:usb3="00000000" w:csb0="00040000" w:csb1="00000000"/>
    <w:embedRegular r:id="rId5" w:fontKey="{521B4E8B-1F3E-4473-8158-4AFE45E33FA7}"/>
  </w:font>
  <w:font w:name="楷体">
    <w:panose1 w:val="02010609060101010101"/>
    <w:charset w:val="86"/>
    <w:family w:val="auto"/>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embedRegular r:id="rId6" w:fontKey="{EEBC397A-40C5-4B5B-A0E5-184D15AA8C42}"/>
  </w:font>
  <w:font w:name="Wingdings 2">
    <w:panose1 w:val="05020102010507070707"/>
    <w:charset w:val="02"/>
    <w:family w:val="roman"/>
    <w:pitch w:val="default"/>
    <w:sig w:usb0="00000000" w:usb1="00000000" w:usb2="00000000" w:usb3="00000000" w:csb0="80000000" w:csb1="00000000"/>
    <w:embedRegular r:id="rId7" w:fontKey="{90DF6C3C-1C48-4722-AF7A-5AC3816581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56D7">
    <w:pPr>
      <w:pStyle w:val="4"/>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1D1D0">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91D1D0">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NTMzY2FmZTc3ZjcyYjZiYmY0NTg0N2M2NWMwMDUifQ=="/>
  </w:docVars>
  <w:rsids>
    <w:rsidRoot w:val="771D4D51"/>
    <w:rsid w:val="003C2A82"/>
    <w:rsid w:val="004132FF"/>
    <w:rsid w:val="004D0ED0"/>
    <w:rsid w:val="00B271F2"/>
    <w:rsid w:val="18B04FBB"/>
    <w:rsid w:val="1A4F331C"/>
    <w:rsid w:val="1B58213F"/>
    <w:rsid w:val="1C25106F"/>
    <w:rsid w:val="1CFD8DF6"/>
    <w:rsid w:val="1FFF9AD9"/>
    <w:rsid w:val="22AD555F"/>
    <w:rsid w:val="26CF2DB3"/>
    <w:rsid w:val="29DB78A0"/>
    <w:rsid w:val="2AF86ED7"/>
    <w:rsid w:val="2AFDF212"/>
    <w:rsid w:val="2B385C88"/>
    <w:rsid w:val="2B6BF484"/>
    <w:rsid w:val="2FFF7DE7"/>
    <w:rsid w:val="32851613"/>
    <w:rsid w:val="33F748AD"/>
    <w:rsid w:val="35874596"/>
    <w:rsid w:val="3595168F"/>
    <w:rsid w:val="35F2A362"/>
    <w:rsid w:val="36EA2AC9"/>
    <w:rsid w:val="371A51D2"/>
    <w:rsid w:val="373BBD0C"/>
    <w:rsid w:val="39BFEDBA"/>
    <w:rsid w:val="39DBABD8"/>
    <w:rsid w:val="3AED12ED"/>
    <w:rsid w:val="3AFF6A5D"/>
    <w:rsid w:val="3BDD34D2"/>
    <w:rsid w:val="3BDDFF97"/>
    <w:rsid w:val="3BFFD43B"/>
    <w:rsid w:val="3C7BD5C9"/>
    <w:rsid w:val="3FBF9251"/>
    <w:rsid w:val="3FED766E"/>
    <w:rsid w:val="3FFEEAD9"/>
    <w:rsid w:val="3FFFE931"/>
    <w:rsid w:val="457F07F2"/>
    <w:rsid w:val="4B6978CC"/>
    <w:rsid w:val="4CC6FDBD"/>
    <w:rsid w:val="4E07F45D"/>
    <w:rsid w:val="4F1D2EA8"/>
    <w:rsid w:val="4FF59AF5"/>
    <w:rsid w:val="503D00E8"/>
    <w:rsid w:val="509E2860"/>
    <w:rsid w:val="50DF7374"/>
    <w:rsid w:val="5522675B"/>
    <w:rsid w:val="55FE10A2"/>
    <w:rsid w:val="56EF6619"/>
    <w:rsid w:val="57AF1E73"/>
    <w:rsid w:val="5AB21C33"/>
    <w:rsid w:val="5B778EC0"/>
    <w:rsid w:val="5BFD93EC"/>
    <w:rsid w:val="5CBA8FF2"/>
    <w:rsid w:val="5D5F7E21"/>
    <w:rsid w:val="5F5B35E4"/>
    <w:rsid w:val="609FA7B0"/>
    <w:rsid w:val="69FCE5E7"/>
    <w:rsid w:val="6BCDA9CC"/>
    <w:rsid w:val="6D9F2765"/>
    <w:rsid w:val="6DB508E5"/>
    <w:rsid w:val="6DDFA6BD"/>
    <w:rsid w:val="6E767ACE"/>
    <w:rsid w:val="6E781687"/>
    <w:rsid w:val="6EEE3ED1"/>
    <w:rsid w:val="6EFFED40"/>
    <w:rsid w:val="6F1B2166"/>
    <w:rsid w:val="6F5FC1DE"/>
    <w:rsid w:val="6FB3E1FD"/>
    <w:rsid w:val="6FD768E4"/>
    <w:rsid w:val="6FF341F1"/>
    <w:rsid w:val="6FFEBD86"/>
    <w:rsid w:val="73FF1F09"/>
    <w:rsid w:val="73FF684B"/>
    <w:rsid w:val="74A708C5"/>
    <w:rsid w:val="76DFCB7D"/>
    <w:rsid w:val="771D4D51"/>
    <w:rsid w:val="7735A28E"/>
    <w:rsid w:val="77778F6D"/>
    <w:rsid w:val="77ABFD6B"/>
    <w:rsid w:val="77B7A121"/>
    <w:rsid w:val="77C748BA"/>
    <w:rsid w:val="77DD24F1"/>
    <w:rsid w:val="77F10335"/>
    <w:rsid w:val="77F7E860"/>
    <w:rsid w:val="77FB8D34"/>
    <w:rsid w:val="78087735"/>
    <w:rsid w:val="797D0128"/>
    <w:rsid w:val="79EDB415"/>
    <w:rsid w:val="7ABBCDAB"/>
    <w:rsid w:val="7AFCAD25"/>
    <w:rsid w:val="7AFEB9B4"/>
    <w:rsid w:val="7B5E0C37"/>
    <w:rsid w:val="7B63F034"/>
    <w:rsid w:val="7B735637"/>
    <w:rsid w:val="7B7DE504"/>
    <w:rsid w:val="7BAF4D31"/>
    <w:rsid w:val="7BFEC4F8"/>
    <w:rsid w:val="7DA14F75"/>
    <w:rsid w:val="7DB57A61"/>
    <w:rsid w:val="7DC7DC1F"/>
    <w:rsid w:val="7DF95E12"/>
    <w:rsid w:val="7DFDF40F"/>
    <w:rsid w:val="7DFF9BC7"/>
    <w:rsid w:val="7EB645E3"/>
    <w:rsid w:val="7EB6B7AB"/>
    <w:rsid w:val="7EDEF702"/>
    <w:rsid w:val="7EFD6908"/>
    <w:rsid w:val="7EFF8787"/>
    <w:rsid w:val="7F1C270D"/>
    <w:rsid w:val="7F5F4807"/>
    <w:rsid w:val="7F722518"/>
    <w:rsid w:val="7F7CF90E"/>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3">
    <w:name w:val="Body Text Indent"/>
    <w:basedOn w:val="1"/>
    <w:qFormat/>
    <w:uiPriority w:val="0"/>
    <w:pPr>
      <w:spacing w:after="120"/>
      <w:ind w:left="200" w:leftChars="200"/>
    </w:pPr>
    <w:rPr>
      <w:rFonts w:ascii="仿宋_GB2312"/>
    </w:rPr>
  </w:style>
  <w:style w:type="paragraph" w:styleId="4">
    <w:name w:val="footer"/>
    <w:basedOn w:val="1"/>
    <w:unhideWhenUsed/>
    <w:qFormat/>
    <w:uiPriority w:val="99"/>
    <w:pPr>
      <w:tabs>
        <w:tab w:val="center" w:pos="4153"/>
        <w:tab w:val="right" w:pos="8306"/>
      </w:tabs>
      <w:snapToGrid w:val="0"/>
      <w:jc w:val="left"/>
    </w:pPr>
    <w:rPr>
      <w:sz w:val="18"/>
      <w:szCs w:val="18"/>
      <w:lang w:val="zh-CN"/>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6">
    <w:name w:val="toc 1"/>
    <w:basedOn w:val="1"/>
    <w:next w:val="1"/>
    <w:qFormat/>
    <w:uiPriority w:val="0"/>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4783</Words>
  <Characters>4987</Characters>
  <Lines>20</Lines>
  <Paragraphs>5</Paragraphs>
  <TotalTime>3</TotalTime>
  <ScaleCrop>false</ScaleCrop>
  <LinksUpToDate>false</LinksUpToDate>
  <CharactersWithSpaces>5012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2020-07-11T08:13:00Z</dcterms:created>
  <dc:creator>Administrator</dc:creator>
  <cp:lastModifiedBy>鱼吹</cp:lastModifiedBy>
  <cp:lastPrinted>2016-02-12T11:32:00Z</cp:lastPrinted>
  <dcterms:modified xsi:type="dcterms:W3CDTF">2025-10-11T08:56:31Z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FD211335466347B08EE2F80B99B90247_12</vt:lpwstr>
  </property>
  <property fmtid="{D5CDD505-2E9C-101B-9397-08002B2CF9AE}" pid="4" name="KSOTemplateDocerSaveRecord">
    <vt:lpwstr>eyJoZGlkIjoiYmUzMDczM2IzYWM5ZGQ3ZDJiNTcwNTFkNDliOTZhN2UiLCJ1c2VySWQiOiI5NjU0NjM4OTkifQ==</vt:lpwstr>
  </property>
</Properties>
</file>