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sz w:val="72"/>
          <w:szCs w:val="72"/>
        </w:rPr>
      </w:pPr>
      <w:bookmarkStart w:id="0" w:name="_Toc15396475"/>
      <w:bookmarkStart w:id="1" w:name="_Toc15378441"/>
      <w:bookmarkStart w:id="2" w:name="_Toc15377425"/>
      <w:bookmarkStart w:id="3" w:name="_Toc15396597"/>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598"/>
      <w:bookmarkStart w:id="8" w:name="_Toc15377194"/>
      <w:bookmarkStart w:id="9" w:name="_Toc15396476"/>
      <w:bookmarkStart w:id="10" w:name="_Toc15377426"/>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rPr>
        <w:t>达州市开江县妇幼保健计划生育服务中心</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w:t>
      </w:r>
      <w:r>
        <w:t>9</w:t>
      </w:r>
      <w:r>
        <w:rPr>
          <w:rFonts w:hint="eastAsia"/>
        </w:rPr>
        <w:t>月29日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 2021年度部门决算情况说明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5"/>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ind w:firstLine="640" w:firstLineChars="200"/>
        <w:rPr>
          <w:rStyle w:val="25"/>
          <w:rFonts w:ascii="仿宋" w:hAnsi="仿宋" w:eastAsia="仿宋"/>
          <w:b w:val="0"/>
          <w:bCs w:val="0"/>
        </w:rPr>
      </w:pPr>
      <w:bookmarkStart w:id="14" w:name="_Toc15396600"/>
      <w:bookmarkStart w:id="15" w:name="_Toc15377197"/>
      <w:r>
        <w:rPr>
          <w:rFonts w:hint="eastAsia" w:ascii="黑体" w:hAnsi="黑体" w:eastAsia="黑体"/>
          <w:b w:val="0"/>
        </w:rPr>
        <w:t>一、基</w:t>
      </w:r>
      <w:r>
        <w:rPr>
          <w:rStyle w:val="25"/>
          <w:rFonts w:hint="eastAsia" w:ascii="黑体" w:hAnsi="黑体" w:eastAsia="黑体"/>
          <w:b w:val="0"/>
          <w:bCs w:val="0"/>
        </w:rPr>
        <w:t>本职能及主要工作</w:t>
      </w:r>
      <w:bookmarkEnd w:id="14"/>
      <w:bookmarkEnd w:id="15"/>
    </w:p>
    <w:p>
      <w:pPr>
        <w:pStyle w:val="2"/>
        <w:adjustRightInd w:val="0"/>
        <w:snapToGrid w:val="0"/>
        <w:spacing w:before="93" w:line="600" w:lineRule="exact"/>
        <w:ind w:firstLine="643" w:firstLineChars="200"/>
        <w:outlineLvl w:val="2"/>
        <w:rPr>
          <w:rFonts w:ascii="仿宋" w:hAnsi="仿宋" w:eastAsia="仿宋"/>
          <w:bCs/>
          <w:sz w:val="32"/>
          <w:szCs w:val="32"/>
        </w:rPr>
      </w:pPr>
      <w:bookmarkStart w:id="16" w:name="_Toc15378445"/>
      <w:bookmarkStart w:id="17" w:name="_Toc15377198"/>
      <w:r>
        <w:rPr>
          <w:rFonts w:hint="eastAsia" w:ascii="仿宋" w:hAnsi="仿宋" w:eastAsia="仿宋"/>
          <w:b/>
          <w:bCs w:val="0"/>
          <w:sz w:val="32"/>
          <w:szCs w:val="32"/>
        </w:rPr>
        <w:t>（一）主要职能</w:t>
      </w:r>
      <w:r>
        <w:rPr>
          <w:rFonts w:hint="eastAsia" w:ascii="仿宋" w:hAnsi="仿宋" w:eastAsia="仿宋"/>
          <w:bCs/>
          <w:sz w:val="32"/>
          <w:szCs w:val="32"/>
        </w:rPr>
        <w:t>。</w:t>
      </w:r>
      <w:bookmarkEnd w:id="16"/>
      <w:bookmarkEnd w:id="17"/>
      <w:r>
        <w:rPr>
          <w:rFonts w:hint="eastAsia" w:ascii="仿宋" w:hAnsi="仿宋" w:eastAsia="仿宋"/>
          <w:bCs/>
          <w:sz w:val="32"/>
          <w:szCs w:val="32"/>
        </w:rPr>
        <w:t>我院是集保健、医疗、教学为一体的国家二级甲等妇幼保健院、妇女儿童医院、国际爱婴医院，属财政全额拨款事业单位，承担着全县40余万妇女儿童的妇幼保健任务，是全县妇幼保健计划生育技术指导和业务培训中心。</w:t>
      </w:r>
    </w:p>
    <w:p>
      <w:pPr>
        <w:pStyle w:val="2"/>
        <w:adjustRightInd w:val="0"/>
        <w:snapToGrid w:val="0"/>
        <w:spacing w:before="93" w:line="600" w:lineRule="exact"/>
        <w:ind w:firstLine="675" w:firstLineChars="210"/>
        <w:outlineLvl w:val="2"/>
        <w:rPr>
          <w:rFonts w:ascii="仿宋" w:hAnsi="仿宋" w:eastAsia="仿宋"/>
          <w:bCs/>
          <w:sz w:val="32"/>
          <w:szCs w:val="32"/>
        </w:rPr>
      </w:pPr>
      <w:bookmarkStart w:id="18" w:name="_Toc15377199"/>
      <w:bookmarkStart w:id="19" w:name="_Toc15378446"/>
      <w:r>
        <w:rPr>
          <w:rFonts w:hint="eastAsia" w:ascii="仿宋" w:hAnsi="仿宋" w:eastAsia="仿宋"/>
          <w:b/>
          <w:bCs w:val="0"/>
          <w:sz w:val="32"/>
          <w:szCs w:val="32"/>
        </w:rPr>
        <w:t>（二）</w:t>
      </w:r>
      <w:r>
        <w:rPr>
          <w:rFonts w:ascii="仿宋" w:hAnsi="仿宋" w:eastAsia="仿宋"/>
          <w:b/>
          <w:bCs w:val="0"/>
          <w:sz w:val="32"/>
          <w:szCs w:val="32"/>
        </w:rPr>
        <w:t>20</w:t>
      </w:r>
      <w:r>
        <w:rPr>
          <w:rFonts w:hint="eastAsia" w:ascii="仿宋" w:hAnsi="仿宋" w:eastAsia="仿宋"/>
          <w:b/>
          <w:bCs w:val="0"/>
          <w:sz w:val="32"/>
          <w:szCs w:val="32"/>
        </w:rPr>
        <w:t>21年重点工作完成情况</w:t>
      </w:r>
      <w:r>
        <w:rPr>
          <w:rFonts w:hint="eastAsia" w:ascii="仿宋" w:hAnsi="仿宋" w:eastAsia="仿宋"/>
          <w:bCs/>
          <w:sz w:val="32"/>
          <w:szCs w:val="32"/>
        </w:rPr>
        <w:t>。</w:t>
      </w:r>
      <w:bookmarkEnd w:id="18"/>
      <w:bookmarkEnd w:id="19"/>
    </w:p>
    <w:p>
      <w:pPr>
        <w:pStyle w:val="2"/>
        <w:adjustRightInd w:val="0"/>
        <w:snapToGrid w:val="0"/>
        <w:spacing w:before="93" w:line="600" w:lineRule="exact"/>
        <w:ind w:firstLine="640" w:firstLineChars="200"/>
        <w:outlineLvl w:val="2"/>
        <w:rPr>
          <w:rFonts w:ascii="仿宋" w:hAnsi="仿宋" w:eastAsia="仿宋"/>
          <w:bCs/>
          <w:sz w:val="32"/>
          <w:szCs w:val="32"/>
          <w:lang w:val="zh-TW"/>
        </w:rPr>
      </w:pPr>
      <w:r>
        <w:rPr>
          <w:rFonts w:hint="eastAsia" w:ascii="仿宋" w:hAnsi="仿宋" w:eastAsia="仿宋"/>
          <w:bCs/>
          <w:sz w:val="32"/>
          <w:szCs w:val="32"/>
          <w:lang w:val="en-US" w:eastAsia="zh-CN"/>
        </w:rPr>
        <w:t>1</w:t>
      </w:r>
      <w:r>
        <w:rPr>
          <w:rFonts w:hint="eastAsia" w:ascii="仿宋" w:hAnsi="仿宋" w:eastAsia="仿宋"/>
          <w:bCs/>
          <w:sz w:val="32"/>
          <w:szCs w:val="32"/>
        </w:rPr>
        <w:t>、抓实</w:t>
      </w:r>
      <w:r>
        <w:rPr>
          <w:rFonts w:hint="eastAsia" w:ascii="仿宋" w:hAnsi="仿宋" w:eastAsia="仿宋"/>
          <w:bCs/>
          <w:sz w:val="32"/>
          <w:szCs w:val="32"/>
          <w:lang w:val="zh-TW"/>
        </w:rPr>
        <w:t>妇幼卫生工作</w:t>
      </w:r>
    </w:p>
    <w:p>
      <w:pPr>
        <w:pStyle w:val="2"/>
        <w:adjustRightInd w:val="0"/>
        <w:snapToGrid w:val="0"/>
        <w:spacing w:before="93" w:line="600" w:lineRule="exact"/>
        <w:ind w:firstLine="640" w:firstLineChars="200"/>
        <w:outlineLvl w:val="2"/>
        <w:rPr>
          <w:rFonts w:ascii="仿宋" w:hAnsi="仿宋" w:eastAsia="仿宋"/>
          <w:b w:val="0"/>
          <w:bCs/>
          <w:sz w:val="32"/>
          <w:szCs w:val="32"/>
          <w:lang w:val="zh-TW"/>
        </w:rPr>
      </w:pP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1</w:t>
      </w:r>
      <w:r>
        <w:rPr>
          <w:rFonts w:hint="eastAsia" w:ascii="仿宋" w:hAnsi="仿宋" w:eastAsia="仿宋"/>
          <w:b w:val="0"/>
          <w:bCs w:val="0"/>
          <w:sz w:val="32"/>
          <w:szCs w:val="32"/>
        </w:rPr>
        <w:t>）妇幼公共卫生职能加强</w:t>
      </w:r>
      <w:r>
        <w:rPr>
          <w:rFonts w:ascii="仿宋" w:hAnsi="仿宋" w:eastAsia="仿宋"/>
          <w:b w:val="0"/>
          <w:bCs w:val="0"/>
          <w:sz w:val="32"/>
          <w:szCs w:val="32"/>
        </w:rPr>
        <w:t>。</w:t>
      </w:r>
      <w:r>
        <w:rPr>
          <w:rFonts w:hint="eastAsia" w:ascii="仿宋" w:hAnsi="仿宋" w:eastAsia="仿宋"/>
          <w:b w:val="0"/>
          <w:bCs w:val="0"/>
          <w:sz w:val="32"/>
          <w:szCs w:val="32"/>
        </w:rPr>
        <w:t>一是强化两个系统管理，不断提高管理质量。认真开</w:t>
      </w:r>
      <w:r>
        <w:rPr>
          <w:rFonts w:hint="eastAsia" w:ascii="仿宋" w:hAnsi="仿宋" w:eastAsia="仿宋"/>
          <w:bCs/>
          <w:sz w:val="32"/>
          <w:szCs w:val="32"/>
        </w:rPr>
        <w:t>展孕产妇系统管理和儿童系统管理工作，重点抓好高危孕产妇和高危儿童的筛查和追踪管理，建立高危孕产妇和出生、死亡月报制度，</w:t>
      </w:r>
      <w:r>
        <w:rPr>
          <w:rFonts w:hint="eastAsia" w:ascii="仿宋" w:hAnsi="仿宋" w:eastAsia="仿宋"/>
          <w:bCs/>
          <w:sz w:val="32"/>
          <w:szCs w:val="32"/>
          <w:lang w:val="zh-TW"/>
        </w:rPr>
        <w:t>定期组织实施辖区内孕产妇死亡、新生儿死亡评审及孕产妇危重症评审</w:t>
      </w:r>
      <w:r>
        <w:rPr>
          <w:rFonts w:hint="eastAsia" w:ascii="仿宋" w:hAnsi="仿宋" w:eastAsia="仿宋"/>
          <w:bCs/>
          <w:sz w:val="32"/>
          <w:szCs w:val="32"/>
        </w:rPr>
        <w:t>，提高全县妇女儿童保健服务质量。截止12月底，全县孕产妇系统管理率97.05%（目标任务为90%以上），住院分娩率99.82%（目标任务为99%以上），高危妊娠管理率100%，剖宫产率49.98%，孕产妇死亡0例；3岁以下儿童系统管理率96.92%（目标任务为90%以上）；7岁以下儿童系统管理率94.20%（目标任务为90%以上）；新生儿死亡数1例，死亡率0.45‰；婴儿死亡数6例，</w:t>
      </w:r>
      <w:r>
        <w:rPr>
          <w:rFonts w:hint="eastAsia" w:ascii="仿宋" w:hAnsi="仿宋" w:eastAsia="仿宋"/>
          <w:b w:val="0"/>
          <w:bCs/>
          <w:sz w:val="32"/>
          <w:szCs w:val="32"/>
        </w:rPr>
        <w:t>死亡率2.72‰，5岁以下儿童死亡数12例，死亡率5.45‰；</w:t>
      </w:r>
      <w:r>
        <w:rPr>
          <w:rFonts w:hint="eastAsia" w:ascii="仿宋" w:hAnsi="仿宋" w:eastAsia="仿宋"/>
          <w:b w:val="0"/>
          <w:bCs/>
          <w:sz w:val="32"/>
          <w:szCs w:val="32"/>
          <w:lang w:val="zh-TW"/>
        </w:rPr>
        <w:t>二是强化</w:t>
      </w:r>
      <w:r>
        <w:rPr>
          <w:rFonts w:hint="eastAsia" w:ascii="仿宋" w:hAnsi="仿宋" w:eastAsia="仿宋"/>
          <w:b w:val="0"/>
          <w:bCs/>
          <w:sz w:val="32"/>
          <w:szCs w:val="32"/>
        </w:rPr>
        <w:t>出生医学证明管理，规范出生医学证明使用。</w:t>
      </w:r>
      <w:r>
        <w:rPr>
          <w:rFonts w:hint="eastAsia" w:ascii="仿宋" w:hAnsi="仿宋" w:eastAsia="仿宋"/>
          <w:b w:val="0"/>
          <w:bCs/>
          <w:sz w:val="32"/>
          <w:szCs w:val="32"/>
          <w:lang w:val="zh-TW"/>
        </w:rPr>
        <w:t>全县共签发</w:t>
      </w:r>
      <w:r>
        <w:rPr>
          <w:rFonts w:hint="eastAsia" w:ascii="仿宋" w:hAnsi="仿宋" w:eastAsia="仿宋"/>
          <w:b w:val="0"/>
          <w:bCs/>
          <w:sz w:val="32"/>
          <w:szCs w:val="32"/>
        </w:rPr>
        <w:t>出生医学证明</w:t>
      </w:r>
      <w:r>
        <w:rPr>
          <w:rFonts w:hint="eastAsia" w:ascii="仿宋" w:hAnsi="仿宋" w:eastAsia="仿宋"/>
          <w:b w:val="0"/>
          <w:bCs/>
          <w:sz w:val="32"/>
          <w:szCs w:val="32"/>
          <w:lang w:val="zh-TW"/>
        </w:rPr>
        <w:t>2204份，其中医疗机构内2086份，医疗机构外4份，换发54份，补发55份，废证5份，废证率0.23%，小于1%，</w:t>
      </w:r>
      <w:r>
        <w:rPr>
          <w:rFonts w:hint="eastAsia" w:ascii="仿宋" w:hAnsi="仿宋" w:eastAsia="仿宋"/>
          <w:b w:val="0"/>
          <w:bCs/>
          <w:sz w:val="32"/>
          <w:szCs w:val="32"/>
        </w:rPr>
        <w:t>签发出生医学证明</w:t>
      </w:r>
      <w:r>
        <w:rPr>
          <w:rFonts w:hint="eastAsia" w:ascii="仿宋" w:hAnsi="仿宋" w:eastAsia="仿宋"/>
          <w:b w:val="0"/>
          <w:bCs/>
          <w:sz w:val="32"/>
          <w:szCs w:val="32"/>
          <w:lang w:val="zh-TW"/>
        </w:rPr>
        <w:t>合格率100%</w:t>
      </w:r>
      <w:r>
        <w:rPr>
          <w:rFonts w:hint="eastAsia" w:ascii="仿宋" w:hAnsi="仿宋" w:eastAsia="仿宋"/>
          <w:b w:val="0"/>
          <w:bCs/>
          <w:sz w:val="32"/>
          <w:szCs w:val="32"/>
        </w:rPr>
        <w:t>；</w:t>
      </w:r>
      <w:r>
        <w:rPr>
          <w:rFonts w:hint="eastAsia" w:ascii="仿宋" w:hAnsi="仿宋" w:eastAsia="仿宋"/>
          <w:b w:val="0"/>
          <w:bCs/>
          <w:sz w:val="32"/>
          <w:szCs w:val="32"/>
          <w:lang w:val="zh-TW"/>
        </w:rPr>
        <w:t>三是强化避孕药具规范化管理。全县长期使用药具人数共54469人，其中节育和节育器共48098人，避孕套4472人，口服药1025人，皮埋103人，外用及其它771人。药具应用率为94%，有效率为95.5%，随访率为99%；</w:t>
      </w:r>
      <w:r>
        <w:rPr>
          <w:rFonts w:hint="eastAsia" w:ascii="仿宋" w:hAnsi="仿宋" w:eastAsia="仿宋"/>
          <w:b w:val="0"/>
          <w:bCs/>
          <w:sz w:val="32"/>
          <w:szCs w:val="32"/>
        </w:rPr>
        <w:t>四是</w:t>
      </w:r>
      <w:r>
        <w:rPr>
          <w:rFonts w:hint="eastAsia" w:ascii="仿宋" w:hAnsi="仿宋" w:eastAsia="仿宋"/>
          <w:b w:val="0"/>
          <w:bCs/>
          <w:sz w:val="32"/>
          <w:szCs w:val="32"/>
          <w:lang w:val="zh-TW"/>
        </w:rPr>
        <w:t>强化托幼机构卫生管理工作。为进一步规范幼儿园卫生保健管理工作，中心积极与县教育局联系，对辖区内</w:t>
      </w:r>
      <w:r>
        <w:rPr>
          <w:rFonts w:hint="eastAsia" w:ascii="仿宋" w:hAnsi="仿宋" w:eastAsia="仿宋"/>
          <w:b w:val="0"/>
          <w:bCs/>
          <w:sz w:val="32"/>
          <w:szCs w:val="32"/>
        </w:rPr>
        <w:t>6所</w:t>
      </w:r>
      <w:r>
        <w:rPr>
          <w:rFonts w:hint="eastAsia" w:ascii="仿宋" w:hAnsi="仿宋" w:eastAsia="仿宋"/>
          <w:b w:val="0"/>
          <w:bCs/>
          <w:sz w:val="32"/>
          <w:szCs w:val="32"/>
          <w:lang w:val="zh-TW"/>
        </w:rPr>
        <w:t>托幼机构，</w:t>
      </w:r>
      <w:r>
        <w:rPr>
          <w:rFonts w:hint="eastAsia" w:ascii="仿宋" w:hAnsi="仿宋" w:eastAsia="仿宋"/>
          <w:b w:val="0"/>
          <w:bCs/>
          <w:sz w:val="32"/>
          <w:szCs w:val="32"/>
        </w:rPr>
        <w:t>1222</w:t>
      </w:r>
      <w:r>
        <w:rPr>
          <w:rFonts w:hint="eastAsia" w:ascii="仿宋" w:hAnsi="仿宋" w:eastAsia="仿宋"/>
          <w:b w:val="0"/>
          <w:bCs/>
          <w:sz w:val="32"/>
          <w:szCs w:val="32"/>
          <w:lang w:val="zh-TW"/>
        </w:rPr>
        <w:t>人次儿童和</w:t>
      </w:r>
      <w:r>
        <w:rPr>
          <w:rFonts w:hint="eastAsia" w:ascii="仿宋" w:hAnsi="仿宋" w:eastAsia="仿宋"/>
          <w:b w:val="0"/>
          <w:bCs/>
          <w:sz w:val="32"/>
          <w:szCs w:val="32"/>
        </w:rPr>
        <w:t>800</w:t>
      </w:r>
      <w:r>
        <w:rPr>
          <w:rFonts w:hint="eastAsia" w:ascii="仿宋" w:hAnsi="仿宋" w:eastAsia="仿宋"/>
          <w:b w:val="0"/>
          <w:bCs/>
          <w:sz w:val="32"/>
          <w:szCs w:val="32"/>
          <w:lang w:val="zh-TW"/>
        </w:rPr>
        <w:t>人次老师进行了健康体检；五是强化</w:t>
      </w:r>
      <w:r>
        <w:rPr>
          <w:rFonts w:hint="eastAsia" w:ascii="仿宋" w:hAnsi="仿宋" w:eastAsia="仿宋"/>
          <w:b w:val="0"/>
          <w:bCs/>
          <w:sz w:val="32"/>
          <w:szCs w:val="32"/>
        </w:rPr>
        <w:t>“三网”监测工作。</w:t>
      </w:r>
      <w:r>
        <w:rPr>
          <w:rFonts w:hint="eastAsia" w:ascii="仿宋" w:hAnsi="仿宋" w:eastAsia="仿宋"/>
          <w:b w:val="0"/>
          <w:bCs/>
          <w:sz w:val="32"/>
          <w:szCs w:val="32"/>
          <w:lang w:val="zh-TW"/>
        </w:rPr>
        <w:t>中心多次选派妇幼保健业务人员对全县2</w:t>
      </w:r>
      <w:r>
        <w:rPr>
          <w:rFonts w:hint="eastAsia" w:ascii="仿宋" w:hAnsi="仿宋" w:eastAsia="仿宋"/>
          <w:b w:val="0"/>
          <w:bCs/>
          <w:sz w:val="32"/>
          <w:szCs w:val="32"/>
        </w:rPr>
        <w:t>0</w:t>
      </w:r>
      <w:r>
        <w:rPr>
          <w:rFonts w:hint="eastAsia" w:ascii="仿宋" w:hAnsi="仿宋" w:eastAsia="仿宋"/>
          <w:b w:val="0"/>
          <w:bCs/>
          <w:sz w:val="32"/>
          <w:szCs w:val="32"/>
          <w:lang w:val="zh-TW"/>
        </w:rPr>
        <w:t>个乡镇卫生院、</w:t>
      </w:r>
      <w:r>
        <w:rPr>
          <w:rFonts w:hint="eastAsia" w:ascii="仿宋" w:hAnsi="仿宋" w:eastAsia="仿宋"/>
          <w:b w:val="0"/>
          <w:bCs/>
          <w:sz w:val="32"/>
          <w:szCs w:val="32"/>
        </w:rPr>
        <w:t>1个社区卫生服务中心，3个县级医疗机构和2个开展产科的民营医疗机构</w:t>
      </w:r>
      <w:r>
        <w:rPr>
          <w:rFonts w:hint="eastAsia" w:ascii="仿宋" w:hAnsi="仿宋" w:eastAsia="仿宋"/>
          <w:b w:val="0"/>
          <w:bCs/>
          <w:sz w:val="32"/>
          <w:szCs w:val="32"/>
          <w:lang w:val="zh-TW"/>
        </w:rPr>
        <w:t>的妇幼卫生工作进行了督导检查，培训妇幼保健人员</w:t>
      </w:r>
      <w:r>
        <w:rPr>
          <w:rFonts w:hint="eastAsia" w:ascii="仿宋" w:hAnsi="仿宋" w:eastAsia="仿宋"/>
          <w:b w:val="0"/>
          <w:bCs/>
          <w:sz w:val="32"/>
          <w:szCs w:val="32"/>
        </w:rPr>
        <w:t>92人次，</w:t>
      </w:r>
      <w:r>
        <w:rPr>
          <w:rFonts w:hint="eastAsia" w:ascii="仿宋" w:hAnsi="仿宋" w:eastAsia="仿宋"/>
          <w:b w:val="0"/>
          <w:bCs/>
          <w:sz w:val="32"/>
          <w:szCs w:val="32"/>
          <w:lang w:val="zh-TW"/>
        </w:rPr>
        <w:t>保障了基层妇幼卫生工作的质量，进一步规范了乡村统计报表。</w:t>
      </w:r>
    </w:p>
    <w:p>
      <w:pPr>
        <w:pStyle w:val="2"/>
        <w:adjustRightInd w:val="0"/>
        <w:snapToGrid w:val="0"/>
        <w:spacing w:before="93" w:line="600" w:lineRule="exact"/>
        <w:ind w:firstLine="672" w:firstLineChars="210"/>
        <w:outlineLvl w:val="2"/>
        <w:rPr>
          <w:rFonts w:ascii="仿宋" w:hAnsi="仿宋" w:eastAsia="仿宋"/>
          <w:b w:val="0"/>
          <w:bCs/>
          <w:sz w:val="32"/>
          <w:szCs w:val="32"/>
          <w:lang w:val="zh-TW"/>
        </w:rPr>
      </w:pPr>
      <w:r>
        <w:rPr>
          <w:rFonts w:ascii="仿宋" w:hAnsi="仿宋" w:eastAsia="仿宋"/>
          <w:b w:val="0"/>
          <w:bCs/>
          <w:sz w:val="32"/>
          <w:szCs w:val="32"/>
        </w:rPr>
        <w:t>（</w:t>
      </w:r>
      <w:r>
        <w:rPr>
          <w:rFonts w:hint="eastAsia" w:ascii="仿宋" w:hAnsi="仿宋" w:eastAsia="仿宋"/>
          <w:b w:val="0"/>
          <w:bCs/>
          <w:sz w:val="32"/>
          <w:szCs w:val="32"/>
          <w:lang w:val="en-US" w:eastAsia="zh-CN"/>
        </w:rPr>
        <w:t>2</w:t>
      </w:r>
      <w:r>
        <w:rPr>
          <w:rFonts w:ascii="仿宋" w:hAnsi="仿宋" w:eastAsia="仿宋"/>
          <w:b w:val="0"/>
          <w:bCs/>
          <w:sz w:val="32"/>
          <w:szCs w:val="32"/>
        </w:rPr>
        <w:t>）妇幼卫生项目成效显著。</w:t>
      </w:r>
      <w:r>
        <w:rPr>
          <w:rFonts w:hint="eastAsia" w:ascii="仿宋" w:hAnsi="仿宋" w:eastAsia="仿宋"/>
          <w:b w:val="0"/>
          <w:bCs/>
          <w:sz w:val="32"/>
          <w:szCs w:val="32"/>
        </w:rPr>
        <w:t>为保证妇幼卫生项目顺利实施，按照上级主管部门的要求，</w:t>
      </w:r>
      <w:r>
        <w:rPr>
          <w:rFonts w:hint="eastAsia" w:ascii="仿宋" w:hAnsi="仿宋" w:eastAsia="仿宋"/>
          <w:b w:val="0"/>
          <w:bCs/>
          <w:sz w:val="32"/>
          <w:szCs w:val="32"/>
          <w:lang w:val="zh-TW"/>
        </w:rPr>
        <w:t>中心切实加强项目组织领导，制</w:t>
      </w:r>
      <w:r>
        <w:rPr>
          <w:rFonts w:hint="eastAsia" w:ascii="仿宋" w:hAnsi="仿宋" w:eastAsia="仿宋"/>
          <w:b w:val="0"/>
          <w:bCs/>
          <w:sz w:val="32"/>
          <w:szCs w:val="32"/>
        </w:rPr>
        <w:t>定</w:t>
      </w:r>
      <w:r>
        <w:rPr>
          <w:rFonts w:hint="eastAsia" w:ascii="仿宋" w:hAnsi="仿宋" w:eastAsia="仿宋"/>
          <w:b w:val="0"/>
          <w:bCs/>
          <w:sz w:val="32"/>
          <w:szCs w:val="32"/>
          <w:lang w:val="zh-TW"/>
        </w:rPr>
        <w:t>了项目实施方案，采取多种方式加强项目培训和宣传，提高基层妇幼保健人员的工作能力及业务水平，夯实项目实施基础。同时，在项目实施过程中强化项目检查和指导，及时解决项目实施的问题，确保</w:t>
      </w:r>
      <w:r>
        <w:rPr>
          <w:rFonts w:hint="eastAsia" w:ascii="仿宋" w:hAnsi="仿宋" w:eastAsia="仿宋"/>
          <w:b w:val="0"/>
          <w:bCs/>
          <w:sz w:val="32"/>
          <w:szCs w:val="32"/>
        </w:rPr>
        <w:t>妇幼卫生项目工作如期完成目标任务，</w:t>
      </w:r>
      <w:r>
        <w:rPr>
          <w:rFonts w:hint="eastAsia" w:ascii="仿宋" w:hAnsi="仿宋" w:eastAsia="仿宋"/>
          <w:b w:val="0"/>
          <w:bCs/>
          <w:sz w:val="32"/>
          <w:szCs w:val="32"/>
          <w:lang w:val="zh-TW"/>
        </w:rPr>
        <w:t>目标人群得到实惠。</w:t>
      </w:r>
      <w:r>
        <w:rPr>
          <w:rFonts w:hint="eastAsia" w:ascii="仿宋" w:hAnsi="仿宋" w:eastAsia="仿宋"/>
          <w:b w:val="0"/>
          <w:bCs/>
          <w:sz w:val="32"/>
          <w:szCs w:val="32"/>
        </w:rPr>
        <w:t>一是全县育龄妇女增补叶酸预防神经管畸形项目实施情况。</w:t>
      </w:r>
      <w:r>
        <w:rPr>
          <w:rFonts w:hint="eastAsia" w:ascii="仿宋" w:hAnsi="仿宋" w:eastAsia="仿宋"/>
          <w:b w:val="0"/>
          <w:bCs/>
          <w:sz w:val="32"/>
          <w:szCs w:val="32"/>
          <w:lang w:val="zh-TW"/>
        </w:rPr>
        <w:t>全县叶酸应服用人数</w:t>
      </w:r>
      <w:r>
        <w:rPr>
          <w:rFonts w:hint="eastAsia" w:ascii="仿宋" w:hAnsi="仿宋" w:eastAsia="仿宋"/>
          <w:b w:val="0"/>
          <w:bCs/>
          <w:sz w:val="32"/>
          <w:szCs w:val="32"/>
        </w:rPr>
        <w:t>3589</w:t>
      </w:r>
      <w:r>
        <w:rPr>
          <w:rFonts w:hint="eastAsia" w:ascii="仿宋" w:hAnsi="仿宋" w:eastAsia="仿宋"/>
          <w:b w:val="0"/>
          <w:bCs/>
          <w:sz w:val="32"/>
          <w:szCs w:val="32"/>
          <w:lang w:val="zh-TW"/>
        </w:rPr>
        <w:t>人，已服用人数</w:t>
      </w:r>
      <w:r>
        <w:rPr>
          <w:rFonts w:hint="eastAsia" w:ascii="仿宋" w:hAnsi="仿宋" w:eastAsia="仿宋"/>
          <w:b w:val="0"/>
          <w:bCs/>
          <w:sz w:val="32"/>
          <w:szCs w:val="32"/>
        </w:rPr>
        <w:t>3405</w:t>
      </w:r>
      <w:r>
        <w:rPr>
          <w:rFonts w:hint="eastAsia" w:ascii="仿宋" w:hAnsi="仿宋" w:eastAsia="仿宋"/>
          <w:b w:val="0"/>
          <w:bCs/>
          <w:sz w:val="32"/>
          <w:szCs w:val="32"/>
          <w:lang w:val="zh-TW"/>
        </w:rPr>
        <w:t>人(目标任务数</w:t>
      </w:r>
      <w:r>
        <w:rPr>
          <w:rFonts w:hint="eastAsia" w:ascii="仿宋" w:hAnsi="仿宋" w:eastAsia="仿宋"/>
          <w:b w:val="0"/>
          <w:bCs/>
          <w:sz w:val="32"/>
          <w:szCs w:val="32"/>
        </w:rPr>
        <w:t>3</w:t>
      </w:r>
      <w:r>
        <w:rPr>
          <w:rFonts w:hint="eastAsia" w:ascii="仿宋" w:hAnsi="仿宋" w:eastAsia="仿宋"/>
          <w:b w:val="0"/>
          <w:bCs/>
          <w:sz w:val="32"/>
          <w:szCs w:val="32"/>
          <w:lang w:val="zh-TW"/>
        </w:rPr>
        <w:t>400人)，服用率为94.</w:t>
      </w:r>
      <w:r>
        <w:rPr>
          <w:rFonts w:hint="eastAsia" w:ascii="仿宋" w:hAnsi="仿宋" w:eastAsia="仿宋"/>
          <w:b w:val="0"/>
          <w:bCs/>
          <w:sz w:val="32"/>
          <w:szCs w:val="32"/>
        </w:rPr>
        <w:t>87</w:t>
      </w:r>
      <w:r>
        <w:rPr>
          <w:rFonts w:hint="eastAsia" w:ascii="仿宋" w:hAnsi="仿宋" w:eastAsia="仿宋"/>
          <w:b w:val="0"/>
          <w:bCs/>
          <w:sz w:val="32"/>
          <w:szCs w:val="32"/>
          <w:lang w:val="zh-TW"/>
        </w:rPr>
        <w:t>%(目标任务数</w:t>
      </w:r>
      <w:r>
        <w:rPr>
          <w:rFonts w:hint="eastAsia" w:ascii="仿宋" w:hAnsi="仿宋" w:eastAsia="仿宋"/>
          <w:b w:val="0"/>
          <w:bCs/>
          <w:sz w:val="32"/>
          <w:szCs w:val="32"/>
        </w:rPr>
        <w:t>100.15</w:t>
      </w:r>
      <w:r>
        <w:rPr>
          <w:rFonts w:hint="eastAsia" w:ascii="仿宋" w:hAnsi="仿宋" w:eastAsia="仿宋"/>
          <w:b w:val="0"/>
          <w:bCs/>
          <w:sz w:val="32"/>
          <w:szCs w:val="32"/>
          <w:lang w:val="zh-TW"/>
        </w:rPr>
        <w:t>%)；叶酸依从人数</w:t>
      </w:r>
      <w:r>
        <w:rPr>
          <w:rFonts w:hint="eastAsia" w:ascii="仿宋" w:hAnsi="仿宋" w:eastAsia="仿宋"/>
          <w:b w:val="0"/>
          <w:bCs/>
          <w:sz w:val="32"/>
          <w:szCs w:val="32"/>
        </w:rPr>
        <w:t>2589</w:t>
      </w:r>
      <w:r>
        <w:rPr>
          <w:rFonts w:hint="eastAsia" w:ascii="仿宋" w:hAnsi="仿宋" w:eastAsia="仿宋"/>
          <w:b w:val="0"/>
          <w:bCs/>
          <w:sz w:val="32"/>
          <w:szCs w:val="32"/>
          <w:lang w:val="zh-TW"/>
        </w:rPr>
        <w:t>人，依从率为7</w:t>
      </w:r>
      <w:r>
        <w:rPr>
          <w:rFonts w:hint="eastAsia" w:ascii="仿宋" w:hAnsi="仿宋" w:eastAsia="仿宋"/>
          <w:b w:val="0"/>
          <w:bCs/>
          <w:sz w:val="32"/>
          <w:szCs w:val="32"/>
        </w:rPr>
        <w:t>6.04</w:t>
      </w:r>
      <w:r>
        <w:rPr>
          <w:rFonts w:hint="eastAsia" w:ascii="仿宋" w:hAnsi="仿宋" w:eastAsia="仿宋"/>
          <w:b w:val="0"/>
          <w:bCs/>
          <w:sz w:val="32"/>
          <w:szCs w:val="32"/>
          <w:lang w:val="zh-TW"/>
        </w:rPr>
        <w:t>%(目标任务数</w:t>
      </w:r>
      <w:r>
        <w:rPr>
          <w:rFonts w:hint="eastAsia" w:ascii="仿宋" w:hAnsi="仿宋" w:eastAsia="仿宋"/>
          <w:b w:val="0"/>
          <w:bCs/>
          <w:sz w:val="32"/>
          <w:szCs w:val="32"/>
        </w:rPr>
        <w:t>7</w:t>
      </w:r>
      <w:r>
        <w:rPr>
          <w:rFonts w:hint="eastAsia" w:ascii="仿宋" w:hAnsi="仿宋" w:eastAsia="仿宋"/>
          <w:b w:val="0"/>
          <w:bCs/>
          <w:sz w:val="32"/>
          <w:szCs w:val="32"/>
          <w:lang w:val="zh-TW"/>
        </w:rPr>
        <w:t>0%)，调查人数</w:t>
      </w:r>
      <w:r>
        <w:rPr>
          <w:rFonts w:hint="eastAsia" w:ascii="仿宋" w:hAnsi="仿宋" w:eastAsia="仿宋"/>
          <w:b w:val="0"/>
          <w:bCs/>
          <w:sz w:val="32"/>
          <w:szCs w:val="32"/>
        </w:rPr>
        <w:t>3074</w:t>
      </w:r>
      <w:r>
        <w:rPr>
          <w:rFonts w:hint="eastAsia" w:ascii="仿宋" w:hAnsi="仿宋" w:eastAsia="仿宋"/>
          <w:b w:val="0"/>
          <w:bCs/>
          <w:sz w:val="32"/>
          <w:szCs w:val="32"/>
          <w:lang w:val="zh-TW"/>
        </w:rPr>
        <w:t>，知晓人数</w:t>
      </w:r>
      <w:r>
        <w:rPr>
          <w:rFonts w:hint="eastAsia" w:ascii="仿宋" w:hAnsi="仿宋" w:eastAsia="仿宋"/>
          <w:b w:val="0"/>
          <w:bCs/>
          <w:sz w:val="32"/>
          <w:szCs w:val="32"/>
        </w:rPr>
        <w:t>2794</w:t>
      </w:r>
      <w:r>
        <w:rPr>
          <w:rFonts w:hint="eastAsia" w:ascii="仿宋" w:hAnsi="仿宋" w:eastAsia="仿宋"/>
          <w:b w:val="0"/>
          <w:bCs/>
          <w:sz w:val="32"/>
          <w:szCs w:val="32"/>
          <w:lang w:val="zh-TW"/>
        </w:rPr>
        <w:t>人，知晓率为90.</w:t>
      </w:r>
      <w:r>
        <w:rPr>
          <w:rFonts w:hint="eastAsia" w:ascii="仿宋" w:hAnsi="仿宋" w:eastAsia="仿宋"/>
          <w:b w:val="0"/>
          <w:bCs/>
          <w:sz w:val="32"/>
          <w:szCs w:val="32"/>
        </w:rPr>
        <w:t>89</w:t>
      </w:r>
      <w:r>
        <w:rPr>
          <w:rFonts w:hint="eastAsia" w:ascii="仿宋" w:hAnsi="仿宋" w:eastAsia="仿宋"/>
          <w:b w:val="0"/>
          <w:bCs/>
          <w:sz w:val="32"/>
          <w:szCs w:val="32"/>
          <w:lang w:val="zh-TW"/>
        </w:rPr>
        <w:t>%(目标任务数</w:t>
      </w:r>
      <w:r>
        <w:rPr>
          <w:rFonts w:hint="eastAsia" w:ascii="仿宋" w:hAnsi="仿宋" w:eastAsia="仿宋"/>
          <w:b w:val="0"/>
          <w:bCs/>
          <w:sz w:val="32"/>
          <w:szCs w:val="32"/>
        </w:rPr>
        <w:t>9</w:t>
      </w:r>
      <w:r>
        <w:rPr>
          <w:rFonts w:hint="eastAsia" w:ascii="仿宋" w:hAnsi="仿宋" w:eastAsia="仿宋"/>
          <w:b w:val="0"/>
          <w:bCs/>
          <w:sz w:val="32"/>
          <w:szCs w:val="32"/>
          <w:lang w:val="zh-TW"/>
        </w:rPr>
        <w:t xml:space="preserve">0%)。 </w:t>
      </w:r>
      <w:r>
        <w:rPr>
          <w:rFonts w:hint="eastAsia" w:ascii="仿宋" w:hAnsi="仿宋" w:eastAsia="仿宋"/>
          <w:b w:val="0"/>
          <w:bCs/>
          <w:sz w:val="32"/>
          <w:szCs w:val="32"/>
        </w:rPr>
        <w:t>二是预防艾滋、梅毒和乙肝母婴传播项目实施情况。</w:t>
      </w:r>
      <w:r>
        <w:rPr>
          <w:rFonts w:hint="eastAsia" w:ascii="仿宋" w:hAnsi="仿宋" w:eastAsia="仿宋"/>
          <w:b w:val="0"/>
          <w:bCs/>
          <w:sz w:val="32"/>
          <w:szCs w:val="32"/>
          <w:lang w:val="zh-TW"/>
        </w:rPr>
        <w:t>全县共发放艾滋病、梅毒表抗原联合检测试剂5000人份、乙肝两对半检测试剂4000人份，为全县孕产妇提供预防艾滋病、梅毒和乙肝母婴传播免费咨询和检测</w:t>
      </w:r>
      <w:r>
        <w:rPr>
          <w:rFonts w:hint="eastAsia" w:ascii="仿宋" w:hAnsi="仿宋" w:eastAsia="仿宋"/>
          <w:b w:val="0"/>
          <w:bCs/>
          <w:sz w:val="32"/>
          <w:szCs w:val="32"/>
        </w:rPr>
        <w:t>2010</w:t>
      </w:r>
      <w:r>
        <w:rPr>
          <w:rFonts w:hint="eastAsia" w:ascii="仿宋" w:hAnsi="仿宋" w:eastAsia="仿宋"/>
          <w:b w:val="0"/>
          <w:bCs/>
          <w:sz w:val="32"/>
          <w:szCs w:val="32"/>
          <w:lang w:val="zh-TW"/>
        </w:rPr>
        <w:t>人次，为</w:t>
      </w:r>
      <w:r>
        <w:rPr>
          <w:rFonts w:hint="eastAsia" w:ascii="仿宋" w:hAnsi="仿宋" w:eastAsia="仿宋"/>
          <w:b w:val="0"/>
          <w:bCs/>
          <w:sz w:val="32"/>
          <w:szCs w:val="32"/>
        </w:rPr>
        <w:t>2</w:t>
      </w:r>
      <w:r>
        <w:rPr>
          <w:rFonts w:hint="eastAsia" w:ascii="仿宋" w:hAnsi="仿宋" w:eastAsia="仿宋"/>
          <w:b w:val="0"/>
          <w:bCs/>
          <w:sz w:val="32"/>
          <w:szCs w:val="32"/>
          <w:lang w:val="zh-TW"/>
        </w:rPr>
        <w:t>名HIV感染孕妇、</w:t>
      </w:r>
      <w:r>
        <w:rPr>
          <w:rFonts w:hint="eastAsia" w:ascii="仿宋" w:hAnsi="仿宋" w:eastAsia="仿宋"/>
          <w:b w:val="0"/>
          <w:bCs/>
          <w:sz w:val="32"/>
          <w:szCs w:val="32"/>
        </w:rPr>
        <w:t>7</w:t>
      </w:r>
      <w:r>
        <w:rPr>
          <w:rFonts w:hint="eastAsia" w:ascii="仿宋" w:hAnsi="仿宋" w:eastAsia="仿宋"/>
          <w:b w:val="0"/>
          <w:bCs/>
          <w:sz w:val="32"/>
          <w:szCs w:val="32"/>
          <w:lang w:val="zh-TW"/>
        </w:rPr>
        <w:t>名感染梅毒孕产妇、13</w:t>
      </w:r>
      <w:r>
        <w:rPr>
          <w:rFonts w:hint="eastAsia" w:ascii="仿宋" w:hAnsi="仿宋" w:eastAsia="仿宋"/>
          <w:b w:val="0"/>
          <w:bCs/>
          <w:sz w:val="32"/>
          <w:szCs w:val="32"/>
        </w:rPr>
        <w:t>2</w:t>
      </w:r>
      <w:r>
        <w:rPr>
          <w:rFonts w:hint="eastAsia" w:ascii="仿宋" w:hAnsi="仿宋" w:eastAsia="仿宋"/>
          <w:b w:val="0"/>
          <w:bCs/>
          <w:sz w:val="32"/>
          <w:szCs w:val="32"/>
          <w:lang w:val="zh-TW"/>
        </w:rPr>
        <w:t>名乙肝阳性孕产妇及其所生婴儿提供母婴阻断服务。全年孕产妇艾滋病、梅毒和乙肝检测率达100%（目标任务为</w:t>
      </w:r>
      <w:r>
        <w:rPr>
          <w:rFonts w:hint="eastAsia" w:ascii="仿宋" w:hAnsi="仿宋" w:eastAsia="仿宋"/>
          <w:b w:val="0"/>
          <w:bCs/>
          <w:sz w:val="32"/>
          <w:szCs w:val="32"/>
        </w:rPr>
        <w:t>99</w:t>
      </w:r>
      <w:r>
        <w:rPr>
          <w:rFonts w:hint="eastAsia" w:ascii="仿宋" w:hAnsi="仿宋" w:eastAsia="仿宋"/>
          <w:b w:val="0"/>
          <w:bCs/>
          <w:sz w:val="32"/>
          <w:szCs w:val="32"/>
          <w:lang w:val="zh-TW"/>
        </w:rPr>
        <w:t>%)，孕期检测率达9</w:t>
      </w:r>
      <w:r>
        <w:rPr>
          <w:rFonts w:hint="eastAsia" w:ascii="仿宋" w:hAnsi="仿宋" w:eastAsia="仿宋"/>
          <w:b w:val="0"/>
          <w:bCs/>
          <w:sz w:val="32"/>
          <w:szCs w:val="32"/>
        </w:rPr>
        <w:t>8.11</w:t>
      </w:r>
      <w:r>
        <w:rPr>
          <w:rFonts w:hint="eastAsia" w:ascii="仿宋" w:hAnsi="仿宋" w:eastAsia="仿宋"/>
          <w:b w:val="0"/>
          <w:bCs/>
          <w:sz w:val="32"/>
          <w:szCs w:val="32"/>
          <w:lang w:val="zh-TW"/>
        </w:rPr>
        <w:t>%（目标任务为9</w:t>
      </w:r>
      <w:r>
        <w:rPr>
          <w:rFonts w:hint="eastAsia" w:ascii="仿宋" w:hAnsi="仿宋" w:eastAsia="仿宋"/>
          <w:b w:val="0"/>
          <w:bCs/>
          <w:sz w:val="32"/>
          <w:szCs w:val="32"/>
        </w:rPr>
        <w:t>5</w:t>
      </w:r>
      <w:r>
        <w:rPr>
          <w:rFonts w:hint="eastAsia" w:ascii="仿宋" w:hAnsi="仿宋" w:eastAsia="仿宋"/>
          <w:b w:val="0"/>
          <w:bCs/>
          <w:sz w:val="32"/>
          <w:szCs w:val="32"/>
          <w:lang w:val="zh-TW"/>
        </w:rPr>
        <w:t>%），孕早期检测率达</w:t>
      </w:r>
      <w:r>
        <w:rPr>
          <w:rFonts w:hint="eastAsia" w:ascii="仿宋" w:hAnsi="仿宋" w:eastAsia="仿宋"/>
          <w:b w:val="0"/>
          <w:bCs/>
          <w:sz w:val="32"/>
          <w:szCs w:val="32"/>
        </w:rPr>
        <w:t>92.44</w:t>
      </w:r>
      <w:r>
        <w:rPr>
          <w:rFonts w:hint="eastAsia" w:ascii="仿宋" w:hAnsi="仿宋" w:eastAsia="仿宋"/>
          <w:b w:val="0"/>
          <w:bCs/>
          <w:sz w:val="32"/>
          <w:szCs w:val="32"/>
          <w:lang w:val="zh-TW"/>
        </w:rPr>
        <w:t>%（目标任务为8</w:t>
      </w:r>
      <w:r>
        <w:rPr>
          <w:rFonts w:hint="eastAsia" w:ascii="仿宋" w:hAnsi="仿宋" w:eastAsia="仿宋"/>
          <w:b w:val="0"/>
          <w:bCs/>
          <w:sz w:val="32"/>
          <w:szCs w:val="32"/>
        </w:rPr>
        <w:t>5</w:t>
      </w:r>
      <w:r>
        <w:rPr>
          <w:rFonts w:hint="eastAsia" w:ascii="仿宋" w:hAnsi="仿宋" w:eastAsia="仿宋"/>
          <w:b w:val="0"/>
          <w:bCs/>
          <w:sz w:val="32"/>
          <w:szCs w:val="32"/>
          <w:lang w:val="zh-TW"/>
        </w:rPr>
        <w:t>%）</w:t>
      </w:r>
      <w:r>
        <w:rPr>
          <w:rFonts w:hint="eastAsia" w:ascii="仿宋" w:hAnsi="仿宋" w:eastAsia="仿宋"/>
          <w:b w:val="0"/>
          <w:bCs/>
          <w:sz w:val="32"/>
          <w:szCs w:val="32"/>
        </w:rPr>
        <w:t>;三是</w:t>
      </w:r>
      <w:r>
        <w:rPr>
          <w:rFonts w:hint="eastAsia" w:ascii="仿宋" w:hAnsi="仿宋" w:eastAsia="仿宋"/>
          <w:b w:val="0"/>
          <w:bCs/>
          <w:sz w:val="32"/>
          <w:szCs w:val="32"/>
          <w:lang w:val="zh-TW"/>
        </w:rPr>
        <w:t>0－6岁儿童残疾筛查项目实施情况。全县0－6岁儿童筛查1861人，其中筛查出视力残疾0人，肢体残疾0人，转县残联进行救助的</w:t>
      </w:r>
      <w:r>
        <w:rPr>
          <w:rFonts w:hint="eastAsia" w:ascii="仿宋" w:hAnsi="仿宋" w:eastAsia="仿宋"/>
          <w:b w:val="0"/>
          <w:bCs/>
          <w:sz w:val="32"/>
          <w:szCs w:val="32"/>
        </w:rPr>
        <w:t>0</w:t>
      </w:r>
      <w:r>
        <w:rPr>
          <w:rFonts w:hint="eastAsia" w:ascii="仿宋" w:hAnsi="仿宋" w:eastAsia="仿宋"/>
          <w:b w:val="0"/>
          <w:bCs/>
          <w:sz w:val="32"/>
          <w:szCs w:val="32"/>
          <w:lang w:val="zh-TW"/>
        </w:rPr>
        <w:t>人；四是</w:t>
      </w:r>
      <w:r>
        <w:rPr>
          <w:rFonts w:hint="eastAsia" w:ascii="仿宋" w:hAnsi="仿宋" w:eastAsia="仿宋"/>
          <w:b w:val="0"/>
          <w:bCs/>
          <w:sz w:val="32"/>
          <w:szCs w:val="32"/>
        </w:rPr>
        <w:t>新生儿疾病筛查项目实施情况。</w:t>
      </w:r>
      <w:r>
        <w:rPr>
          <w:rFonts w:hint="eastAsia" w:ascii="仿宋" w:hAnsi="仿宋" w:eastAsia="仿宋"/>
          <w:b w:val="0"/>
          <w:bCs/>
          <w:sz w:val="32"/>
          <w:szCs w:val="32"/>
          <w:lang w:val="zh-TW"/>
        </w:rPr>
        <w:t>全县共辖区活产2203名新生儿，机构活产数2025名新生儿，新生儿四病筛查1961人，筛查率达96.79%；五是</w:t>
      </w:r>
      <w:r>
        <w:rPr>
          <w:rFonts w:hint="eastAsia" w:ascii="仿宋" w:hAnsi="仿宋" w:eastAsia="仿宋"/>
          <w:b w:val="0"/>
          <w:bCs/>
          <w:sz w:val="32"/>
          <w:szCs w:val="32"/>
        </w:rPr>
        <w:t>农村妇女“两癌”筛查实施情况。</w:t>
      </w:r>
      <w:r>
        <w:rPr>
          <w:rFonts w:hint="eastAsia" w:ascii="仿宋" w:hAnsi="仿宋" w:eastAsia="仿宋"/>
          <w:b w:val="0"/>
          <w:bCs/>
          <w:sz w:val="32"/>
          <w:szCs w:val="32"/>
          <w:lang w:val="zh-TW"/>
        </w:rPr>
        <w:t>两癌筛筛查的宫颈癌任务数2500人，实际筛查25</w:t>
      </w:r>
      <w:r>
        <w:rPr>
          <w:rFonts w:hint="eastAsia" w:ascii="仿宋" w:hAnsi="仿宋" w:eastAsia="仿宋"/>
          <w:b w:val="0"/>
          <w:bCs/>
          <w:sz w:val="32"/>
          <w:szCs w:val="32"/>
        </w:rPr>
        <w:t>19</w:t>
      </w:r>
      <w:r>
        <w:rPr>
          <w:rFonts w:hint="eastAsia" w:ascii="仿宋" w:hAnsi="仿宋" w:eastAsia="仿宋"/>
          <w:b w:val="0"/>
          <w:bCs/>
          <w:sz w:val="32"/>
          <w:szCs w:val="32"/>
          <w:lang w:val="zh-TW"/>
        </w:rPr>
        <w:t>人；乳腺癌目标任务数</w:t>
      </w:r>
      <w:r>
        <w:rPr>
          <w:rFonts w:hint="eastAsia" w:ascii="仿宋" w:hAnsi="仿宋" w:eastAsia="仿宋"/>
          <w:b w:val="0"/>
          <w:bCs/>
          <w:sz w:val="32"/>
          <w:szCs w:val="32"/>
        </w:rPr>
        <w:t>1000</w:t>
      </w:r>
      <w:r>
        <w:rPr>
          <w:rFonts w:hint="eastAsia" w:ascii="仿宋" w:hAnsi="仿宋" w:eastAsia="仿宋"/>
          <w:b w:val="0"/>
          <w:bCs/>
          <w:sz w:val="32"/>
          <w:szCs w:val="32"/>
          <w:lang w:val="zh-TW"/>
        </w:rPr>
        <w:t>人，实际筛</w:t>
      </w:r>
      <w:r>
        <w:rPr>
          <w:rFonts w:hint="eastAsia" w:ascii="仿宋" w:hAnsi="仿宋" w:eastAsia="仿宋"/>
          <w:b w:val="0"/>
          <w:bCs/>
          <w:sz w:val="32"/>
          <w:szCs w:val="32"/>
        </w:rPr>
        <w:t>查1003</w:t>
      </w:r>
      <w:r>
        <w:rPr>
          <w:rFonts w:hint="eastAsia" w:ascii="仿宋" w:hAnsi="仿宋" w:eastAsia="仿宋"/>
          <w:b w:val="0"/>
          <w:bCs/>
          <w:sz w:val="32"/>
          <w:szCs w:val="32"/>
          <w:lang w:val="zh-TW"/>
        </w:rPr>
        <w:t>人。</w:t>
      </w:r>
      <w:r>
        <w:rPr>
          <w:rFonts w:hint="eastAsia" w:ascii="仿宋" w:hAnsi="仿宋" w:eastAsia="仿宋"/>
          <w:b w:val="0"/>
          <w:bCs/>
          <w:sz w:val="32"/>
          <w:szCs w:val="32"/>
        </w:rPr>
        <w:t>六是孕前优生健康检查项目实施情况。全县免费孕前优生检查任务数2600人（其中城镇检查200人次，农村检查2400人次），实际检查人数2756人，完成全年目标任务的106%。</w:t>
      </w:r>
      <w:r>
        <w:rPr>
          <w:rFonts w:hint="eastAsia" w:ascii="仿宋" w:hAnsi="仿宋" w:eastAsia="仿宋"/>
          <w:b w:val="0"/>
          <w:bCs/>
          <w:sz w:val="32"/>
          <w:szCs w:val="32"/>
          <w:lang w:val="zh-TW"/>
        </w:rPr>
        <w:t>七是婚前医学健康检查项目实施情况。全县免费婚前医学检查目标任务3</w:t>
      </w:r>
      <w:r>
        <w:rPr>
          <w:rFonts w:hint="eastAsia" w:ascii="仿宋" w:hAnsi="仿宋" w:eastAsia="仿宋"/>
          <w:b w:val="0"/>
          <w:bCs/>
          <w:sz w:val="32"/>
          <w:szCs w:val="32"/>
        </w:rPr>
        <w:t>000</w:t>
      </w:r>
      <w:r>
        <w:rPr>
          <w:rFonts w:hint="eastAsia" w:ascii="仿宋" w:hAnsi="仿宋" w:eastAsia="仿宋"/>
          <w:b w:val="0"/>
          <w:bCs/>
          <w:sz w:val="32"/>
          <w:szCs w:val="32"/>
          <w:lang w:val="zh-TW"/>
        </w:rPr>
        <w:t>对，而县婚姻登记机关登记结婚的人数</w:t>
      </w:r>
      <w:r>
        <w:rPr>
          <w:rFonts w:hint="eastAsia" w:ascii="仿宋" w:hAnsi="仿宋" w:eastAsia="仿宋"/>
          <w:b w:val="0"/>
          <w:bCs/>
          <w:sz w:val="32"/>
          <w:szCs w:val="32"/>
        </w:rPr>
        <w:t>2398对</w:t>
      </w:r>
      <w:r>
        <w:rPr>
          <w:rFonts w:hint="eastAsia" w:ascii="仿宋" w:hAnsi="仿宋" w:eastAsia="仿宋"/>
          <w:b w:val="0"/>
          <w:bCs/>
          <w:sz w:val="32"/>
          <w:szCs w:val="32"/>
          <w:lang w:val="zh-TW"/>
        </w:rPr>
        <w:t>，</w:t>
      </w:r>
      <w:r>
        <w:rPr>
          <w:rFonts w:hint="eastAsia" w:ascii="仿宋" w:hAnsi="仿宋" w:eastAsia="仿宋"/>
          <w:b w:val="0"/>
          <w:bCs/>
          <w:sz w:val="32"/>
          <w:szCs w:val="32"/>
        </w:rPr>
        <w:t>实际婚</w:t>
      </w:r>
      <w:r>
        <w:rPr>
          <w:rFonts w:hint="eastAsia" w:ascii="仿宋" w:hAnsi="仿宋" w:eastAsia="仿宋"/>
          <w:b w:val="0"/>
          <w:bCs/>
          <w:sz w:val="32"/>
          <w:szCs w:val="32"/>
          <w:lang w:val="zh-TW"/>
        </w:rPr>
        <w:t>检</w:t>
      </w:r>
      <w:r>
        <w:rPr>
          <w:rFonts w:hint="eastAsia" w:ascii="仿宋" w:hAnsi="仿宋" w:eastAsia="仿宋"/>
          <w:b w:val="0"/>
          <w:bCs/>
          <w:sz w:val="32"/>
          <w:szCs w:val="32"/>
        </w:rPr>
        <w:t>2017</w:t>
      </w:r>
      <w:r>
        <w:rPr>
          <w:rFonts w:hint="eastAsia" w:ascii="仿宋" w:hAnsi="仿宋" w:eastAsia="仿宋"/>
          <w:b w:val="0"/>
          <w:bCs/>
          <w:sz w:val="32"/>
          <w:szCs w:val="32"/>
          <w:lang w:val="zh-TW"/>
        </w:rPr>
        <w:t>对（</w:t>
      </w:r>
      <w:r>
        <w:rPr>
          <w:rFonts w:hint="eastAsia" w:ascii="仿宋" w:hAnsi="仿宋" w:eastAsia="仿宋"/>
          <w:b w:val="0"/>
          <w:bCs/>
          <w:sz w:val="32"/>
          <w:szCs w:val="32"/>
        </w:rPr>
        <w:t>4034</w:t>
      </w:r>
      <w:r>
        <w:rPr>
          <w:rFonts w:hint="eastAsia" w:ascii="仿宋" w:hAnsi="仿宋" w:eastAsia="仿宋"/>
          <w:b w:val="0"/>
          <w:bCs/>
          <w:sz w:val="32"/>
          <w:szCs w:val="32"/>
          <w:lang w:val="zh-TW"/>
        </w:rPr>
        <w:t>人次），婚检率</w:t>
      </w:r>
      <w:r>
        <w:rPr>
          <w:rFonts w:hint="eastAsia" w:ascii="仿宋" w:hAnsi="仿宋" w:eastAsia="仿宋"/>
          <w:b w:val="0"/>
          <w:bCs/>
          <w:sz w:val="32"/>
          <w:szCs w:val="32"/>
        </w:rPr>
        <w:t>84.11</w:t>
      </w:r>
      <w:r>
        <w:rPr>
          <w:rFonts w:hint="eastAsia" w:ascii="仿宋" w:hAnsi="仿宋" w:eastAsia="仿宋"/>
          <w:b w:val="0"/>
          <w:bCs/>
          <w:sz w:val="32"/>
          <w:szCs w:val="32"/>
          <w:lang w:val="zh-TW"/>
        </w:rPr>
        <w:t>%，较去年有所提升，</w:t>
      </w:r>
      <w:r>
        <w:rPr>
          <w:rFonts w:hint="eastAsia" w:ascii="仿宋" w:hAnsi="仿宋" w:eastAsia="仿宋"/>
          <w:b w:val="0"/>
          <w:bCs/>
          <w:sz w:val="32"/>
          <w:szCs w:val="32"/>
        </w:rPr>
        <w:t>仅</w:t>
      </w:r>
      <w:r>
        <w:rPr>
          <w:rFonts w:hint="eastAsia" w:ascii="仿宋" w:hAnsi="仿宋" w:eastAsia="仿宋"/>
          <w:b w:val="0"/>
          <w:bCs/>
          <w:sz w:val="32"/>
          <w:szCs w:val="32"/>
          <w:lang w:val="zh-TW"/>
        </w:rPr>
        <w:t>完成目标任务的</w:t>
      </w:r>
      <w:r>
        <w:rPr>
          <w:rFonts w:hint="eastAsia" w:ascii="仿宋" w:hAnsi="仿宋" w:eastAsia="仿宋"/>
          <w:b w:val="0"/>
          <w:bCs/>
          <w:sz w:val="32"/>
          <w:szCs w:val="32"/>
        </w:rPr>
        <w:t>67.23</w:t>
      </w:r>
      <w:r>
        <w:rPr>
          <w:rFonts w:hint="eastAsia" w:ascii="仿宋" w:hAnsi="仿宋" w:eastAsia="仿宋"/>
          <w:b w:val="0"/>
          <w:bCs/>
          <w:sz w:val="32"/>
          <w:szCs w:val="32"/>
          <w:lang w:val="zh-TW"/>
        </w:rPr>
        <w:t>%，未完成的原因：一是适龄婚前登记人员减少；二是异地登记结婚人员，无政策支持，中心无法开展对此类对象服务</w:t>
      </w:r>
      <w:r>
        <w:rPr>
          <w:rFonts w:hint="eastAsia" w:ascii="仿宋" w:hAnsi="仿宋" w:eastAsia="仿宋"/>
          <w:b w:val="0"/>
          <w:bCs/>
          <w:sz w:val="32"/>
          <w:szCs w:val="32"/>
        </w:rPr>
        <w:t>;三是受疫情影响。</w:t>
      </w:r>
      <w:r>
        <w:rPr>
          <w:rFonts w:hint="eastAsia" w:ascii="仿宋" w:hAnsi="仿宋" w:eastAsia="仿宋"/>
          <w:b w:val="0"/>
          <w:bCs/>
          <w:sz w:val="32"/>
          <w:szCs w:val="32"/>
          <w:lang w:val="zh-TW"/>
        </w:rPr>
        <w:t>疾病检出人数</w:t>
      </w:r>
      <w:r>
        <w:rPr>
          <w:rFonts w:hint="eastAsia" w:ascii="仿宋" w:hAnsi="仿宋" w:eastAsia="仿宋"/>
          <w:b w:val="0"/>
          <w:bCs/>
          <w:sz w:val="32"/>
          <w:szCs w:val="32"/>
        </w:rPr>
        <w:t>561</w:t>
      </w:r>
      <w:r>
        <w:rPr>
          <w:rFonts w:hint="eastAsia" w:ascii="仿宋" w:hAnsi="仿宋" w:eastAsia="仿宋"/>
          <w:b w:val="0"/>
          <w:bCs/>
          <w:sz w:val="32"/>
          <w:szCs w:val="32"/>
          <w:lang w:val="zh-TW"/>
        </w:rPr>
        <w:t>人，检出率</w:t>
      </w:r>
      <w:r>
        <w:rPr>
          <w:rFonts w:hint="eastAsia" w:ascii="仿宋" w:hAnsi="仿宋" w:eastAsia="仿宋"/>
          <w:b w:val="0"/>
          <w:bCs/>
          <w:sz w:val="32"/>
          <w:szCs w:val="32"/>
        </w:rPr>
        <w:t>27.81</w:t>
      </w:r>
      <w:r>
        <w:rPr>
          <w:rFonts w:hint="eastAsia" w:ascii="仿宋" w:hAnsi="仿宋" w:eastAsia="仿宋"/>
          <w:b w:val="0"/>
          <w:bCs/>
          <w:sz w:val="32"/>
          <w:szCs w:val="32"/>
          <w:lang w:val="zh-TW"/>
        </w:rPr>
        <w:t>%；建议暂缓结婚的</w:t>
      </w:r>
      <w:r>
        <w:rPr>
          <w:rFonts w:hint="eastAsia" w:ascii="仿宋" w:hAnsi="仿宋" w:eastAsia="仿宋"/>
          <w:b w:val="0"/>
          <w:bCs/>
          <w:sz w:val="32"/>
          <w:szCs w:val="32"/>
        </w:rPr>
        <w:t>41</w:t>
      </w:r>
      <w:r>
        <w:rPr>
          <w:rFonts w:hint="eastAsia" w:ascii="仿宋" w:hAnsi="仿宋" w:eastAsia="仿宋"/>
          <w:b w:val="0"/>
          <w:bCs/>
          <w:sz w:val="32"/>
          <w:szCs w:val="32"/>
          <w:lang w:val="zh-TW"/>
        </w:rPr>
        <w:t>人，建议不宜生育的</w:t>
      </w:r>
      <w:r>
        <w:rPr>
          <w:rFonts w:hint="eastAsia" w:ascii="仿宋" w:hAnsi="仿宋" w:eastAsia="仿宋"/>
          <w:b w:val="0"/>
          <w:bCs/>
          <w:sz w:val="32"/>
          <w:szCs w:val="32"/>
        </w:rPr>
        <w:t>0</w:t>
      </w:r>
      <w:r>
        <w:rPr>
          <w:rFonts w:hint="eastAsia" w:ascii="仿宋" w:hAnsi="仿宋" w:eastAsia="仿宋"/>
          <w:b w:val="0"/>
          <w:bCs/>
          <w:sz w:val="32"/>
          <w:szCs w:val="32"/>
          <w:lang w:val="zh-TW"/>
        </w:rPr>
        <w:t>人,婚前卫生指导</w:t>
      </w:r>
      <w:r>
        <w:rPr>
          <w:rFonts w:hint="eastAsia" w:ascii="仿宋" w:hAnsi="仿宋" w:eastAsia="仿宋"/>
          <w:b w:val="0"/>
          <w:bCs/>
          <w:sz w:val="32"/>
          <w:szCs w:val="32"/>
        </w:rPr>
        <w:t>4034</w:t>
      </w:r>
      <w:r>
        <w:rPr>
          <w:rFonts w:hint="eastAsia" w:ascii="仿宋" w:hAnsi="仿宋" w:eastAsia="仿宋"/>
          <w:b w:val="0"/>
          <w:bCs/>
          <w:sz w:val="32"/>
          <w:szCs w:val="32"/>
          <w:lang w:val="zh-TW"/>
        </w:rPr>
        <w:t>人。</w:t>
      </w:r>
    </w:p>
    <w:p>
      <w:pPr>
        <w:pStyle w:val="2"/>
        <w:adjustRightInd w:val="0"/>
        <w:snapToGrid w:val="0"/>
        <w:spacing w:before="93" w:line="600" w:lineRule="exact"/>
        <w:ind w:firstLine="672" w:firstLineChars="210"/>
        <w:outlineLvl w:val="2"/>
        <w:rPr>
          <w:rFonts w:ascii="仿宋" w:hAnsi="仿宋" w:eastAsia="仿宋"/>
          <w:b w:val="0"/>
          <w:bCs/>
          <w:sz w:val="32"/>
          <w:szCs w:val="32"/>
          <w:lang w:val="zh-TW"/>
        </w:rPr>
      </w:pPr>
      <w:r>
        <w:rPr>
          <w:rFonts w:hint="eastAsia" w:ascii="仿宋" w:hAnsi="仿宋" w:eastAsia="仿宋"/>
          <w:b w:val="0"/>
          <w:bCs/>
          <w:sz w:val="32"/>
          <w:szCs w:val="32"/>
          <w:lang w:val="en-US" w:eastAsia="zh-CN"/>
        </w:rPr>
        <w:t>2</w:t>
      </w:r>
      <w:r>
        <w:rPr>
          <w:rFonts w:hint="eastAsia" w:ascii="仿宋" w:hAnsi="仿宋" w:eastAsia="仿宋"/>
          <w:b w:val="0"/>
          <w:bCs/>
          <w:sz w:val="32"/>
          <w:szCs w:val="32"/>
          <w:lang w:val="zh-TW"/>
        </w:rPr>
        <w:t>、抓实临床业务工作</w:t>
      </w:r>
    </w:p>
    <w:p>
      <w:pPr>
        <w:pStyle w:val="2"/>
        <w:adjustRightInd w:val="0"/>
        <w:snapToGrid w:val="0"/>
        <w:spacing w:before="93" w:line="600" w:lineRule="exact"/>
        <w:ind w:firstLine="672" w:firstLineChars="210"/>
        <w:outlineLvl w:val="2"/>
        <w:rPr>
          <w:rFonts w:ascii="仿宋" w:hAnsi="仿宋" w:eastAsia="仿宋"/>
          <w:b w:val="0"/>
          <w:bCs/>
          <w:sz w:val="32"/>
          <w:szCs w:val="32"/>
        </w:rPr>
      </w:pPr>
      <w:r>
        <w:rPr>
          <w:rFonts w:hint="eastAsia" w:ascii="仿宋" w:hAnsi="仿宋" w:eastAsia="仿宋"/>
          <w:b w:val="0"/>
          <w:bCs/>
          <w:sz w:val="32"/>
          <w:szCs w:val="32"/>
        </w:rPr>
        <w:t>2021年，中心以党史学习教育暨“大学习大调研大落实”作风建设工作和卫生行业领域突出问题专项整治工作等活动为契机，增强党性学习和业务学习，规范医疗服务行为，改善就医环境，提升服务质量。一是实施单病种管理，控制医疗费用。开展单胎顺产、支气管肺炎2个病种临床路径管理，将剖宫产，异位妊娠等6种疾病纳入单病种质量管理，实现同质化管理，较好地控制了门诊次均费用、住院次均费用及平均住院床日等各项指标。二是积极开展新技术，提供优质服务。近年来，全院已开展支气管肺炎贴敷疗法、导乐陪伴分娩、产后盆底康复等17项新技术，提升患者就医体验。构建护理质量管理新体系，全面实施“以病人为中心”的责任制整体化护理，优质护理服务覆盖面为100%。截止12月底，全院硬膜外麻醉镇痛分娩开展255例，剖宫产率仅36%，位居全市医疗机构前列。三是增设服务项目，提升业务收入。中心在抓好疫情防控的同时，学习并借鉴自贡妇幼保健院的先进经验，正在积极筹划小儿推拿、产后足浴等中医领域的新技术在产、儿科中开展；拟定规划建设预防接种门诊，开展儿童预防接种服务，增加单位业务收入。四是严格落实“医保贯标”，保障人民利益。中心严格按照上级各部门要求，落实“医保贯标”工作，保证人民利益得到保障，截止目前医保工作正常运行。截止2021年12月底，全中心门诊42988人次，门诊收入988.65万元；住院2245</w:t>
      </w:r>
      <w:r>
        <w:rPr>
          <w:rFonts w:ascii="Calibri" w:hAnsi="Calibri" w:eastAsia="仿宋" w:cs="Calibri"/>
          <w:b w:val="0"/>
          <w:bCs/>
          <w:sz w:val="32"/>
          <w:szCs w:val="32"/>
        </w:rPr>
        <w:t> </w:t>
      </w:r>
      <w:r>
        <w:rPr>
          <w:rFonts w:hint="eastAsia" w:ascii="仿宋" w:hAnsi="仿宋" w:eastAsia="仿宋"/>
          <w:b w:val="0"/>
          <w:bCs/>
          <w:sz w:val="32"/>
          <w:szCs w:val="32"/>
        </w:rPr>
        <w:t>人次，住院收入738.79万元，总收入1727.44万元，与去年同期相比略有增长。</w:t>
      </w:r>
    </w:p>
    <w:p>
      <w:pPr>
        <w:pStyle w:val="2"/>
        <w:adjustRightInd w:val="0"/>
        <w:snapToGrid w:val="0"/>
        <w:spacing w:before="93" w:line="600" w:lineRule="exact"/>
        <w:ind w:firstLine="672" w:firstLineChars="210"/>
        <w:outlineLvl w:val="2"/>
        <w:rPr>
          <w:rFonts w:ascii="仿宋" w:hAnsi="仿宋" w:eastAsia="仿宋"/>
          <w:b w:val="0"/>
          <w:bCs/>
          <w:sz w:val="32"/>
          <w:szCs w:val="32"/>
          <w:lang w:val="zh-TW"/>
        </w:rPr>
      </w:pPr>
      <w:r>
        <w:rPr>
          <w:rFonts w:hint="eastAsia" w:ascii="仿宋" w:hAnsi="仿宋" w:eastAsia="仿宋"/>
          <w:b w:val="0"/>
          <w:bCs/>
          <w:sz w:val="32"/>
          <w:szCs w:val="32"/>
          <w:lang w:val="en-US" w:eastAsia="zh-CN"/>
        </w:rPr>
        <w:t>3</w:t>
      </w:r>
      <w:r>
        <w:rPr>
          <w:rFonts w:ascii="仿宋" w:hAnsi="仿宋" w:eastAsia="仿宋"/>
          <w:b w:val="0"/>
          <w:bCs/>
          <w:sz w:val="32"/>
          <w:szCs w:val="32"/>
          <w:lang w:val="zh-TW"/>
        </w:rPr>
        <w:t>、抓实疫情防控工作</w:t>
      </w:r>
    </w:p>
    <w:p>
      <w:pPr>
        <w:pStyle w:val="2"/>
        <w:adjustRightInd w:val="0"/>
        <w:snapToGrid w:val="0"/>
        <w:spacing w:before="93" w:line="600" w:lineRule="exact"/>
        <w:ind w:firstLine="672" w:firstLineChars="210"/>
        <w:outlineLvl w:val="2"/>
        <w:rPr>
          <w:rFonts w:ascii="仿宋" w:hAnsi="仿宋" w:eastAsia="仿宋"/>
          <w:b w:val="0"/>
          <w:bCs/>
          <w:sz w:val="32"/>
          <w:szCs w:val="32"/>
        </w:rPr>
      </w:pPr>
      <w:r>
        <w:rPr>
          <w:rFonts w:hint="eastAsia" w:ascii="仿宋" w:hAnsi="仿宋" w:eastAsia="仿宋"/>
          <w:b w:val="0"/>
          <w:bCs/>
          <w:sz w:val="32"/>
          <w:szCs w:val="32"/>
        </w:rPr>
        <w:t>中心严格执行新冠肺炎诊疗方案和防控方案，严格落实预检分诊、病区管理及院感督查员等管理制度，按照要求抓好医院自身疫情防控工作的同时，承担全县产、儿科急诊急救任务，负责2个集中隔离医学留观点工作、县疾控中心PCR实验室检测和承担新冠疫苗接种等疫情防控工作。2021年，中心1人被评为市级抗疫先进个人，2人被评为县级优秀共产党员，1人被评为县级优秀医师，1人被评为县级最美护士。</w:t>
      </w:r>
    </w:p>
    <w:p>
      <w:pPr>
        <w:pStyle w:val="2"/>
        <w:adjustRightInd w:val="0"/>
        <w:snapToGrid w:val="0"/>
        <w:spacing w:before="93" w:line="600" w:lineRule="exact"/>
        <w:ind w:firstLine="672" w:firstLineChars="210"/>
        <w:outlineLvl w:val="2"/>
        <w:rPr>
          <w:rFonts w:ascii="仿宋" w:hAnsi="仿宋" w:eastAsia="仿宋"/>
          <w:b w:val="0"/>
          <w:bCs/>
          <w:sz w:val="32"/>
          <w:szCs w:val="32"/>
          <w:lang w:val="zh-TW"/>
        </w:rPr>
      </w:pPr>
      <w:r>
        <w:rPr>
          <w:rFonts w:hint="eastAsia" w:ascii="仿宋" w:hAnsi="仿宋" w:eastAsia="仿宋"/>
          <w:b w:val="0"/>
          <w:bCs/>
          <w:sz w:val="32"/>
          <w:szCs w:val="32"/>
          <w:lang w:val="en-US" w:eastAsia="zh-CN"/>
        </w:rPr>
        <w:t>4</w:t>
      </w:r>
      <w:r>
        <w:rPr>
          <w:rFonts w:ascii="仿宋" w:hAnsi="仿宋" w:eastAsia="仿宋"/>
          <w:b w:val="0"/>
          <w:bCs/>
          <w:sz w:val="32"/>
          <w:szCs w:val="32"/>
          <w:lang w:val="zh-TW"/>
        </w:rPr>
        <w:t>、加强医院内涵建设</w:t>
      </w:r>
    </w:p>
    <w:p>
      <w:pPr>
        <w:pStyle w:val="2"/>
        <w:adjustRightInd w:val="0"/>
        <w:snapToGrid w:val="0"/>
        <w:spacing w:before="93" w:line="600" w:lineRule="exact"/>
        <w:ind w:firstLine="672" w:firstLineChars="210"/>
        <w:outlineLvl w:val="2"/>
        <w:rPr>
          <w:rFonts w:ascii="仿宋" w:hAnsi="仿宋" w:eastAsia="仿宋"/>
          <w:b w:val="0"/>
          <w:bCs/>
          <w:sz w:val="32"/>
          <w:szCs w:val="32"/>
        </w:rPr>
      </w:pPr>
      <w:r>
        <w:rPr>
          <w:rFonts w:ascii="仿宋" w:hAnsi="仿宋" w:eastAsia="仿宋"/>
          <w:b w:val="0"/>
          <w:bCs/>
          <w:sz w:val="32"/>
          <w:szCs w:val="32"/>
          <w:lang w:val="zh-TW"/>
        </w:rPr>
        <w:t>（</w:t>
      </w:r>
      <w:r>
        <w:rPr>
          <w:rFonts w:hint="eastAsia" w:ascii="仿宋" w:hAnsi="仿宋" w:eastAsia="仿宋"/>
          <w:b w:val="0"/>
          <w:bCs/>
          <w:sz w:val="32"/>
          <w:szCs w:val="32"/>
          <w:lang w:val="en-US" w:eastAsia="zh-CN"/>
        </w:rPr>
        <w:t>1</w:t>
      </w:r>
      <w:r>
        <w:rPr>
          <w:rFonts w:ascii="仿宋" w:hAnsi="仿宋" w:eastAsia="仿宋"/>
          <w:b w:val="0"/>
          <w:bCs/>
          <w:sz w:val="32"/>
          <w:szCs w:val="32"/>
          <w:lang w:val="zh-TW"/>
        </w:rPr>
        <w:t>）加强党建工作。</w:t>
      </w:r>
      <w:r>
        <w:rPr>
          <w:rFonts w:hint="eastAsia" w:ascii="仿宋" w:hAnsi="仿宋" w:eastAsia="仿宋"/>
          <w:b w:val="0"/>
          <w:bCs/>
          <w:sz w:val="32"/>
          <w:szCs w:val="32"/>
        </w:rPr>
        <w:t>认真贯彻落实“三会一课”制度，积极开展“主题党日”活动。全年共组织党员干部学习18次，支委会19次，党课5次，组织生活会2次，民主评议1次。按照上级部门的要求,认真抓好党费清理及收缴工作，无少缴漏缴的情况。2021年发展3名入党积极份子、3名发展对象，1名预备党员按期转正，为中心党支部注入了新鲜血液。</w:t>
      </w:r>
    </w:p>
    <w:p>
      <w:pPr>
        <w:pStyle w:val="2"/>
        <w:adjustRightInd w:val="0"/>
        <w:snapToGrid w:val="0"/>
        <w:spacing w:before="93" w:line="600" w:lineRule="exact"/>
        <w:ind w:firstLine="672" w:firstLineChars="210"/>
        <w:outlineLvl w:val="2"/>
        <w:rPr>
          <w:rFonts w:ascii="仿宋" w:hAnsi="仿宋" w:eastAsia="仿宋"/>
          <w:b w:val="0"/>
          <w:bCs/>
          <w:sz w:val="32"/>
          <w:szCs w:val="32"/>
          <w:lang w:val="zh-TW"/>
        </w:rPr>
      </w:pPr>
      <w:r>
        <w:rPr>
          <w:rFonts w:ascii="仿宋" w:hAnsi="仿宋" w:eastAsia="仿宋"/>
          <w:b w:val="0"/>
          <w:bCs/>
          <w:sz w:val="32"/>
          <w:szCs w:val="32"/>
          <w:lang w:val="zh-TW"/>
        </w:rPr>
        <w:t>（</w:t>
      </w:r>
      <w:r>
        <w:rPr>
          <w:rFonts w:hint="eastAsia" w:ascii="仿宋" w:hAnsi="仿宋" w:eastAsia="仿宋"/>
          <w:b w:val="0"/>
          <w:bCs/>
          <w:sz w:val="32"/>
          <w:szCs w:val="32"/>
          <w:lang w:val="en-US" w:eastAsia="zh-CN"/>
        </w:rPr>
        <w:t>2</w:t>
      </w:r>
      <w:r>
        <w:rPr>
          <w:rFonts w:ascii="仿宋" w:hAnsi="仿宋" w:eastAsia="仿宋"/>
          <w:b w:val="0"/>
          <w:bCs/>
          <w:sz w:val="32"/>
          <w:szCs w:val="32"/>
          <w:lang w:val="zh-TW"/>
        </w:rPr>
        <w:t>）加强党风廉政建设和行风建设。</w:t>
      </w:r>
      <w:r>
        <w:rPr>
          <w:rFonts w:ascii="仿宋" w:hAnsi="仿宋" w:eastAsia="仿宋"/>
          <w:b w:val="0"/>
          <w:bCs/>
          <w:sz w:val="32"/>
          <w:szCs w:val="32"/>
        </w:rPr>
        <w:t>一是强化“一岗双责”，层层分解任务，压实责任。年初与各科室负责人签订了党风廉政建设目标责任书；二是加强廉洁教育。利用</w:t>
      </w:r>
      <w:r>
        <w:rPr>
          <w:rFonts w:hint="eastAsia" w:ascii="仿宋" w:hAnsi="仿宋" w:eastAsia="仿宋"/>
          <w:b w:val="0"/>
          <w:bCs/>
          <w:sz w:val="32"/>
          <w:szCs w:val="32"/>
        </w:rPr>
        <w:t>主题党日、</w:t>
      </w:r>
      <w:r>
        <w:rPr>
          <w:rFonts w:ascii="仿宋" w:hAnsi="仿宋" w:eastAsia="仿宋"/>
          <w:b w:val="0"/>
          <w:bCs/>
          <w:sz w:val="32"/>
          <w:szCs w:val="32"/>
        </w:rPr>
        <w:t>行政查房、新员工培训开展干部职工，特别是重点岗位人员廉洁警示教育，坚持重点岗位人员轮岗制度；三是强化监督执纪，注重日常检查考核。将医德医风工作纳入绩效考核重点内容，每月深入临床走访病人，了解医护人员廉洁行医情况，对病人反映问题即知即改，并与科室绩效考核挂钩。四是做好党风廉政建设社会评价常态工作。</w:t>
      </w:r>
      <w:r>
        <w:rPr>
          <w:rFonts w:ascii="仿宋" w:hAnsi="仿宋" w:eastAsia="仿宋"/>
          <w:b w:val="0"/>
          <w:bCs/>
          <w:sz w:val="32"/>
          <w:szCs w:val="32"/>
          <w:lang w:val="zh-TW"/>
        </w:rPr>
        <w:t>每月开展病人满意度测评，坚持每月反馈，通过测评及时发现并纠正了一些医院管理、服务问题，取得了一定成效，全年病人满意率达</w:t>
      </w:r>
      <w:r>
        <w:rPr>
          <w:rFonts w:ascii="仿宋" w:hAnsi="仿宋" w:eastAsia="仿宋"/>
          <w:b w:val="0"/>
          <w:bCs/>
          <w:sz w:val="32"/>
          <w:szCs w:val="32"/>
        </w:rPr>
        <w:t>95</w:t>
      </w:r>
      <w:r>
        <w:rPr>
          <w:rFonts w:ascii="仿宋" w:hAnsi="仿宋" w:eastAsia="仿宋"/>
          <w:b w:val="0"/>
          <w:bCs/>
          <w:sz w:val="32"/>
          <w:szCs w:val="32"/>
          <w:lang w:val="zh-TW"/>
        </w:rPr>
        <w:t>％以上。</w:t>
      </w:r>
    </w:p>
    <w:p>
      <w:pPr>
        <w:pStyle w:val="2"/>
        <w:adjustRightInd w:val="0"/>
        <w:snapToGrid w:val="0"/>
        <w:spacing w:before="93" w:line="600" w:lineRule="exact"/>
        <w:ind w:firstLine="672" w:firstLineChars="210"/>
        <w:outlineLvl w:val="2"/>
        <w:rPr>
          <w:rFonts w:ascii="仿宋" w:hAnsi="仿宋" w:eastAsia="仿宋"/>
          <w:b w:val="0"/>
          <w:bCs/>
          <w:sz w:val="32"/>
          <w:szCs w:val="32"/>
          <w:lang w:val="zh-TW"/>
        </w:rPr>
      </w:pPr>
      <w:r>
        <w:rPr>
          <w:rFonts w:hint="eastAsia" w:ascii="仿宋" w:hAnsi="仿宋" w:eastAsia="仿宋"/>
          <w:b w:val="0"/>
          <w:bCs/>
          <w:sz w:val="32"/>
          <w:szCs w:val="32"/>
        </w:rPr>
        <w:t>（</w:t>
      </w:r>
      <w:r>
        <w:rPr>
          <w:rFonts w:hint="eastAsia" w:ascii="仿宋" w:hAnsi="仿宋" w:eastAsia="仿宋"/>
          <w:b w:val="0"/>
          <w:bCs/>
          <w:sz w:val="32"/>
          <w:szCs w:val="32"/>
          <w:lang w:val="en-US" w:eastAsia="zh-CN"/>
        </w:rPr>
        <w:t>3</w:t>
      </w:r>
      <w:r>
        <w:rPr>
          <w:rFonts w:hint="eastAsia" w:ascii="仿宋" w:hAnsi="仿宋" w:eastAsia="仿宋"/>
          <w:b w:val="0"/>
          <w:bCs/>
          <w:sz w:val="32"/>
          <w:szCs w:val="32"/>
        </w:rPr>
        <w:t>）</w:t>
      </w:r>
      <w:r>
        <w:rPr>
          <w:rFonts w:ascii="仿宋" w:hAnsi="仿宋" w:eastAsia="仿宋"/>
          <w:b w:val="0"/>
          <w:bCs/>
          <w:sz w:val="32"/>
          <w:szCs w:val="32"/>
        </w:rPr>
        <w:t>积极开展活动</w:t>
      </w:r>
      <w:r>
        <w:rPr>
          <w:rFonts w:ascii="仿宋" w:hAnsi="仿宋" w:eastAsia="仿宋"/>
          <w:b w:val="0"/>
          <w:bCs/>
          <w:sz w:val="32"/>
          <w:szCs w:val="32"/>
          <w:lang w:val="zh-TW"/>
        </w:rPr>
        <w:t>，增强单位凝聚力。中心坚持以人为本，把努力营造团结协作、和谐愉快的工作环境做为发展动力，在传统的节假期日、</w:t>
      </w:r>
      <w:r>
        <w:rPr>
          <w:rFonts w:ascii="仿宋" w:hAnsi="仿宋" w:eastAsia="仿宋"/>
          <w:b w:val="0"/>
          <w:bCs/>
          <w:sz w:val="32"/>
          <w:szCs w:val="32"/>
        </w:rPr>
        <w:t>5.12</w:t>
      </w:r>
      <w:r>
        <w:rPr>
          <w:rFonts w:ascii="仿宋" w:hAnsi="仿宋" w:eastAsia="仿宋"/>
          <w:b w:val="0"/>
          <w:bCs/>
          <w:sz w:val="32"/>
          <w:szCs w:val="32"/>
          <w:lang w:val="zh-TW"/>
        </w:rPr>
        <w:t>护士节、</w:t>
      </w:r>
      <w:r>
        <w:rPr>
          <w:rFonts w:ascii="仿宋" w:hAnsi="仿宋" w:eastAsia="仿宋"/>
          <w:b w:val="0"/>
          <w:bCs/>
          <w:sz w:val="32"/>
          <w:szCs w:val="32"/>
        </w:rPr>
        <w:t>8.19</w:t>
      </w:r>
      <w:r>
        <w:rPr>
          <w:rFonts w:ascii="仿宋" w:hAnsi="仿宋" w:eastAsia="仿宋"/>
          <w:b w:val="0"/>
          <w:bCs/>
          <w:sz w:val="32"/>
          <w:szCs w:val="32"/>
          <w:lang w:val="zh-TW"/>
        </w:rPr>
        <w:t>医师节、建军节、重阳节开展了节日慰问，营造了良好的团队氛围，促进医院健康有序和谐发展。</w:t>
      </w:r>
    </w:p>
    <w:p>
      <w:pPr>
        <w:pStyle w:val="4"/>
        <w:ind w:firstLine="640" w:firstLineChars="200"/>
        <w:rPr>
          <w:rStyle w:val="25"/>
          <w:b w:val="0"/>
          <w:bCs w:val="0"/>
        </w:rPr>
      </w:pPr>
      <w:bookmarkStart w:id="20" w:name="_Toc15396601"/>
      <w:bookmarkStart w:id="21" w:name="_Toc15377200"/>
      <w:r>
        <w:rPr>
          <w:rFonts w:hint="eastAsia" w:ascii="黑体" w:eastAsia="黑体"/>
          <w:b w:val="0"/>
        </w:rPr>
        <w:t>二、</w:t>
      </w:r>
      <w:r>
        <w:rPr>
          <w:rFonts w:hint="eastAsia" w:ascii="黑体" w:hAnsi="黑体" w:eastAsia="黑体"/>
          <w:b w:val="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bCs/>
          <w:kern w:val="0"/>
          <w:sz w:val="32"/>
          <w:szCs w:val="32"/>
        </w:rPr>
        <w:t>纳入202</w:t>
      </w:r>
      <w:r>
        <w:rPr>
          <w:rFonts w:ascii="仿宋" w:hAnsi="仿宋" w:eastAsia="仿宋"/>
          <w:bCs/>
          <w:kern w:val="0"/>
          <w:sz w:val="32"/>
          <w:szCs w:val="32"/>
        </w:rPr>
        <w:t>1</w:t>
      </w:r>
      <w:r>
        <w:rPr>
          <w:rFonts w:hint="eastAsia" w:ascii="仿宋" w:hAnsi="仿宋" w:eastAsia="仿宋"/>
          <w:bCs/>
          <w:kern w:val="0"/>
          <w:sz w:val="32"/>
          <w:szCs w:val="32"/>
        </w:rPr>
        <w:t>年部门决算编报的单位共1个，事业单位管理。</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22" w:name="_Toc15377204"/>
      <w:bookmarkStart w:id="23" w:name="_Toc15396602"/>
      <w:r>
        <w:rPr>
          <w:rFonts w:hint="eastAsia" w:ascii="黑体" w:hAnsi="黑体" w:eastAsia="黑体"/>
          <w:b w:val="0"/>
        </w:rPr>
        <w:t>第二部分 2021年度</w:t>
      </w:r>
      <w:r>
        <w:rPr>
          <w:rStyle w:val="24"/>
          <w:rFonts w:hint="eastAsia" w:ascii="黑体" w:hAnsi="黑体" w:eastAsia="黑体"/>
          <w:b w:val="0"/>
          <w:bCs/>
        </w:rPr>
        <w:t>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2021年度收入总计1</w:t>
      </w:r>
      <w:r>
        <w:rPr>
          <w:rFonts w:ascii="仿宋" w:hAnsi="仿宋" w:eastAsia="仿宋"/>
          <w:sz w:val="32"/>
          <w:szCs w:val="32"/>
        </w:rPr>
        <w:t>092.67</w:t>
      </w:r>
      <w:r>
        <w:rPr>
          <w:rFonts w:hint="eastAsia" w:ascii="仿宋" w:hAnsi="仿宋" w:eastAsia="仿宋"/>
          <w:sz w:val="32"/>
          <w:szCs w:val="32"/>
        </w:rPr>
        <w:t>万元，支出总计</w:t>
      </w:r>
      <w:r>
        <w:rPr>
          <w:rFonts w:ascii="仿宋" w:hAnsi="仿宋" w:eastAsia="仿宋"/>
          <w:sz w:val="32"/>
          <w:szCs w:val="32"/>
        </w:rPr>
        <w:t>1292.67</w:t>
      </w:r>
      <w:r>
        <w:rPr>
          <w:rFonts w:hint="eastAsia" w:ascii="仿宋" w:hAnsi="仿宋" w:eastAsia="仿宋"/>
          <w:sz w:val="32"/>
          <w:szCs w:val="32"/>
        </w:rPr>
        <w:t>万元。与2020年相比，收入总计减少6</w:t>
      </w:r>
      <w:r>
        <w:rPr>
          <w:rFonts w:ascii="仿宋" w:hAnsi="仿宋" w:eastAsia="仿宋"/>
          <w:sz w:val="32"/>
          <w:szCs w:val="32"/>
        </w:rPr>
        <w:t>52.04</w:t>
      </w:r>
      <w:r>
        <w:rPr>
          <w:rFonts w:hint="eastAsia" w:ascii="仿宋" w:hAnsi="仿宋" w:eastAsia="仿宋"/>
          <w:sz w:val="32"/>
          <w:szCs w:val="32"/>
        </w:rPr>
        <w:t>万元，下降3</w:t>
      </w:r>
      <w:r>
        <w:rPr>
          <w:rFonts w:ascii="仿宋" w:hAnsi="仿宋" w:eastAsia="仿宋"/>
          <w:sz w:val="32"/>
          <w:szCs w:val="32"/>
        </w:rPr>
        <w:t>7.37</w:t>
      </w:r>
      <w:r>
        <w:rPr>
          <w:rFonts w:hint="eastAsia" w:ascii="仿宋" w:hAnsi="仿宋" w:eastAsia="仿宋"/>
          <w:sz w:val="32"/>
          <w:szCs w:val="32"/>
        </w:rPr>
        <w:t>%，主要变动原因是专项资金的减少。与2020年相比，支出总计减少</w:t>
      </w:r>
      <w:r>
        <w:rPr>
          <w:rFonts w:ascii="仿宋" w:hAnsi="仿宋" w:eastAsia="仿宋"/>
          <w:sz w:val="32"/>
          <w:szCs w:val="32"/>
        </w:rPr>
        <w:t>486.54</w:t>
      </w:r>
      <w:r>
        <w:rPr>
          <w:rFonts w:hint="eastAsia" w:ascii="仿宋" w:hAnsi="仿宋" w:eastAsia="仿宋"/>
          <w:sz w:val="32"/>
          <w:szCs w:val="32"/>
        </w:rPr>
        <w:t>万元，下降</w:t>
      </w:r>
      <w:r>
        <w:rPr>
          <w:rFonts w:ascii="仿宋" w:hAnsi="仿宋" w:eastAsia="仿宋"/>
          <w:sz w:val="32"/>
          <w:szCs w:val="32"/>
        </w:rPr>
        <w:t>37.64%</w:t>
      </w:r>
      <w:r>
        <w:rPr>
          <w:rFonts w:hint="eastAsia" w:ascii="仿宋" w:hAnsi="仿宋" w:eastAsia="仿宋"/>
          <w:sz w:val="32"/>
          <w:szCs w:val="32"/>
        </w:rPr>
        <w:t>。主要变动原因是专项资金的减少。</w:t>
      </w:r>
    </w:p>
    <w:p>
      <w:pPr>
        <w:spacing w:line="600" w:lineRule="exact"/>
        <w:ind w:firstLine="640" w:firstLineChars="200"/>
        <w:rPr>
          <w:rFonts w:ascii="仿宋" w:hAnsi="仿宋" w:eastAsia="仿宋"/>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133350</wp:posOffset>
            </wp:positionH>
            <wp:positionV relativeFrom="paragraph">
              <wp:posOffset>687070</wp:posOffset>
            </wp:positionV>
            <wp:extent cx="5274310" cy="3076575"/>
            <wp:effectExtent l="0" t="0" r="2540" b="952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ascii="仿宋" w:hAnsi="仿宋" w:eastAsia="仿宋"/>
          <w:sz w:val="32"/>
          <w:szCs w:val="32"/>
        </w:rPr>
        <w:t>1092.67</w:t>
      </w:r>
      <w:r>
        <w:rPr>
          <w:rFonts w:hint="eastAsia" w:ascii="仿宋" w:hAnsi="仿宋" w:eastAsia="仿宋"/>
          <w:sz w:val="32"/>
          <w:szCs w:val="32"/>
        </w:rPr>
        <w:t>万元，其中：一般公共预算财政拨款收入</w:t>
      </w:r>
      <w:r>
        <w:rPr>
          <w:rFonts w:ascii="仿宋" w:hAnsi="仿宋" w:eastAsia="仿宋"/>
          <w:sz w:val="32"/>
          <w:szCs w:val="32"/>
        </w:rPr>
        <w:t>1092.67</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w:t>
      </w:r>
      <w:r>
        <w:rPr>
          <w:rFonts w:ascii="仿宋" w:hAnsi="仿宋" w:eastAsia="仿宋"/>
          <w:sz w:val="32"/>
          <w:szCs w:val="32"/>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
        <w:spacing w:before="93"/>
      </w:pPr>
      <w:r>
        <w:rPr>
          <w:rFonts w:hint="eastAsia"/>
        </w:rPr>
        <w:drawing>
          <wp:inline distT="0" distB="0" distL="0" distR="0">
            <wp:extent cx="5274310" cy="3076575"/>
            <wp:effectExtent l="0" t="0" r="254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ascii="仿宋" w:hAnsi="仿宋" w:eastAsia="仿宋"/>
          <w:sz w:val="32"/>
          <w:szCs w:val="32"/>
        </w:rPr>
        <w:t>1292.67</w:t>
      </w:r>
      <w:r>
        <w:rPr>
          <w:rFonts w:hint="eastAsia" w:ascii="仿宋" w:hAnsi="仿宋" w:eastAsia="仿宋"/>
          <w:sz w:val="32"/>
          <w:szCs w:val="32"/>
        </w:rPr>
        <w:t>万元，其中：基本支出</w:t>
      </w:r>
      <w:r>
        <w:rPr>
          <w:rFonts w:ascii="仿宋" w:hAnsi="仿宋" w:eastAsia="仿宋"/>
          <w:sz w:val="32"/>
          <w:szCs w:val="32"/>
        </w:rPr>
        <w:t>933.65</w:t>
      </w:r>
      <w:r>
        <w:rPr>
          <w:rFonts w:hint="eastAsia" w:ascii="仿宋" w:hAnsi="仿宋" w:eastAsia="仿宋"/>
          <w:sz w:val="32"/>
          <w:szCs w:val="32"/>
        </w:rPr>
        <w:t>万元，占</w:t>
      </w:r>
      <w:r>
        <w:rPr>
          <w:rFonts w:ascii="仿宋" w:hAnsi="仿宋" w:eastAsia="仿宋"/>
          <w:sz w:val="32"/>
          <w:szCs w:val="32"/>
        </w:rPr>
        <w:t>72.23%</w:t>
      </w:r>
      <w:r>
        <w:rPr>
          <w:rFonts w:hint="eastAsia" w:ascii="仿宋" w:hAnsi="仿宋" w:eastAsia="仿宋"/>
          <w:sz w:val="32"/>
          <w:szCs w:val="32"/>
        </w:rPr>
        <w:t>；项目支出</w:t>
      </w:r>
      <w:r>
        <w:rPr>
          <w:rFonts w:ascii="仿宋" w:hAnsi="仿宋" w:eastAsia="仿宋"/>
          <w:sz w:val="32"/>
          <w:szCs w:val="32"/>
        </w:rPr>
        <w:t>359.01</w:t>
      </w:r>
      <w:r>
        <w:rPr>
          <w:rFonts w:hint="eastAsia" w:ascii="仿宋" w:hAnsi="仿宋" w:eastAsia="仿宋"/>
          <w:sz w:val="32"/>
          <w:szCs w:val="32"/>
        </w:rPr>
        <w:t>万元，占</w:t>
      </w:r>
      <w:r>
        <w:rPr>
          <w:rFonts w:ascii="仿宋" w:hAnsi="仿宋" w:eastAsia="仿宋"/>
          <w:sz w:val="32"/>
          <w:szCs w:val="32"/>
        </w:rPr>
        <w:t>27.77%</w:t>
      </w:r>
      <w:r>
        <w:rPr>
          <w:rFonts w:hint="eastAsia" w:ascii="仿宋" w:hAnsi="仿宋" w:eastAsia="仿宋"/>
          <w:sz w:val="32"/>
          <w:szCs w:val="32"/>
        </w:rPr>
        <w:t>；</w:t>
      </w:r>
      <w:r>
        <w:rPr>
          <w:rFonts w:ascii="仿宋" w:hAnsi="仿宋" w:eastAsia="仿宋"/>
          <w:sz w:val="32"/>
          <w:szCs w:val="32"/>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2"/>
        <w:spacing w:before="93"/>
      </w:pPr>
      <w:r>
        <w:rPr>
          <w:rFonts w:hint="eastAsia"/>
        </w:rPr>
        <w:drawing>
          <wp:inline distT="0" distB="0" distL="0" distR="0">
            <wp:extent cx="5274310" cy="3076575"/>
            <wp:effectExtent l="0" t="0" r="254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Fonts w:hint="eastAsia" w:ascii="黑体" w:hAnsi="黑体" w:eastAsia="黑体"/>
          <w:sz w:val="32"/>
          <w:szCs w:val="32"/>
        </w:rPr>
      </w:pPr>
      <w:bookmarkStart w:id="30" w:name="_Toc15396606"/>
      <w:bookmarkStart w:id="31" w:name="_Toc15377208"/>
    </w:p>
    <w:p>
      <w:pPr>
        <w:spacing w:line="600" w:lineRule="exact"/>
        <w:ind w:firstLine="640" w:firstLineChars="200"/>
        <w:outlineLvl w:val="1"/>
        <w:rPr>
          <w:rStyle w:val="25"/>
          <w:rFonts w:ascii="黑体" w:hAnsi="黑体" w:eastAsia="黑体"/>
          <w:b w:val="0"/>
        </w:rPr>
      </w:pPr>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2021年财政拨款收入总计1</w:t>
      </w:r>
      <w:r>
        <w:rPr>
          <w:rFonts w:ascii="仿宋" w:hAnsi="仿宋" w:eastAsia="仿宋"/>
          <w:sz w:val="32"/>
          <w:szCs w:val="32"/>
        </w:rPr>
        <w:t>092.67</w:t>
      </w:r>
      <w:r>
        <w:rPr>
          <w:rFonts w:hint="eastAsia" w:ascii="仿宋" w:hAnsi="仿宋" w:eastAsia="仿宋"/>
          <w:sz w:val="32"/>
          <w:szCs w:val="32"/>
        </w:rPr>
        <w:t>万元，财政拨款支出总计</w:t>
      </w:r>
      <w:r>
        <w:rPr>
          <w:rFonts w:ascii="仿宋" w:hAnsi="仿宋" w:eastAsia="仿宋"/>
          <w:sz w:val="32"/>
          <w:szCs w:val="32"/>
        </w:rPr>
        <w:t>1292.67</w:t>
      </w:r>
      <w:r>
        <w:rPr>
          <w:rFonts w:hint="eastAsia" w:ascii="仿宋" w:hAnsi="仿宋" w:eastAsia="仿宋"/>
          <w:sz w:val="32"/>
          <w:szCs w:val="32"/>
        </w:rPr>
        <w:t>万元。与2020年相比，财政拨款收入总计减少6</w:t>
      </w:r>
      <w:r>
        <w:rPr>
          <w:rFonts w:ascii="仿宋" w:hAnsi="仿宋" w:eastAsia="仿宋"/>
          <w:sz w:val="32"/>
          <w:szCs w:val="32"/>
        </w:rPr>
        <w:t>52.04</w:t>
      </w:r>
      <w:r>
        <w:rPr>
          <w:rFonts w:hint="eastAsia" w:ascii="仿宋" w:hAnsi="仿宋" w:eastAsia="仿宋"/>
          <w:sz w:val="32"/>
          <w:szCs w:val="32"/>
        </w:rPr>
        <w:t>万元，下降3</w:t>
      </w:r>
      <w:r>
        <w:rPr>
          <w:rFonts w:ascii="仿宋" w:hAnsi="仿宋" w:eastAsia="仿宋"/>
          <w:sz w:val="32"/>
          <w:szCs w:val="32"/>
        </w:rPr>
        <w:t>7.37</w:t>
      </w:r>
      <w:r>
        <w:rPr>
          <w:rFonts w:hint="eastAsia" w:ascii="仿宋" w:hAnsi="仿宋" w:eastAsia="仿宋"/>
          <w:sz w:val="32"/>
          <w:szCs w:val="32"/>
        </w:rPr>
        <w:t>%，主要变动原因是专项资金的减少。与2020年相比，财政拨款支出总计减少</w:t>
      </w:r>
      <w:r>
        <w:rPr>
          <w:rFonts w:ascii="仿宋" w:hAnsi="仿宋" w:eastAsia="仿宋"/>
          <w:sz w:val="32"/>
          <w:szCs w:val="32"/>
        </w:rPr>
        <w:t>486.54</w:t>
      </w:r>
      <w:r>
        <w:rPr>
          <w:rFonts w:hint="eastAsia" w:ascii="仿宋" w:hAnsi="仿宋" w:eastAsia="仿宋"/>
          <w:sz w:val="32"/>
          <w:szCs w:val="32"/>
        </w:rPr>
        <w:t>万元，下降</w:t>
      </w:r>
      <w:r>
        <w:rPr>
          <w:rFonts w:ascii="仿宋" w:hAnsi="仿宋" w:eastAsia="仿宋"/>
          <w:sz w:val="32"/>
          <w:szCs w:val="32"/>
        </w:rPr>
        <w:t>37.64%</w:t>
      </w:r>
      <w:r>
        <w:rPr>
          <w:rFonts w:hint="eastAsia" w:ascii="仿宋" w:hAnsi="仿宋" w:eastAsia="仿宋"/>
          <w:sz w:val="32"/>
          <w:szCs w:val="32"/>
        </w:rPr>
        <w:t>。主要变动原因是专项资金的减少。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0</wp:posOffset>
            </wp:positionH>
            <wp:positionV relativeFrom="paragraph">
              <wp:posOffset>381000</wp:posOffset>
            </wp:positionV>
            <wp:extent cx="5274310" cy="3076575"/>
            <wp:effectExtent l="0" t="0" r="2540" b="952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1292.67</w:t>
      </w:r>
      <w:r>
        <w:rPr>
          <w:rFonts w:hint="eastAsia" w:ascii="仿宋" w:hAnsi="仿宋" w:eastAsia="仿宋"/>
          <w:sz w:val="32"/>
          <w:szCs w:val="32"/>
        </w:rPr>
        <w:t>万元，占本年支出合计的</w:t>
      </w:r>
      <w:r>
        <w:rPr>
          <w:rFonts w:ascii="仿宋" w:hAnsi="仿宋" w:eastAsia="仿宋"/>
          <w:sz w:val="32"/>
          <w:szCs w:val="32"/>
        </w:rPr>
        <w:t>100%</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w:t>
      </w:r>
      <w:r>
        <w:rPr>
          <w:rFonts w:ascii="仿宋" w:hAnsi="仿宋" w:eastAsia="仿宋"/>
          <w:sz w:val="32"/>
          <w:szCs w:val="32"/>
        </w:rPr>
        <w:t>486.54</w:t>
      </w:r>
      <w:r>
        <w:rPr>
          <w:rFonts w:hint="eastAsia" w:ascii="仿宋" w:hAnsi="仿宋" w:eastAsia="仿宋"/>
          <w:sz w:val="32"/>
          <w:szCs w:val="32"/>
        </w:rPr>
        <w:t>万元，下降</w:t>
      </w:r>
      <w:r>
        <w:rPr>
          <w:rFonts w:ascii="仿宋" w:hAnsi="仿宋" w:eastAsia="仿宋"/>
          <w:sz w:val="32"/>
          <w:szCs w:val="32"/>
        </w:rPr>
        <w:t>37.64%</w:t>
      </w:r>
      <w:r>
        <w:rPr>
          <w:rFonts w:hint="eastAsia" w:ascii="仿宋" w:hAnsi="仿宋" w:eastAsia="仿宋"/>
          <w:sz w:val="32"/>
          <w:szCs w:val="32"/>
        </w:rPr>
        <w:t>。主要变动原因是专项资金的减少</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381000</wp:posOffset>
            </wp:positionV>
            <wp:extent cx="5274310" cy="3076575"/>
            <wp:effectExtent l="0" t="0" r="2540" b="95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1292.67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ascii="仿宋" w:hAnsi="仿宋" w:eastAsia="仿宋"/>
          <w:sz w:val="32"/>
          <w:szCs w:val="32"/>
        </w:rPr>
        <w:t>94.85</w:t>
      </w:r>
      <w:r>
        <w:rPr>
          <w:rFonts w:hint="eastAsia" w:ascii="仿宋" w:hAnsi="仿宋" w:eastAsia="仿宋"/>
          <w:sz w:val="32"/>
          <w:szCs w:val="32"/>
        </w:rPr>
        <w:t>万元，占</w:t>
      </w:r>
      <w:r>
        <w:rPr>
          <w:rFonts w:ascii="仿宋" w:hAnsi="仿宋" w:eastAsia="仿宋"/>
          <w:sz w:val="32"/>
          <w:szCs w:val="32"/>
        </w:rPr>
        <w:t>7.34%</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1126.68</w:t>
      </w:r>
      <w:r>
        <w:rPr>
          <w:rFonts w:hint="eastAsia" w:ascii="仿宋" w:hAnsi="仿宋" w:eastAsia="仿宋"/>
          <w:sz w:val="32"/>
          <w:szCs w:val="32"/>
        </w:rPr>
        <w:t>万元，占</w:t>
      </w:r>
      <w:r>
        <w:rPr>
          <w:rFonts w:ascii="仿宋" w:hAnsi="仿宋" w:eastAsia="仿宋"/>
          <w:sz w:val="32"/>
          <w:szCs w:val="32"/>
        </w:rPr>
        <w:t>87.16%</w:t>
      </w:r>
      <w:r>
        <w:rPr>
          <w:rFonts w:hint="eastAsia" w:ascii="仿宋" w:hAnsi="仿宋" w:eastAsia="仿宋"/>
          <w:sz w:val="32"/>
          <w:szCs w:val="32"/>
        </w:rPr>
        <w:t>；住房保障支出</w:t>
      </w:r>
      <w:r>
        <w:rPr>
          <w:rFonts w:ascii="仿宋" w:hAnsi="仿宋" w:eastAsia="仿宋"/>
          <w:sz w:val="32"/>
          <w:szCs w:val="32"/>
        </w:rPr>
        <w:t>71.14</w:t>
      </w:r>
      <w:r>
        <w:rPr>
          <w:rFonts w:hint="eastAsia" w:ascii="仿宋" w:hAnsi="仿宋" w:eastAsia="仿宋"/>
          <w:sz w:val="32"/>
          <w:szCs w:val="32"/>
        </w:rPr>
        <w:t>万元，占</w:t>
      </w:r>
      <w:r>
        <w:rPr>
          <w:rFonts w:ascii="仿宋" w:hAnsi="仿宋" w:eastAsia="仿宋"/>
          <w:sz w:val="32"/>
          <w:szCs w:val="32"/>
        </w:rPr>
        <w:t>5.5%</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62336" behindDoc="0" locked="0" layoutInCell="1" allowOverlap="1">
            <wp:simplePos x="0" y="0"/>
            <wp:positionH relativeFrom="column">
              <wp:posOffset>171450</wp:posOffset>
            </wp:positionH>
            <wp:positionV relativeFrom="paragraph">
              <wp:posOffset>523875</wp:posOffset>
            </wp:positionV>
            <wp:extent cx="5102860" cy="3152775"/>
            <wp:effectExtent l="0" t="0" r="2540" b="952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0" w:firstLineChars="200"/>
        <w:outlineLvl w:val="2"/>
        <w:rPr>
          <w:rFonts w:ascii="仿宋" w:hAnsi="仿宋" w:eastAsia="仿宋"/>
          <w:b w:val="0"/>
          <w:bCs/>
          <w:sz w:val="32"/>
          <w:szCs w:val="32"/>
        </w:rPr>
      </w:pPr>
      <w:bookmarkStart w:id="37" w:name="_Toc15377444"/>
      <w:bookmarkStart w:id="38" w:name="_Toc15378460"/>
      <w:bookmarkStart w:id="39" w:name="_Toc15377213"/>
      <w:r>
        <w:rPr>
          <w:rFonts w:hint="eastAsia" w:ascii="仿宋" w:hAnsi="仿宋" w:eastAsia="仿宋"/>
          <w:b w:val="0"/>
          <w:bCs/>
          <w:sz w:val="32"/>
          <w:szCs w:val="32"/>
        </w:rPr>
        <w:t>2021年一般公共预算支出决算数为</w:t>
      </w:r>
      <w:r>
        <w:rPr>
          <w:rFonts w:ascii="仿宋" w:hAnsi="仿宋" w:eastAsia="仿宋"/>
          <w:b w:val="0"/>
          <w:bCs/>
          <w:sz w:val="32"/>
          <w:szCs w:val="32"/>
        </w:rPr>
        <w:t>1292.67</w:t>
      </w:r>
      <w:r>
        <w:rPr>
          <w:rFonts w:hint="eastAsia" w:ascii="仿宋" w:hAnsi="仿宋" w:eastAsia="仿宋"/>
          <w:b w:val="0"/>
          <w:bCs/>
          <w:sz w:val="32"/>
          <w:szCs w:val="32"/>
        </w:rPr>
        <w:t>万元，</w:t>
      </w:r>
      <w:r>
        <w:rPr>
          <w:rStyle w:val="14"/>
          <w:rFonts w:hint="eastAsia" w:ascii="仿宋" w:hAnsi="仿宋" w:eastAsia="仿宋"/>
          <w:b w:val="0"/>
          <w:bCs/>
          <w:sz w:val="32"/>
          <w:szCs w:val="32"/>
        </w:rPr>
        <w:t>完成预算</w:t>
      </w:r>
      <w:r>
        <w:rPr>
          <w:rStyle w:val="14"/>
          <w:rFonts w:ascii="仿宋" w:hAnsi="仿宋" w:eastAsia="仿宋"/>
          <w:b w:val="0"/>
          <w:bCs/>
          <w:sz w:val="32"/>
          <w:szCs w:val="32"/>
        </w:rPr>
        <w:t>136.28%</w:t>
      </w:r>
      <w:r>
        <w:rPr>
          <w:rStyle w:val="14"/>
          <w:rFonts w:hint="eastAsia" w:ascii="仿宋" w:hAnsi="仿宋" w:eastAsia="仿宋"/>
          <w:b w:val="0"/>
          <w:bCs/>
          <w:sz w:val="32"/>
          <w:szCs w:val="32"/>
        </w:rPr>
        <w:t>。其中：</w:t>
      </w:r>
      <w:bookmarkEnd w:id="37"/>
      <w:bookmarkEnd w:id="38"/>
      <w:bookmarkEnd w:id="39"/>
    </w:p>
    <w:p>
      <w:pPr>
        <w:numPr>
          <w:numId w:val="0"/>
        </w:numPr>
        <w:spacing w:line="600" w:lineRule="exact"/>
        <w:ind w:firstLine="640" w:firstLineChars="200"/>
        <w:rPr>
          <w:rStyle w:val="14"/>
          <w:rFonts w:hint="eastAsia" w:ascii="仿宋" w:hAnsi="仿宋" w:eastAsia="仿宋"/>
          <w:b w:val="0"/>
          <w:bCs/>
          <w:color w:val="000000"/>
          <w:sz w:val="32"/>
          <w:szCs w:val="32"/>
        </w:rPr>
      </w:pPr>
      <w:r>
        <w:rPr>
          <w:rStyle w:val="14"/>
          <w:rFonts w:ascii="仿宋" w:hAnsi="仿宋" w:eastAsia="仿宋"/>
          <w:b w:val="0"/>
          <w:bCs/>
          <w:sz w:val="32"/>
          <w:szCs w:val="32"/>
        </w:rPr>
        <w:t>1.</w:t>
      </w:r>
      <w:r>
        <w:rPr>
          <w:rStyle w:val="14"/>
          <w:rFonts w:hint="eastAsia" w:ascii="仿宋" w:hAnsi="仿宋" w:eastAsia="仿宋"/>
          <w:b w:val="0"/>
          <w:bCs/>
          <w:color w:val="000000"/>
          <w:sz w:val="32"/>
          <w:szCs w:val="32"/>
        </w:rPr>
        <w:t xml:space="preserve"> </w:t>
      </w:r>
      <w:r>
        <w:rPr>
          <w:rStyle w:val="14"/>
          <w:rFonts w:hint="eastAsia" w:ascii="仿宋" w:hAnsi="仿宋" w:eastAsia="仿宋"/>
          <w:b/>
          <w:bCs w:val="0"/>
          <w:color w:val="000000"/>
          <w:sz w:val="32"/>
          <w:szCs w:val="32"/>
        </w:rPr>
        <w:t>社会保障和就业（类）行政事业单位养老支出（款）机关事业单位基本养老保险缴费支出（项）</w:t>
      </w:r>
      <w:r>
        <w:rPr>
          <w:rStyle w:val="14"/>
          <w:rFonts w:ascii="仿宋" w:hAnsi="仿宋" w:eastAsia="仿宋"/>
          <w:b/>
          <w:bCs w:val="0"/>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94.85</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96.41%</w:t>
      </w:r>
      <w:r>
        <w:rPr>
          <w:rStyle w:val="14"/>
          <w:rFonts w:hint="eastAsia" w:ascii="仿宋" w:hAnsi="仿宋" w:eastAsia="仿宋"/>
          <w:b w:val="0"/>
          <w:bCs/>
          <w:color w:val="000000"/>
          <w:sz w:val="32"/>
          <w:szCs w:val="32"/>
        </w:rPr>
        <w:t>，决算数小于预算数的主要原因是在职人员减少。</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rPr>
        <w:t>2</w:t>
      </w:r>
      <w:r>
        <w:rPr>
          <w:rStyle w:val="14"/>
          <w:rFonts w:ascii="仿宋" w:hAnsi="仿宋" w:eastAsia="仿宋"/>
          <w:b w:val="0"/>
          <w:bCs/>
          <w:color w:val="000000"/>
          <w:sz w:val="32"/>
          <w:szCs w:val="32"/>
        </w:rPr>
        <w:t>.</w:t>
      </w:r>
      <w:r>
        <w:rPr>
          <w:rStyle w:val="14"/>
          <w:rFonts w:hint="eastAsia" w:ascii="仿宋" w:hAnsi="仿宋" w:eastAsia="仿宋"/>
          <w:b/>
          <w:bCs w:val="0"/>
          <w:color w:val="000000"/>
          <w:sz w:val="32"/>
          <w:szCs w:val="32"/>
        </w:rPr>
        <w:t>卫生健康（类）公共卫生（款）妇幼保健机构（项）：</w:t>
      </w:r>
      <w:r>
        <w:rPr>
          <w:rStyle w:val="14"/>
          <w:rFonts w:hint="eastAsia" w:ascii="仿宋" w:hAnsi="仿宋" w:eastAsia="仿宋"/>
          <w:b w:val="0"/>
          <w:bCs/>
          <w:color w:val="000000"/>
          <w:sz w:val="32"/>
          <w:szCs w:val="32"/>
        </w:rPr>
        <w:t>妇幼保健机构（项）支出决算为</w:t>
      </w:r>
      <w:r>
        <w:rPr>
          <w:rStyle w:val="14"/>
          <w:rFonts w:ascii="仿宋" w:hAnsi="仿宋" w:eastAsia="仿宋"/>
          <w:b w:val="0"/>
          <w:bCs/>
          <w:color w:val="000000"/>
          <w:sz w:val="32"/>
          <w:szCs w:val="32"/>
        </w:rPr>
        <w:t>722.18</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98.83%</w:t>
      </w:r>
      <w:r>
        <w:rPr>
          <w:rStyle w:val="14"/>
          <w:rFonts w:hint="eastAsia" w:ascii="仿宋" w:hAnsi="仿宋" w:eastAsia="仿宋"/>
          <w:b w:val="0"/>
          <w:bCs/>
          <w:color w:val="000000"/>
          <w:sz w:val="32"/>
          <w:szCs w:val="32"/>
        </w:rPr>
        <w:t>，决算数小于预算数的主要原因是在职人员减少。基本公共卫生服务</w:t>
      </w:r>
      <w:r>
        <w:rPr>
          <w:rStyle w:val="14"/>
          <w:rFonts w:hint="eastAsia" w:ascii="仿宋" w:hAnsi="仿宋" w:eastAsia="仿宋"/>
          <w:b w:val="0"/>
          <w:bCs/>
          <w:color w:val="000000"/>
          <w:sz w:val="32"/>
          <w:szCs w:val="32"/>
        </w:rPr>
        <w:t>（项）支出决算为</w:t>
      </w:r>
      <w:r>
        <w:rPr>
          <w:rStyle w:val="14"/>
          <w:rFonts w:ascii="仿宋" w:hAnsi="仿宋" w:eastAsia="仿宋"/>
          <w:b w:val="0"/>
          <w:bCs/>
          <w:color w:val="000000"/>
          <w:sz w:val="32"/>
          <w:szCs w:val="32"/>
        </w:rPr>
        <w:t>71.5万元</w:t>
      </w:r>
      <w:r>
        <w:rPr>
          <w:rStyle w:val="14"/>
          <w:rFonts w:hint="eastAsia" w:ascii="仿宋" w:hAnsi="仿宋" w:eastAsia="仿宋"/>
          <w:b w:val="0"/>
          <w:bCs/>
          <w:color w:val="000000"/>
          <w:sz w:val="32"/>
          <w:szCs w:val="32"/>
        </w:rPr>
        <w:t>，</w:t>
      </w:r>
      <w:r>
        <w:rPr>
          <w:rStyle w:val="14"/>
          <w:rFonts w:ascii="仿宋" w:hAnsi="仿宋" w:eastAsia="仿宋"/>
          <w:b w:val="0"/>
          <w:bCs/>
          <w:color w:val="000000"/>
          <w:sz w:val="32"/>
          <w:szCs w:val="32"/>
        </w:rPr>
        <w:t>完成</w:t>
      </w:r>
      <w:r>
        <w:rPr>
          <w:rStyle w:val="14"/>
          <w:rFonts w:hint="eastAsia" w:ascii="仿宋" w:hAnsi="仿宋" w:eastAsia="仿宋"/>
          <w:b w:val="0"/>
          <w:bCs/>
          <w:color w:val="000000"/>
          <w:sz w:val="32"/>
          <w:szCs w:val="32"/>
        </w:rPr>
        <w:t>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。重大公共卫生服务</w:t>
      </w:r>
      <w:r>
        <w:rPr>
          <w:rStyle w:val="14"/>
          <w:rFonts w:hint="eastAsia" w:ascii="仿宋" w:hAnsi="仿宋" w:eastAsia="仿宋"/>
          <w:b w:val="0"/>
          <w:bCs/>
          <w:color w:val="000000"/>
          <w:sz w:val="32"/>
          <w:szCs w:val="32"/>
        </w:rPr>
        <w:t>（项）支出决算为</w:t>
      </w:r>
      <w:r>
        <w:rPr>
          <w:rStyle w:val="14"/>
          <w:rFonts w:ascii="仿宋" w:hAnsi="仿宋" w:eastAsia="仿宋"/>
          <w:b w:val="0"/>
          <w:bCs/>
          <w:color w:val="000000"/>
          <w:sz w:val="32"/>
          <w:szCs w:val="32"/>
        </w:rPr>
        <w:t>36.96万元，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。其他公共卫生（项）支出决算为</w:t>
      </w:r>
      <w:r>
        <w:rPr>
          <w:rStyle w:val="14"/>
          <w:rFonts w:ascii="仿宋" w:hAnsi="仿宋" w:eastAsia="仿宋"/>
          <w:b w:val="0"/>
          <w:bCs/>
          <w:color w:val="000000"/>
          <w:sz w:val="32"/>
          <w:szCs w:val="32"/>
        </w:rPr>
        <w:t>250.56万元，完成预算</w:t>
      </w:r>
      <w:r>
        <w:rPr>
          <w:rStyle w:val="14"/>
          <w:rFonts w:hint="eastAsia" w:ascii="仿宋" w:hAnsi="仿宋" w:eastAsia="仿宋"/>
          <w:b w:val="0"/>
          <w:bCs/>
          <w:color w:val="000000"/>
          <w:sz w:val="32"/>
          <w:szCs w:val="32"/>
        </w:rPr>
        <w:t>4</w:t>
      </w:r>
      <w:r>
        <w:rPr>
          <w:rStyle w:val="14"/>
          <w:rFonts w:ascii="仿宋" w:hAnsi="仿宋" w:eastAsia="仿宋"/>
          <w:b w:val="0"/>
          <w:bCs/>
          <w:color w:val="000000"/>
          <w:sz w:val="32"/>
          <w:szCs w:val="32"/>
        </w:rPr>
        <w:t>95.57%</w:t>
      </w:r>
      <w:r>
        <w:rPr>
          <w:rStyle w:val="14"/>
          <w:rFonts w:hint="eastAsia" w:ascii="仿宋" w:hAnsi="仿宋" w:eastAsia="仿宋"/>
          <w:b w:val="0"/>
          <w:bCs/>
          <w:color w:val="000000"/>
          <w:sz w:val="32"/>
          <w:szCs w:val="32"/>
        </w:rPr>
        <w:t>，决算数大于预算数的主要原因是上年末有财政拨款结转和结余资金。行政事业单位医疗（款）事业单位医疗（项）支出决算为</w:t>
      </w:r>
      <w:r>
        <w:rPr>
          <w:rStyle w:val="14"/>
          <w:rFonts w:ascii="仿宋" w:hAnsi="仿宋" w:eastAsia="仿宋"/>
          <w:b w:val="0"/>
          <w:bCs/>
          <w:color w:val="000000"/>
          <w:sz w:val="32"/>
          <w:szCs w:val="32"/>
        </w:rPr>
        <w:t>45.48完成预算99.98%，决算数小于预算数的主要原因是在职人员减少。</w:t>
      </w:r>
    </w:p>
    <w:p>
      <w:pPr>
        <w:spacing w:line="600" w:lineRule="exact"/>
        <w:ind w:firstLine="640" w:firstLineChars="200"/>
        <w:rPr>
          <w:rFonts w:ascii="仿宋" w:hAnsi="仿宋" w:eastAsia="仿宋"/>
          <w:b w:val="0"/>
          <w:bCs/>
          <w:color w:val="000000"/>
          <w:sz w:val="32"/>
          <w:szCs w:val="32"/>
        </w:rPr>
      </w:pPr>
      <w:r>
        <w:rPr>
          <w:rStyle w:val="14"/>
          <w:rFonts w:hint="eastAsia" w:ascii="仿宋" w:hAnsi="仿宋" w:eastAsia="仿宋"/>
          <w:b w:val="0"/>
          <w:bCs/>
          <w:color w:val="000000"/>
          <w:sz w:val="32"/>
          <w:szCs w:val="32"/>
        </w:rPr>
        <w:t>3.</w:t>
      </w:r>
      <w:r>
        <w:rPr>
          <w:rFonts w:hint="eastAsia" w:ascii="仿宋" w:hAnsi="仿宋" w:eastAsia="仿宋"/>
          <w:b/>
          <w:bCs w:val="0"/>
          <w:color w:val="000000"/>
          <w:sz w:val="32"/>
          <w:szCs w:val="32"/>
        </w:rPr>
        <w:t>住房保障</w:t>
      </w:r>
      <w:r>
        <w:rPr>
          <w:rStyle w:val="14"/>
          <w:rFonts w:hint="eastAsia" w:ascii="仿宋" w:hAnsi="仿宋" w:eastAsia="仿宋"/>
          <w:b/>
          <w:bCs w:val="0"/>
          <w:color w:val="000000"/>
          <w:sz w:val="32"/>
          <w:szCs w:val="32"/>
        </w:rPr>
        <w:t>（类）住房改革（款）住房公积金（项）：</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71.14完成预算</w:t>
      </w:r>
      <w:r>
        <w:rPr>
          <w:rStyle w:val="14"/>
          <w:rFonts w:hint="eastAsia" w:ascii="仿宋" w:hAnsi="仿宋" w:eastAsia="仿宋"/>
          <w:b w:val="0"/>
          <w:bCs/>
          <w:color w:val="000000"/>
          <w:sz w:val="32"/>
          <w:szCs w:val="32"/>
        </w:rPr>
        <w:t>9</w:t>
      </w:r>
      <w:r>
        <w:rPr>
          <w:rStyle w:val="14"/>
          <w:rFonts w:ascii="仿宋" w:hAnsi="仿宋" w:eastAsia="仿宋"/>
          <w:b w:val="0"/>
          <w:bCs/>
          <w:color w:val="000000"/>
          <w:sz w:val="32"/>
          <w:szCs w:val="32"/>
        </w:rPr>
        <w:t>6.41%，决算数小于预算数的主要原因是在职人员减少。</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ascii="仿宋" w:hAnsi="仿宋" w:eastAsia="仿宋"/>
          <w:sz w:val="32"/>
          <w:szCs w:val="32"/>
        </w:rPr>
        <w:t>933.65</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838.28</w:t>
      </w:r>
      <w:r>
        <w:rPr>
          <w:rFonts w:hint="eastAsia" w:ascii="仿宋" w:hAnsi="仿宋" w:eastAsia="仿宋"/>
          <w:sz w:val="32"/>
          <w:szCs w:val="32"/>
        </w:rPr>
        <w:t>万元，主要包括：基本工资、津贴补贴、伙食补助费、绩效工资、机关事业单位基本养老保险缴费、职业年金缴费、其他社会保障缴费、其他工资福利支出、生活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95.24</w:t>
      </w:r>
      <w:r>
        <w:rPr>
          <w:rFonts w:hint="eastAsia" w:ascii="仿宋" w:hAnsi="仿宋" w:eastAsia="仿宋"/>
          <w:sz w:val="32"/>
          <w:szCs w:val="32"/>
        </w:rPr>
        <w:t>万元，主要包括：办公费、印刷费、水费、电费、邮电费、物业管理费、差旅费、维修（护）费、培训费、公务接待费、劳务费、工会经费、福利费、公务用车运行维护费、其他商品和服务支出等。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ascii="仿宋" w:hAnsi="仿宋" w:eastAsia="仿宋"/>
          <w:sz w:val="32"/>
          <w:szCs w:val="32"/>
        </w:rPr>
        <w:t>7</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6</w:t>
      </w:r>
      <w:r>
        <w:rPr>
          <w:rFonts w:hint="eastAsia" w:ascii="仿宋" w:hAnsi="仿宋" w:eastAsia="仿宋"/>
          <w:sz w:val="32"/>
          <w:szCs w:val="32"/>
        </w:rPr>
        <w:t>万元，占</w:t>
      </w:r>
      <w:r>
        <w:rPr>
          <w:rFonts w:ascii="仿宋" w:hAnsi="仿宋" w:eastAsia="仿宋"/>
          <w:sz w:val="32"/>
          <w:szCs w:val="32"/>
        </w:rPr>
        <w:t>85.71%</w:t>
      </w:r>
      <w:r>
        <w:rPr>
          <w:rFonts w:hint="eastAsia" w:ascii="仿宋" w:hAnsi="仿宋" w:eastAsia="仿宋"/>
          <w:sz w:val="32"/>
          <w:szCs w:val="32"/>
        </w:rPr>
        <w:t>；公务接待费支出决算</w:t>
      </w:r>
      <w:r>
        <w:rPr>
          <w:rFonts w:ascii="仿宋" w:hAnsi="仿宋" w:eastAsia="仿宋"/>
          <w:sz w:val="32"/>
          <w:szCs w:val="32"/>
        </w:rPr>
        <w:t>1</w:t>
      </w:r>
      <w:r>
        <w:rPr>
          <w:rFonts w:hint="eastAsia" w:ascii="仿宋" w:hAnsi="仿宋" w:eastAsia="仿宋"/>
          <w:sz w:val="32"/>
          <w:szCs w:val="32"/>
        </w:rPr>
        <w:t>万元，占</w:t>
      </w:r>
      <w:r>
        <w:rPr>
          <w:rFonts w:ascii="仿宋" w:hAnsi="仿宋" w:eastAsia="仿宋"/>
          <w:sz w:val="32"/>
          <w:szCs w:val="32"/>
        </w:rPr>
        <w:t>14.29%</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pStyle w:val="2"/>
        <w:spacing w:before="93"/>
        <w:rPr>
          <w:rFonts w:hint="eastAsia"/>
        </w:rPr>
      </w:pPr>
      <w:r>
        <w:rPr>
          <w:rFonts w:hint="eastAsia"/>
        </w:rPr>
        <w:drawing>
          <wp:inline distT="0" distB="0" distL="0" distR="0">
            <wp:extent cx="5274310" cy="3076575"/>
            <wp:effectExtent l="0" t="0" r="254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公务用车购置及运行维护费支出</w:t>
      </w:r>
      <w:r>
        <w:rPr>
          <w:rFonts w:ascii="仿宋_GB2312" w:eastAsia="仿宋_GB2312"/>
          <w:sz w:val="32"/>
          <w:szCs w:val="32"/>
        </w:rPr>
        <w:t>6</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ascii="仿宋" w:hAnsi="仿宋" w:eastAsia="仿宋"/>
          <w:b w:val="0"/>
          <w:bCs/>
          <w:sz w:val="32"/>
          <w:szCs w:val="32"/>
        </w:rPr>
        <w:t>100%</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公务用车购置及运行维护费支出决算比与</w:t>
      </w:r>
      <w:r>
        <w:rPr>
          <w:rFonts w:ascii="仿宋_GB2312" w:eastAsia="仿宋_GB2312"/>
          <w:sz w:val="32"/>
          <w:szCs w:val="32"/>
        </w:rPr>
        <w:t>20</w:t>
      </w:r>
      <w:r>
        <w:rPr>
          <w:rFonts w:hint="eastAsia" w:ascii="仿宋_GB2312" w:eastAsia="仿宋_GB2312"/>
          <w:sz w:val="32"/>
          <w:szCs w:val="32"/>
        </w:rPr>
        <w:t>20年持平。</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6</w:t>
      </w:r>
      <w:r>
        <w:rPr>
          <w:rFonts w:hint="eastAsia" w:ascii="仿宋_GB2312" w:eastAsia="仿宋_GB2312"/>
          <w:sz w:val="32"/>
          <w:szCs w:val="32"/>
        </w:rPr>
        <w:t>万元。主要用于接送病人及出差等所需的公务用车燃料费、维修费、过路过桥费、保险费等支出。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1</w:t>
      </w:r>
      <w:r>
        <w:rPr>
          <w:rFonts w:hint="eastAsia" w:ascii="仿宋_GB2312" w:eastAsia="仿宋_GB2312"/>
          <w:sz w:val="32"/>
          <w:szCs w:val="32"/>
        </w:rPr>
        <w:t>万元，</w:t>
      </w:r>
      <w:r>
        <w:rPr>
          <w:rStyle w:val="14"/>
          <w:rFonts w:hint="eastAsia" w:ascii="仿宋" w:hAnsi="仿宋" w:eastAsia="仿宋"/>
          <w:b w:val="0"/>
          <w:bCs/>
          <w:sz w:val="32"/>
          <w:szCs w:val="32"/>
        </w:rPr>
        <w:t>完成预算</w:t>
      </w:r>
      <w:r>
        <w:rPr>
          <w:rStyle w:val="14"/>
          <w:rFonts w:ascii="仿宋" w:hAnsi="仿宋" w:eastAsia="仿宋"/>
          <w:b w:val="0"/>
          <w:bCs/>
          <w:sz w:val="32"/>
          <w:szCs w:val="32"/>
        </w:rPr>
        <w:t>100%</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w:t>
      </w:r>
      <w:r>
        <w:rPr>
          <w:rFonts w:ascii="仿宋_GB2312" w:eastAsia="仿宋_GB2312"/>
          <w:sz w:val="32"/>
          <w:szCs w:val="32"/>
        </w:rPr>
        <w:t>0.02</w:t>
      </w:r>
      <w:r>
        <w:rPr>
          <w:rFonts w:hint="eastAsia" w:ascii="仿宋_GB2312" w:eastAsia="仿宋_GB2312"/>
          <w:sz w:val="32"/>
          <w:szCs w:val="32"/>
        </w:rPr>
        <w:t>万元，下降</w:t>
      </w:r>
      <w:r>
        <w:rPr>
          <w:rFonts w:ascii="仿宋_GB2312" w:eastAsia="仿宋_GB2312"/>
          <w:sz w:val="32"/>
          <w:szCs w:val="32"/>
        </w:rPr>
        <w:t>1.96%</w:t>
      </w:r>
      <w:r>
        <w:rPr>
          <w:rFonts w:hint="eastAsia" w:ascii="仿宋_GB2312" w:eastAsia="仿宋_GB2312"/>
          <w:sz w:val="32"/>
          <w:szCs w:val="32"/>
        </w:rPr>
        <w:t>。主要原因是</w:t>
      </w:r>
      <w:r>
        <w:rPr>
          <w:rFonts w:hint="eastAsia" w:ascii="仿宋_GB2312" w:eastAsia="仿宋_GB2312"/>
          <w:color w:val="000000"/>
          <w:sz w:val="32"/>
          <w:szCs w:val="32"/>
        </w:rPr>
        <w:t>执行中央八项规定，减少了公务接待</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sz w:val="32"/>
          <w:szCs w:val="32"/>
        </w:rPr>
        <w:t>1</w:t>
      </w:r>
      <w:r>
        <w:rPr>
          <w:rFonts w:hint="eastAsia" w:ascii="仿宋_GB2312" w:eastAsia="仿宋_GB2312"/>
          <w:sz w:val="32"/>
          <w:szCs w:val="32"/>
        </w:rPr>
        <w:t>万元，主要用于执行公务、开展业务活动开支的用餐费等。国内公务接待</w:t>
      </w:r>
      <w:r>
        <w:rPr>
          <w:rFonts w:ascii="仿宋_GB2312" w:eastAsia="仿宋_GB2312"/>
          <w:sz w:val="32"/>
          <w:szCs w:val="32"/>
        </w:rPr>
        <w:t>12</w:t>
      </w:r>
      <w:r>
        <w:rPr>
          <w:rFonts w:hint="eastAsia" w:ascii="仿宋_GB2312" w:eastAsia="仿宋_GB2312"/>
          <w:sz w:val="32"/>
          <w:szCs w:val="32"/>
        </w:rPr>
        <w:t>批次，</w:t>
      </w:r>
      <w:r>
        <w:rPr>
          <w:rFonts w:ascii="仿宋_GB2312" w:eastAsia="仿宋_GB2312"/>
          <w:sz w:val="32"/>
          <w:szCs w:val="32"/>
        </w:rPr>
        <w:t>134</w:t>
      </w:r>
      <w:r>
        <w:rPr>
          <w:rFonts w:hint="eastAsia" w:ascii="仿宋_GB2312" w:eastAsia="仿宋_GB2312"/>
          <w:sz w:val="32"/>
          <w:szCs w:val="32"/>
        </w:rPr>
        <w:t>人次</w:t>
      </w:r>
      <w:r>
        <w:rPr>
          <w:rFonts w:hint="eastAsia" w:ascii="仿宋_GB2312" w:eastAsia="仿宋_GB2312"/>
          <w:sz w:val="32"/>
          <w:szCs w:val="32"/>
          <w:lang w:eastAsia="zh-CN"/>
        </w:rPr>
        <w:t>（</w:t>
      </w:r>
      <w:r>
        <w:rPr>
          <w:rFonts w:hint="eastAsia" w:ascii="仿宋_GB2312" w:eastAsia="仿宋_GB2312"/>
          <w:sz w:val="32"/>
          <w:szCs w:val="32"/>
        </w:rPr>
        <w:t>包括陪同人员），共计支出</w:t>
      </w:r>
      <w:r>
        <w:rPr>
          <w:rFonts w:ascii="仿宋_GB2312" w:eastAsia="仿宋_GB2312"/>
          <w:sz w:val="32"/>
          <w:szCs w:val="32"/>
        </w:rPr>
        <w:t>1</w:t>
      </w:r>
      <w:r>
        <w:rPr>
          <w:rFonts w:hint="eastAsia" w:ascii="仿宋_GB2312" w:eastAsia="仿宋_GB2312"/>
          <w:sz w:val="32"/>
          <w:szCs w:val="32"/>
        </w:rPr>
        <w:t>万元。</w:t>
      </w:r>
    </w:p>
    <w:p>
      <w:pPr>
        <w:spacing w:line="600" w:lineRule="exact"/>
        <w:ind w:firstLine="640"/>
        <w:outlineLvl w:val="1"/>
        <w:rPr>
          <w:rStyle w:val="25"/>
          <w:rFonts w:ascii="黑体" w:hAnsi="黑体" w:eastAsia="黑体"/>
        </w:rPr>
      </w:pPr>
      <w:bookmarkStart w:id="46" w:name="_Toc15377218"/>
      <w:bookmarkStart w:id="47" w:name="_Toc15396610"/>
      <w:r>
        <w:rPr>
          <w:rFonts w:hint="eastAsia" w:ascii="黑体" w:eastAsia="黑体"/>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5"/>
          <w:rFonts w:ascii="黑体" w:hAnsi="黑体" w:eastAsia="黑体"/>
          <w:b w:val="0"/>
        </w:rPr>
      </w:pPr>
      <w:bookmarkStart w:id="50" w:name="_Toc15377221"/>
      <w:bookmarkStart w:id="51" w:name="_Toc15396612"/>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autoSpaceDE w:val="0"/>
        <w:autoSpaceDN w:val="0"/>
        <w:adjustRightInd w:val="0"/>
        <w:spacing w:line="600" w:lineRule="exact"/>
        <w:ind w:firstLine="640" w:firstLineChars="200"/>
        <w:jc w:val="left"/>
        <w:outlineLvl w:val="2"/>
        <w:rPr>
          <w:rFonts w:hint="eastAsia" w:ascii="仿宋_GB2312" w:eastAsia="仿宋_GB2312"/>
          <w:sz w:val="32"/>
          <w:szCs w:val="32"/>
        </w:rPr>
      </w:pPr>
      <w:bookmarkStart w:id="53" w:name="_Toc15377223"/>
      <w:r>
        <w:rPr>
          <w:rFonts w:hint="eastAsia" w:ascii="仿宋_GB2312" w:eastAsia="仿宋_GB2312"/>
          <w:sz w:val="32"/>
          <w:szCs w:val="32"/>
        </w:rPr>
        <w:t>无</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21年，政府采购支出总额</w:t>
      </w:r>
      <w:r>
        <w:rPr>
          <w:rFonts w:ascii="仿宋_GB2312" w:eastAsia="仿宋_GB2312"/>
          <w:sz w:val="32"/>
          <w:szCs w:val="32"/>
        </w:rPr>
        <w:t>0</w:t>
      </w:r>
      <w:r>
        <w:rPr>
          <w:rFonts w:hint="eastAsia" w:ascii="仿宋_GB2312" w:eastAsia="仿宋_GB2312"/>
          <w:sz w:val="32"/>
          <w:szCs w:val="32"/>
        </w:rPr>
        <w:t>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w:t>
      </w:r>
      <w:r>
        <w:rPr>
          <w:rFonts w:ascii="仿宋_GB2312" w:eastAsia="仿宋_GB2312"/>
          <w:sz w:val="32"/>
          <w:szCs w:val="32"/>
        </w:rPr>
        <w:t>3</w:t>
      </w:r>
      <w:r>
        <w:rPr>
          <w:rFonts w:hint="eastAsia" w:ascii="仿宋_GB2312" w:eastAsia="仿宋_GB2312"/>
          <w:sz w:val="32"/>
          <w:szCs w:val="32"/>
        </w:rPr>
        <w:t>辆，其中：</w:t>
      </w:r>
      <w:r>
        <w:rPr>
          <w:rFonts w:hint="eastAsia" w:ascii="仿宋_GB2312" w:eastAsia="仿宋_GB2312"/>
          <w:color w:val="000000"/>
          <w:sz w:val="32"/>
          <w:szCs w:val="32"/>
        </w:rPr>
        <w:t>特种专业技术用车</w:t>
      </w:r>
      <w:r>
        <w:rPr>
          <w:rFonts w:ascii="仿宋_GB2312" w:eastAsia="仿宋_GB2312"/>
          <w:color w:val="000000"/>
          <w:sz w:val="32"/>
          <w:szCs w:val="32"/>
        </w:rPr>
        <w:t>2</w:t>
      </w:r>
      <w:r>
        <w:rPr>
          <w:rFonts w:hint="eastAsia" w:ascii="仿宋_GB2312" w:eastAsia="仿宋_GB2312"/>
          <w:color w:val="000000"/>
          <w:sz w:val="32"/>
          <w:szCs w:val="32"/>
        </w:rPr>
        <w:t>辆、其他用车1辆，其他用车主要是用于下乡帮扶及平时与各乡镇和上级部门业务往来。单价50万元以上专用设备1台（套），单价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万元以上专用设备2台（套）。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根据预算绩效管理要求，本部门在2021年度预算编制阶段，组织对艾滋病防治、免费婚前健康检查、妇幼卫生监测、</w:t>
      </w:r>
      <w:r>
        <w:rPr>
          <w:rFonts w:hint="eastAsia" w:ascii="仿宋_GB2312" w:hAnsi="宋体" w:eastAsia="仿宋_GB2312"/>
          <w:sz w:val="32"/>
          <w:szCs w:val="32"/>
        </w:rPr>
        <w:t>农村妇女“两癌”检查、贫困地区新生儿疾病筛查、免费孕前优生健康检查</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个项目开展了绩效自评。同时，本部门对2021年部门整体开展绩效自评，《202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年度部门整体支出自评报告》见附件（第四部分）。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3、年末结转和结余：指单位按有关规定结转到下年或以后年度继续使用的资金。</w:t>
      </w:r>
    </w:p>
    <w:p>
      <w:pPr>
        <w:ind w:firstLine="640" w:firstLineChars="200"/>
        <w:rPr>
          <w:rFonts w:hint="eastAsia" w:ascii="仿宋_GB2312" w:eastAsia="仿宋"/>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Style w:val="14"/>
          <w:rFonts w:hint="eastAsia" w:ascii="仿宋" w:hAnsi="仿宋" w:eastAsia="仿宋"/>
          <w:color w:val="000000"/>
          <w:sz w:val="32"/>
          <w:szCs w:val="32"/>
        </w:rPr>
        <w:t>行政事业单位养老支出</w:t>
      </w:r>
      <w:r>
        <w:rPr>
          <w:rFonts w:hint="eastAsia" w:ascii="仿宋_GB2312" w:eastAsia="仿宋_GB2312"/>
          <w:color w:val="000000"/>
          <w:sz w:val="32"/>
          <w:szCs w:val="32"/>
        </w:rPr>
        <w:t>（款）</w:t>
      </w:r>
      <w:r>
        <w:rPr>
          <w:rStyle w:val="14"/>
          <w:rFonts w:hint="eastAsia" w:ascii="仿宋" w:hAnsi="仿宋" w:eastAsia="仿宋"/>
          <w:color w:val="000000"/>
          <w:sz w:val="32"/>
          <w:szCs w:val="32"/>
        </w:rPr>
        <w:t>机关事业单位基本养老保险缴费支出</w:t>
      </w:r>
      <w:r>
        <w:rPr>
          <w:rFonts w:hint="eastAsia" w:ascii="仿宋_GB2312" w:eastAsia="仿宋_GB2312"/>
          <w:color w:val="000000"/>
          <w:sz w:val="32"/>
          <w:szCs w:val="32"/>
        </w:rPr>
        <w:t>（项）：指基本养老保险支出。</w:t>
      </w:r>
    </w:p>
    <w:p>
      <w:pPr>
        <w:ind w:firstLine="640" w:firstLineChars="200"/>
        <w:rPr>
          <w:rFonts w:hint="eastAsia" w:ascii="仿宋_GB2312" w:eastAsia="仿宋"/>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卫生健康支出（类）公共卫生（款）妇幼保健机构（项）：指单位基本运行费；</w:t>
      </w:r>
      <w:r>
        <w:rPr>
          <w:rStyle w:val="14"/>
          <w:rFonts w:hint="eastAsia" w:ascii="仿宋" w:hAnsi="仿宋" w:eastAsia="仿宋"/>
          <w:color w:val="000000"/>
          <w:sz w:val="32"/>
          <w:szCs w:val="32"/>
        </w:rPr>
        <w:t>基本公共卫生服务（项）：指免费孕前优生健康检查、妇幼卫生监测、农村妇女两癌筛查项目；重大公共卫生服务（项）：指新冠疫情防控、艾滋病防治；其他公共卫生（项）：指免费婚前医学健康检查、</w:t>
      </w:r>
      <w:r>
        <w:rPr>
          <w:rStyle w:val="14"/>
          <w:rFonts w:hint="eastAsia" w:ascii="仿宋" w:hAnsi="仿宋" w:eastAsia="仿宋"/>
          <w:bCs/>
          <w:color w:val="000000"/>
          <w:sz w:val="32"/>
          <w:szCs w:val="32"/>
        </w:rPr>
        <w:t>妇幼保健能力建设项目；</w:t>
      </w:r>
      <w:r>
        <w:rPr>
          <w:rStyle w:val="14"/>
          <w:rFonts w:hint="eastAsia" w:ascii="仿宋" w:hAnsi="仿宋" w:eastAsia="仿宋"/>
          <w:color w:val="000000"/>
          <w:sz w:val="32"/>
          <w:szCs w:val="32"/>
        </w:rPr>
        <w:t>行政事业单位医疗（款）事业单位医疗（项）：指单位医疗保险支出。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住房保障（类）住房改革（款）住房公积金（项）：指住房公积金。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spacing w:line="560" w:lineRule="exact"/>
        <w:ind w:firstLine="640" w:firstLineChars="200"/>
        <w:rPr>
          <w:rFonts w:hAnsi="仿宋"/>
          <w:b/>
          <w:sz w:val="32"/>
          <w:szCs w:val="32"/>
        </w:rPr>
      </w:pPr>
      <w:r>
        <w:rPr>
          <w:rFonts w:hint="eastAsia" w:ascii="仿宋_GB2312" w:eastAsia="仿宋_GB2312"/>
          <w:sz w:val="32"/>
          <w:szCs w:val="32"/>
        </w:rPr>
        <w:t>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4"/>
          <w:rFonts w:hint="eastAsia" w:ascii="黑体" w:hAnsi="黑体" w:eastAsia="黑体"/>
          <w:b w:val="0"/>
        </w:rPr>
        <w:t>四部分 附件</w:t>
      </w:r>
      <w:bookmarkEnd w:id="58"/>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附件1</w:t>
      </w:r>
    </w:p>
    <w:p>
      <w:pPr>
        <w:spacing w:line="700" w:lineRule="exact"/>
        <w:jc w:val="center"/>
        <w:rPr>
          <w:rFonts w:ascii="黑体" w:hAnsi="黑体" w:eastAsia="黑体" w:cs="黑体"/>
          <w:b/>
          <w:bCs/>
          <w:sz w:val="44"/>
          <w:szCs w:val="52"/>
        </w:rPr>
      </w:pPr>
      <w:r>
        <w:rPr>
          <w:rFonts w:hint="eastAsia" w:ascii="黑体" w:hAnsi="黑体" w:eastAsia="黑体" w:cs="黑体"/>
          <w:b/>
          <w:bCs/>
          <w:sz w:val="44"/>
          <w:szCs w:val="52"/>
        </w:rPr>
        <w:t>开江县妇幼保健计划生育服务中心</w:t>
      </w:r>
    </w:p>
    <w:p>
      <w:pPr>
        <w:spacing w:line="700" w:lineRule="exact"/>
        <w:jc w:val="center"/>
        <w:rPr>
          <w:rFonts w:ascii="黑体" w:hAnsi="黑体" w:eastAsia="黑体" w:cs="黑体"/>
          <w:b/>
          <w:bCs/>
          <w:sz w:val="44"/>
          <w:szCs w:val="52"/>
        </w:rPr>
      </w:pPr>
      <w:r>
        <w:rPr>
          <w:rFonts w:hint="eastAsia" w:ascii="黑体" w:hAnsi="黑体" w:eastAsia="黑体" w:cs="黑体"/>
          <w:b/>
          <w:bCs/>
          <w:sz w:val="44"/>
          <w:szCs w:val="52"/>
        </w:rPr>
        <w:t>2021年度部门整体支出绩效自评报告</w:t>
      </w:r>
    </w:p>
    <w:p>
      <w:pPr>
        <w:spacing w:line="600" w:lineRule="exact"/>
        <w:ind w:firstLine="480" w:firstLineChars="200"/>
        <w:rPr>
          <w:rFonts w:ascii="仿宋" w:hAnsi="仿宋" w:eastAsia="仿宋" w:cs="仿宋"/>
          <w:sz w:val="30"/>
          <w:szCs w:val="30"/>
        </w:rPr>
      </w:pPr>
      <w:r>
        <w:rPr>
          <w:rFonts w:hint="eastAsia"/>
          <w:sz w:val="24"/>
          <w:szCs w:val="32"/>
        </w:rPr>
        <w:t xml:space="preserve">  </w:t>
      </w:r>
      <w:r>
        <w:rPr>
          <w:rFonts w:hint="eastAsia" w:ascii="仿宋" w:hAnsi="仿宋" w:eastAsia="仿宋" w:cs="仿宋"/>
          <w:sz w:val="30"/>
          <w:szCs w:val="30"/>
        </w:rPr>
        <w:t>一、单位概况</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（一）机构组成</w:t>
      </w:r>
    </w:p>
    <w:p>
      <w:pPr>
        <w:spacing w:line="600" w:lineRule="exact"/>
        <w:ind w:firstLine="600" w:firstLineChars="200"/>
        <w:rPr>
          <w:rFonts w:ascii="仿宋" w:hAnsi="仿宋" w:eastAsia="仿宋" w:cs="仿宋"/>
          <w:sz w:val="30"/>
          <w:szCs w:val="30"/>
        </w:rPr>
      </w:pPr>
      <w:r>
        <w:rPr>
          <w:rFonts w:hint="eastAsia" w:ascii="仿宋" w:hAnsi="仿宋" w:eastAsia="仿宋" w:cs="仿宋"/>
          <w:bCs/>
          <w:color w:val="000000"/>
          <w:sz w:val="30"/>
          <w:szCs w:val="30"/>
        </w:rPr>
        <w:t>我院为开江县妇幼保健计划生育服务中心所属一级</w:t>
      </w:r>
      <w:r>
        <w:rPr>
          <w:rFonts w:hint="eastAsia" w:ascii="仿宋" w:hAnsi="仿宋" w:eastAsia="仿宋" w:cs="仿宋"/>
          <w:bCs/>
          <w:color w:val="000000"/>
          <w:spacing w:val="14"/>
          <w:sz w:val="30"/>
          <w:szCs w:val="30"/>
        </w:rPr>
        <w:t>预算单位，单位性质</w:t>
      </w:r>
      <w:r>
        <w:rPr>
          <w:rFonts w:hint="eastAsia" w:ascii="仿宋" w:hAnsi="仿宋" w:eastAsia="仿宋" w:cs="仿宋"/>
          <w:bCs/>
          <w:color w:val="000000"/>
          <w:sz w:val="30"/>
          <w:szCs w:val="30"/>
        </w:rPr>
        <w:t>为财政补助事业单位，执行政府会计制度。</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（二）机构职能</w:t>
      </w:r>
    </w:p>
    <w:p>
      <w:pPr>
        <w:snapToGrid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我院是集保健、医疗、教学为一体的国家一级甲等妇幼保健院、妇女儿童医院、国际爱婴医院，属财政全额拨款事业单位，承担着全县40余万妇女儿童的妇幼保健任务，是全县妇幼保健计划生育技术指导和业务培训中心。</w:t>
      </w:r>
    </w:p>
    <w:p>
      <w:pPr>
        <w:snapToGrid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（三）人员概况</w:t>
      </w:r>
    </w:p>
    <w:p>
      <w:pPr>
        <w:snapToGrid w:val="0"/>
        <w:spacing w:line="6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我中心核定编制人数102人，截止2021年12月31日年末在职职工人数96人，其中财政全额拨款94人，差额拨款2人；2021年退休1人，辞职2人，调出2人，新进2人。</w:t>
      </w:r>
    </w:p>
    <w:p>
      <w:pPr>
        <w:snapToGrid w:val="0"/>
        <w:spacing w:line="6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二、单位财政资金收支情况</w:t>
      </w:r>
    </w:p>
    <w:p>
      <w:pPr>
        <w:spacing w:line="600" w:lineRule="exact"/>
        <w:rPr>
          <w:rFonts w:ascii="仿宋" w:hAnsi="仿宋" w:eastAsia="仿宋" w:cs="仿宋"/>
          <w:sz w:val="30"/>
          <w:szCs w:val="30"/>
        </w:rPr>
      </w:pPr>
      <w:r>
        <w:rPr>
          <w:rFonts w:hint="eastAsia" w:ascii="仿宋" w:hAnsi="仿宋" w:eastAsia="仿宋" w:cs="仿宋"/>
          <w:sz w:val="30"/>
          <w:szCs w:val="30"/>
        </w:rPr>
        <w:t xml:space="preserve">  （一）部门财政资金收入情况</w:t>
      </w:r>
    </w:p>
    <w:p>
      <w:pPr>
        <w:pStyle w:val="8"/>
        <w:spacing w:before="93" w:line="600" w:lineRule="exact"/>
        <w:ind w:firstLine="600" w:firstLineChars="200"/>
        <w:rPr>
          <w:rFonts w:ascii="仿宋" w:hAnsi="仿宋" w:eastAsia="仿宋" w:cs="仿宋"/>
          <w:sz w:val="30"/>
          <w:szCs w:val="30"/>
        </w:rPr>
      </w:pPr>
      <w:r>
        <w:rPr>
          <w:rFonts w:hint="eastAsia" w:ascii="仿宋" w:hAnsi="仿宋" w:eastAsia="仿宋" w:cs="仿宋"/>
          <w:sz w:val="30"/>
          <w:szCs w:val="30"/>
        </w:rPr>
        <w:t>2021年度财政拨款收入共10926694.85元，其中基本支出9336570.85元，项目支出1590124元。</w:t>
      </w:r>
    </w:p>
    <w:p>
      <w:pPr>
        <w:spacing w:line="600" w:lineRule="exact"/>
        <w:rPr>
          <w:rFonts w:ascii="仿宋" w:hAnsi="仿宋" w:eastAsia="仿宋" w:cs="仿宋"/>
          <w:sz w:val="30"/>
          <w:szCs w:val="30"/>
        </w:rPr>
      </w:pPr>
      <w:r>
        <w:rPr>
          <w:rFonts w:hint="eastAsia" w:ascii="仿宋" w:hAnsi="仿宋" w:eastAsia="仿宋" w:cs="仿宋"/>
          <w:sz w:val="30"/>
          <w:szCs w:val="30"/>
        </w:rPr>
        <w:t xml:space="preserve">  （二）部门财政资金支出情况</w:t>
      </w:r>
      <w:bookmarkStart w:id="73" w:name="_GoBack"/>
      <w:bookmarkEnd w:id="73"/>
    </w:p>
    <w:p>
      <w:pPr>
        <w:spacing w:line="600" w:lineRule="exact"/>
        <w:rPr>
          <w:rFonts w:ascii="仿宋" w:hAnsi="仿宋" w:eastAsia="仿宋" w:cs="仿宋"/>
          <w:sz w:val="30"/>
          <w:szCs w:val="30"/>
        </w:rPr>
      </w:pPr>
      <w:r>
        <w:rPr>
          <w:rFonts w:hint="eastAsia" w:ascii="仿宋" w:hAnsi="仿宋" w:eastAsia="仿宋" w:cs="仿宋"/>
          <w:sz w:val="30"/>
          <w:szCs w:val="30"/>
        </w:rPr>
        <w:t xml:space="preserve">   2021年财政拨款支出共12926694.85元，其中基本支出9336570.85元，项目支出</w:t>
      </w:r>
      <w:r>
        <w:rPr>
          <w:rFonts w:ascii="仿宋" w:hAnsi="仿宋" w:eastAsia="仿宋" w:cs="仿宋"/>
          <w:sz w:val="30"/>
          <w:szCs w:val="30"/>
        </w:rPr>
        <w:t>3</w:t>
      </w:r>
      <w:r>
        <w:rPr>
          <w:rFonts w:hint="eastAsia" w:ascii="仿宋" w:hAnsi="仿宋" w:eastAsia="仿宋" w:cs="仿宋"/>
          <w:sz w:val="30"/>
          <w:szCs w:val="30"/>
        </w:rPr>
        <w:t>590124元。</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三、单位财政支出管理情况</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（一）预算编制情况</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我单位属全额拨款事业单位，按照2021年县级部门预算编制说明，并根据我中心履职要求和各科室年度工作计划，认真统计各项经费需求，参考以往年度预、决算编制情况合理编制了2021年部门预算，并填报了整体支出绩效目标。</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（二）执行管理情况</w:t>
      </w:r>
    </w:p>
    <w:p>
      <w:pPr>
        <w:spacing w:line="600" w:lineRule="exact"/>
        <w:ind w:left="15" w:leftChars="7" w:firstLine="576" w:firstLineChars="192"/>
        <w:rPr>
          <w:rFonts w:ascii="仿宋" w:hAnsi="仿宋" w:eastAsia="仿宋" w:cs="仿宋"/>
          <w:sz w:val="30"/>
          <w:szCs w:val="30"/>
        </w:rPr>
      </w:pPr>
      <w:r>
        <w:rPr>
          <w:rFonts w:hint="eastAsia" w:ascii="仿宋" w:hAnsi="仿宋" w:eastAsia="仿宋" w:cs="仿宋"/>
          <w:sz w:val="30"/>
          <w:szCs w:val="30"/>
        </w:rPr>
        <w:t>我单位严格按照预算进度执行各类款项的支付，合理安排各项资金，并对绩效目标进行监控，按时按质完成预期的绩效目标，预决算偏差144.16万元，一是因为人员变动，二是中央、省转移支付项目支出的增加。“三公经费”也严格落实中央“八项规定”等精神，坚持勤俭办事，控制和降低运行成本，未超过预算金额。</w:t>
      </w:r>
    </w:p>
    <w:p>
      <w:pPr>
        <w:numPr>
          <w:ilvl w:val="0"/>
          <w:numId w:val="4"/>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综合管理情况</w:t>
      </w:r>
    </w:p>
    <w:p>
      <w:pPr>
        <w:spacing w:line="600" w:lineRule="exact"/>
        <w:rPr>
          <w:rFonts w:ascii="仿宋" w:hAnsi="仿宋" w:eastAsia="仿宋" w:cs="仿宋"/>
          <w:sz w:val="30"/>
          <w:szCs w:val="30"/>
        </w:rPr>
      </w:pPr>
      <w:r>
        <w:rPr>
          <w:rFonts w:hint="eastAsia" w:ascii="仿宋" w:hAnsi="仿宋" w:eastAsia="仿宋" w:cs="仿宋"/>
          <w:sz w:val="30"/>
          <w:szCs w:val="30"/>
        </w:rPr>
        <w:t xml:space="preserve">     预算管理：严格部门预算编制，预算编制工作做早、做细、做实，把预算审核贯穿于日常财务管理工作中，科学合理地制订标准，既要统筹顾及各科室的主要职能任务，又要通过准确合理的预算给予实现职能任务的科室的财力保障，从严控制“三公经费”，坚持从简节约的原则，杜绝奢侈浪费。严格执行按月、按季对帐制度，确保各方数据一致。做好年终决算工作，将预、决算作为一个整体，积极深化决算数据的分析利用，促进预算编制、预算执行、改进和加强预算及财务管理工作。</w:t>
      </w:r>
    </w:p>
    <w:p>
      <w:pPr>
        <w:pStyle w:val="8"/>
        <w:spacing w:before="93" w:line="600" w:lineRule="exact"/>
        <w:ind w:firstLine="600" w:firstLineChars="200"/>
        <w:rPr>
          <w:rFonts w:ascii="仿宋" w:hAnsi="仿宋" w:eastAsia="仿宋" w:cs="仿宋"/>
          <w:sz w:val="30"/>
          <w:szCs w:val="30"/>
        </w:rPr>
      </w:pPr>
      <w:r>
        <w:rPr>
          <w:rFonts w:hint="eastAsia" w:ascii="仿宋" w:hAnsi="仿宋" w:eastAsia="仿宋" w:cs="仿宋"/>
          <w:sz w:val="30"/>
          <w:szCs w:val="30"/>
        </w:rPr>
        <w:t>债务管理：财务科定期组织开展对单位债权债务的清理和核实，对有增减变化的债权债务实行跟踪管理，杜绝呆帐、死帐等不良债权发生。单位任何人不得擅自以集体名义向其他单位或个人借款，单位不得为其他企、事业单位、个人提供担保。</w:t>
      </w:r>
    </w:p>
    <w:p>
      <w:pPr>
        <w:pStyle w:val="8"/>
        <w:spacing w:before="93" w:line="600" w:lineRule="exact"/>
        <w:ind w:firstLine="600" w:firstLineChars="200"/>
        <w:rPr>
          <w:rFonts w:ascii="仿宋" w:hAnsi="仿宋" w:eastAsia="仿宋" w:cs="仿宋"/>
          <w:sz w:val="30"/>
          <w:szCs w:val="30"/>
        </w:rPr>
      </w:pPr>
      <w:r>
        <w:rPr>
          <w:rFonts w:hint="eastAsia" w:ascii="仿宋" w:hAnsi="仿宋" w:eastAsia="仿宋" w:cs="仿宋"/>
          <w:sz w:val="30"/>
          <w:szCs w:val="30"/>
        </w:rPr>
        <w:t>资产管理：每月按时对货币资金、往来帐款进行核对；按时在资产管理系统上报每月资产变动情况；每年年终对单位所有存货和资产都进行实物盘点，做到帐帐相符，帐实相符。加强了对各项资产的管理力度，规范了资产购买及处置的流程。</w:t>
      </w:r>
    </w:p>
    <w:p>
      <w:pPr>
        <w:pStyle w:val="8"/>
        <w:spacing w:before="93" w:line="600" w:lineRule="exact"/>
        <w:ind w:firstLine="600" w:firstLineChars="200"/>
        <w:rPr>
          <w:rFonts w:ascii="仿宋" w:hAnsi="仿宋" w:eastAsia="仿宋" w:cs="仿宋"/>
          <w:sz w:val="30"/>
          <w:szCs w:val="30"/>
        </w:rPr>
      </w:pPr>
      <w:r>
        <w:rPr>
          <w:rFonts w:hint="eastAsia" w:ascii="仿宋" w:hAnsi="仿宋" w:eastAsia="仿宋" w:cs="仿宋"/>
          <w:sz w:val="30"/>
          <w:szCs w:val="30"/>
        </w:rPr>
        <w:t>政府采购管理：我中心严格按照政府采购制度执行政府采购业务，专人负责实施采购活动，包括确定采购方式、询价议价、拟定采购合同、完善采购文件等工作。对采购活动的流程以及相关责任人都做了部署安排，确保办理采购业务的不相岗位相互分享、制约和监督，并根据具体情况对办理采购业务的人员定期进行岗位轮换。</w:t>
      </w:r>
    </w:p>
    <w:p>
      <w:pPr>
        <w:pStyle w:val="8"/>
        <w:spacing w:before="93" w:line="600" w:lineRule="exact"/>
        <w:ind w:firstLine="600" w:firstLineChars="200"/>
        <w:rPr>
          <w:rFonts w:ascii="仿宋" w:hAnsi="仿宋" w:eastAsia="仿宋" w:cs="仿宋"/>
          <w:sz w:val="30"/>
          <w:szCs w:val="30"/>
        </w:rPr>
      </w:pPr>
      <w:r>
        <w:rPr>
          <w:rFonts w:hint="eastAsia" w:ascii="仿宋" w:hAnsi="仿宋" w:eastAsia="仿宋" w:cs="仿宋"/>
          <w:sz w:val="30"/>
          <w:szCs w:val="30"/>
        </w:rPr>
        <w:t>非税收入管理：我中心所有非税收入均及时缴存到财政金库。</w:t>
      </w:r>
    </w:p>
    <w:p>
      <w:pPr>
        <w:pStyle w:val="8"/>
        <w:spacing w:before="93" w:line="600" w:lineRule="exact"/>
        <w:ind w:firstLine="600" w:firstLineChars="200"/>
        <w:rPr>
          <w:rFonts w:ascii="仿宋" w:hAnsi="仿宋" w:eastAsia="仿宋" w:cs="仿宋"/>
          <w:sz w:val="30"/>
          <w:szCs w:val="30"/>
        </w:rPr>
      </w:pPr>
      <w:r>
        <w:rPr>
          <w:rFonts w:hint="eastAsia" w:ascii="仿宋" w:hAnsi="仿宋" w:eastAsia="仿宋" w:cs="仿宋"/>
          <w:sz w:val="30"/>
          <w:szCs w:val="30"/>
        </w:rPr>
        <w:t>绩效评价：我中心整体支出绩效评价资金共1092.67万元，整体绩效评价结果表明：无论日常项目还是项目支出的实施都得到很好的经济效益和生态效益。</w:t>
      </w:r>
    </w:p>
    <w:p>
      <w:pPr>
        <w:pStyle w:val="8"/>
        <w:spacing w:before="93" w:line="600" w:lineRule="exact"/>
        <w:ind w:firstLine="600" w:firstLineChars="200"/>
        <w:rPr>
          <w:rFonts w:ascii="仿宋" w:hAnsi="仿宋" w:eastAsia="仿宋" w:cs="仿宋"/>
          <w:sz w:val="30"/>
          <w:szCs w:val="30"/>
        </w:rPr>
      </w:pPr>
      <w:r>
        <w:rPr>
          <w:rFonts w:hint="eastAsia" w:ascii="仿宋" w:hAnsi="仿宋" w:eastAsia="仿宋" w:cs="仿宋"/>
          <w:sz w:val="30"/>
          <w:szCs w:val="30"/>
        </w:rPr>
        <w:t>信息公开情况：按照县财政要求规定的时间，将2021年部门预算编制表及编制说明和2020年部门决算编制表及编制说明及时公开在开江县政府门户网站，向社会主动公开了部门基本情况、财政资金安排情况、“三公”经费使用情况及单位运行情况。</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（四）整体绩效</w:t>
      </w:r>
    </w:p>
    <w:p>
      <w:pPr>
        <w:spacing w:line="556" w:lineRule="exact"/>
        <w:ind w:firstLine="600" w:firstLineChars="200"/>
        <w:rPr>
          <w:rFonts w:ascii="仿宋" w:hAnsi="仿宋" w:eastAsia="仿宋" w:cs="仿宋"/>
          <w:color w:val="000000" w:themeColor="text1"/>
          <w:sz w:val="30"/>
          <w:szCs w:val="30"/>
          <w:lang w:val="zh-TW" w:eastAsia="zh-TW"/>
          <w14:textFill>
            <w14:solidFill>
              <w14:schemeClr w14:val="tx1"/>
            </w14:solidFill>
          </w14:textFill>
        </w:rPr>
      </w:pPr>
      <w:r>
        <w:rPr>
          <w:rFonts w:hint="eastAsia" w:ascii="仿宋" w:hAnsi="仿宋" w:eastAsia="仿宋" w:cs="仿宋"/>
          <w:sz w:val="30"/>
          <w:szCs w:val="30"/>
        </w:rPr>
        <w:t xml:space="preserve">  2021</w:t>
      </w:r>
      <w:r>
        <w:rPr>
          <w:rFonts w:hint="eastAsia" w:ascii="仿宋" w:hAnsi="仿宋" w:eastAsia="仿宋" w:cs="仿宋"/>
          <w:sz w:val="30"/>
          <w:szCs w:val="30"/>
          <w:lang w:val="zh-TW" w:eastAsia="zh-TW"/>
        </w:rPr>
        <w:t>年</w:t>
      </w:r>
      <w:r>
        <w:rPr>
          <w:rFonts w:hint="eastAsia" w:ascii="仿宋" w:hAnsi="仿宋" w:eastAsia="仿宋" w:cs="仿宋"/>
          <w:sz w:val="30"/>
          <w:szCs w:val="30"/>
          <w:lang w:val="zh-TW"/>
        </w:rPr>
        <w:t>，</w:t>
      </w:r>
      <w:r>
        <w:rPr>
          <w:rFonts w:hint="eastAsia" w:ascii="仿宋" w:hAnsi="仿宋" w:eastAsia="仿宋" w:cs="仿宋"/>
          <w:sz w:val="30"/>
          <w:szCs w:val="30"/>
          <w:lang w:val="zh-TW" w:eastAsia="zh-TW"/>
        </w:rPr>
        <w:t>在县委、</w:t>
      </w:r>
      <w:r>
        <w:rPr>
          <w:rFonts w:hint="eastAsia" w:ascii="仿宋" w:hAnsi="仿宋" w:eastAsia="仿宋" w:cs="仿宋"/>
          <w:sz w:val="30"/>
          <w:szCs w:val="30"/>
          <w:lang w:val="zh-TW"/>
        </w:rPr>
        <w:t>县</w:t>
      </w:r>
      <w:r>
        <w:rPr>
          <w:rFonts w:hint="eastAsia" w:ascii="仿宋" w:hAnsi="仿宋" w:eastAsia="仿宋" w:cs="仿宋"/>
          <w:sz w:val="30"/>
          <w:szCs w:val="30"/>
          <w:lang w:val="zh-TW" w:eastAsia="zh-TW"/>
        </w:rPr>
        <w:t>政府的领导下，在县卫健局的高度重视和支持下，</w:t>
      </w:r>
      <w:r>
        <w:rPr>
          <w:rFonts w:hint="eastAsia" w:ascii="仿宋" w:hAnsi="仿宋" w:eastAsia="仿宋" w:cs="仿宋"/>
          <w:sz w:val="30"/>
          <w:szCs w:val="30"/>
          <w:lang w:val="zh-TW"/>
        </w:rPr>
        <w:t>我</w:t>
      </w:r>
      <w:r>
        <w:rPr>
          <w:rFonts w:hint="eastAsia" w:ascii="仿宋" w:hAnsi="仿宋" w:eastAsia="仿宋" w:cs="仿宋"/>
          <w:sz w:val="30"/>
          <w:szCs w:val="30"/>
          <w:lang w:val="zh-TW" w:eastAsia="zh-TW"/>
        </w:rPr>
        <w:t>中心</w:t>
      </w:r>
      <w:r>
        <w:rPr>
          <w:rFonts w:hint="eastAsia" w:ascii="仿宋" w:hAnsi="仿宋" w:eastAsia="仿宋" w:cs="仿宋"/>
          <w:sz w:val="30"/>
          <w:szCs w:val="30"/>
          <w:lang w:val="zh-TW"/>
        </w:rPr>
        <w:t>全面贯彻</w:t>
      </w:r>
      <w:r>
        <w:rPr>
          <w:rFonts w:hint="eastAsia" w:ascii="仿宋" w:hAnsi="仿宋" w:eastAsia="仿宋" w:cs="仿宋"/>
          <w:sz w:val="30"/>
          <w:szCs w:val="30"/>
          <w:lang w:val="zh-TW" w:eastAsia="zh-TW"/>
        </w:rPr>
        <w:t>党的十</w:t>
      </w:r>
      <w:r>
        <w:rPr>
          <w:rFonts w:hint="eastAsia" w:ascii="仿宋" w:hAnsi="仿宋" w:eastAsia="仿宋" w:cs="仿宋"/>
          <w:sz w:val="30"/>
          <w:szCs w:val="30"/>
          <w:lang w:val="zh-TW"/>
        </w:rPr>
        <w:t>九</w:t>
      </w:r>
      <w:r>
        <w:rPr>
          <w:rFonts w:hint="eastAsia" w:ascii="仿宋" w:hAnsi="仿宋" w:eastAsia="仿宋" w:cs="仿宋"/>
          <w:sz w:val="30"/>
          <w:szCs w:val="30"/>
          <w:lang w:val="zh-TW" w:eastAsia="zh-TW"/>
        </w:rPr>
        <w:t>大精神</w:t>
      </w:r>
      <w:r>
        <w:rPr>
          <w:rFonts w:hint="eastAsia" w:ascii="仿宋" w:hAnsi="仿宋" w:eastAsia="仿宋" w:cs="仿宋"/>
          <w:sz w:val="30"/>
          <w:szCs w:val="30"/>
          <w:lang w:val="zh-TW"/>
        </w:rPr>
        <w:t>和</w:t>
      </w:r>
      <w:r>
        <w:rPr>
          <w:rFonts w:hint="eastAsia" w:ascii="仿宋" w:hAnsi="仿宋" w:eastAsia="仿宋" w:cs="仿宋"/>
          <w:sz w:val="30"/>
          <w:szCs w:val="30"/>
          <w:lang w:val="zh-TW" w:eastAsia="zh-TW"/>
        </w:rPr>
        <w:t>习近平新时代中国特色社会主义思想</w:t>
      </w:r>
      <w:r>
        <w:rPr>
          <w:rFonts w:hint="eastAsia" w:ascii="仿宋" w:hAnsi="仿宋" w:eastAsia="仿宋" w:cs="仿宋"/>
          <w:sz w:val="30"/>
          <w:szCs w:val="30"/>
          <w:lang w:val="zh-TW"/>
        </w:rPr>
        <w:t>，</w:t>
      </w:r>
      <w:r>
        <w:rPr>
          <w:rFonts w:hint="eastAsia" w:ascii="仿宋" w:hAnsi="仿宋" w:eastAsia="仿宋" w:cs="仿宋"/>
          <w:sz w:val="30"/>
          <w:szCs w:val="30"/>
          <w:lang w:val="zh-TW" w:eastAsia="zh-TW"/>
        </w:rPr>
        <w:t>始终坚持</w:t>
      </w:r>
      <w:r>
        <w:rPr>
          <w:rFonts w:hint="eastAsia" w:ascii="仿宋" w:hAnsi="仿宋" w:eastAsia="仿宋" w:cs="仿宋"/>
          <w:sz w:val="30"/>
          <w:szCs w:val="30"/>
        </w:rPr>
        <w:t>“</w:t>
      </w:r>
      <w:r>
        <w:rPr>
          <w:rFonts w:hint="eastAsia" w:ascii="仿宋" w:hAnsi="仿宋" w:eastAsia="仿宋" w:cs="仿宋"/>
          <w:sz w:val="30"/>
          <w:szCs w:val="30"/>
          <w:lang w:val="zh-TW" w:eastAsia="zh-TW"/>
        </w:rPr>
        <w:t>以保健为中心，以保障生殖健康为目的，实现保健和临床相结合，面向基层，面向群体和预防为主</w:t>
      </w:r>
      <w:r>
        <w:rPr>
          <w:rFonts w:hint="eastAsia" w:ascii="仿宋" w:hAnsi="仿宋" w:eastAsia="仿宋" w:cs="仿宋"/>
          <w:sz w:val="30"/>
          <w:szCs w:val="30"/>
        </w:rPr>
        <w:t>”</w:t>
      </w:r>
      <w:r>
        <w:rPr>
          <w:rFonts w:hint="eastAsia" w:ascii="仿宋" w:hAnsi="仿宋" w:eastAsia="仿宋" w:cs="仿宋"/>
          <w:sz w:val="30"/>
          <w:szCs w:val="30"/>
          <w:lang w:val="zh-TW" w:eastAsia="zh-TW"/>
        </w:rPr>
        <w:t>的工作方针</w:t>
      </w:r>
      <w:r>
        <w:rPr>
          <w:rFonts w:hint="eastAsia" w:ascii="仿宋" w:hAnsi="仿宋" w:eastAsia="仿宋" w:cs="仿宋"/>
          <w:sz w:val="30"/>
          <w:szCs w:val="30"/>
          <w:lang w:val="zh-TW"/>
        </w:rPr>
        <w:t>，扎实开展疫情防控工作，</w:t>
      </w:r>
      <w:r>
        <w:rPr>
          <w:rFonts w:hint="eastAsia" w:ascii="仿宋" w:hAnsi="仿宋" w:eastAsia="仿宋" w:cs="仿宋"/>
          <w:sz w:val="30"/>
          <w:szCs w:val="30"/>
          <w:lang w:val="zh-TW" w:eastAsia="zh-TW"/>
        </w:rPr>
        <w:t>充分履行公共卫生职能，狠抓妇幼临床工作，不断强化妇幼健康体系和能力建设，继续实施国家重大妇幼公共卫生项目，</w:t>
      </w:r>
      <w:r>
        <w:rPr>
          <w:rFonts w:hint="eastAsia" w:ascii="仿宋" w:hAnsi="仿宋" w:eastAsia="仿宋" w:cs="仿宋"/>
          <w:sz w:val="30"/>
          <w:szCs w:val="30"/>
          <w:lang w:val="zh-TW"/>
        </w:rPr>
        <w:t>较好地</w:t>
      </w:r>
      <w:r>
        <w:rPr>
          <w:rFonts w:hint="eastAsia" w:ascii="仿宋" w:hAnsi="仿宋" w:eastAsia="仿宋" w:cs="仿宋"/>
          <w:sz w:val="30"/>
          <w:szCs w:val="30"/>
          <w:lang w:val="zh-TW" w:eastAsia="zh-TW"/>
        </w:rPr>
        <w:t>完成了全年工作目</w:t>
      </w:r>
      <w:r>
        <w:rPr>
          <w:rFonts w:hint="eastAsia" w:ascii="仿宋" w:hAnsi="仿宋" w:eastAsia="仿宋" w:cs="仿宋"/>
          <w:color w:val="000000" w:themeColor="text1"/>
          <w:sz w:val="30"/>
          <w:szCs w:val="30"/>
          <w:lang w:val="zh-TW" w:eastAsia="zh-TW"/>
          <w14:textFill>
            <w14:solidFill>
              <w14:schemeClr w14:val="tx1"/>
            </w14:solidFill>
          </w14:textFill>
        </w:rPr>
        <w:t>标。</w:t>
      </w:r>
    </w:p>
    <w:p>
      <w:pPr>
        <w:spacing w:line="556" w:lineRule="exact"/>
        <w:ind w:firstLine="600" w:firstLineChars="200"/>
        <w:rPr>
          <w:rFonts w:ascii="仿宋" w:hAnsi="仿宋" w:eastAsia="仿宋" w:cs="仿宋"/>
          <w:color w:val="000000" w:themeColor="text1"/>
          <w:sz w:val="30"/>
          <w:szCs w:val="30"/>
          <w:lang w:val="zh-TW"/>
          <w14:textFill>
            <w14:solidFill>
              <w14:schemeClr w14:val="tx1"/>
            </w14:solidFill>
          </w14:textFill>
        </w:rPr>
      </w:pPr>
      <w:r>
        <w:rPr>
          <w:rFonts w:hint="eastAsia" w:ascii="仿宋" w:hAnsi="仿宋" w:eastAsia="仿宋" w:cs="仿宋"/>
          <w:color w:val="000000" w:themeColor="text1"/>
          <w:sz w:val="30"/>
          <w:szCs w:val="30"/>
          <w:u w:color="000000"/>
          <w14:textFill>
            <w14:solidFill>
              <w14:schemeClr w14:val="tx1"/>
            </w14:solidFill>
          </w14:textFill>
        </w:rPr>
        <w:t>全县孕产妇系统管理率97.05%（目标任务为90%以上），住院分娩率99.82%（目标任务为99%以上），高危妊娠管理率100%，剖宫产率49.98%，孕产妇死亡0例；3岁以下儿童系统管理率96.92%（目标任务为90%以上）；7岁以下儿童系统管理率94.20%（目标任务为90%以上）；新生儿死亡数1例，死亡率0.45‰；婴儿死亡数6例，死亡率2.72‰，5岁以下儿童死亡数12例，死亡率5.45‰；</w:t>
      </w:r>
      <w:r>
        <w:rPr>
          <w:rFonts w:hint="eastAsia" w:ascii="仿宋" w:hAnsi="仿宋" w:eastAsia="仿宋" w:cs="仿宋"/>
          <w:color w:val="000000" w:themeColor="text1"/>
          <w:sz w:val="30"/>
          <w:szCs w:val="30"/>
          <w:u w:color="000000"/>
          <w:lang w:val="zh-TW"/>
          <w14:textFill>
            <w14:solidFill>
              <w14:schemeClr w14:val="tx1"/>
            </w14:solidFill>
          </w14:textFill>
        </w:rPr>
        <w:t>全县共签发</w:t>
      </w:r>
      <w:r>
        <w:rPr>
          <w:rFonts w:hint="eastAsia" w:ascii="仿宋" w:hAnsi="仿宋" w:eastAsia="仿宋" w:cs="仿宋"/>
          <w:color w:val="000000" w:themeColor="text1"/>
          <w:sz w:val="30"/>
          <w:szCs w:val="30"/>
          <w:u w:color="000000"/>
          <w14:textFill>
            <w14:solidFill>
              <w14:schemeClr w14:val="tx1"/>
            </w14:solidFill>
          </w14:textFill>
        </w:rPr>
        <w:t>出生医学证明</w:t>
      </w:r>
      <w:r>
        <w:rPr>
          <w:rFonts w:hint="eastAsia" w:ascii="仿宋" w:hAnsi="仿宋" w:eastAsia="仿宋" w:cs="仿宋"/>
          <w:color w:val="000000" w:themeColor="text1"/>
          <w:sz w:val="30"/>
          <w:szCs w:val="30"/>
          <w:u w:color="000000"/>
          <w:lang w:val="zh-TW"/>
          <w14:textFill>
            <w14:solidFill>
              <w14:schemeClr w14:val="tx1"/>
            </w14:solidFill>
          </w14:textFill>
        </w:rPr>
        <w:t>2204份，其中医疗机构内2086份，医疗机构外4份，换发54份，补发55份，废证5份，废证率0.23%，小于1%，</w:t>
      </w:r>
      <w:r>
        <w:rPr>
          <w:rFonts w:hint="eastAsia" w:ascii="仿宋" w:hAnsi="仿宋" w:eastAsia="仿宋" w:cs="仿宋"/>
          <w:color w:val="000000" w:themeColor="text1"/>
          <w:sz w:val="30"/>
          <w:szCs w:val="30"/>
          <w:u w:color="000000"/>
          <w14:textFill>
            <w14:solidFill>
              <w14:schemeClr w14:val="tx1"/>
            </w14:solidFill>
          </w14:textFill>
        </w:rPr>
        <w:t>签发出生医学证明</w:t>
      </w:r>
      <w:r>
        <w:rPr>
          <w:rFonts w:hint="eastAsia" w:ascii="仿宋" w:hAnsi="仿宋" w:eastAsia="仿宋" w:cs="仿宋"/>
          <w:color w:val="000000" w:themeColor="text1"/>
          <w:sz w:val="30"/>
          <w:szCs w:val="30"/>
          <w:u w:color="000000"/>
          <w:lang w:val="zh-TW"/>
          <w14:textFill>
            <w14:solidFill>
              <w14:schemeClr w14:val="tx1"/>
            </w14:solidFill>
          </w14:textFill>
        </w:rPr>
        <w:t>合格率100%</w:t>
      </w:r>
      <w:r>
        <w:rPr>
          <w:rFonts w:hint="eastAsia" w:ascii="仿宋" w:hAnsi="仿宋" w:eastAsia="仿宋" w:cs="仿宋"/>
          <w:color w:val="000000" w:themeColor="text1"/>
          <w:sz w:val="30"/>
          <w:szCs w:val="30"/>
          <w:u w:color="000000"/>
          <w14:textFill>
            <w14:solidFill>
              <w14:schemeClr w14:val="tx1"/>
            </w14:solidFill>
          </w14:textFill>
        </w:rPr>
        <w:t>；</w:t>
      </w:r>
      <w:r>
        <w:rPr>
          <w:rFonts w:hint="eastAsia" w:ascii="仿宋" w:hAnsi="仿宋" w:eastAsia="仿宋" w:cs="仿宋"/>
          <w:color w:val="000000" w:themeColor="text1"/>
          <w:sz w:val="30"/>
          <w:szCs w:val="30"/>
          <w:lang w:val="zh-TW"/>
          <w14:textFill>
            <w14:solidFill>
              <w14:schemeClr w14:val="tx1"/>
            </w14:solidFill>
          </w14:textFill>
        </w:rPr>
        <w:t>全县长期使用药具人数共54469人，其中节育和节育器共48098人，避孕套4472人，口服药1025人，皮埋103人，外用及其它771人。药具应用率为94%，有效率为95.5%，随访率为99%；对</w:t>
      </w:r>
      <w:r>
        <w:rPr>
          <w:rFonts w:hint="eastAsia" w:ascii="仿宋" w:hAnsi="仿宋" w:eastAsia="仿宋" w:cs="仿宋"/>
          <w:color w:val="000000" w:themeColor="text1"/>
          <w:sz w:val="30"/>
          <w:szCs w:val="30"/>
          <w:lang w:val="zh-TW" w:eastAsia="zh-TW"/>
          <w14:textFill>
            <w14:solidFill>
              <w14:schemeClr w14:val="tx1"/>
            </w14:solidFill>
          </w14:textFill>
        </w:rPr>
        <w:t>辖区</w:t>
      </w:r>
      <w:r>
        <w:rPr>
          <w:rFonts w:hint="eastAsia" w:ascii="仿宋" w:hAnsi="仿宋" w:eastAsia="仿宋" w:cs="仿宋"/>
          <w:color w:val="000000" w:themeColor="text1"/>
          <w:sz w:val="30"/>
          <w:szCs w:val="30"/>
          <w:lang w:val="zh-TW"/>
          <w14:textFill>
            <w14:solidFill>
              <w14:schemeClr w14:val="tx1"/>
            </w14:solidFill>
          </w14:textFill>
        </w:rPr>
        <w:t>内</w:t>
      </w:r>
      <w:r>
        <w:rPr>
          <w:rFonts w:hint="eastAsia" w:ascii="仿宋" w:hAnsi="仿宋" w:eastAsia="仿宋" w:cs="仿宋"/>
          <w:color w:val="000000" w:themeColor="text1"/>
          <w:sz w:val="30"/>
          <w:szCs w:val="30"/>
          <w14:textFill>
            <w14:solidFill>
              <w14:schemeClr w14:val="tx1"/>
            </w14:solidFill>
          </w14:textFill>
        </w:rPr>
        <w:t>6所</w:t>
      </w:r>
      <w:r>
        <w:rPr>
          <w:rFonts w:hint="eastAsia" w:ascii="仿宋" w:hAnsi="仿宋" w:eastAsia="仿宋" w:cs="仿宋"/>
          <w:color w:val="000000" w:themeColor="text1"/>
          <w:sz w:val="30"/>
          <w:szCs w:val="30"/>
          <w:lang w:val="zh-TW" w:eastAsia="zh-TW"/>
          <w14:textFill>
            <w14:solidFill>
              <w14:schemeClr w14:val="tx1"/>
            </w14:solidFill>
          </w14:textFill>
        </w:rPr>
        <w:t>托幼机构</w:t>
      </w:r>
      <w:r>
        <w:rPr>
          <w:rFonts w:hint="eastAsia" w:ascii="仿宋" w:hAnsi="仿宋" w:eastAsia="仿宋" w:cs="仿宋"/>
          <w:color w:val="000000" w:themeColor="text1"/>
          <w:sz w:val="30"/>
          <w:szCs w:val="30"/>
          <w:lang w:val="zh-TW"/>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1222</w:t>
      </w:r>
      <w:r>
        <w:rPr>
          <w:rFonts w:hint="eastAsia" w:ascii="仿宋" w:hAnsi="仿宋" w:eastAsia="仿宋" w:cs="仿宋"/>
          <w:color w:val="000000" w:themeColor="text1"/>
          <w:sz w:val="30"/>
          <w:szCs w:val="30"/>
          <w:lang w:val="zh-TW" w:eastAsia="zh-TW"/>
          <w14:textFill>
            <w14:solidFill>
              <w14:schemeClr w14:val="tx1"/>
            </w14:solidFill>
          </w14:textFill>
        </w:rPr>
        <w:t>人次儿童和</w:t>
      </w:r>
      <w:r>
        <w:rPr>
          <w:rFonts w:hint="eastAsia" w:ascii="仿宋" w:hAnsi="仿宋" w:eastAsia="仿宋" w:cs="仿宋"/>
          <w:color w:val="000000" w:themeColor="text1"/>
          <w:sz w:val="30"/>
          <w:szCs w:val="30"/>
          <w14:textFill>
            <w14:solidFill>
              <w14:schemeClr w14:val="tx1"/>
            </w14:solidFill>
          </w14:textFill>
        </w:rPr>
        <w:t>800</w:t>
      </w:r>
      <w:r>
        <w:rPr>
          <w:rFonts w:hint="eastAsia" w:ascii="仿宋" w:hAnsi="仿宋" w:eastAsia="仿宋" w:cs="仿宋"/>
          <w:color w:val="000000" w:themeColor="text1"/>
          <w:sz w:val="30"/>
          <w:szCs w:val="30"/>
          <w:lang w:val="zh-TW" w:eastAsia="zh-TW"/>
          <w14:textFill>
            <w14:solidFill>
              <w14:schemeClr w14:val="tx1"/>
            </w14:solidFill>
          </w14:textFill>
        </w:rPr>
        <w:t>人次老师进行了健康体检</w:t>
      </w:r>
      <w:r>
        <w:rPr>
          <w:rFonts w:hint="eastAsia" w:ascii="仿宋" w:hAnsi="仿宋" w:eastAsia="仿宋" w:cs="仿宋"/>
          <w:color w:val="000000" w:themeColor="text1"/>
          <w:sz w:val="30"/>
          <w:szCs w:val="30"/>
          <w:lang w:val="zh-TW"/>
          <w14:textFill>
            <w14:solidFill>
              <w14:schemeClr w14:val="tx1"/>
            </w14:solidFill>
          </w14:textFill>
        </w:rPr>
        <w:t>；</w:t>
      </w:r>
      <w:r>
        <w:rPr>
          <w:rFonts w:hint="eastAsia" w:ascii="仿宋" w:hAnsi="仿宋" w:eastAsia="仿宋" w:cs="仿宋"/>
          <w:color w:val="000000" w:themeColor="text1"/>
          <w:sz w:val="30"/>
          <w:szCs w:val="30"/>
          <w:u w:color="000000"/>
          <w:lang w:val="zh-TW"/>
          <w14:textFill>
            <w14:solidFill>
              <w14:schemeClr w14:val="tx1"/>
            </w14:solidFill>
          </w14:textFill>
        </w:rPr>
        <w:t>全县叶酸应服用人数</w:t>
      </w:r>
      <w:r>
        <w:rPr>
          <w:rFonts w:hint="eastAsia" w:ascii="仿宋" w:hAnsi="仿宋" w:eastAsia="仿宋" w:cs="仿宋"/>
          <w:color w:val="000000" w:themeColor="text1"/>
          <w:sz w:val="30"/>
          <w:szCs w:val="30"/>
          <w:u w:color="000000"/>
          <w14:textFill>
            <w14:solidFill>
              <w14:schemeClr w14:val="tx1"/>
            </w14:solidFill>
          </w14:textFill>
        </w:rPr>
        <w:t>3589</w:t>
      </w:r>
      <w:r>
        <w:rPr>
          <w:rFonts w:hint="eastAsia" w:ascii="仿宋" w:hAnsi="仿宋" w:eastAsia="仿宋" w:cs="仿宋"/>
          <w:color w:val="000000" w:themeColor="text1"/>
          <w:sz w:val="30"/>
          <w:szCs w:val="30"/>
          <w:u w:color="000000"/>
          <w:lang w:val="zh-TW"/>
          <w14:textFill>
            <w14:solidFill>
              <w14:schemeClr w14:val="tx1"/>
            </w14:solidFill>
          </w14:textFill>
        </w:rPr>
        <w:t>人，已服用人数</w:t>
      </w:r>
      <w:r>
        <w:rPr>
          <w:rFonts w:hint="eastAsia" w:ascii="仿宋" w:hAnsi="仿宋" w:eastAsia="仿宋" w:cs="仿宋"/>
          <w:color w:val="000000" w:themeColor="text1"/>
          <w:sz w:val="30"/>
          <w:szCs w:val="30"/>
          <w:u w:color="000000"/>
          <w14:textFill>
            <w14:solidFill>
              <w14:schemeClr w14:val="tx1"/>
            </w14:solidFill>
          </w14:textFill>
        </w:rPr>
        <w:t>3405</w:t>
      </w:r>
      <w:r>
        <w:rPr>
          <w:rFonts w:hint="eastAsia" w:ascii="仿宋" w:hAnsi="仿宋" w:eastAsia="仿宋" w:cs="仿宋"/>
          <w:color w:val="000000" w:themeColor="text1"/>
          <w:sz w:val="30"/>
          <w:szCs w:val="30"/>
          <w:u w:color="000000"/>
          <w:lang w:val="zh-TW"/>
          <w14:textFill>
            <w14:solidFill>
              <w14:schemeClr w14:val="tx1"/>
            </w14:solidFill>
          </w14:textFill>
        </w:rPr>
        <w:t>人(目标任务数</w:t>
      </w:r>
      <w:r>
        <w:rPr>
          <w:rFonts w:hint="eastAsia" w:ascii="仿宋" w:hAnsi="仿宋" w:eastAsia="仿宋" w:cs="仿宋"/>
          <w:color w:val="000000" w:themeColor="text1"/>
          <w:sz w:val="30"/>
          <w:szCs w:val="30"/>
          <w:u w:color="000000"/>
          <w14:textFill>
            <w14:solidFill>
              <w14:schemeClr w14:val="tx1"/>
            </w14:solidFill>
          </w14:textFill>
        </w:rPr>
        <w:t>3</w:t>
      </w:r>
      <w:r>
        <w:rPr>
          <w:rFonts w:hint="eastAsia" w:ascii="仿宋" w:hAnsi="仿宋" w:eastAsia="仿宋" w:cs="仿宋"/>
          <w:color w:val="000000" w:themeColor="text1"/>
          <w:sz w:val="30"/>
          <w:szCs w:val="30"/>
          <w:u w:color="000000"/>
          <w:lang w:val="zh-TW"/>
          <w14:textFill>
            <w14:solidFill>
              <w14:schemeClr w14:val="tx1"/>
            </w14:solidFill>
          </w14:textFill>
        </w:rPr>
        <w:t>400人)，服用率为94.</w:t>
      </w:r>
      <w:r>
        <w:rPr>
          <w:rFonts w:hint="eastAsia" w:ascii="仿宋" w:hAnsi="仿宋" w:eastAsia="仿宋" w:cs="仿宋"/>
          <w:color w:val="000000" w:themeColor="text1"/>
          <w:sz w:val="30"/>
          <w:szCs w:val="30"/>
          <w:u w:color="000000"/>
          <w14:textFill>
            <w14:solidFill>
              <w14:schemeClr w14:val="tx1"/>
            </w14:solidFill>
          </w14:textFill>
        </w:rPr>
        <w:t>87</w:t>
      </w:r>
      <w:r>
        <w:rPr>
          <w:rFonts w:hint="eastAsia" w:ascii="仿宋" w:hAnsi="仿宋" w:eastAsia="仿宋" w:cs="仿宋"/>
          <w:color w:val="000000" w:themeColor="text1"/>
          <w:sz w:val="30"/>
          <w:szCs w:val="30"/>
          <w:u w:color="000000"/>
          <w:lang w:val="zh-TW"/>
          <w14:textFill>
            <w14:solidFill>
              <w14:schemeClr w14:val="tx1"/>
            </w14:solidFill>
          </w14:textFill>
        </w:rPr>
        <w:t>%；叶酸依从人数</w:t>
      </w:r>
      <w:r>
        <w:rPr>
          <w:rFonts w:hint="eastAsia" w:ascii="仿宋" w:hAnsi="仿宋" w:eastAsia="仿宋" w:cs="仿宋"/>
          <w:color w:val="000000" w:themeColor="text1"/>
          <w:sz w:val="30"/>
          <w:szCs w:val="30"/>
          <w:u w:color="000000"/>
          <w14:textFill>
            <w14:solidFill>
              <w14:schemeClr w14:val="tx1"/>
            </w14:solidFill>
          </w14:textFill>
        </w:rPr>
        <w:t>2589</w:t>
      </w:r>
      <w:r>
        <w:rPr>
          <w:rFonts w:hint="eastAsia" w:ascii="仿宋" w:hAnsi="仿宋" w:eastAsia="仿宋" w:cs="仿宋"/>
          <w:color w:val="000000" w:themeColor="text1"/>
          <w:sz w:val="30"/>
          <w:szCs w:val="30"/>
          <w:u w:color="000000"/>
          <w:lang w:val="zh-TW"/>
          <w14:textFill>
            <w14:solidFill>
              <w14:schemeClr w14:val="tx1"/>
            </w14:solidFill>
          </w14:textFill>
        </w:rPr>
        <w:t>人，依从率为7</w:t>
      </w:r>
      <w:r>
        <w:rPr>
          <w:rFonts w:hint="eastAsia" w:ascii="仿宋" w:hAnsi="仿宋" w:eastAsia="仿宋" w:cs="仿宋"/>
          <w:color w:val="000000" w:themeColor="text1"/>
          <w:sz w:val="30"/>
          <w:szCs w:val="30"/>
          <w:u w:color="000000"/>
          <w14:textFill>
            <w14:solidFill>
              <w14:schemeClr w14:val="tx1"/>
            </w14:solidFill>
          </w14:textFill>
        </w:rPr>
        <w:t>6.04</w:t>
      </w:r>
      <w:r>
        <w:rPr>
          <w:rFonts w:hint="eastAsia" w:ascii="仿宋" w:hAnsi="仿宋" w:eastAsia="仿宋" w:cs="仿宋"/>
          <w:color w:val="000000" w:themeColor="text1"/>
          <w:sz w:val="30"/>
          <w:szCs w:val="30"/>
          <w:u w:color="000000"/>
          <w:lang w:val="zh-TW"/>
          <w14:textFill>
            <w14:solidFill>
              <w14:schemeClr w14:val="tx1"/>
            </w14:solidFill>
          </w14:textFill>
        </w:rPr>
        <w:t>%(目标任务数</w:t>
      </w:r>
      <w:r>
        <w:rPr>
          <w:rFonts w:hint="eastAsia" w:ascii="仿宋" w:hAnsi="仿宋" w:eastAsia="仿宋" w:cs="仿宋"/>
          <w:color w:val="000000" w:themeColor="text1"/>
          <w:sz w:val="30"/>
          <w:szCs w:val="30"/>
          <w:u w:color="000000"/>
          <w14:textFill>
            <w14:solidFill>
              <w14:schemeClr w14:val="tx1"/>
            </w14:solidFill>
          </w14:textFill>
        </w:rPr>
        <w:t>7</w:t>
      </w:r>
      <w:r>
        <w:rPr>
          <w:rFonts w:hint="eastAsia" w:ascii="仿宋" w:hAnsi="仿宋" w:eastAsia="仿宋" w:cs="仿宋"/>
          <w:color w:val="000000" w:themeColor="text1"/>
          <w:sz w:val="30"/>
          <w:szCs w:val="30"/>
          <w:u w:color="000000"/>
          <w:lang w:val="zh-TW"/>
          <w14:textFill>
            <w14:solidFill>
              <w14:schemeClr w14:val="tx1"/>
            </w14:solidFill>
          </w14:textFill>
        </w:rPr>
        <w:t>0%)，调查人数</w:t>
      </w:r>
      <w:r>
        <w:rPr>
          <w:rFonts w:hint="eastAsia" w:ascii="仿宋" w:hAnsi="仿宋" w:eastAsia="仿宋" w:cs="仿宋"/>
          <w:color w:val="000000" w:themeColor="text1"/>
          <w:sz w:val="30"/>
          <w:szCs w:val="30"/>
          <w:u w:color="000000"/>
          <w14:textFill>
            <w14:solidFill>
              <w14:schemeClr w14:val="tx1"/>
            </w14:solidFill>
          </w14:textFill>
        </w:rPr>
        <w:t>3074</w:t>
      </w:r>
      <w:r>
        <w:rPr>
          <w:rFonts w:hint="eastAsia" w:ascii="仿宋" w:hAnsi="仿宋" w:eastAsia="仿宋" w:cs="仿宋"/>
          <w:color w:val="000000" w:themeColor="text1"/>
          <w:sz w:val="30"/>
          <w:szCs w:val="30"/>
          <w:u w:color="000000"/>
          <w:lang w:val="zh-TW"/>
          <w14:textFill>
            <w14:solidFill>
              <w14:schemeClr w14:val="tx1"/>
            </w14:solidFill>
          </w14:textFill>
        </w:rPr>
        <w:t>，知晓人数</w:t>
      </w:r>
      <w:r>
        <w:rPr>
          <w:rFonts w:hint="eastAsia" w:ascii="仿宋" w:hAnsi="仿宋" w:eastAsia="仿宋" w:cs="仿宋"/>
          <w:color w:val="000000" w:themeColor="text1"/>
          <w:sz w:val="30"/>
          <w:szCs w:val="30"/>
          <w:u w:color="000000"/>
          <w14:textFill>
            <w14:solidFill>
              <w14:schemeClr w14:val="tx1"/>
            </w14:solidFill>
          </w14:textFill>
        </w:rPr>
        <w:t>2794</w:t>
      </w:r>
      <w:r>
        <w:rPr>
          <w:rFonts w:hint="eastAsia" w:ascii="仿宋" w:hAnsi="仿宋" w:eastAsia="仿宋" w:cs="仿宋"/>
          <w:color w:val="000000" w:themeColor="text1"/>
          <w:sz w:val="30"/>
          <w:szCs w:val="30"/>
          <w:u w:color="000000"/>
          <w:lang w:val="zh-TW"/>
          <w14:textFill>
            <w14:solidFill>
              <w14:schemeClr w14:val="tx1"/>
            </w14:solidFill>
          </w14:textFill>
        </w:rPr>
        <w:t>人，知晓率为90.</w:t>
      </w:r>
      <w:r>
        <w:rPr>
          <w:rFonts w:hint="eastAsia" w:ascii="仿宋" w:hAnsi="仿宋" w:eastAsia="仿宋" w:cs="仿宋"/>
          <w:color w:val="000000" w:themeColor="text1"/>
          <w:sz w:val="30"/>
          <w:szCs w:val="30"/>
          <w:u w:color="000000"/>
          <w14:textFill>
            <w14:solidFill>
              <w14:schemeClr w14:val="tx1"/>
            </w14:solidFill>
          </w14:textFill>
        </w:rPr>
        <w:t>89</w:t>
      </w:r>
      <w:r>
        <w:rPr>
          <w:rFonts w:hint="eastAsia" w:ascii="仿宋" w:hAnsi="仿宋" w:eastAsia="仿宋" w:cs="仿宋"/>
          <w:color w:val="000000" w:themeColor="text1"/>
          <w:sz w:val="30"/>
          <w:szCs w:val="30"/>
          <w:u w:color="000000"/>
          <w:lang w:val="zh-TW"/>
          <w14:textFill>
            <w14:solidFill>
              <w14:schemeClr w14:val="tx1"/>
            </w14:solidFill>
          </w14:textFill>
        </w:rPr>
        <w:t>%(目标任务数</w:t>
      </w:r>
      <w:r>
        <w:rPr>
          <w:rFonts w:hint="eastAsia" w:ascii="仿宋" w:hAnsi="仿宋" w:eastAsia="仿宋" w:cs="仿宋"/>
          <w:color w:val="000000" w:themeColor="text1"/>
          <w:sz w:val="30"/>
          <w:szCs w:val="30"/>
          <w:u w:color="000000"/>
          <w14:textFill>
            <w14:solidFill>
              <w14:schemeClr w14:val="tx1"/>
            </w14:solidFill>
          </w14:textFill>
        </w:rPr>
        <w:t>9</w:t>
      </w:r>
      <w:r>
        <w:rPr>
          <w:rFonts w:hint="eastAsia" w:ascii="仿宋" w:hAnsi="仿宋" w:eastAsia="仿宋" w:cs="仿宋"/>
          <w:color w:val="000000" w:themeColor="text1"/>
          <w:sz w:val="30"/>
          <w:szCs w:val="30"/>
          <w:u w:color="000000"/>
          <w:lang w:val="zh-TW"/>
          <w14:textFill>
            <w14:solidFill>
              <w14:schemeClr w14:val="tx1"/>
            </w14:solidFill>
          </w14:textFill>
        </w:rPr>
        <w:t xml:space="preserve">0%)。 </w:t>
      </w:r>
      <w:r>
        <w:rPr>
          <w:rFonts w:hint="eastAsia" w:ascii="仿宋" w:hAnsi="仿宋" w:eastAsia="仿宋" w:cs="仿宋"/>
          <w:color w:val="000000" w:themeColor="text1"/>
          <w:sz w:val="30"/>
          <w:szCs w:val="30"/>
          <w:lang w:val="zh-TW"/>
          <w14:textFill>
            <w14:solidFill>
              <w14:schemeClr w14:val="tx1"/>
            </w14:solidFill>
          </w14:textFill>
        </w:rPr>
        <w:t>全县0－6岁儿童筛查1861人，其中筛查出视力残疾0人，肢体残疾0人，转县残联进行救助的</w:t>
      </w:r>
      <w:r>
        <w:rPr>
          <w:rFonts w:hint="eastAsia" w:ascii="仿宋" w:hAnsi="仿宋" w:eastAsia="仿宋" w:cs="仿宋"/>
          <w:color w:val="000000" w:themeColor="text1"/>
          <w:sz w:val="30"/>
          <w:szCs w:val="30"/>
          <w14:textFill>
            <w14:solidFill>
              <w14:schemeClr w14:val="tx1"/>
            </w14:solidFill>
          </w14:textFill>
        </w:rPr>
        <w:t>0</w:t>
      </w:r>
      <w:r>
        <w:rPr>
          <w:rFonts w:hint="eastAsia" w:ascii="仿宋" w:hAnsi="仿宋" w:eastAsia="仿宋" w:cs="仿宋"/>
          <w:color w:val="000000" w:themeColor="text1"/>
          <w:sz w:val="30"/>
          <w:szCs w:val="30"/>
          <w:lang w:val="zh-TW"/>
          <w14:textFill>
            <w14:solidFill>
              <w14:schemeClr w14:val="tx1"/>
            </w14:solidFill>
          </w14:textFill>
        </w:rPr>
        <w:t>人。</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四、评价结论及建议</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（一）整体绩效目标完成情况</w:t>
      </w:r>
    </w:p>
    <w:p>
      <w:pPr>
        <w:pStyle w:val="8"/>
        <w:spacing w:before="93" w:line="600" w:lineRule="exact"/>
        <w:ind w:firstLine="600" w:firstLineChars="200"/>
        <w:rPr>
          <w:rFonts w:ascii="仿宋" w:hAnsi="仿宋" w:eastAsia="仿宋" w:cs="仿宋"/>
          <w:sz w:val="30"/>
          <w:szCs w:val="30"/>
        </w:rPr>
      </w:pPr>
      <w:r>
        <w:rPr>
          <w:rFonts w:hint="eastAsia" w:ascii="仿宋" w:hAnsi="仿宋" w:eastAsia="仿宋" w:cs="仿宋"/>
          <w:sz w:val="30"/>
          <w:szCs w:val="30"/>
        </w:rPr>
        <w:t>2021年我中心保障了全单位96人的人员经费，保障了4.3万余人就诊患者的医疗服务，严格按照单位内部各项规章制度执行，保障了工作质量，经费下达及时性100%，总经费1092.67万元；全年医疗收入全部缴存金库；全县出生缺陷发生率、婴儿死亡率、孕产妇死亡率都在控制指标范围内，切实解决了辖区内居民妇幼健康问题；对全县</w:t>
      </w:r>
      <w:r>
        <w:rPr>
          <w:rFonts w:hint="eastAsia" w:ascii="仿宋" w:hAnsi="仿宋" w:eastAsia="仿宋" w:cs="仿宋"/>
          <w:color w:val="000000"/>
          <w:sz w:val="30"/>
          <w:szCs w:val="30"/>
          <w:u w:color="000000"/>
        </w:rPr>
        <w:t>1220</w:t>
      </w:r>
      <w:r>
        <w:rPr>
          <w:rFonts w:hint="eastAsia" w:ascii="仿宋" w:hAnsi="仿宋" w:eastAsia="仿宋" w:cs="仿宋"/>
          <w:color w:val="000000"/>
          <w:sz w:val="30"/>
          <w:szCs w:val="30"/>
          <w:u w:color="000000"/>
          <w:lang w:val="zh-TW" w:eastAsia="zh-TW"/>
        </w:rPr>
        <w:t>人次儿童和</w:t>
      </w:r>
      <w:r>
        <w:rPr>
          <w:rFonts w:hint="eastAsia" w:ascii="仿宋" w:hAnsi="仿宋" w:eastAsia="仿宋" w:cs="仿宋"/>
          <w:color w:val="000000"/>
          <w:sz w:val="30"/>
          <w:szCs w:val="30"/>
          <w:u w:color="000000"/>
        </w:rPr>
        <w:t>800</w:t>
      </w:r>
      <w:r>
        <w:rPr>
          <w:rFonts w:hint="eastAsia" w:ascii="仿宋" w:hAnsi="仿宋" w:eastAsia="仿宋" w:cs="仿宋"/>
          <w:color w:val="000000"/>
          <w:sz w:val="30"/>
          <w:szCs w:val="30"/>
          <w:u w:color="000000"/>
          <w:lang w:val="zh-TW" w:eastAsia="zh-TW"/>
        </w:rPr>
        <w:t>人次老师进行了健康体检</w:t>
      </w:r>
      <w:r>
        <w:rPr>
          <w:rFonts w:hint="eastAsia" w:ascii="仿宋" w:hAnsi="仿宋" w:eastAsia="仿宋" w:cs="仿宋"/>
          <w:sz w:val="30"/>
          <w:szCs w:val="30"/>
        </w:rPr>
        <w:t>，受益妇女和家庭成员满意度、受益婴幼儿家长满意度均大于等于96%。</w:t>
      </w:r>
    </w:p>
    <w:p>
      <w:pPr>
        <w:numPr>
          <w:ilvl w:val="0"/>
          <w:numId w:val="5"/>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整体绩效目标未完成情况及原因分析</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无 </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五、其他需要说明的问题</w:t>
      </w:r>
    </w:p>
    <w:p>
      <w:pPr>
        <w:spacing w:line="600" w:lineRule="exact"/>
        <w:rPr>
          <w:rFonts w:ascii="仿宋" w:hAnsi="仿宋" w:eastAsia="仿宋" w:cs="仿宋"/>
          <w:sz w:val="30"/>
          <w:szCs w:val="30"/>
        </w:rPr>
      </w:pPr>
      <w:r>
        <w:rPr>
          <w:rFonts w:hint="eastAsia" w:ascii="仿宋" w:hAnsi="仿宋" w:eastAsia="仿宋" w:cs="仿宋"/>
          <w:sz w:val="30"/>
          <w:szCs w:val="30"/>
        </w:rPr>
        <w:t xml:space="preserve">   （一）后续工作计划</w:t>
      </w:r>
    </w:p>
    <w:p>
      <w:pPr>
        <w:pStyle w:val="8"/>
        <w:spacing w:before="93" w:line="600" w:lineRule="exact"/>
        <w:rPr>
          <w:rFonts w:ascii="仿宋" w:hAnsi="仿宋" w:eastAsia="仿宋" w:cs="仿宋"/>
          <w:sz w:val="30"/>
          <w:szCs w:val="30"/>
        </w:rPr>
      </w:pPr>
      <w:r>
        <w:rPr>
          <w:rFonts w:hint="eastAsia" w:ascii="仿宋" w:hAnsi="仿宋" w:eastAsia="仿宋" w:cs="仿宋"/>
          <w:sz w:val="30"/>
          <w:szCs w:val="30"/>
        </w:rPr>
        <w:t xml:space="preserve">    继续加强全县妇幼卫生和计划生育技术服务工作，对全县妇幼卫生工作进行指导及培训，保障全县妇幼卫生工作的顺利开展，并对所有育龄妇女进行优生优育健康宣教，提高出生人口质量。</w:t>
      </w:r>
    </w:p>
    <w:p>
      <w:pPr>
        <w:spacing w:line="600" w:lineRule="exact"/>
        <w:rPr>
          <w:rFonts w:ascii="仿宋" w:hAnsi="仿宋" w:eastAsia="仿宋" w:cs="仿宋"/>
          <w:sz w:val="30"/>
          <w:szCs w:val="30"/>
        </w:rPr>
      </w:pPr>
      <w:r>
        <w:rPr>
          <w:rFonts w:hint="eastAsia" w:ascii="仿宋" w:hAnsi="仿宋" w:eastAsia="仿宋" w:cs="仿宋"/>
          <w:sz w:val="30"/>
          <w:szCs w:val="30"/>
        </w:rPr>
        <w:t xml:space="preserve">   （二）主要经验及做法、存在问题和建议</w:t>
      </w:r>
    </w:p>
    <w:p>
      <w:pPr>
        <w:spacing w:line="572" w:lineRule="exact"/>
        <w:jc w:val="left"/>
        <w:rPr>
          <w:rFonts w:hAnsi="宋体" w:cs="宋体"/>
          <w:sz w:val="32"/>
          <w:szCs w:val="32"/>
          <w:shd w:val="clear" w:color="auto" w:fill="FFFFFF"/>
          <w:lang w:val="zh-CN"/>
        </w:rPr>
      </w:pPr>
      <w:r>
        <w:rPr>
          <w:rFonts w:hint="eastAsia" w:ascii="仿宋" w:hAnsi="仿宋" w:eastAsia="仿宋" w:cs="仿宋"/>
          <w:sz w:val="30"/>
          <w:szCs w:val="30"/>
        </w:rPr>
        <w:t xml:space="preserve">    业务人员对相关业务流程及实施情况还不熟悉，各种制度建立还不完善，在执行过程中还存在一定的问题。建议财政部门加强对县级部门预算绩效人员进行业务培训，促进财务工作的顺利开展，进一步提升预算绩效管理水平。</w:t>
      </w: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Fonts w:ascii="仿宋" w:hAnsi="仿宋" w:eastAsia="仿宋"/>
        </w:rPr>
      </w:pPr>
      <w:bookmarkStart w:id="59" w:name="_Toc15396618"/>
      <w:r>
        <w:rPr>
          <w:rFonts w:hint="eastAsia" w:ascii="黑体" w:hAnsi="黑体" w:eastAsia="黑体"/>
          <w:sz w:val="44"/>
          <w:szCs w:val="44"/>
        </w:rPr>
        <w:t>第</w:t>
      </w:r>
      <w:r>
        <w:rPr>
          <w:rStyle w:val="24"/>
          <w:rFonts w:hint="eastAsia" w:ascii="黑体" w:hAnsi="黑体" w:eastAsia="黑体"/>
          <w:b w:val="0"/>
        </w:rPr>
        <w:t>五部分 附表</w:t>
      </w:r>
      <w:bookmarkEnd w:id="57"/>
      <w:bookmarkEnd w:id="59"/>
      <w:bookmarkStart w:id="60"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60"/>
    </w:p>
    <w:p>
      <w:pPr>
        <w:pStyle w:val="4"/>
        <w:rPr>
          <w:rFonts w:ascii="仿宋" w:hAnsi="仿宋" w:eastAsia="仿宋"/>
        </w:rPr>
      </w:pPr>
      <w:bookmarkStart w:id="61" w:name="_Toc15396620"/>
      <w:r>
        <w:rPr>
          <w:rFonts w:hint="eastAsia" w:ascii="仿宋" w:hAnsi="仿宋" w:eastAsia="仿宋"/>
          <w:b w:val="0"/>
        </w:rPr>
        <w:t>二、收</w:t>
      </w:r>
      <w:r>
        <w:rPr>
          <w:rStyle w:val="25"/>
          <w:rFonts w:hint="eastAsia" w:ascii="仿宋" w:hAnsi="仿宋" w:eastAsia="仿宋"/>
          <w:b w:val="0"/>
          <w:bCs w:val="0"/>
        </w:rPr>
        <w:t>入决算表</w:t>
      </w:r>
      <w:bookmarkEnd w:id="61"/>
    </w:p>
    <w:p>
      <w:pPr>
        <w:pStyle w:val="4"/>
        <w:rPr>
          <w:rFonts w:ascii="仿宋" w:hAnsi="仿宋" w:eastAsia="仿宋"/>
        </w:rPr>
      </w:pPr>
      <w:bookmarkStart w:id="62"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62"/>
    </w:p>
    <w:p>
      <w:pPr>
        <w:pStyle w:val="4"/>
        <w:rPr>
          <w:rFonts w:ascii="仿宋" w:hAnsi="仿宋" w:eastAsia="仿宋"/>
          <w:b w:val="0"/>
        </w:rPr>
      </w:pPr>
      <w:bookmarkStart w:id="63"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63"/>
    </w:p>
    <w:p>
      <w:pPr>
        <w:pStyle w:val="4"/>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64"/>
      <w:bookmarkStart w:id="65"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65"/>
    </w:p>
    <w:p>
      <w:pPr>
        <w:pStyle w:val="4"/>
        <w:rPr>
          <w:rFonts w:ascii="仿宋" w:hAnsi="仿宋" w:eastAsia="仿宋"/>
        </w:rPr>
      </w:pPr>
      <w:bookmarkStart w:id="66"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6"/>
    </w:p>
    <w:p>
      <w:pPr>
        <w:pStyle w:val="4"/>
        <w:rPr>
          <w:rFonts w:ascii="仿宋" w:hAnsi="仿宋" w:eastAsia="仿宋"/>
        </w:rPr>
      </w:pPr>
      <w:bookmarkStart w:id="67"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7"/>
    </w:p>
    <w:p>
      <w:pPr>
        <w:pStyle w:val="4"/>
        <w:rPr>
          <w:rFonts w:ascii="仿宋" w:hAnsi="仿宋" w:eastAsia="仿宋"/>
        </w:rPr>
      </w:pPr>
      <w:bookmarkStart w:id="68"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8"/>
    </w:p>
    <w:p>
      <w:pPr>
        <w:pStyle w:val="4"/>
        <w:rPr>
          <w:rFonts w:ascii="仿宋" w:hAnsi="仿宋" w:eastAsia="仿宋"/>
        </w:rPr>
      </w:pPr>
      <w:bookmarkStart w:id="69" w:name="_Toc15396628"/>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69"/>
    </w:p>
    <w:p>
      <w:pPr>
        <w:pStyle w:val="4"/>
        <w:rPr>
          <w:rFonts w:ascii="仿宋" w:hAnsi="仿宋" w:eastAsia="仿宋"/>
        </w:rPr>
      </w:pPr>
      <w:bookmarkStart w:id="70"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70"/>
    </w:p>
    <w:p>
      <w:pPr>
        <w:pStyle w:val="4"/>
        <w:rPr>
          <w:rFonts w:ascii="仿宋" w:hAnsi="仿宋" w:eastAsia="仿宋"/>
        </w:rPr>
      </w:pPr>
      <w:bookmarkStart w:id="71" w:name="_Toc15396630"/>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71"/>
    </w:p>
    <w:p>
      <w:pPr>
        <w:pStyle w:val="4"/>
        <w:rPr>
          <w:rStyle w:val="25"/>
          <w:rFonts w:ascii="仿宋" w:hAnsi="仿宋" w:eastAsia="仿宋"/>
          <w:b w:val="0"/>
          <w:bCs w:val="0"/>
        </w:rPr>
      </w:pPr>
      <w:bookmarkStart w:id="72"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72"/>
    </w:p>
    <w:p>
      <w:pPr>
        <w:rPr>
          <w:rFonts w:eastAsia="仿宋"/>
        </w:rPr>
      </w:pPr>
      <w:r>
        <w:rPr>
          <w:rStyle w:val="25"/>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A84DB"/>
    <w:multiLevelType w:val="singleLevel"/>
    <w:tmpl w:val="8DCA84DB"/>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D9B7036"/>
    <w:multiLevelType w:val="singleLevel"/>
    <w:tmpl w:val="4D9B7036"/>
    <w:lvl w:ilvl="0" w:tentative="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NzNlNjUxNmIyMDUxNjQ0YTBmM2Y4M2NmNTFjZDAifQ=="/>
  </w:docVars>
  <w:rsids>
    <w:rsidRoot w:val="00F1361C"/>
    <w:rsid w:val="000222C6"/>
    <w:rsid w:val="0002549F"/>
    <w:rsid w:val="00045E9F"/>
    <w:rsid w:val="000468DB"/>
    <w:rsid w:val="0006487A"/>
    <w:rsid w:val="00065F8F"/>
    <w:rsid w:val="00070A43"/>
    <w:rsid w:val="000768F2"/>
    <w:rsid w:val="0009184B"/>
    <w:rsid w:val="00094236"/>
    <w:rsid w:val="0009593C"/>
    <w:rsid w:val="00097322"/>
    <w:rsid w:val="000A4AF3"/>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5359C"/>
    <w:rsid w:val="0036561B"/>
    <w:rsid w:val="0037013F"/>
    <w:rsid w:val="00380C92"/>
    <w:rsid w:val="003934A9"/>
    <w:rsid w:val="003A238B"/>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390D"/>
    <w:rsid w:val="004223DE"/>
    <w:rsid w:val="00434489"/>
    <w:rsid w:val="00437085"/>
    <w:rsid w:val="00443880"/>
    <w:rsid w:val="004464F4"/>
    <w:rsid w:val="00471401"/>
    <w:rsid w:val="00473F31"/>
    <w:rsid w:val="0048263A"/>
    <w:rsid w:val="00487E5D"/>
    <w:rsid w:val="004A711F"/>
    <w:rsid w:val="004B022E"/>
    <w:rsid w:val="004B199D"/>
    <w:rsid w:val="004B4690"/>
    <w:rsid w:val="004E0A2D"/>
    <w:rsid w:val="004E206B"/>
    <w:rsid w:val="004E6DF7"/>
    <w:rsid w:val="004F0FBD"/>
    <w:rsid w:val="00505A47"/>
    <w:rsid w:val="00512FDA"/>
    <w:rsid w:val="00520DA0"/>
    <w:rsid w:val="0052441C"/>
    <w:rsid w:val="005664BB"/>
    <w:rsid w:val="00566FFA"/>
    <w:rsid w:val="0057481D"/>
    <w:rsid w:val="0058486E"/>
    <w:rsid w:val="00585B33"/>
    <w:rsid w:val="0059014D"/>
    <w:rsid w:val="005B5C64"/>
    <w:rsid w:val="005C260E"/>
    <w:rsid w:val="005C5337"/>
    <w:rsid w:val="005C6BD0"/>
    <w:rsid w:val="005D1C8B"/>
    <w:rsid w:val="005D468D"/>
    <w:rsid w:val="005D5CED"/>
    <w:rsid w:val="005F1A4C"/>
    <w:rsid w:val="00605688"/>
    <w:rsid w:val="006070AF"/>
    <w:rsid w:val="006072C1"/>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E4C7D"/>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876F0"/>
    <w:rsid w:val="008939CD"/>
    <w:rsid w:val="008B768C"/>
    <w:rsid w:val="008C4DB1"/>
    <w:rsid w:val="008C4EAF"/>
    <w:rsid w:val="008C5176"/>
    <w:rsid w:val="008C7CB1"/>
    <w:rsid w:val="008C7FD0"/>
    <w:rsid w:val="008E1DE7"/>
    <w:rsid w:val="008E707C"/>
    <w:rsid w:val="00900B08"/>
    <w:rsid w:val="00902155"/>
    <w:rsid w:val="00902FA3"/>
    <w:rsid w:val="00923564"/>
    <w:rsid w:val="0092392E"/>
    <w:rsid w:val="009315F9"/>
    <w:rsid w:val="00932FC4"/>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3A5C"/>
    <w:rsid w:val="00A04EB0"/>
    <w:rsid w:val="00A13CC1"/>
    <w:rsid w:val="00A16847"/>
    <w:rsid w:val="00A20333"/>
    <w:rsid w:val="00A23121"/>
    <w:rsid w:val="00A237D8"/>
    <w:rsid w:val="00A268C4"/>
    <w:rsid w:val="00A307CD"/>
    <w:rsid w:val="00A331C8"/>
    <w:rsid w:val="00A40602"/>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2EEF"/>
    <w:rsid w:val="00B53C56"/>
    <w:rsid w:val="00B57DAF"/>
    <w:rsid w:val="00B73789"/>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07A"/>
    <w:rsid w:val="00C533CC"/>
    <w:rsid w:val="00C5751C"/>
    <w:rsid w:val="00C61BFC"/>
    <w:rsid w:val="00C62B85"/>
    <w:rsid w:val="00C647B4"/>
    <w:rsid w:val="00C65438"/>
    <w:rsid w:val="00C87FD8"/>
    <w:rsid w:val="00C91381"/>
    <w:rsid w:val="00C91CBB"/>
    <w:rsid w:val="00CA42DC"/>
    <w:rsid w:val="00CB45D9"/>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3191"/>
    <w:rsid w:val="00D66074"/>
    <w:rsid w:val="00D7035F"/>
    <w:rsid w:val="00DA103E"/>
    <w:rsid w:val="00DA634F"/>
    <w:rsid w:val="00DA65AC"/>
    <w:rsid w:val="00DB1913"/>
    <w:rsid w:val="00DB4A29"/>
    <w:rsid w:val="00DC410D"/>
    <w:rsid w:val="00DC5A81"/>
    <w:rsid w:val="00DC68CA"/>
    <w:rsid w:val="00DC7CBA"/>
    <w:rsid w:val="00DD73B7"/>
    <w:rsid w:val="00DF28BC"/>
    <w:rsid w:val="00DF34B9"/>
    <w:rsid w:val="00E01053"/>
    <w:rsid w:val="00E07ACF"/>
    <w:rsid w:val="00E13150"/>
    <w:rsid w:val="00E331A1"/>
    <w:rsid w:val="00E33202"/>
    <w:rsid w:val="00E336A9"/>
    <w:rsid w:val="00E472B1"/>
    <w:rsid w:val="00E50624"/>
    <w:rsid w:val="00E568DF"/>
    <w:rsid w:val="00E64269"/>
    <w:rsid w:val="00E82267"/>
    <w:rsid w:val="00E853CE"/>
    <w:rsid w:val="00E867B6"/>
    <w:rsid w:val="00E93171"/>
    <w:rsid w:val="00EA010F"/>
    <w:rsid w:val="00EB324E"/>
    <w:rsid w:val="00ED1B63"/>
    <w:rsid w:val="00ED3C1F"/>
    <w:rsid w:val="00ED3C37"/>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0277"/>
    <w:rsid w:val="00F754A1"/>
    <w:rsid w:val="00F81FD9"/>
    <w:rsid w:val="00F841AA"/>
    <w:rsid w:val="00F84A94"/>
    <w:rsid w:val="00F87E96"/>
    <w:rsid w:val="00F97F85"/>
    <w:rsid w:val="00FA23E8"/>
    <w:rsid w:val="00FD3CC1"/>
    <w:rsid w:val="00FF1E02"/>
    <w:rsid w:val="00FF30B4"/>
    <w:rsid w:val="066E0107"/>
    <w:rsid w:val="07996F6E"/>
    <w:rsid w:val="0A2032A3"/>
    <w:rsid w:val="101860EC"/>
    <w:rsid w:val="10C055FF"/>
    <w:rsid w:val="118107EC"/>
    <w:rsid w:val="13D50BC4"/>
    <w:rsid w:val="16BB723D"/>
    <w:rsid w:val="1BE8440E"/>
    <w:rsid w:val="1D155CEE"/>
    <w:rsid w:val="23860B96"/>
    <w:rsid w:val="240371BF"/>
    <w:rsid w:val="29FD04D3"/>
    <w:rsid w:val="2C8A61B5"/>
    <w:rsid w:val="2DF04E50"/>
    <w:rsid w:val="319F7F4E"/>
    <w:rsid w:val="36AA5135"/>
    <w:rsid w:val="37E16F03"/>
    <w:rsid w:val="3D98207C"/>
    <w:rsid w:val="44E268DA"/>
    <w:rsid w:val="4A627F82"/>
    <w:rsid w:val="4B4F25DA"/>
    <w:rsid w:val="4BE068DB"/>
    <w:rsid w:val="4D577224"/>
    <w:rsid w:val="4EAB630A"/>
    <w:rsid w:val="4ECE2238"/>
    <w:rsid w:val="5AF92295"/>
    <w:rsid w:val="5CD71FC4"/>
    <w:rsid w:val="66FA08E3"/>
    <w:rsid w:val="6C4A05C8"/>
    <w:rsid w:val="6E7E3605"/>
    <w:rsid w:val="6FF5CC65"/>
    <w:rsid w:val="715C0E4B"/>
    <w:rsid w:val="72734D90"/>
    <w:rsid w:val="73AD73D5"/>
    <w:rsid w:val="73B6EB34"/>
    <w:rsid w:val="79EE5BA4"/>
    <w:rsid w:val="7A894339"/>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收、支决算总计变动情况图</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1744.71</c:v>
                </c:pt>
                <c:pt idx="1">
                  <c:v>1779.21</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1092.67</c:v>
                </c:pt>
                <c:pt idx="1">
                  <c:v>1292.67</c:v>
                </c:pt>
              </c:numCache>
            </c:numRef>
          </c:val>
        </c:ser>
        <c:dLbls>
          <c:showLegendKey val="0"/>
          <c:showVal val="0"/>
          <c:showCatName val="0"/>
          <c:showSerName val="0"/>
          <c:showPercent val="0"/>
          <c:showBubbleSize val="0"/>
        </c:dLbls>
        <c:gapWidth val="219"/>
        <c:overlap val="-27"/>
        <c:axId val="787336936"/>
        <c:axId val="787338904"/>
      </c:barChart>
      <c:catAx>
        <c:axId val="787336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7338904"/>
        <c:crosses val="autoZero"/>
        <c:auto val="1"/>
        <c:lblAlgn val="ctr"/>
        <c:lblOffset val="100"/>
        <c:noMultiLvlLbl val="0"/>
      </c:catAx>
      <c:valAx>
        <c:axId val="787338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7336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Lbls>
            <c:dLbl>
              <c:idx val="0"/>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100%</a:t>
                    </a:r>
                    <a:endParaRPr lang="en-US" altLang="zh-CN" baseline="0"/>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0%</c:formatCode>
                <c:ptCount val="1"/>
                <c:pt idx="0">
                  <c:v>10.9267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03539609920539"/>
                  <c:y val="-0.214654282765738"/>
                </c:manualLayout>
              </c:layout>
              <c:tx>
                <c:rich>
                  <a:bodyPr rot="0" spcFirstLastPara="1" vertOverflow="ellipsis" vert="horz" wrap="square" lIns="38100" tIns="19050" rIns="38100" bIns="19050" anchor="ctr" anchorCtr="1">
                    <a:noAutofit/>
                  </a:bodyPr>
                  <a:lstStyle/>
                  <a:p>
                    <a:fld id="{8b40f82c-055b-404e-b327-62700455fee6}" type="VALUE">
                      <a:t>[VALUE]</a:t>
                    </a:fld>
                    <a:endParaRPr lang="en-US" altLang="zh-CN" b="0" i="0" u="none" strike="noStrike" baseline="0">
                      <a:latin typeface="Times New Roman" panose="02020603050405020304" charset="0"/>
                      <a:ea typeface="Times New Roman" panose="02020603050405020304" charset="0"/>
                      <a:cs typeface="+mn-ea"/>
                    </a:endParaRPr>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14223452925596"/>
                      <c:h val="0.140289120206723"/>
                    </c:manualLayout>
                  </c15:layout>
                </c:ext>
              </c:extLst>
            </c:dLbl>
            <c:dLbl>
              <c:idx val="1"/>
              <c:layout>
                <c:manualLayout>
                  <c:x val="0.12280279316157"/>
                  <c:y val="0.144478844169247"/>
                </c:manualLayout>
              </c:layout>
              <c:tx>
                <c:rich>
                  <a:bodyPr rot="0" spcFirstLastPara="1" vertOverflow="ellipsis" vert="horz" wrap="square" lIns="38100" tIns="19050" rIns="38100" bIns="19050" anchor="ctr" anchorCtr="1"/>
                  <a:lstStyle/>
                  <a:p>
                    <a:fld id="{4b1523b5-126b-4c24-9f94-9f030e500005}"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933.65</c:v>
                </c:pt>
                <c:pt idx="1">
                  <c:v>359.01</c:v>
                </c:pt>
              </c:numCache>
            </c:numRef>
          </c:val>
        </c:ser>
        <c:ser>
          <c:idx val="1"/>
          <c:order val="1"/>
          <c:tx>
            <c:strRef>
              <c:f>Sheet1!$C$1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Sheet1!$C$2:$C$3</c:f>
              <c:numCache>
                <c:formatCode>General</c:formatCode>
                <c:ptCount val="2"/>
                <c:pt idx="0">
                  <c:v>72.23</c:v>
                </c:pt>
                <c:pt idx="1">
                  <c:v>27.77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财政拨款收、支决算总计变动情况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1744.71</c:v>
                </c:pt>
                <c:pt idx="1">
                  <c:v>1779.21</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1092.67</c:v>
                </c:pt>
                <c:pt idx="1">
                  <c:v>1292.67</c:v>
                </c:pt>
              </c:numCache>
            </c:numRef>
          </c:val>
        </c:ser>
        <c:dLbls>
          <c:showLegendKey val="0"/>
          <c:showVal val="0"/>
          <c:showCatName val="0"/>
          <c:showSerName val="0"/>
          <c:showPercent val="0"/>
          <c:showBubbleSize val="0"/>
        </c:dLbls>
        <c:gapWidth val="219"/>
        <c:overlap val="-27"/>
        <c:axId val="787336936"/>
        <c:axId val="787338904"/>
      </c:barChart>
      <c:catAx>
        <c:axId val="787336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7338904"/>
        <c:crosses val="autoZero"/>
        <c:auto val="1"/>
        <c:lblAlgn val="ctr"/>
        <c:lblOffset val="100"/>
        <c:noMultiLvlLbl val="0"/>
      </c:catAx>
      <c:valAx>
        <c:axId val="787338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7336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1779.21</c:v>
                </c:pt>
                <c:pt idx="1">
                  <c:v>1292.67</c:v>
                </c:pt>
              </c:numCache>
            </c:numRef>
          </c:val>
        </c:ser>
        <c:dLbls>
          <c:showLegendKey val="0"/>
          <c:showVal val="0"/>
          <c:showCatName val="0"/>
          <c:showSerName val="0"/>
          <c:showPercent val="0"/>
          <c:showBubbleSize val="0"/>
        </c:dLbls>
        <c:gapWidth val="219"/>
        <c:overlap val="-27"/>
        <c:axId val="787336936"/>
        <c:axId val="787338904"/>
      </c:barChart>
      <c:catAx>
        <c:axId val="787336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7338904"/>
        <c:crosses val="autoZero"/>
        <c:auto val="1"/>
        <c:lblAlgn val="ctr"/>
        <c:lblOffset val="100"/>
        <c:noMultiLvlLbl val="0"/>
      </c:catAx>
      <c:valAx>
        <c:axId val="787338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7336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0851169736187"/>
          <c:y val="0.0241691842900302"/>
        </c:manualLayout>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271039244943888"/>
          <c:y val="0.149432404540764"/>
          <c:w val="0.409763741607907"/>
          <c:h val="0.702476292630604"/>
        </c:manualLayout>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37332005973121"/>
                  <c:y val="0.0241691842900302"/>
                </c:manualLayout>
              </c:layout>
              <c:tx>
                <c:rich>
                  <a:bodyPr rot="0" spcFirstLastPara="1" vertOverflow="clip" vert="horz" wrap="square" lIns="38100" tIns="19050" rIns="38100" bIns="19050" anchor="ctr" anchorCtr="1"/>
                  <a:lstStyle/>
                  <a:p>
                    <a:pPr>
                      <a:defRPr lang="zh-CN" sz="900" b="0" i="0" u="none" strike="noStrike" kern="1200" baseline="0">
                        <a:solidFill>
                          <a:schemeClr val="dk1">
                            <a:lumMod val="65000"/>
                            <a:lumOff val="35000"/>
                          </a:schemeClr>
                        </a:solidFill>
                        <a:latin typeface="+mn-lt"/>
                        <a:ea typeface="+mn-ea"/>
                        <a:cs typeface="+mn-cs"/>
                      </a:defRPr>
                    </a:pPr>
                    <a:r>
                      <a:rPr lang="en-US" altLang="zh-CN" baseline="0"/>
                      <a:t>7.34%</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174216027874564"/>
                  <c:y val="0.0080563947633434"/>
                </c:manualLayout>
              </c:layout>
              <c:tx>
                <c:rich>
                  <a:bodyPr rot="0" spcFirstLastPara="1" vertOverflow="clip" vert="horz" wrap="square" lIns="38100" tIns="19050" rIns="38100" bIns="19050" anchor="ctr" anchorCtr="1"/>
                  <a:lstStyle/>
                  <a:p>
                    <a:pPr>
                      <a:defRPr lang="zh-CN" sz="900" b="0" i="0" u="none" strike="noStrike" kern="1200" baseline="0">
                        <a:solidFill>
                          <a:schemeClr val="dk1">
                            <a:lumMod val="65000"/>
                            <a:lumOff val="35000"/>
                          </a:schemeClr>
                        </a:solidFill>
                        <a:latin typeface="+mn-lt"/>
                        <a:ea typeface="+mn-ea"/>
                        <a:cs typeface="+mn-cs"/>
                      </a:defRPr>
                    </a:pPr>
                    <a:r>
                      <a:rPr lang="en-US" altLang="zh-CN" baseline="0"/>
                      <a:t>87.16%</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348432055749129"/>
                  <c:y val="0.00805639476334338"/>
                </c:manualLayout>
              </c:layout>
              <c:tx>
                <c:rich>
                  <a:bodyPr rot="0" spcFirstLastPara="1" vertOverflow="clip" vert="horz" wrap="square" lIns="38100" tIns="19050" rIns="38100" bIns="19050" anchor="ctr" anchorCtr="1"/>
                  <a:lstStyle/>
                  <a:p>
                    <a:pPr>
                      <a:defRPr lang="zh-CN" sz="900" b="0" i="0" u="none" strike="noStrike" kern="1200" baseline="0">
                        <a:solidFill>
                          <a:schemeClr val="dk1">
                            <a:lumMod val="65000"/>
                            <a:lumOff val="35000"/>
                          </a:schemeClr>
                        </a:solidFill>
                        <a:latin typeface="+mn-lt"/>
                        <a:ea typeface="+mn-ea"/>
                        <a:cs typeface="+mn-cs"/>
                      </a:defRPr>
                    </a:pPr>
                    <a:r>
                      <a:rPr lang="en-US" altLang="zh-CN"/>
                      <a:t>5.5%</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社会保障和就业（类）支出</c:v>
                </c:pt>
                <c:pt idx="1">
                  <c:v>卫生健康支出</c:v>
                </c:pt>
                <c:pt idx="2">
                  <c:v>住房保障支出</c:v>
                </c:pt>
              </c:strCache>
            </c:strRef>
          </c:cat>
          <c:val>
            <c:numRef>
              <c:f>Sheet1!$B$2:$B$4</c:f>
              <c:numCache>
                <c:formatCode>General</c:formatCode>
                <c:ptCount val="3"/>
                <c:pt idx="0">
                  <c:v>94.85</c:v>
                </c:pt>
                <c:pt idx="1">
                  <c:v>1126.68</c:v>
                </c:pt>
                <c:pt idx="2">
                  <c:v>71.14</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145086087090065"/>
          <c:y val="0.930340069720387"/>
          <c:w val="0.733677192789926"/>
          <c:h val="0.0679763065870543"/>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650132434384781"/>
                  <c:y val="-0.0990712074303406"/>
                </c:manualLayout>
              </c:layout>
              <c:tx>
                <c:rich>
                  <a:bodyPr rot="0" spcFirstLastPara="1" vertOverflow="clip" vert="horz" wrap="square" lIns="38100" tIns="19050" rIns="38100" bIns="19050" anchor="ctr" anchorCtr="1"/>
                  <a:lstStyle/>
                  <a:p>
                    <a:fld id="{057773d3-011d-471d-947a-e96eaa7bfef2}" type="CATEGORYNAME">
                      <a:t>[CATEGORY NAME]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tx>
                <c:rich>
                  <a:bodyPr rot="0" spcFirstLastPara="1" vertOverflow="clip" vert="horz" wrap="square" lIns="38100" tIns="19050" rIns="38100" bIns="19050" anchor="ctr" anchorCtr="1"/>
                  <a:lstStyle/>
                  <a:p>
                    <a:fld id="{16ee6f48-98e8-470b-9051-98eb7a19029d}" type="CATEGORYNAME">
                      <a:t>[CATEGORY NAME]</a:t>
                    </a:fld>
                    <a:endParaRPr lang="en-US" altLang="zh-CN" b="0" i="0" u="none" strike="noStrike" baseline="0">
                      <a:latin typeface="Times New Roman" panose="02020603050405020304" charset="0"/>
                      <a:ea typeface="Times New Roman" panose="02020603050405020304" charset="0"/>
                      <a:cs typeface="+mn-ea"/>
                    </a:endParaRP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c:v>
                </c:pt>
                <c:pt idx="1">
                  <c:v>公务接待费</c:v>
                </c:pt>
              </c:strCache>
            </c:strRef>
          </c:cat>
          <c:val>
            <c:numRef>
              <c:f>Sheet1!$B$2:$B$3</c:f>
              <c:numCache>
                <c:formatCode>General</c:formatCode>
                <c:ptCount val="2"/>
                <c:pt idx="0">
                  <c:v>6</c:v>
                </c:pt>
                <c:pt idx="1">
                  <c:v>1</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27</Pages>
  <Words>9336</Words>
  <Characters>10286</Characters>
  <Lines>74</Lines>
  <Paragraphs>21</Paragraphs>
  <TotalTime>444</TotalTime>
  <ScaleCrop>false</ScaleCrop>
  <LinksUpToDate>false</LinksUpToDate>
  <CharactersWithSpaces>10339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2022-10-09T08:11:27Z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0085B8AD80734A96AE7B2D0D4D64A7AE</vt:lpwstr>
  </property>
</Properties>
</file>