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B" w:rsidRDefault="00485D7B" w:rsidP="00485D7B">
      <w:pPr>
        <w:autoSpaceDE w:val="0"/>
        <w:autoSpaceDN w:val="0"/>
        <w:spacing w:line="576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485D7B" w:rsidRDefault="00485D7B" w:rsidP="00485D7B">
      <w:pPr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85D7B" w:rsidRDefault="00485D7B" w:rsidP="00485D7B">
      <w:pPr>
        <w:autoSpaceDE w:val="0"/>
        <w:autoSpaceDN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开江县招商引资项目固定资产投资补贴标准</w:t>
      </w:r>
    </w:p>
    <w:tbl>
      <w:tblPr>
        <w:tblStyle w:val="a5"/>
        <w:tblW w:w="9061" w:type="dxa"/>
        <w:tblLayout w:type="fixed"/>
        <w:tblLook w:val="04A0" w:firstRow="1" w:lastRow="0" w:firstColumn="1" w:lastColumn="0" w:noHBand="0" w:noVBand="1"/>
      </w:tblPr>
      <w:tblGrid>
        <w:gridCol w:w="2337"/>
        <w:gridCol w:w="1530"/>
        <w:gridCol w:w="1569"/>
        <w:gridCol w:w="1812"/>
        <w:gridCol w:w="1813"/>
      </w:tblGrid>
      <w:tr w:rsidR="00485D7B" w:rsidTr="00C70EF5">
        <w:trPr>
          <w:trHeight w:val="768"/>
        </w:trPr>
        <w:tc>
          <w:tcPr>
            <w:tcW w:w="2337" w:type="dxa"/>
            <w:vMerge w:val="restart"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</w:rPr>
              <w:t>固定资产投资额</w:t>
            </w:r>
          </w:p>
        </w:tc>
        <w:tc>
          <w:tcPr>
            <w:tcW w:w="6724" w:type="dxa"/>
            <w:gridSpan w:val="4"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</w:rPr>
              <w:t>补助标准</w:t>
            </w:r>
          </w:p>
        </w:tc>
      </w:tr>
      <w:tr w:rsidR="00485D7B" w:rsidTr="00C70EF5">
        <w:tc>
          <w:tcPr>
            <w:tcW w:w="2337" w:type="dxa"/>
            <w:vMerge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土地出让</w:t>
            </w:r>
          </w:p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年期</w:t>
            </w:r>
          </w:p>
        </w:tc>
        <w:tc>
          <w:tcPr>
            <w:tcW w:w="1569" w:type="dxa"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土地出让</w:t>
            </w:r>
          </w:p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年期</w:t>
            </w:r>
          </w:p>
        </w:tc>
        <w:tc>
          <w:tcPr>
            <w:tcW w:w="1812" w:type="dxa"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土地出让</w:t>
            </w:r>
          </w:p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年期</w:t>
            </w:r>
          </w:p>
        </w:tc>
        <w:tc>
          <w:tcPr>
            <w:tcW w:w="1813" w:type="dxa"/>
            <w:vAlign w:val="center"/>
          </w:tcPr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土地租赁</w:t>
            </w:r>
          </w:p>
          <w:p w:rsidR="00485D7B" w:rsidRDefault="00485D7B" w:rsidP="00C70EF5">
            <w:pPr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至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年期</w:t>
            </w:r>
          </w:p>
        </w:tc>
      </w:tr>
      <w:tr w:rsidR="00485D7B" w:rsidTr="00C70EF5">
        <w:tc>
          <w:tcPr>
            <w:tcW w:w="2337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3000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万元至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万元（含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万元）</w:t>
            </w:r>
          </w:p>
        </w:tc>
        <w:tc>
          <w:tcPr>
            <w:tcW w:w="1530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569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3.6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2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1.8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3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0.18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</w:tr>
      <w:tr w:rsidR="00485D7B" w:rsidTr="00C70EF5">
        <w:tc>
          <w:tcPr>
            <w:tcW w:w="2337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万元至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亿元</w:t>
            </w:r>
          </w:p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亿元）</w:t>
            </w:r>
          </w:p>
        </w:tc>
        <w:tc>
          <w:tcPr>
            <w:tcW w:w="1530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569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4.4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2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2.2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3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</w:tr>
      <w:tr w:rsidR="00485D7B" w:rsidTr="00C70EF5">
        <w:tc>
          <w:tcPr>
            <w:tcW w:w="2337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亿元至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亿元</w:t>
            </w:r>
          </w:p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亿元）</w:t>
            </w:r>
          </w:p>
        </w:tc>
        <w:tc>
          <w:tcPr>
            <w:tcW w:w="1530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569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4.8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2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2.4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3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0.24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</w:tr>
      <w:tr w:rsidR="00485D7B" w:rsidTr="00C70EF5">
        <w:trPr>
          <w:trHeight w:val="783"/>
        </w:trPr>
        <w:tc>
          <w:tcPr>
            <w:tcW w:w="2337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亿元以上</w:t>
            </w:r>
          </w:p>
        </w:tc>
        <w:tc>
          <w:tcPr>
            <w:tcW w:w="1530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569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5.2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2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2.6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  <w:tc>
          <w:tcPr>
            <w:tcW w:w="1813" w:type="dxa"/>
            <w:vAlign w:val="center"/>
          </w:tcPr>
          <w:p w:rsidR="00485D7B" w:rsidRDefault="00485D7B" w:rsidP="00C70EF5">
            <w:pPr>
              <w:snapToGrid w:val="0"/>
              <w:spacing w:line="5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0.26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</w:rPr>
              <w:t>亩</w:t>
            </w:r>
          </w:p>
        </w:tc>
      </w:tr>
    </w:tbl>
    <w:p w:rsidR="00485D7B" w:rsidRDefault="00485D7B" w:rsidP="00485D7B">
      <w:pPr>
        <w:autoSpaceDE w:val="0"/>
        <w:autoSpaceDN w:val="0"/>
        <w:spacing w:line="576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说明：（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）专精特新企业、制造业单项冠军企业和产业链领航企业可按更优一级档次享受优惠，若已达到第四档，则依然按照第四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档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执行。（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）项目主体开工补贴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，项目主体施工完毕补贴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，项目全部竣工投产后补贴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，项目满产一年后补贴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）企业对于基础设施建设的投资金额以审计部门的认定为准。</w:t>
      </w:r>
    </w:p>
    <w:p w:rsidR="00463A7D" w:rsidRPr="00485D7B" w:rsidRDefault="00463A7D">
      <w:bookmarkStart w:id="0" w:name="_GoBack"/>
      <w:bookmarkEnd w:id="0"/>
    </w:p>
    <w:sectPr w:rsidR="00463A7D" w:rsidRPr="00485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90" w:rsidRDefault="000B6390" w:rsidP="00485D7B">
      <w:r>
        <w:separator/>
      </w:r>
    </w:p>
  </w:endnote>
  <w:endnote w:type="continuationSeparator" w:id="0">
    <w:p w:rsidR="000B6390" w:rsidRDefault="000B6390" w:rsidP="004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90" w:rsidRDefault="000B6390" w:rsidP="00485D7B">
      <w:r>
        <w:separator/>
      </w:r>
    </w:p>
  </w:footnote>
  <w:footnote w:type="continuationSeparator" w:id="0">
    <w:p w:rsidR="000B6390" w:rsidRDefault="000B6390" w:rsidP="0048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2"/>
    <w:rsid w:val="000B6390"/>
    <w:rsid w:val="00463A7D"/>
    <w:rsid w:val="00485D7B"/>
    <w:rsid w:val="008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85D7B"/>
    <w:pPr>
      <w:widowControl w:val="0"/>
      <w:suppressAutoHyphens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D7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D7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D7B"/>
    <w:rPr>
      <w:sz w:val="18"/>
      <w:szCs w:val="18"/>
    </w:rPr>
  </w:style>
  <w:style w:type="table" w:styleId="a5">
    <w:name w:val="Table Grid"/>
    <w:basedOn w:val="a1"/>
    <w:uiPriority w:val="99"/>
    <w:qFormat/>
    <w:rsid w:val="00485D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semiHidden/>
    <w:unhideWhenUsed/>
    <w:rsid w:val="0048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85D7B"/>
    <w:pPr>
      <w:widowControl w:val="0"/>
      <w:suppressAutoHyphens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D7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D7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D7B"/>
    <w:rPr>
      <w:sz w:val="18"/>
      <w:szCs w:val="18"/>
    </w:rPr>
  </w:style>
  <w:style w:type="table" w:styleId="a5">
    <w:name w:val="Table Grid"/>
    <w:basedOn w:val="a1"/>
    <w:uiPriority w:val="99"/>
    <w:qFormat/>
    <w:rsid w:val="00485D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semiHidden/>
    <w:unhideWhenUsed/>
    <w:rsid w:val="0048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2023-08-07T02:17:00Z</dcterms:created>
  <dcterms:modified xsi:type="dcterms:W3CDTF">2023-08-07T02:17:00Z</dcterms:modified>
</cp:coreProperties>
</file>