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sz w:val="72"/>
          <w:szCs w:val="72"/>
        </w:rPr>
      </w:pPr>
      <w:bookmarkStart w:id="0" w:name="_Toc15378441"/>
      <w:bookmarkStart w:id="1" w:name="_Toc15377425"/>
      <w:bookmarkStart w:id="2" w:name="_Toc15377193"/>
      <w:bookmarkStart w:id="3" w:name="_Toc15396475"/>
      <w:bookmarkStart w:id="4" w:name="_Toc15396597"/>
      <w:bookmarkStart w:id="5" w:name="_Toc15306267"/>
    </w:p>
    <w:p>
      <w:pPr>
        <w:spacing w:line="600" w:lineRule="exact"/>
        <w:jc w:val="center"/>
        <w:outlineLvl w:val="0"/>
        <w:rPr>
          <w:rFonts w:ascii="方正小标宋简体" w:hAnsi="宋体" w:eastAsia="方正小标宋简体"/>
          <w:sz w:val="72"/>
          <w:szCs w:val="72"/>
        </w:rPr>
      </w:pPr>
    </w:p>
    <w:p>
      <w:pPr>
        <w:spacing w:line="600" w:lineRule="exact"/>
        <w:jc w:val="center"/>
        <w:outlineLvl w:val="0"/>
        <w:rPr>
          <w:rFonts w:ascii="方正小标宋简体" w:hAnsi="宋体" w:eastAsia="方正小标宋简体"/>
          <w:sz w:val="72"/>
          <w:szCs w:val="72"/>
        </w:rPr>
      </w:pPr>
    </w:p>
    <w:p>
      <w:pPr>
        <w:spacing w:line="600" w:lineRule="exact"/>
        <w:jc w:val="center"/>
        <w:outlineLvl w:val="0"/>
        <w:rPr>
          <w:rFonts w:ascii="方正小标宋简体" w:hAnsi="宋体" w:eastAsia="方正小标宋简体"/>
          <w:sz w:val="72"/>
          <w:szCs w:val="72"/>
        </w:rPr>
      </w:pPr>
    </w:p>
    <w:p>
      <w:pPr>
        <w:adjustRightInd w:val="0"/>
        <w:snapToGrid w:val="0"/>
        <w:spacing w:line="360" w:lineRule="auto"/>
        <w:jc w:val="center"/>
        <w:outlineLvl w:val="0"/>
        <w:rPr>
          <w:rFonts w:ascii="方正小标宋简体" w:hAnsi="方正小标宋简体" w:eastAsia="方正小标宋简体" w:cs="方正小标宋简体"/>
          <w:sz w:val="72"/>
          <w:szCs w:val="72"/>
        </w:rPr>
      </w:pPr>
      <w:bookmarkStart w:id="6" w:name="_Toc4556"/>
      <w:r>
        <w:rPr>
          <w:rFonts w:hint="eastAsia" w:ascii="方正小标宋简体" w:hAnsi="方正小标宋简体" w:eastAsia="方正小标宋简体" w:cs="方正小标宋简体"/>
          <w:sz w:val="72"/>
          <w:szCs w:val="72"/>
        </w:rPr>
        <w:t>2021年度</w:t>
      </w:r>
      <w:bookmarkEnd w:id="0"/>
      <w:bookmarkEnd w:id="1"/>
      <w:bookmarkEnd w:id="2"/>
      <w:bookmarkEnd w:id="3"/>
      <w:bookmarkEnd w:id="4"/>
      <w:bookmarkEnd w:id="6"/>
    </w:p>
    <w:p>
      <w:pPr>
        <w:adjustRightInd w:val="0"/>
        <w:snapToGrid w:val="0"/>
        <w:spacing w:line="360" w:lineRule="auto"/>
        <w:jc w:val="center"/>
        <w:outlineLvl w:val="0"/>
        <w:rPr>
          <w:rFonts w:hint="eastAsia" w:ascii="方正小标宋简体" w:hAnsi="方正小标宋简体" w:eastAsia="方正小标宋简体" w:cs="方正小标宋简体"/>
          <w:sz w:val="72"/>
          <w:szCs w:val="72"/>
          <w:lang w:eastAsia="zh-CN"/>
        </w:rPr>
      </w:pPr>
      <w:bookmarkStart w:id="7" w:name="_Toc27136"/>
      <w:bookmarkStart w:id="8" w:name="_Toc15378442"/>
      <w:bookmarkStart w:id="9" w:name="_Toc15377194"/>
      <w:bookmarkStart w:id="10" w:name="_Toc15396476"/>
      <w:bookmarkStart w:id="11" w:name="_Toc15396598"/>
      <w:bookmarkStart w:id="12" w:name="_Toc15377426"/>
      <w:r>
        <w:rPr>
          <w:rFonts w:hint="eastAsia" w:ascii="方正小标宋简体" w:hAnsi="方正小标宋简体" w:eastAsia="方正小标宋简体" w:cs="方正小标宋简体"/>
          <w:sz w:val="72"/>
          <w:szCs w:val="72"/>
        </w:rPr>
        <w:t>四川省</w:t>
      </w:r>
      <w:bookmarkEnd w:id="5"/>
      <w:bookmarkStart w:id="13" w:name="_Toc15306268"/>
      <w:r>
        <w:rPr>
          <w:rFonts w:hint="eastAsia" w:ascii="方正小标宋简体" w:hAnsi="方正小标宋简体" w:eastAsia="方正小标宋简体" w:cs="方正小标宋简体"/>
          <w:sz w:val="72"/>
          <w:szCs w:val="72"/>
          <w:lang w:eastAsia="zh-CN"/>
        </w:rPr>
        <w:t>开江县统计局</w:t>
      </w:r>
      <w:bookmarkEnd w:id="7"/>
    </w:p>
    <w:p>
      <w:pPr>
        <w:adjustRightInd w:val="0"/>
        <w:snapToGrid w:val="0"/>
        <w:spacing w:line="360" w:lineRule="auto"/>
        <w:jc w:val="center"/>
        <w:outlineLvl w:val="0"/>
        <w:rPr>
          <w:rFonts w:ascii="方正小标宋简体" w:hAnsi="方正小标宋简体" w:eastAsia="方正小标宋简体" w:cs="方正小标宋简体"/>
          <w:sz w:val="72"/>
          <w:szCs w:val="72"/>
        </w:rPr>
      </w:pPr>
      <w:bookmarkStart w:id="14" w:name="_Toc5389"/>
      <w:r>
        <w:rPr>
          <w:rFonts w:hint="eastAsia" w:ascii="方正小标宋简体" w:hAnsi="方正小标宋简体" w:eastAsia="方正小标宋简体" w:cs="方正小标宋简体"/>
          <w:sz w:val="72"/>
          <w:szCs w:val="72"/>
        </w:rPr>
        <w:t>部门决算</w:t>
      </w:r>
      <w:bookmarkEnd w:id="8"/>
      <w:bookmarkEnd w:id="9"/>
      <w:bookmarkEnd w:id="10"/>
      <w:bookmarkEnd w:id="11"/>
      <w:bookmarkEnd w:id="12"/>
      <w:bookmarkEnd w:id="13"/>
      <w:bookmarkEnd w:id="14"/>
    </w:p>
    <w:p>
      <w:pPr>
        <w:widowControl/>
        <w:jc w:val="center"/>
        <w:rPr>
          <w:rFonts w:ascii="方正小标宋简体" w:hAnsi="宋体" w:eastAsia="方正小标宋简体"/>
          <w:sz w:val="36"/>
          <w:szCs w:val="36"/>
        </w:rPr>
      </w:pPr>
      <w:r>
        <w:rPr>
          <w:rFonts w:ascii="方正小标宋简体" w:hAnsi="宋体" w:eastAsia="方正小标宋简体"/>
          <w:sz w:val="36"/>
          <w:szCs w:val="36"/>
        </w:rPr>
        <w:br w:type="page"/>
      </w:r>
    </w:p>
    <w:p>
      <w:pPr>
        <w:widowControl/>
        <w:jc w:val="center"/>
        <w:rPr>
          <w:rFonts w:ascii="方正小标宋简体" w:hAnsi="宋体" w:eastAsia="方正小标宋简体"/>
          <w:sz w:val="36"/>
          <w:szCs w:val="36"/>
        </w:rPr>
      </w:pPr>
    </w:p>
    <w:p>
      <w:pPr>
        <w:widowControl/>
        <w:jc w:val="center"/>
        <w:rPr>
          <w:rFonts w:ascii="黑体" w:hAnsi="黑体" w:eastAsia="黑体"/>
          <w:sz w:val="48"/>
          <w:szCs w:val="48"/>
        </w:rPr>
      </w:pPr>
      <w:r>
        <w:rPr>
          <w:rFonts w:hint="eastAsia" w:ascii="黑体" w:hAnsi="黑体" w:eastAsia="黑体"/>
          <w:sz w:val="48"/>
          <w:szCs w:val="48"/>
        </w:rPr>
        <w:t>目录</w:t>
      </w:r>
    </w:p>
    <w:p>
      <w:pPr>
        <w:widowControl/>
        <w:jc w:val="center"/>
        <w:rPr>
          <w:rFonts w:ascii="黑体" w:hAnsi="黑体" w:eastAsia="黑体" w:cstheme="minorBidi"/>
          <w:sz w:val="28"/>
          <w:szCs w:val="28"/>
        </w:rPr>
      </w:pPr>
    </w:p>
    <w:p>
      <w:pPr>
        <w:pStyle w:val="11"/>
        <w:rPr>
          <w:rFonts w:eastAsia="黑体"/>
        </w:rPr>
      </w:pPr>
      <w:r>
        <w:rPr>
          <w:rFonts w:hint="eastAsia" w:eastAsia="黑体"/>
        </w:rPr>
        <w:t>公开时间：2022年</w:t>
      </w:r>
      <w:r>
        <w:rPr>
          <w:rFonts w:hint="eastAsia" w:eastAsia="黑体"/>
          <w:lang w:val="en-US" w:eastAsia="zh-CN"/>
        </w:rPr>
        <w:t>9</w:t>
      </w:r>
      <w:r>
        <w:rPr>
          <w:rFonts w:hint="eastAsia" w:eastAsia="黑体"/>
        </w:rPr>
        <w:t>月29日</w:t>
      </w:r>
    </w:p>
    <w:p/>
    <w:sdt>
      <w:sdtPr>
        <w:rPr>
          <w:rFonts w:ascii="宋体" w:hAnsi="宋体" w:eastAsia="宋体" w:cs="Times New Roman"/>
          <w:kern w:val="2"/>
          <w:sz w:val="24"/>
          <w:szCs w:val="24"/>
          <w:lang w:val="en-US" w:eastAsia="zh-CN" w:bidi="ar-SA"/>
        </w:rPr>
        <w:id w:val="147459731"/>
        <w15:color w:val="DBDBDB"/>
        <w:docPartObj>
          <w:docPartGallery w:val="Table of Contents"/>
          <w:docPartUnique/>
        </w:docPartObj>
      </w:sdtPr>
      <w:sdtEndPr>
        <w:rPr>
          <w:rFonts w:hint="eastAsia" w:ascii="黑体" w:hAnsi="黑体" w:eastAsia="黑体" w:cs="Times New Roman"/>
          <w:b w:val="0"/>
          <w:bCs/>
          <w:kern w:val="44"/>
          <w:sz w:val="24"/>
          <w:szCs w:val="44"/>
          <w:lang w:val="en-US" w:eastAsia="zh-CN" w:bidi="ar-SA"/>
        </w:rPr>
      </w:sdtEndPr>
      <w:sdtContent>
        <w:p>
          <w:pPr>
            <w:pStyle w:val="11"/>
            <w:tabs>
              <w:tab w:val="right" w:leader="dot" w:pos="8306"/>
              <w:tab w:val="clear" w:pos="8296"/>
            </w:tabs>
            <w:rPr>
              <w:rFonts w:eastAsia="黑体"/>
              <w:b w:val="0"/>
              <w:sz w:val="24"/>
            </w:rPr>
          </w:pPr>
          <w:bookmarkStart w:id="15" w:name="_Toc15396599"/>
          <w:bookmarkStart w:id="16" w:name="_Toc15377196"/>
          <w:r>
            <w:rPr>
              <w:rFonts w:hint="eastAsia" w:ascii="黑体" w:hAnsi="黑体" w:eastAsia="黑体"/>
              <w:b w:val="0"/>
              <w:sz w:val="24"/>
            </w:rPr>
            <w:fldChar w:fldCharType="begin"/>
          </w:r>
          <w:r>
            <w:rPr>
              <w:rFonts w:hint="eastAsia" w:ascii="黑体" w:hAnsi="黑体" w:eastAsia="黑体"/>
              <w:b w:val="0"/>
              <w:sz w:val="24"/>
            </w:rPr>
            <w:instrText xml:space="preserve">TOC \o "1-3" \h \u </w:instrText>
          </w:r>
          <w:r>
            <w:rPr>
              <w:rFonts w:hint="eastAsia" w:ascii="黑体" w:hAnsi="黑体" w:eastAsia="黑体"/>
              <w:b w:val="0"/>
              <w:sz w:val="24"/>
            </w:rPr>
            <w:fldChar w:fldCharType="separate"/>
          </w:r>
        </w:p>
        <w:p>
          <w:pPr>
            <w:pStyle w:val="11"/>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_Toc23130 </w:instrText>
          </w:r>
          <w:r>
            <w:rPr>
              <w:rFonts w:hint="eastAsia" w:ascii="黑体" w:hAnsi="黑体" w:eastAsia="黑体"/>
              <w:b w:val="0"/>
              <w:sz w:val="24"/>
            </w:rPr>
            <w:fldChar w:fldCharType="separate"/>
          </w:r>
          <w:r>
            <w:rPr>
              <w:rFonts w:hint="eastAsia" w:eastAsia="黑体"/>
              <w:b w:val="0"/>
              <w:sz w:val="24"/>
            </w:rPr>
            <w:t>第一部分 部门概况</w:t>
          </w:r>
          <w:r>
            <w:rPr>
              <w:rFonts w:eastAsia="黑体"/>
              <w:b w:val="0"/>
              <w:sz w:val="24"/>
            </w:rPr>
            <w:tab/>
          </w:r>
          <w:r>
            <w:rPr>
              <w:rFonts w:eastAsia="黑体"/>
              <w:b w:val="0"/>
              <w:sz w:val="24"/>
            </w:rPr>
            <w:fldChar w:fldCharType="begin"/>
          </w:r>
          <w:r>
            <w:rPr>
              <w:rFonts w:eastAsia="黑体"/>
              <w:b w:val="0"/>
              <w:sz w:val="24"/>
            </w:rPr>
            <w:instrText xml:space="preserve"> PAGEREF _Toc23130 \h </w:instrText>
          </w:r>
          <w:r>
            <w:rPr>
              <w:rFonts w:eastAsia="黑体"/>
              <w:b w:val="0"/>
              <w:sz w:val="24"/>
            </w:rPr>
            <w:fldChar w:fldCharType="separate"/>
          </w:r>
          <w:r>
            <w:rPr>
              <w:rFonts w:eastAsia="黑体"/>
              <w:b w:val="0"/>
              <w:sz w:val="24"/>
            </w:rPr>
            <w:t>3</w:t>
          </w:r>
          <w:r>
            <w:rPr>
              <w:rFonts w:eastAsia="黑体"/>
              <w:b w:val="0"/>
              <w:sz w:val="24"/>
            </w:rPr>
            <w:fldChar w:fldCharType="end"/>
          </w:r>
          <w:r>
            <w:rPr>
              <w:rFonts w:hint="eastAsia" w:ascii="黑体" w:hAnsi="黑体" w:eastAsia="黑体"/>
              <w:b w:val="0"/>
              <w:sz w:val="24"/>
            </w:rPr>
            <w:fldChar w:fldCharType="end"/>
          </w:r>
        </w:p>
        <w:p>
          <w:pPr>
            <w:pStyle w:val="12"/>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576" w:lineRule="exact"/>
            <w:textAlignment w:val="auto"/>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_Toc21194 </w:instrText>
          </w:r>
          <w:r>
            <w:rPr>
              <w:rFonts w:hint="eastAsia" w:ascii="黑体" w:hAnsi="黑体" w:eastAsia="黑体"/>
              <w:b w:val="0"/>
              <w:sz w:val="24"/>
            </w:rPr>
            <w:fldChar w:fldCharType="separate"/>
          </w:r>
          <w:r>
            <w:rPr>
              <w:rFonts w:hint="eastAsia" w:eastAsia="黑体"/>
              <w:b w:val="0"/>
              <w:sz w:val="24"/>
            </w:rPr>
            <w:t>一、基本职能及主要工作</w:t>
          </w:r>
          <w:r>
            <w:rPr>
              <w:rFonts w:eastAsia="黑体"/>
              <w:b w:val="0"/>
              <w:sz w:val="24"/>
            </w:rPr>
            <w:tab/>
          </w:r>
          <w:r>
            <w:rPr>
              <w:rFonts w:eastAsia="黑体"/>
              <w:b w:val="0"/>
              <w:sz w:val="24"/>
            </w:rPr>
            <w:fldChar w:fldCharType="begin"/>
          </w:r>
          <w:r>
            <w:rPr>
              <w:rFonts w:eastAsia="黑体"/>
              <w:b w:val="0"/>
              <w:sz w:val="24"/>
            </w:rPr>
            <w:instrText xml:space="preserve"> PAGEREF _Toc21194 \h </w:instrText>
          </w:r>
          <w:r>
            <w:rPr>
              <w:rFonts w:eastAsia="黑体"/>
              <w:b w:val="0"/>
              <w:sz w:val="24"/>
            </w:rPr>
            <w:fldChar w:fldCharType="separate"/>
          </w:r>
          <w:r>
            <w:rPr>
              <w:rFonts w:eastAsia="黑体"/>
              <w:b w:val="0"/>
              <w:sz w:val="24"/>
            </w:rPr>
            <w:t>3</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_Toc7788 </w:instrText>
          </w:r>
          <w:r>
            <w:rPr>
              <w:rFonts w:hint="eastAsia" w:ascii="黑体" w:hAnsi="黑体" w:eastAsia="黑体"/>
              <w:b w:val="0"/>
              <w:sz w:val="24"/>
            </w:rPr>
            <w:fldChar w:fldCharType="separate"/>
          </w:r>
          <w:r>
            <w:rPr>
              <w:rFonts w:hint="eastAsia" w:ascii="黑体" w:eastAsia="黑体"/>
              <w:b w:val="0"/>
              <w:sz w:val="24"/>
            </w:rPr>
            <w:t>二、</w:t>
          </w:r>
          <w:r>
            <w:rPr>
              <w:rFonts w:hint="eastAsia" w:ascii="黑体" w:hAnsi="黑体" w:eastAsia="黑体"/>
              <w:b w:val="0"/>
              <w:sz w:val="24"/>
            </w:rPr>
            <w:t>机</w:t>
          </w:r>
          <w:r>
            <w:rPr>
              <w:rFonts w:hint="eastAsia" w:ascii="黑体" w:hAnsi="黑体" w:eastAsia="黑体"/>
              <w:b w:val="0"/>
              <w:bCs w:val="0"/>
              <w:sz w:val="24"/>
            </w:rPr>
            <w:t>构设置</w:t>
          </w:r>
          <w:r>
            <w:rPr>
              <w:rFonts w:eastAsia="黑体"/>
              <w:b w:val="0"/>
              <w:sz w:val="24"/>
            </w:rPr>
            <w:tab/>
          </w:r>
          <w:r>
            <w:rPr>
              <w:rFonts w:eastAsia="黑体"/>
              <w:b w:val="0"/>
              <w:sz w:val="24"/>
            </w:rPr>
            <w:fldChar w:fldCharType="begin"/>
          </w:r>
          <w:r>
            <w:rPr>
              <w:rFonts w:eastAsia="黑体"/>
              <w:b w:val="0"/>
              <w:sz w:val="24"/>
            </w:rPr>
            <w:instrText xml:space="preserve"> PAGEREF _Toc7788 \h </w:instrText>
          </w:r>
          <w:r>
            <w:rPr>
              <w:rFonts w:eastAsia="黑体"/>
              <w:b w:val="0"/>
              <w:sz w:val="24"/>
            </w:rPr>
            <w:fldChar w:fldCharType="separate"/>
          </w:r>
          <w:r>
            <w:rPr>
              <w:rFonts w:eastAsia="黑体"/>
              <w:b w:val="0"/>
              <w:sz w:val="24"/>
            </w:rPr>
            <w:t>7</w:t>
          </w:r>
          <w:r>
            <w:rPr>
              <w:rFonts w:eastAsia="黑体"/>
              <w:b w:val="0"/>
              <w:sz w:val="24"/>
            </w:rPr>
            <w:fldChar w:fldCharType="end"/>
          </w:r>
          <w:r>
            <w:rPr>
              <w:rFonts w:hint="eastAsia" w:ascii="黑体" w:hAnsi="黑体" w:eastAsia="黑体"/>
              <w:b w:val="0"/>
              <w:sz w:val="24"/>
            </w:rPr>
            <w:fldChar w:fldCharType="end"/>
          </w:r>
        </w:p>
        <w:p>
          <w:pPr>
            <w:pStyle w:val="11"/>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_Toc25145 </w:instrText>
          </w:r>
          <w:r>
            <w:rPr>
              <w:rFonts w:hint="eastAsia" w:ascii="黑体" w:hAnsi="黑体" w:eastAsia="黑体"/>
              <w:b w:val="0"/>
              <w:sz w:val="24"/>
            </w:rPr>
            <w:fldChar w:fldCharType="separate"/>
          </w:r>
          <w:r>
            <w:rPr>
              <w:rFonts w:hint="eastAsia" w:eastAsia="黑体"/>
              <w:b w:val="0"/>
              <w:sz w:val="24"/>
            </w:rPr>
            <w:t>第二部分 2021年度部门决算情况说明</w:t>
          </w:r>
          <w:r>
            <w:rPr>
              <w:rFonts w:eastAsia="黑体"/>
              <w:b w:val="0"/>
              <w:sz w:val="24"/>
            </w:rPr>
            <w:tab/>
          </w:r>
          <w:r>
            <w:rPr>
              <w:rFonts w:eastAsia="黑体"/>
              <w:b w:val="0"/>
              <w:sz w:val="24"/>
            </w:rPr>
            <w:fldChar w:fldCharType="begin"/>
          </w:r>
          <w:r>
            <w:rPr>
              <w:rFonts w:eastAsia="黑体"/>
              <w:b w:val="0"/>
              <w:sz w:val="24"/>
            </w:rPr>
            <w:instrText xml:space="preserve"> PAGEREF _Toc25145 \h </w:instrText>
          </w:r>
          <w:r>
            <w:rPr>
              <w:rFonts w:eastAsia="黑体"/>
              <w:b w:val="0"/>
              <w:sz w:val="24"/>
            </w:rPr>
            <w:fldChar w:fldCharType="separate"/>
          </w:r>
          <w:r>
            <w:rPr>
              <w:rFonts w:eastAsia="黑体"/>
              <w:b w:val="0"/>
              <w:sz w:val="24"/>
            </w:rPr>
            <w:t>8</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_Toc17514 </w:instrText>
          </w:r>
          <w:r>
            <w:rPr>
              <w:rFonts w:hint="eastAsia" w:ascii="黑体" w:hAnsi="黑体" w:eastAsia="黑体"/>
              <w:b w:val="0"/>
              <w:sz w:val="24"/>
            </w:rPr>
            <w:fldChar w:fldCharType="separate"/>
          </w:r>
          <w:r>
            <w:rPr>
              <w:rFonts w:hint="default" w:ascii="黑体" w:hAnsi="黑体" w:eastAsia="黑体"/>
              <w:b w:val="0"/>
              <w:sz w:val="24"/>
            </w:rPr>
            <w:t xml:space="preserve">一、 </w:t>
          </w:r>
          <w:r>
            <w:rPr>
              <w:rFonts w:hint="eastAsia" w:ascii="黑体" w:hAnsi="黑体" w:eastAsia="黑体"/>
              <w:b w:val="0"/>
              <w:sz w:val="24"/>
              <w:szCs w:val="32"/>
            </w:rPr>
            <w:t>收</w:t>
          </w:r>
          <w:r>
            <w:rPr>
              <w:rFonts w:hint="eastAsia" w:ascii="黑体" w:hAnsi="黑体" w:eastAsia="黑体"/>
              <w:b w:val="0"/>
              <w:sz w:val="24"/>
            </w:rPr>
            <w:t>入支出决算总体情况说明</w:t>
          </w:r>
          <w:r>
            <w:rPr>
              <w:rFonts w:eastAsia="黑体"/>
              <w:b w:val="0"/>
              <w:sz w:val="24"/>
            </w:rPr>
            <w:tab/>
          </w:r>
          <w:r>
            <w:rPr>
              <w:rFonts w:eastAsia="黑体"/>
              <w:b w:val="0"/>
              <w:sz w:val="24"/>
            </w:rPr>
            <w:fldChar w:fldCharType="begin"/>
          </w:r>
          <w:r>
            <w:rPr>
              <w:rFonts w:eastAsia="黑体"/>
              <w:b w:val="0"/>
              <w:sz w:val="24"/>
            </w:rPr>
            <w:instrText xml:space="preserve"> PAGEREF _Toc17514 \h </w:instrText>
          </w:r>
          <w:r>
            <w:rPr>
              <w:rFonts w:eastAsia="黑体"/>
              <w:b w:val="0"/>
              <w:sz w:val="24"/>
            </w:rPr>
            <w:fldChar w:fldCharType="separate"/>
          </w:r>
          <w:r>
            <w:rPr>
              <w:rFonts w:eastAsia="黑体"/>
              <w:b w:val="0"/>
              <w:sz w:val="24"/>
            </w:rPr>
            <w:t>8</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_Toc27966 </w:instrText>
          </w:r>
          <w:r>
            <w:rPr>
              <w:rFonts w:hint="eastAsia" w:ascii="黑体" w:hAnsi="黑体" w:eastAsia="黑体"/>
              <w:b w:val="0"/>
              <w:sz w:val="24"/>
            </w:rPr>
            <w:fldChar w:fldCharType="separate"/>
          </w:r>
          <w:r>
            <w:rPr>
              <w:rFonts w:hint="default" w:ascii="黑体" w:hAnsi="黑体" w:eastAsia="黑体"/>
              <w:b w:val="0"/>
              <w:sz w:val="24"/>
            </w:rPr>
            <w:t xml:space="preserve">二、 </w:t>
          </w:r>
          <w:r>
            <w:rPr>
              <w:rFonts w:hint="eastAsia" w:ascii="黑体" w:hAnsi="黑体" w:eastAsia="黑体"/>
              <w:b w:val="0"/>
              <w:sz w:val="24"/>
              <w:szCs w:val="32"/>
            </w:rPr>
            <w:t>收</w:t>
          </w:r>
          <w:r>
            <w:rPr>
              <w:rFonts w:hint="eastAsia" w:ascii="黑体" w:hAnsi="黑体" w:eastAsia="黑体"/>
              <w:b w:val="0"/>
              <w:sz w:val="24"/>
            </w:rPr>
            <w:t>入决算情况说明</w:t>
          </w:r>
          <w:r>
            <w:rPr>
              <w:rFonts w:eastAsia="黑体"/>
              <w:b w:val="0"/>
              <w:sz w:val="24"/>
            </w:rPr>
            <w:tab/>
          </w:r>
          <w:r>
            <w:rPr>
              <w:rFonts w:eastAsia="黑体"/>
              <w:b w:val="0"/>
              <w:sz w:val="24"/>
            </w:rPr>
            <w:fldChar w:fldCharType="begin"/>
          </w:r>
          <w:r>
            <w:rPr>
              <w:rFonts w:eastAsia="黑体"/>
              <w:b w:val="0"/>
              <w:sz w:val="24"/>
            </w:rPr>
            <w:instrText xml:space="preserve"> PAGEREF _Toc27966 \h </w:instrText>
          </w:r>
          <w:r>
            <w:rPr>
              <w:rFonts w:eastAsia="黑体"/>
              <w:b w:val="0"/>
              <w:sz w:val="24"/>
            </w:rPr>
            <w:fldChar w:fldCharType="separate"/>
          </w:r>
          <w:r>
            <w:rPr>
              <w:rFonts w:eastAsia="黑体"/>
              <w:b w:val="0"/>
              <w:sz w:val="24"/>
            </w:rPr>
            <w:t>8</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_Toc3519 </w:instrText>
          </w:r>
          <w:r>
            <w:rPr>
              <w:rFonts w:hint="eastAsia" w:ascii="黑体" w:hAnsi="黑体" w:eastAsia="黑体"/>
              <w:b w:val="0"/>
              <w:sz w:val="24"/>
            </w:rPr>
            <w:fldChar w:fldCharType="separate"/>
          </w:r>
          <w:r>
            <w:rPr>
              <w:rFonts w:hint="default" w:ascii="黑体" w:hAnsi="黑体" w:eastAsia="黑体"/>
              <w:b w:val="0"/>
              <w:sz w:val="24"/>
            </w:rPr>
            <w:t xml:space="preserve">三、 </w:t>
          </w:r>
          <w:r>
            <w:rPr>
              <w:rFonts w:hint="eastAsia" w:ascii="黑体" w:hAnsi="黑体" w:eastAsia="黑体"/>
              <w:b w:val="0"/>
              <w:sz w:val="24"/>
              <w:szCs w:val="32"/>
            </w:rPr>
            <w:t>支</w:t>
          </w:r>
          <w:r>
            <w:rPr>
              <w:rFonts w:hint="eastAsia" w:ascii="黑体" w:hAnsi="黑体" w:eastAsia="黑体"/>
              <w:b w:val="0"/>
              <w:sz w:val="24"/>
            </w:rPr>
            <w:t>出决算情况说明</w:t>
          </w:r>
          <w:r>
            <w:rPr>
              <w:rFonts w:eastAsia="黑体"/>
              <w:b w:val="0"/>
              <w:sz w:val="24"/>
            </w:rPr>
            <w:tab/>
          </w:r>
          <w:r>
            <w:rPr>
              <w:rFonts w:eastAsia="黑体"/>
              <w:b w:val="0"/>
              <w:sz w:val="24"/>
            </w:rPr>
            <w:fldChar w:fldCharType="begin"/>
          </w:r>
          <w:r>
            <w:rPr>
              <w:rFonts w:eastAsia="黑体"/>
              <w:b w:val="0"/>
              <w:sz w:val="24"/>
            </w:rPr>
            <w:instrText xml:space="preserve"> PAGEREF _Toc3519 \h </w:instrText>
          </w:r>
          <w:r>
            <w:rPr>
              <w:rFonts w:eastAsia="黑体"/>
              <w:b w:val="0"/>
              <w:sz w:val="24"/>
            </w:rPr>
            <w:fldChar w:fldCharType="separate"/>
          </w:r>
          <w:r>
            <w:rPr>
              <w:rFonts w:eastAsia="黑体"/>
              <w:b w:val="0"/>
              <w:sz w:val="24"/>
            </w:rPr>
            <w:t>8</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_Toc17102 </w:instrText>
          </w:r>
          <w:r>
            <w:rPr>
              <w:rFonts w:hint="eastAsia" w:ascii="黑体" w:hAnsi="黑体" w:eastAsia="黑体"/>
              <w:b w:val="0"/>
              <w:sz w:val="24"/>
            </w:rPr>
            <w:fldChar w:fldCharType="separate"/>
          </w:r>
          <w:r>
            <w:rPr>
              <w:rFonts w:hint="eastAsia" w:ascii="黑体" w:hAnsi="黑体" w:eastAsia="黑体"/>
              <w:b w:val="0"/>
              <w:sz w:val="24"/>
              <w:szCs w:val="32"/>
            </w:rPr>
            <w:t>四、财</w:t>
          </w:r>
          <w:r>
            <w:rPr>
              <w:rFonts w:hint="eastAsia" w:ascii="黑体" w:hAnsi="黑体" w:eastAsia="黑体"/>
              <w:b w:val="0"/>
              <w:sz w:val="24"/>
            </w:rPr>
            <w:t>政拨款收入支出决算总体情况说明</w:t>
          </w:r>
          <w:r>
            <w:rPr>
              <w:rFonts w:eastAsia="黑体"/>
              <w:b w:val="0"/>
              <w:sz w:val="24"/>
            </w:rPr>
            <w:tab/>
          </w:r>
          <w:r>
            <w:rPr>
              <w:rFonts w:eastAsia="黑体"/>
              <w:b w:val="0"/>
              <w:sz w:val="24"/>
            </w:rPr>
            <w:fldChar w:fldCharType="begin"/>
          </w:r>
          <w:r>
            <w:rPr>
              <w:rFonts w:eastAsia="黑体"/>
              <w:b w:val="0"/>
              <w:sz w:val="24"/>
            </w:rPr>
            <w:instrText xml:space="preserve"> PAGEREF _Toc17102 \h </w:instrText>
          </w:r>
          <w:r>
            <w:rPr>
              <w:rFonts w:eastAsia="黑体"/>
              <w:b w:val="0"/>
              <w:sz w:val="24"/>
            </w:rPr>
            <w:fldChar w:fldCharType="separate"/>
          </w:r>
          <w:r>
            <w:rPr>
              <w:rFonts w:eastAsia="黑体"/>
              <w:b w:val="0"/>
              <w:sz w:val="24"/>
            </w:rPr>
            <w:t>8</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_Toc17387 </w:instrText>
          </w:r>
          <w:r>
            <w:rPr>
              <w:rFonts w:hint="eastAsia" w:ascii="黑体" w:hAnsi="黑体" w:eastAsia="黑体"/>
              <w:b w:val="0"/>
              <w:sz w:val="24"/>
            </w:rPr>
            <w:fldChar w:fldCharType="separate"/>
          </w:r>
          <w:r>
            <w:rPr>
              <w:rFonts w:hint="eastAsia" w:ascii="黑体" w:hAnsi="黑体" w:eastAsia="黑体"/>
              <w:b w:val="0"/>
              <w:sz w:val="24"/>
              <w:szCs w:val="32"/>
            </w:rPr>
            <w:t>五、一</w:t>
          </w:r>
          <w:r>
            <w:rPr>
              <w:rFonts w:hint="eastAsia" w:ascii="黑体" w:hAnsi="黑体" w:eastAsia="黑体"/>
              <w:b w:val="0"/>
              <w:sz w:val="24"/>
            </w:rPr>
            <w:t>般公共预算财政拨款支出决算情况说明</w:t>
          </w:r>
          <w:r>
            <w:rPr>
              <w:rFonts w:eastAsia="黑体"/>
              <w:b w:val="0"/>
              <w:sz w:val="24"/>
            </w:rPr>
            <w:tab/>
          </w:r>
          <w:r>
            <w:rPr>
              <w:rFonts w:eastAsia="黑体"/>
              <w:b w:val="0"/>
              <w:sz w:val="24"/>
            </w:rPr>
            <w:fldChar w:fldCharType="begin"/>
          </w:r>
          <w:r>
            <w:rPr>
              <w:rFonts w:eastAsia="黑体"/>
              <w:b w:val="0"/>
              <w:sz w:val="24"/>
            </w:rPr>
            <w:instrText xml:space="preserve"> PAGEREF _Toc17387 \h </w:instrText>
          </w:r>
          <w:r>
            <w:rPr>
              <w:rFonts w:eastAsia="黑体"/>
              <w:b w:val="0"/>
              <w:sz w:val="24"/>
            </w:rPr>
            <w:fldChar w:fldCharType="separate"/>
          </w:r>
          <w:r>
            <w:rPr>
              <w:rFonts w:eastAsia="黑体"/>
              <w:b w:val="0"/>
              <w:sz w:val="24"/>
            </w:rPr>
            <w:t>8</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_Toc21417 </w:instrText>
          </w:r>
          <w:r>
            <w:rPr>
              <w:rFonts w:hint="eastAsia" w:ascii="黑体" w:hAnsi="黑体" w:eastAsia="黑体"/>
              <w:b w:val="0"/>
              <w:sz w:val="24"/>
            </w:rPr>
            <w:fldChar w:fldCharType="separate"/>
          </w:r>
          <w:r>
            <w:rPr>
              <w:rFonts w:hint="eastAsia" w:ascii="黑体" w:eastAsia="黑体"/>
              <w:b w:val="0"/>
              <w:sz w:val="24"/>
              <w:szCs w:val="32"/>
            </w:rPr>
            <w:t>六、</w:t>
          </w:r>
          <w:r>
            <w:rPr>
              <w:rFonts w:hint="eastAsia" w:ascii="黑体" w:hAnsi="黑体" w:eastAsia="黑体"/>
              <w:b w:val="0"/>
              <w:sz w:val="24"/>
              <w:szCs w:val="32"/>
            </w:rPr>
            <w:t>一</w:t>
          </w:r>
          <w:r>
            <w:rPr>
              <w:rFonts w:hint="eastAsia" w:ascii="黑体" w:hAnsi="黑体" w:eastAsia="黑体"/>
              <w:b w:val="0"/>
              <w:sz w:val="24"/>
            </w:rPr>
            <w:t>般公共预算财政拨款基本支出决算情况说明</w:t>
          </w:r>
          <w:r>
            <w:rPr>
              <w:rFonts w:eastAsia="黑体"/>
              <w:b w:val="0"/>
              <w:sz w:val="24"/>
            </w:rPr>
            <w:tab/>
          </w:r>
          <w:r>
            <w:rPr>
              <w:rFonts w:eastAsia="黑体"/>
              <w:b w:val="0"/>
              <w:sz w:val="24"/>
            </w:rPr>
            <w:fldChar w:fldCharType="begin"/>
          </w:r>
          <w:r>
            <w:rPr>
              <w:rFonts w:eastAsia="黑体"/>
              <w:b w:val="0"/>
              <w:sz w:val="24"/>
            </w:rPr>
            <w:instrText xml:space="preserve"> PAGEREF _Toc21417 \h </w:instrText>
          </w:r>
          <w:r>
            <w:rPr>
              <w:rFonts w:eastAsia="黑体"/>
              <w:b w:val="0"/>
              <w:sz w:val="24"/>
            </w:rPr>
            <w:fldChar w:fldCharType="separate"/>
          </w:r>
          <w:r>
            <w:rPr>
              <w:rFonts w:eastAsia="黑体"/>
              <w:b w:val="0"/>
              <w:sz w:val="24"/>
            </w:rPr>
            <w:t>9</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_Toc22482 </w:instrText>
          </w:r>
          <w:r>
            <w:rPr>
              <w:rFonts w:hint="eastAsia" w:ascii="黑体" w:hAnsi="黑体" w:eastAsia="黑体"/>
              <w:b w:val="0"/>
              <w:sz w:val="24"/>
            </w:rPr>
            <w:fldChar w:fldCharType="separate"/>
          </w:r>
          <w:r>
            <w:rPr>
              <w:rFonts w:hint="eastAsia" w:ascii="黑体" w:eastAsia="黑体"/>
              <w:b w:val="0"/>
              <w:sz w:val="24"/>
              <w:szCs w:val="32"/>
            </w:rPr>
            <w:t>七、</w:t>
          </w:r>
          <w:r>
            <w:rPr>
              <w:rFonts w:hint="eastAsia" w:ascii="黑体" w:hAnsi="黑体" w:eastAsia="黑体"/>
              <w:b w:val="0"/>
              <w:sz w:val="24"/>
            </w:rPr>
            <w:t>“三公”经费财政拨款支出决算情况说明</w:t>
          </w:r>
          <w:r>
            <w:rPr>
              <w:rFonts w:eastAsia="黑体"/>
              <w:b w:val="0"/>
              <w:sz w:val="24"/>
            </w:rPr>
            <w:tab/>
          </w:r>
          <w:r>
            <w:rPr>
              <w:rFonts w:eastAsia="黑体"/>
              <w:b w:val="0"/>
              <w:sz w:val="24"/>
            </w:rPr>
            <w:fldChar w:fldCharType="begin"/>
          </w:r>
          <w:r>
            <w:rPr>
              <w:rFonts w:eastAsia="黑体"/>
              <w:b w:val="0"/>
              <w:sz w:val="24"/>
            </w:rPr>
            <w:instrText xml:space="preserve"> PAGEREF _Toc22482 \h </w:instrText>
          </w:r>
          <w:r>
            <w:rPr>
              <w:rFonts w:eastAsia="黑体"/>
              <w:b w:val="0"/>
              <w:sz w:val="24"/>
            </w:rPr>
            <w:fldChar w:fldCharType="separate"/>
          </w:r>
          <w:r>
            <w:rPr>
              <w:rFonts w:eastAsia="黑体"/>
              <w:b w:val="0"/>
              <w:sz w:val="24"/>
            </w:rPr>
            <w:t>10</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_Toc5872 </w:instrText>
          </w:r>
          <w:r>
            <w:rPr>
              <w:rFonts w:hint="eastAsia" w:ascii="黑体" w:hAnsi="黑体" w:eastAsia="黑体"/>
              <w:b w:val="0"/>
              <w:sz w:val="24"/>
            </w:rPr>
            <w:fldChar w:fldCharType="separate"/>
          </w:r>
          <w:r>
            <w:rPr>
              <w:rFonts w:hint="eastAsia" w:ascii="黑体" w:eastAsia="黑体"/>
              <w:b w:val="0"/>
              <w:sz w:val="24"/>
              <w:szCs w:val="32"/>
            </w:rPr>
            <w:t>八、</w:t>
          </w:r>
          <w:r>
            <w:rPr>
              <w:rFonts w:hint="eastAsia" w:ascii="黑体" w:hAnsi="黑体" w:eastAsia="黑体"/>
              <w:b w:val="0"/>
              <w:sz w:val="24"/>
            </w:rPr>
            <w:t>政府性基金预算支出决算情况说明</w:t>
          </w:r>
          <w:r>
            <w:rPr>
              <w:rFonts w:eastAsia="黑体"/>
              <w:b w:val="0"/>
              <w:sz w:val="24"/>
            </w:rPr>
            <w:tab/>
          </w:r>
          <w:r>
            <w:rPr>
              <w:rFonts w:eastAsia="黑体"/>
              <w:b w:val="0"/>
              <w:sz w:val="24"/>
            </w:rPr>
            <w:fldChar w:fldCharType="begin"/>
          </w:r>
          <w:r>
            <w:rPr>
              <w:rFonts w:eastAsia="黑体"/>
              <w:b w:val="0"/>
              <w:sz w:val="24"/>
            </w:rPr>
            <w:instrText xml:space="preserve"> PAGEREF _Toc5872 \h </w:instrText>
          </w:r>
          <w:r>
            <w:rPr>
              <w:rFonts w:eastAsia="黑体"/>
              <w:b w:val="0"/>
              <w:sz w:val="24"/>
            </w:rPr>
            <w:fldChar w:fldCharType="separate"/>
          </w:r>
          <w:r>
            <w:rPr>
              <w:rFonts w:eastAsia="黑体"/>
              <w:b w:val="0"/>
              <w:sz w:val="24"/>
            </w:rPr>
            <w:t>11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_Toc14896 </w:instrText>
          </w:r>
          <w:r>
            <w:rPr>
              <w:rFonts w:hint="eastAsia" w:ascii="黑体" w:hAnsi="黑体" w:eastAsia="黑体"/>
              <w:b w:val="0"/>
              <w:sz w:val="24"/>
            </w:rPr>
            <w:fldChar w:fldCharType="separate"/>
          </w:r>
          <w:r>
            <w:rPr>
              <w:rFonts w:hint="eastAsia" w:ascii="黑体" w:hAnsi="黑体" w:eastAsia="黑体"/>
              <w:b w:val="0"/>
              <w:sz w:val="24"/>
            </w:rPr>
            <w:t>九、 国有资本经营预算支出决算情况说明</w:t>
          </w:r>
          <w:r>
            <w:rPr>
              <w:rFonts w:eastAsia="黑体"/>
              <w:b w:val="0"/>
              <w:sz w:val="24"/>
            </w:rPr>
            <w:tab/>
          </w:r>
          <w:r>
            <w:rPr>
              <w:rFonts w:eastAsia="黑体"/>
              <w:b w:val="0"/>
              <w:sz w:val="24"/>
            </w:rPr>
            <w:fldChar w:fldCharType="begin"/>
          </w:r>
          <w:r>
            <w:rPr>
              <w:rFonts w:eastAsia="黑体"/>
              <w:b w:val="0"/>
              <w:sz w:val="24"/>
            </w:rPr>
            <w:instrText xml:space="preserve"> PAGEREF _Toc14896 \h </w:instrText>
          </w:r>
          <w:r>
            <w:rPr>
              <w:rFonts w:eastAsia="黑体"/>
              <w:b w:val="0"/>
              <w:sz w:val="24"/>
            </w:rPr>
            <w:fldChar w:fldCharType="separate"/>
          </w:r>
          <w:r>
            <w:rPr>
              <w:rFonts w:eastAsia="黑体"/>
              <w:b w:val="0"/>
              <w:sz w:val="24"/>
            </w:rPr>
            <w:t>11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_Toc5411 </w:instrText>
          </w:r>
          <w:r>
            <w:rPr>
              <w:rFonts w:hint="eastAsia" w:ascii="黑体" w:hAnsi="黑体" w:eastAsia="黑体"/>
              <w:b w:val="0"/>
              <w:sz w:val="24"/>
            </w:rPr>
            <w:fldChar w:fldCharType="separate"/>
          </w:r>
          <w:r>
            <w:rPr>
              <w:rFonts w:hint="eastAsia" w:ascii="黑体" w:hAnsi="黑体" w:eastAsia="黑体"/>
              <w:b w:val="0"/>
              <w:sz w:val="24"/>
            </w:rPr>
            <w:t>十、 其他重要事项的情况说明</w:t>
          </w:r>
          <w:r>
            <w:rPr>
              <w:rFonts w:eastAsia="黑体"/>
              <w:b w:val="0"/>
              <w:sz w:val="24"/>
            </w:rPr>
            <w:tab/>
          </w:r>
          <w:r>
            <w:rPr>
              <w:rFonts w:eastAsia="黑体"/>
              <w:b w:val="0"/>
              <w:sz w:val="24"/>
            </w:rPr>
            <w:fldChar w:fldCharType="begin"/>
          </w:r>
          <w:r>
            <w:rPr>
              <w:rFonts w:eastAsia="黑体"/>
              <w:b w:val="0"/>
              <w:sz w:val="24"/>
            </w:rPr>
            <w:instrText xml:space="preserve"> PAGEREF _Toc5411 \h </w:instrText>
          </w:r>
          <w:r>
            <w:rPr>
              <w:rFonts w:eastAsia="黑体"/>
              <w:b w:val="0"/>
              <w:sz w:val="24"/>
            </w:rPr>
            <w:fldChar w:fldCharType="separate"/>
          </w:r>
          <w:r>
            <w:rPr>
              <w:rFonts w:eastAsia="黑体"/>
              <w:b w:val="0"/>
              <w:sz w:val="24"/>
            </w:rPr>
            <w:t>11</w:t>
          </w:r>
          <w:r>
            <w:rPr>
              <w:rFonts w:eastAsia="黑体"/>
              <w:b w:val="0"/>
              <w:sz w:val="24"/>
            </w:rPr>
            <w:fldChar w:fldCharType="end"/>
          </w:r>
          <w:r>
            <w:rPr>
              <w:rFonts w:hint="eastAsia" w:ascii="黑体" w:hAnsi="黑体" w:eastAsia="黑体"/>
              <w:b w:val="0"/>
              <w:sz w:val="24"/>
            </w:rPr>
            <w:fldChar w:fldCharType="end"/>
          </w:r>
        </w:p>
        <w:p>
          <w:pPr>
            <w:pStyle w:val="11"/>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_Toc12967 </w:instrText>
          </w:r>
          <w:r>
            <w:rPr>
              <w:rFonts w:hint="eastAsia" w:ascii="黑体" w:hAnsi="黑体" w:eastAsia="黑体"/>
              <w:b w:val="0"/>
              <w:sz w:val="24"/>
            </w:rPr>
            <w:fldChar w:fldCharType="separate"/>
          </w:r>
          <w:r>
            <w:rPr>
              <w:rFonts w:hint="eastAsia" w:eastAsia="黑体"/>
              <w:b w:val="0"/>
              <w:sz w:val="24"/>
              <w:lang w:eastAsia="zh-CN"/>
            </w:rPr>
            <w:t>第三部分：</w:t>
          </w:r>
          <w:r>
            <w:rPr>
              <w:rFonts w:hint="eastAsia" w:eastAsia="黑体"/>
              <w:b w:val="0"/>
              <w:sz w:val="24"/>
            </w:rPr>
            <w:t>名词解释</w:t>
          </w:r>
          <w:r>
            <w:rPr>
              <w:rFonts w:eastAsia="黑体"/>
              <w:b w:val="0"/>
              <w:sz w:val="24"/>
            </w:rPr>
            <w:tab/>
          </w:r>
          <w:r>
            <w:rPr>
              <w:rFonts w:eastAsia="黑体"/>
              <w:b w:val="0"/>
              <w:sz w:val="24"/>
            </w:rPr>
            <w:fldChar w:fldCharType="begin"/>
          </w:r>
          <w:r>
            <w:rPr>
              <w:rFonts w:eastAsia="黑体"/>
              <w:b w:val="0"/>
              <w:sz w:val="24"/>
            </w:rPr>
            <w:instrText xml:space="preserve"> PAGEREF _Toc12967 \h </w:instrText>
          </w:r>
          <w:r>
            <w:rPr>
              <w:rFonts w:eastAsia="黑体"/>
              <w:b w:val="0"/>
              <w:sz w:val="24"/>
            </w:rPr>
            <w:fldChar w:fldCharType="separate"/>
          </w:r>
          <w:r>
            <w:rPr>
              <w:rFonts w:eastAsia="黑体"/>
              <w:b w:val="0"/>
              <w:sz w:val="24"/>
            </w:rPr>
            <w:t>13</w:t>
          </w:r>
          <w:r>
            <w:rPr>
              <w:rFonts w:eastAsia="黑体"/>
              <w:b w:val="0"/>
              <w:sz w:val="24"/>
            </w:rPr>
            <w:fldChar w:fldCharType="end"/>
          </w:r>
          <w:r>
            <w:rPr>
              <w:rFonts w:hint="eastAsia" w:ascii="黑体" w:hAnsi="黑体" w:eastAsia="黑体"/>
              <w:b w:val="0"/>
              <w:sz w:val="24"/>
            </w:rPr>
            <w:fldChar w:fldCharType="end"/>
          </w:r>
        </w:p>
        <w:p>
          <w:pPr>
            <w:pStyle w:val="11"/>
            <w:tabs>
              <w:tab w:val="right" w:leader="dot" w:pos="8306"/>
              <w:tab w:val="clear" w:pos="8296"/>
            </w:tabs>
            <w:jc w:val="both"/>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_Toc17486 </w:instrText>
          </w:r>
          <w:r>
            <w:rPr>
              <w:rFonts w:hint="eastAsia" w:ascii="黑体" w:hAnsi="黑体" w:eastAsia="黑体"/>
              <w:b w:val="0"/>
              <w:sz w:val="24"/>
            </w:rPr>
            <w:fldChar w:fldCharType="separate"/>
          </w:r>
          <w:r>
            <w:rPr>
              <w:rFonts w:hint="eastAsia" w:eastAsia="黑体"/>
              <w:b w:val="0"/>
              <w:sz w:val="24"/>
            </w:rPr>
            <w:t>第四部分 附件</w:t>
          </w:r>
          <w:r>
            <w:rPr>
              <w:rFonts w:eastAsia="黑体"/>
              <w:b w:val="0"/>
              <w:sz w:val="24"/>
            </w:rPr>
            <w:tab/>
          </w:r>
          <w:r>
            <w:rPr>
              <w:rFonts w:eastAsia="黑体"/>
              <w:b w:val="0"/>
              <w:sz w:val="24"/>
            </w:rPr>
            <w:fldChar w:fldCharType="begin"/>
          </w:r>
          <w:r>
            <w:rPr>
              <w:rFonts w:eastAsia="黑体"/>
              <w:b w:val="0"/>
              <w:sz w:val="24"/>
            </w:rPr>
            <w:instrText xml:space="preserve"> PAGEREF _Toc17486 \h </w:instrText>
          </w:r>
          <w:r>
            <w:rPr>
              <w:rFonts w:eastAsia="黑体"/>
              <w:b w:val="0"/>
              <w:sz w:val="24"/>
            </w:rPr>
            <w:fldChar w:fldCharType="separate"/>
          </w:r>
          <w:r>
            <w:rPr>
              <w:rFonts w:eastAsia="黑体"/>
              <w:b w:val="0"/>
              <w:sz w:val="24"/>
            </w:rPr>
            <w:t>15</w:t>
          </w:r>
          <w:r>
            <w:rPr>
              <w:rFonts w:eastAsia="黑体"/>
              <w:b w:val="0"/>
              <w:sz w:val="24"/>
            </w:rPr>
            <w:fldChar w:fldCharType="end"/>
          </w:r>
          <w:r>
            <w:rPr>
              <w:rFonts w:hint="eastAsia" w:ascii="黑体" w:hAnsi="黑体" w:eastAsia="黑体"/>
              <w:b w:val="0"/>
              <w:sz w:val="24"/>
            </w:rPr>
            <w:fldChar w:fldCharType="end"/>
          </w:r>
        </w:p>
        <w:p>
          <w:pPr>
            <w:pStyle w:val="11"/>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_Toc22355 </w:instrText>
          </w:r>
          <w:r>
            <w:rPr>
              <w:rFonts w:hint="eastAsia" w:ascii="黑体" w:hAnsi="黑体" w:eastAsia="黑体"/>
              <w:b w:val="0"/>
              <w:sz w:val="24"/>
            </w:rPr>
            <w:fldChar w:fldCharType="separate"/>
          </w:r>
          <w:r>
            <w:rPr>
              <w:rFonts w:hint="eastAsia" w:ascii="黑体" w:hAnsi="黑体" w:eastAsia="黑体"/>
              <w:b w:val="0"/>
              <w:sz w:val="24"/>
              <w:szCs w:val="44"/>
            </w:rPr>
            <w:t>第</w:t>
          </w:r>
          <w:r>
            <w:rPr>
              <w:rFonts w:hint="eastAsia" w:ascii="黑体" w:hAnsi="黑体" w:eastAsia="黑体"/>
              <w:b w:val="0"/>
              <w:sz w:val="24"/>
            </w:rPr>
            <w:t>五部分 附表</w:t>
          </w:r>
          <w:r>
            <w:rPr>
              <w:rFonts w:eastAsia="黑体"/>
              <w:b w:val="0"/>
              <w:sz w:val="24"/>
            </w:rPr>
            <w:tab/>
          </w:r>
          <w:r>
            <w:rPr>
              <w:rFonts w:eastAsia="黑体"/>
              <w:b w:val="0"/>
              <w:sz w:val="24"/>
            </w:rPr>
            <w:fldChar w:fldCharType="begin"/>
          </w:r>
          <w:r>
            <w:rPr>
              <w:rFonts w:eastAsia="黑体"/>
              <w:b w:val="0"/>
              <w:sz w:val="24"/>
            </w:rPr>
            <w:instrText xml:space="preserve"> PAGEREF _Toc22355 \h </w:instrText>
          </w:r>
          <w:r>
            <w:rPr>
              <w:rFonts w:eastAsia="黑体"/>
              <w:b w:val="0"/>
              <w:sz w:val="24"/>
            </w:rPr>
            <w:fldChar w:fldCharType="separate"/>
          </w:r>
          <w:r>
            <w:rPr>
              <w:rFonts w:eastAsia="黑体"/>
              <w:b w:val="0"/>
              <w:sz w:val="24"/>
            </w:rPr>
            <w:t>30</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_Toc18564 </w:instrText>
          </w:r>
          <w:r>
            <w:rPr>
              <w:rFonts w:hint="eastAsia" w:ascii="黑体" w:hAnsi="黑体" w:eastAsia="黑体"/>
              <w:b w:val="0"/>
              <w:sz w:val="24"/>
            </w:rPr>
            <w:fldChar w:fldCharType="separate"/>
          </w:r>
          <w:r>
            <w:rPr>
              <w:rFonts w:hint="eastAsia" w:ascii="仿宋" w:hAnsi="仿宋" w:eastAsia="黑体"/>
              <w:b w:val="0"/>
              <w:sz w:val="24"/>
            </w:rPr>
            <w:t>一、收</w:t>
          </w:r>
          <w:r>
            <w:rPr>
              <w:rFonts w:hint="eastAsia" w:ascii="仿宋" w:hAnsi="仿宋" w:eastAsia="黑体"/>
              <w:b w:val="0"/>
              <w:bCs w:val="0"/>
              <w:sz w:val="24"/>
            </w:rPr>
            <w:t>入支出决算总表</w:t>
          </w:r>
          <w:r>
            <w:rPr>
              <w:rFonts w:eastAsia="黑体"/>
              <w:b w:val="0"/>
              <w:sz w:val="24"/>
            </w:rPr>
            <w:tab/>
          </w:r>
          <w:r>
            <w:rPr>
              <w:rFonts w:eastAsia="黑体"/>
              <w:b w:val="0"/>
              <w:sz w:val="24"/>
            </w:rPr>
            <w:fldChar w:fldCharType="begin"/>
          </w:r>
          <w:r>
            <w:rPr>
              <w:rFonts w:eastAsia="黑体"/>
              <w:b w:val="0"/>
              <w:sz w:val="24"/>
            </w:rPr>
            <w:instrText xml:space="preserve"> PAGEREF _Toc18564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_Toc12195 </w:instrText>
          </w:r>
          <w:r>
            <w:rPr>
              <w:rFonts w:hint="eastAsia" w:ascii="黑体" w:hAnsi="黑体" w:eastAsia="黑体"/>
              <w:b w:val="0"/>
              <w:sz w:val="24"/>
            </w:rPr>
            <w:fldChar w:fldCharType="separate"/>
          </w:r>
          <w:r>
            <w:rPr>
              <w:rFonts w:hint="eastAsia" w:ascii="仿宋" w:hAnsi="仿宋" w:eastAsia="黑体"/>
              <w:b w:val="0"/>
              <w:sz w:val="24"/>
            </w:rPr>
            <w:t>二、收</w:t>
          </w:r>
          <w:r>
            <w:rPr>
              <w:rFonts w:hint="eastAsia" w:ascii="仿宋" w:hAnsi="仿宋" w:eastAsia="黑体"/>
              <w:b w:val="0"/>
              <w:bCs w:val="0"/>
              <w:sz w:val="24"/>
            </w:rPr>
            <w:t>入决算表</w:t>
          </w:r>
          <w:r>
            <w:rPr>
              <w:rFonts w:eastAsia="黑体"/>
              <w:b w:val="0"/>
              <w:sz w:val="24"/>
            </w:rPr>
            <w:tab/>
          </w:r>
          <w:r>
            <w:rPr>
              <w:rFonts w:eastAsia="黑体"/>
              <w:b w:val="0"/>
              <w:sz w:val="24"/>
            </w:rPr>
            <w:fldChar w:fldCharType="begin"/>
          </w:r>
          <w:r>
            <w:rPr>
              <w:rFonts w:eastAsia="黑体"/>
              <w:b w:val="0"/>
              <w:sz w:val="24"/>
            </w:rPr>
            <w:instrText xml:space="preserve"> PAGEREF _Toc12195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_Toc24035 </w:instrText>
          </w:r>
          <w:r>
            <w:rPr>
              <w:rFonts w:hint="eastAsia" w:ascii="黑体" w:hAnsi="黑体" w:eastAsia="黑体"/>
              <w:b w:val="0"/>
              <w:sz w:val="24"/>
            </w:rPr>
            <w:fldChar w:fldCharType="separate"/>
          </w:r>
          <w:r>
            <w:rPr>
              <w:rFonts w:hint="eastAsia" w:ascii="仿宋" w:hAnsi="仿宋" w:eastAsia="黑体"/>
              <w:b w:val="0"/>
              <w:bCs w:val="0"/>
              <w:sz w:val="24"/>
            </w:rPr>
            <w:t>三、</w:t>
          </w:r>
          <w:r>
            <w:rPr>
              <w:rFonts w:hint="eastAsia" w:ascii="仿宋" w:hAnsi="仿宋" w:eastAsia="黑体"/>
              <w:b w:val="0"/>
              <w:sz w:val="24"/>
            </w:rPr>
            <w:t>支</w:t>
          </w:r>
          <w:r>
            <w:rPr>
              <w:rFonts w:hint="eastAsia" w:ascii="仿宋" w:hAnsi="仿宋" w:eastAsia="黑体"/>
              <w:b w:val="0"/>
              <w:bCs w:val="0"/>
              <w:sz w:val="24"/>
            </w:rPr>
            <w:t>出决算表</w:t>
          </w:r>
          <w:r>
            <w:rPr>
              <w:rFonts w:eastAsia="黑体"/>
              <w:b w:val="0"/>
              <w:sz w:val="24"/>
            </w:rPr>
            <w:tab/>
          </w:r>
          <w:r>
            <w:rPr>
              <w:rFonts w:eastAsia="黑体"/>
              <w:b w:val="0"/>
              <w:sz w:val="24"/>
            </w:rPr>
            <w:fldChar w:fldCharType="begin"/>
          </w:r>
          <w:r>
            <w:rPr>
              <w:rFonts w:eastAsia="黑体"/>
              <w:b w:val="0"/>
              <w:sz w:val="24"/>
            </w:rPr>
            <w:instrText xml:space="preserve"> PAGEREF _Toc24035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_Toc11582 </w:instrText>
          </w:r>
          <w:r>
            <w:rPr>
              <w:rFonts w:hint="eastAsia" w:ascii="黑体" w:hAnsi="黑体" w:eastAsia="黑体"/>
              <w:b w:val="0"/>
              <w:sz w:val="24"/>
            </w:rPr>
            <w:fldChar w:fldCharType="separate"/>
          </w:r>
          <w:r>
            <w:rPr>
              <w:rFonts w:hint="eastAsia" w:ascii="仿宋" w:hAnsi="仿宋" w:eastAsia="黑体"/>
              <w:b w:val="0"/>
              <w:bCs w:val="0"/>
              <w:sz w:val="24"/>
            </w:rPr>
            <w:t>四、</w:t>
          </w:r>
          <w:r>
            <w:rPr>
              <w:rFonts w:hint="eastAsia" w:ascii="仿宋" w:hAnsi="仿宋" w:eastAsia="黑体"/>
              <w:b w:val="0"/>
              <w:sz w:val="24"/>
            </w:rPr>
            <w:t>财</w:t>
          </w:r>
          <w:r>
            <w:rPr>
              <w:rFonts w:hint="eastAsia" w:ascii="仿宋" w:hAnsi="仿宋" w:eastAsia="黑体"/>
              <w:b w:val="0"/>
              <w:bCs w:val="0"/>
              <w:sz w:val="24"/>
            </w:rPr>
            <w:t>政拨款收入支出决算总表</w:t>
          </w:r>
          <w:r>
            <w:rPr>
              <w:rFonts w:eastAsia="黑体"/>
              <w:b w:val="0"/>
              <w:sz w:val="24"/>
            </w:rPr>
            <w:tab/>
          </w:r>
          <w:r>
            <w:rPr>
              <w:rFonts w:eastAsia="黑体"/>
              <w:b w:val="0"/>
              <w:sz w:val="24"/>
            </w:rPr>
            <w:fldChar w:fldCharType="begin"/>
          </w:r>
          <w:r>
            <w:rPr>
              <w:rFonts w:eastAsia="黑体"/>
              <w:b w:val="0"/>
              <w:sz w:val="24"/>
            </w:rPr>
            <w:instrText xml:space="preserve"> PAGEREF _Toc11582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_Toc25101 </w:instrText>
          </w:r>
          <w:r>
            <w:rPr>
              <w:rFonts w:hint="eastAsia" w:ascii="黑体" w:hAnsi="黑体" w:eastAsia="黑体"/>
              <w:b w:val="0"/>
              <w:sz w:val="24"/>
            </w:rPr>
            <w:fldChar w:fldCharType="separate"/>
          </w:r>
          <w:r>
            <w:rPr>
              <w:rFonts w:hint="eastAsia" w:ascii="仿宋" w:hAnsi="仿宋" w:eastAsia="黑体"/>
              <w:b w:val="0"/>
              <w:bCs w:val="0"/>
              <w:sz w:val="24"/>
            </w:rPr>
            <w:t>五、</w:t>
          </w:r>
          <w:r>
            <w:rPr>
              <w:rFonts w:hint="eastAsia" w:ascii="仿宋" w:hAnsi="仿宋" w:eastAsia="黑体"/>
              <w:b w:val="0"/>
              <w:sz w:val="24"/>
            </w:rPr>
            <w:t>财</w:t>
          </w:r>
          <w:r>
            <w:rPr>
              <w:rFonts w:hint="eastAsia" w:ascii="仿宋" w:hAnsi="仿宋" w:eastAsia="黑体"/>
              <w:b w:val="0"/>
              <w:bCs w:val="0"/>
              <w:sz w:val="24"/>
            </w:rPr>
            <w:t>政拨款支出决算明细表</w:t>
          </w:r>
          <w:r>
            <w:rPr>
              <w:rFonts w:eastAsia="黑体"/>
              <w:b w:val="0"/>
              <w:sz w:val="24"/>
            </w:rPr>
            <w:tab/>
          </w:r>
          <w:r>
            <w:rPr>
              <w:rFonts w:eastAsia="黑体"/>
              <w:b w:val="0"/>
              <w:sz w:val="24"/>
            </w:rPr>
            <w:fldChar w:fldCharType="begin"/>
          </w:r>
          <w:r>
            <w:rPr>
              <w:rFonts w:eastAsia="黑体"/>
              <w:b w:val="0"/>
              <w:sz w:val="24"/>
            </w:rPr>
            <w:instrText xml:space="preserve"> PAGEREF _Toc25101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_Toc1903 </w:instrText>
          </w:r>
          <w:r>
            <w:rPr>
              <w:rFonts w:hint="eastAsia" w:ascii="黑体" w:hAnsi="黑体" w:eastAsia="黑体"/>
              <w:b w:val="0"/>
              <w:sz w:val="24"/>
            </w:rPr>
            <w:fldChar w:fldCharType="separate"/>
          </w:r>
          <w:r>
            <w:rPr>
              <w:rFonts w:hint="eastAsia" w:ascii="仿宋" w:hAnsi="仿宋" w:eastAsia="黑体"/>
              <w:b w:val="0"/>
              <w:bCs w:val="0"/>
              <w:sz w:val="24"/>
            </w:rPr>
            <w:t>六、</w:t>
          </w:r>
          <w:r>
            <w:rPr>
              <w:rFonts w:hint="eastAsia" w:ascii="仿宋" w:hAnsi="仿宋" w:eastAsia="黑体"/>
              <w:b w:val="0"/>
              <w:sz w:val="24"/>
            </w:rPr>
            <w:t>一</w:t>
          </w:r>
          <w:r>
            <w:rPr>
              <w:rFonts w:hint="eastAsia" w:ascii="仿宋" w:hAnsi="仿宋" w:eastAsia="黑体"/>
              <w:b w:val="0"/>
              <w:bCs w:val="0"/>
              <w:sz w:val="24"/>
            </w:rPr>
            <w:t>般公共预算财政拨款支出决算表</w:t>
          </w:r>
          <w:r>
            <w:rPr>
              <w:rFonts w:eastAsia="黑体"/>
              <w:b w:val="0"/>
              <w:sz w:val="24"/>
            </w:rPr>
            <w:tab/>
          </w:r>
          <w:r>
            <w:rPr>
              <w:rFonts w:eastAsia="黑体"/>
              <w:b w:val="0"/>
              <w:sz w:val="24"/>
            </w:rPr>
            <w:fldChar w:fldCharType="begin"/>
          </w:r>
          <w:r>
            <w:rPr>
              <w:rFonts w:eastAsia="黑体"/>
              <w:b w:val="0"/>
              <w:sz w:val="24"/>
            </w:rPr>
            <w:instrText xml:space="preserve"> PAGEREF _Toc1903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_Toc1676 </w:instrText>
          </w:r>
          <w:r>
            <w:rPr>
              <w:rFonts w:hint="eastAsia" w:ascii="黑体" w:hAnsi="黑体" w:eastAsia="黑体"/>
              <w:b w:val="0"/>
              <w:sz w:val="24"/>
            </w:rPr>
            <w:fldChar w:fldCharType="separate"/>
          </w:r>
          <w:r>
            <w:rPr>
              <w:rFonts w:hint="eastAsia" w:ascii="仿宋" w:hAnsi="仿宋" w:eastAsia="黑体"/>
              <w:b w:val="0"/>
              <w:bCs w:val="0"/>
              <w:sz w:val="24"/>
            </w:rPr>
            <w:t>七、</w:t>
          </w:r>
          <w:r>
            <w:rPr>
              <w:rFonts w:hint="eastAsia" w:ascii="仿宋" w:hAnsi="仿宋" w:eastAsia="黑体"/>
              <w:b w:val="0"/>
              <w:sz w:val="24"/>
            </w:rPr>
            <w:t>一</w:t>
          </w:r>
          <w:r>
            <w:rPr>
              <w:rFonts w:hint="eastAsia" w:ascii="仿宋" w:hAnsi="仿宋" w:eastAsia="黑体"/>
              <w:b w:val="0"/>
              <w:bCs w:val="0"/>
              <w:sz w:val="24"/>
            </w:rPr>
            <w:t>般公共预算财政拨款支出决算明细表</w:t>
          </w:r>
          <w:r>
            <w:rPr>
              <w:rFonts w:eastAsia="黑体"/>
              <w:b w:val="0"/>
              <w:sz w:val="24"/>
            </w:rPr>
            <w:tab/>
          </w:r>
          <w:r>
            <w:rPr>
              <w:rFonts w:eastAsia="黑体"/>
              <w:b w:val="0"/>
              <w:sz w:val="24"/>
            </w:rPr>
            <w:fldChar w:fldCharType="begin"/>
          </w:r>
          <w:r>
            <w:rPr>
              <w:rFonts w:eastAsia="黑体"/>
              <w:b w:val="0"/>
              <w:sz w:val="24"/>
            </w:rPr>
            <w:instrText xml:space="preserve"> PAGEREF _Toc1676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_Toc19291 </w:instrText>
          </w:r>
          <w:r>
            <w:rPr>
              <w:rFonts w:hint="eastAsia" w:ascii="黑体" w:hAnsi="黑体" w:eastAsia="黑体"/>
              <w:b w:val="0"/>
              <w:sz w:val="24"/>
            </w:rPr>
            <w:fldChar w:fldCharType="separate"/>
          </w:r>
          <w:r>
            <w:rPr>
              <w:rFonts w:hint="eastAsia" w:ascii="仿宋" w:hAnsi="仿宋" w:eastAsia="黑体"/>
              <w:b w:val="0"/>
              <w:bCs w:val="0"/>
              <w:sz w:val="24"/>
            </w:rPr>
            <w:t>八、</w:t>
          </w:r>
          <w:r>
            <w:rPr>
              <w:rFonts w:hint="eastAsia" w:ascii="仿宋" w:hAnsi="仿宋" w:eastAsia="黑体"/>
              <w:b w:val="0"/>
              <w:sz w:val="24"/>
            </w:rPr>
            <w:t>一</w:t>
          </w:r>
          <w:r>
            <w:rPr>
              <w:rFonts w:hint="eastAsia" w:ascii="仿宋" w:hAnsi="仿宋" w:eastAsia="黑体"/>
              <w:b w:val="0"/>
              <w:bCs w:val="0"/>
              <w:sz w:val="24"/>
            </w:rPr>
            <w:t>般公共预算财政拨款基本支出决算表</w:t>
          </w:r>
          <w:r>
            <w:rPr>
              <w:rFonts w:eastAsia="黑体"/>
              <w:b w:val="0"/>
              <w:sz w:val="24"/>
            </w:rPr>
            <w:tab/>
          </w:r>
          <w:r>
            <w:rPr>
              <w:rFonts w:eastAsia="黑体"/>
              <w:b w:val="0"/>
              <w:sz w:val="24"/>
            </w:rPr>
            <w:fldChar w:fldCharType="begin"/>
          </w:r>
          <w:r>
            <w:rPr>
              <w:rFonts w:eastAsia="黑体"/>
              <w:b w:val="0"/>
              <w:sz w:val="24"/>
            </w:rPr>
            <w:instrText xml:space="preserve"> PAGEREF _Toc19291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_Toc18089 </w:instrText>
          </w:r>
          <w:r>
            <w:rPr>
              <w:rFonts w:hint="eastAsia" w:ascii="黑体" w:hAnsi="黑体" w:eastAsia="黑体"/>
              <w:b w:val="0"/>
              <w:sz w:val="24"/>
            </w:rPr>
            <w:fldChar w:fldCharType="separate"/>
          </w:r>
          <w:r>
            <w:rPr>
              <w:rFonts w:hint="eastAsia" w:ascii="仿宋" w:hAnsi="仿宋" w:eastAsia="黑体"/>
              <w:b w:val="0"/>
              <w:bCs w:val="0"/>
              <w:sz w:val="24"/>
            </w:rPr>
            <w:t>九、</w:t>
          </w:r>
          <w:r>
            <w:rPr>
              <w:rFonts w:hint="eastAsia" w:ascii="仿宋" w:hAnsi="仿宋" w:eastAsia="黑体"/>
              <w:b w:val="0"/>
              <w:sz w:val="24"/>
            </w:rPr>
            <w:t>一</w:t>
          </w:r>
          <w:r>
            <w:rPr>
              <w:rFonts w:hint="eastAsia" w:ascii="仿宋" w:hAnsi="仿宋" w:eastAsia="黑体"/>
              <w:b w:val="0"/>
              <w:bCs w:val="0"/>
              <w:sz w:val="24"/>
            </w:rPr>
            <w:t>般公共预算财政拨款项目支出决算表</w:t>
          </w:r>
          <w:r>
            <w:rPr>
              <w:rFonts w:eastAsia="黑体"/>
              <w:b w:val="0"/>
              <w:sz w:val="24"/>
            </w:rPr>
            <w:tab/>
          </w:r>
          <w:r>
            <w:rPr>
              <w:rFonts w:eastAsia="黑体"/>
              <w:b w:val="0"/>
              <w:sz w:val="24"/>
            </w:rPr>
            <w:fldChar w:fldCharType="begin"/>
          </w:r>
          <w:r>
            <w:rPr>
              <w:rFonts w:eastAsia="黑体"/>
              <w:b w:val="0"/>
              <w:sz w:val="24"/>
            </w:rPr>
            <w:instrText xml:space="preserve"> PAGEREF _Toc18089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_Toc1784 </w:instrText>
          </w:r>
          <w:r>
            <w:rPr>
              <w:rFonts w:hint="eastAsia" w:ascii="黑体" w:hAnsi="黑体" w:eastAsia="黑体"/>
              <w:b w:val="0"/>
              <w:sz w:val="24"/>
            </w:rPr>
            <w:fldChar w:fldCharType="separate"/>
          </w:r>
          <w:r>
            <w:rPr>
              <w:rFonts w:hint="eastAsia" w:ascii="仿宋" w:hAnsi="仿宋" w:eastAsia="黑体"/>
              <w:b w:val="0"/>
              <w:bCs w:val="0"/>
              <w:sz w:val="24"/>
            </w:rPr>
            <w:t>十、</w:t>
          </w:r>
          <w:r>
            <w:rPr>
              <w:rFonts w:hint="eastAsia" w:ascii="仿宋" w:hAnsi="仿宋" w:eastAsia="黑体"/>
              <w:b w:val="0"/>
              <w:sz w:val="24"/>
            </w:rPr>
            <w:t>一</w:t>
          </w:r>
          <w:r>
            <w:rPr>
              <w:rFonts w:hint="eastAsia" w:ascii="仿宋" w:hAnsi="仿宋" w:eastAsia="黑体"/>
              <w:b w:val="0"/>
              <w:bCs w:val="0"/>
              <w:sz w:val="24"/>
            </w:rPr>
            <w:t>般公共预算财政拨款“三公”经费支出决算表</w:t>
          </w:r>
          <w:r>
            <w:rPr>
              <w:rFonts w:eastAsia="黑体"/>
              <w:b w:val="0"/>
              <w:sz w:val="24"/>
            </w:rPr>
            <w:tab/>
          </w:r>
          <w:r>
            <w:rPr>
              <w:rFonts w:eastAsia="黑体"/>
              <w:b w:val="0"/>
              <w:sz w:val="24"/>
            </w:rPr>
            <w:fldChar w:fldCharType="begin"/>
          </w:r>
          <w:r>
            <w:rPr>
              <w:rFonts w:eastAsia="黑体"/>
              <w:b w:val="0"/>
              <w:sz w:val="24"/>
            </w:rPr>
            <w:instrText xml:space="preserve"> PAGEREF _Toc1784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_Toc16658 </w:instrText>
          </w:r>
          <w:r>
            <w:rPr>
              <w:rFonts w:hint="eastAsia" w:ascii="黑体" w:hAnsi="黑体" w:eastAsia="黑体"/>
              <w:b w:val="0"/>
              <w:sz w:val="24"/>
            </w:rPr>
            <w:fldChar w:fldCharType="separate"/>
          </w:r>
          <w:r>
            <w:rPr>
              <w:rFonts w:hint="eastAsia" w:ascii="仿宋" w:hAnsi="仿宋" w:eastAsia="黑体"/>
              <w:b w:val="0"/>
              <w:bCs w:val="0"/>
              <w:sz w:val="24"/>
            </w:rPr>
            <w:t>十一、</w:t>
          </w:r>
          <w:r>
            <w:rPr>
              <w:rFonts w:hint="eastAsia" w:ascii="仿宋" w:hAnsi="仿宋" w:eastAsia="黑体"/>
              <w:b w:val="0"/>
              <w:sz w:val="24"/>
            </w:rPr>
            <w:t>政</w:t>
          </w:r>
          <w:r>
            <w:rPr>
              <w:rFonts w:hint="eastAsia" w:ascii="仿宋" w:hAnsi="仿宋" w:eastAsia="黑体"/>
              <w:b w:val="0"/>
              <w:bCs w:val="0"/>
              <w:sz w:val="24"/>
            </w:rPr>
            <w:t>府性基金预算财政拨款收入支出决算表</w:t>
          </w:r>
          <w:r>
            <w:rPr>
              <w:rFonts w:eastAsia="黑体"/>
              <w:b w:val="0"/>
              <w:sz w:val="24"/>
            </w:rPr>
            <w:tab/>
          </w:r>
          <w:r>
            <w:rPr>
              <w:rFonts w:eastAsia="黑体"/>
              <w:b w:val="0"/>
              <w:sz w:val="24"/>
            </w:rPr>
            <w:fldChar w:fldCharType="begin"/>
          </w:r>
          <w:r>
            <w:rPr>
              <w:rFonts w:eastAsia="黑体"/>
              <w:b w:val="0"/>
              <w:sz w:val="24"/>
            </w:rPr>
            <w:instrText xml:space="preserve"> PAGEREF _Toc16658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_Toc11426 </w:instrText>
          </w:r>
          <w:r>
            <w:rPr>
              <w:rFonts w:hint="eastAsia" w:ascii="黑体" w:hAnsi="黑体" w:eastAsia="黑体"/>
              <w:b w:val="0"/>
              <w:sz w:val="24"/>
            </w:rPr>
            <w:fldChar w:fldCharType="separate"/>
          </w:r>
          <w:r>
            <w:rPr>
              <w:rFonts w:hint="eastAsia" w:ascii="仿宋" w:hAnsi="仿宋" w:eastAsia="黑体"/>
              <w:b w:val="0"/>
              <w:bCs w:val="0"/>
              <w:sz w:val="24"/>
            </w:rPr>
            <w:t>十二、</w:t>
          </w:r>
          <w:r>
            <w:rPr>
              <w:rFonts w:hint="eastAsia" w:ascii="仿宋" w:hAnsi="仿宋" w:eastAsia="黑体"/>
              <w:b w:val="0"/>
              <w:sz w:val="24"/>
            </w:rPr>
            <w:t>政</w:t>
          </w:r>
          <w:r>
            <w:rPr>
              <w:rFonts w:hint="eastAsia" w:ascii="仿宋" w:hAnsi="仿宋" w:eastAsia="黑体"/>
              <w:b w:val="0"/>
              <w:bCs w:val="0"/>
              <w:sz w:val="24"/>
            </w:rPr>
            <w:t>府性基金预算财政拨款“三公”经费支出决算表</w:t>
          </w:r>
          <w:r>
            <w:rPr>
              <w:rFonts w:eastAsia="黑体"/>
              <w:b w:val="0"/>
              <w:sz w:val="24"/>
            </w:rPr>
            <w:tab/>
          </w:r>
          <w:r>
            <w:rPr>
              <w:rFonts w:eastAsia="黑体"/>
              <w:b w:val="0"/>
              <w:sz w:val="24"/>
            </w:rPr>
            <w:fldChar w:fldCharType="begin"/>
          </w:r>
          <w:r>
            <w:rPr>
              <w:rFonts w:eastAsia="黑体"/>
              <w:b w:val="0"/>
              <w:sz w:val="24"/>
            </w:rPr>
            <w:instrText xml:space="preserve"> PAGEREF _Toc11426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_Toc15239 </w:instrText>
          </w:r>
          <w:r>
            <w:rPr>
              <w:rFonts w:hint="eastAsia" w:ascii="黑体" w:hAnsi="黑体" w:eastAsia="黑体"/>
              <w:b w:val="0"/>
              <w:sz w:val="24"/>
            </w:rPr>
            <w:fldChar w:fldCharType="separate"/>
          </w:r>
          <w:r>
            <w:rPr>
              <w:rFonts w:hint="eastAsia" w:ascii="仿宋" w:hAnsi="仿宋" w:eastAsia="黑体"/>
              <w:b w:val="0"/>
              <w:bCs w:val="0"/>
              <w:sz w:val="24"/>
            </w:rPr>
            <w:t>十三、</w:t>
          </w:r>
          <w:r>
            <w:rPr>
              <w:rFonts w:hint="eastAsia" w:ascii="仿宋" w:hAnsi="仿宋" w:eastAsia="黑体"/>
              <w:b w:val="0"/>
              <w:sz w:val="24"/>
            </w:rPr>
            <w:t>国</w:t>
          </w:r>
          <w:r>
            <w:rPr>
              <w:rFonts w:hint="eastAsia" w:ascii="仿宋" w:hAnsi="仿宋" w:eastAsia="黑体"/>
              <w:b w:val="0"/>
              <w:bCs w:val="0"/>
              <w:sz w:val="24"/>
            </w:rPr>
            <w:t>有资本经营预算财政拨款收入支出决算表</w:t>
          </w:r>
          <w:r>
            <w:rPr>
              <w:rFonts w:eastAsia="黑体"/>
              <w:b w:val="0"/>
              <w:sz w:val="24"/>
            </w:rPr>
            <w:tab/>
          </w:r>
          <w:r>
            <w:rPr>
              <w:rFonts w:eastAsia="黑体"/>
              <w:b w:val="0"/>
              <w:sz w:val="24"/>
            </w:rPr>
            <w:fldChar w:fldCharType="begin"/>
          </w:r>
          <w:r>
            <w:rPr>
              <w:rFonts w:eastAsia="黑体"/>
              <w:b w:val="0"/>
              <w:sz w:val="24"/>
            </w:rPr>
            <w:instrText xml:space="preserve"> PAGEREF _Toc15239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12"/>
            <w:tabs>
              <w:tab w:val="right" w:leader="dot" w:pos="8306"/>
              <w:tab w:val="clear" w:pos="8296"/>
            </w:tabs>
            <w:rPr>
              <w:rFonts w:eastAsia="黑体"/>
              <w:b w:val="0"/>
              <w:sz w:val="24"/>
            </w:rPr>
          </w:pPr>
          <w:r>
            <w:rPr>
              <w:rFonts w:hint="eastAsia" w:ascii="黑体" w:hAnsi="黑体" w:eastAsia="黑体"/>
              <w:b w:val="0"/>
              <w:sz w:val="24"/>
            </w:rPr>
            <w:fldChar w:fldCharType="begin"/>
          </w:r>
          <w:r>
            <w:rPr>
              <w:rFonts w:hint="eastAsia" w:ascii="黑体" w:hAnsi="黑体" w:eastAsia="黑体"/>
              <w:b w:val="0"/>
              <w:sz w:val="24"/>
            </w:rPr>
            <w:instrText xml:space="preserve"> HYPERLINK \l _Toc31879 </w:instrText>
          </w:r>
          <w:r>
            <w:rPr>
              <w:rFonts w:hint="eastAsia" w:ascii="黑体" w:hAnsi="黑体" w:eastAsia="黑体"/>
              <w:b w:val="0"/>
              <w:sz w:val="24"/>
            </w:rPr>
            <w:fldChar w:fldCharType="separate"/>
          </w:r>
          <w:r>
            <w:rPr>
              <w:rFonts w:hint="eastAsia" w:ascii="仿宋" w:hAnsi="仿宋" w:eastAsia="黑体"/>
              <w:b w:val="0"/>
              <w:bCs w:val="0"/>
              <w:sz w:val="24"/>
            </w:rPr>
            <w:t>十四、国有资本经营预算财政拨款支出决算表</w:t>
          </w:r>
          <w:r>
            <w:rPr>
              <w:rFonts w:eastAsia="黑体"/>
              <w:b w:val="0"/>
              <w:sz w:val="24"/>
            </w:rPr>
            <w:tab/>
          </w:r>
          <w:r>
            <w:rPr>
              <w:rFonts w:eastAsia="黑体"/>
              <w:b w:val="0"/>
              <w:sz w:val="24"/>
            </w:rPr>
            <w:fldChar w:fldCharType="begin"/>
          </w:r>
          <w:r>
            <w:rPr>
              <w:rFonts w:eastAsia="黑体"/>
              <w:b w:val="0"/>
              <w:sz w:val="24"/>
            </w:rPr>
            <w:instrText xml:space="preserve"> PAGEREF _Toc31879 \h </w:instrText>
          </w:r>
          <w:r>
            <w:rPr>
              <w:rFonts w:eastAsia="黑体"/>
              <w:b w:val="0"/>
              <w:sz w:val="24"/>
            </w:rPr>
            <w:fldChar w:fldCharType="separate"/>
          </w:r>
          <w:r>
            <w:rPr>
              <w:rFonts w:eastAsia="黑体"/>
              <w:b w:val="0"/>
              <w:sz w:val="24"/>
            </w:rPr>
            <w:t>31</w:t>
          </w:r>
          <w:r>
            <w:rPr>
              <w:rFonts w:eastAsia="黑体"/>
              <w:b w:val="0"/>
              <w:sz w:val="24"/>
            </w:rPr>
            <w:fldChar w:fldCharType="end"/>
          </w:r>
          <w:r>
            <w:rPr>
              <w:rFonts w:hint="eastAsia" w:ascii="黑体" w:hAnsi="黑体" w:eastAsia="黑体"/>
              <w:b w:val="0"/>
              <w:sz w:val="24"/>
            </w:rPr>
            <w:fldChar w:fldCharType="end"/>
          </w:r>
        </w:p>
        <w:p>
          <w:pPr>
            <w:pStyle w:val="2"/>
            <w:jc w:val="center"/>
          </w:pPr>
          <w:r>
            <w:rPr>
              <w:rFonts w:hint="eastAsia" w:ascii="黑体" w:hAnsi="黑体" w:eastAsia="黑体"/>
              <w:b w:val="0"/>
              <w:sz w:val="24"/>
            </w:rPr>
            <w:fldChar w:fldCharType="end"/>
          </w:r>
          <w:bookmarkStart w:id="17" w:name="_Toc23130"/>
        </w:p>
      </w:sdtContent>
    </w:sdt>
    <w:p>
      <w:pPr>
        <w:pStyle w:val="2"/>
        <w:pageBreakBefore w:val="0"/>
        <w:kinsoku/>
        <w:wordWrap/>
        <w:overflowPunct/>
        <w:topLinePunct w:val="0"/>
        <w:bidi w:val="0"/>
        <w:spacing w:line="576" w:lineRule="exact"/>
        <w:jc w:val="center"/>
        <w:textAlignment w:val="auto"/>
      </w:pPr>
      <w:r>
        <w:rPr>
          <w:rFonts w:hint="eastAsia"/>
        </w:rPr>
        <w:t>第一部分 部门概况</w:t>
      </w:r>
      <w:bookmarkEnd w:id="15"/>
      <w:bookmarkEnd w:id="16"/>
      <w:bookmarkEnd w:id="17"/>
    </w:p>
    <w:p>
      <w:pPr>
        <w:pStyle w:val="3"/>
        <w:keepNext/>
        <w:keepLines/>
        <w:pageBreakBefore w:val="0"/>
        <w:widowControl w:val="0"/>
        <w:kinsoku/>
        <w:wordWrap/>
        <w:overflowPunct/>
        <w:topLinePunct w:val="0"/>
        <w:autoSpaceDE/>
        <w:autoSpaceDN/>
        <w:bidi w:val="0"/>
        <w:adjustRightInd/>
        <w:snapToGrid/>
        <w:spacing w:line="576" w:lineRule="exact"/>
        <w:ind w:firstLine="643" w:firstLineChars="200"/>
        <w:textAlignment w:val="auto"/>
      </w:pPr>
      <w:bookmarkStart w:id="18" w:name="_Toc21194"/>
      <w:bookmarkStart w:id="19" w:name="_Toc15396600"/>
      <w:bookmarkStart w:id="20" w:name="_Toc15377197"/>
      <w:r>
        <w:rPr>
          <w:rFonts w:hint="eastAsia"/>
        </w:rPr>
        <w:t>一、基本职能及主要工作</w:t>
      </w:r>
      <w:bookmarkEnd w:id="18"/>
      <w:bookmarkEnd w:id="19"/>
      <w:bookmarkEnd w:id="20"/>
    </w:p>
    <w:p>
      <w:pPr>
        <w:pStyle w:val="5"/>
        <w:pageBreakBefore w:val="0"/>
        <w:kinsoku/>
        <w:wordWrap/>
        <w:overflowPunct/>
        <w:topLinePunct w:val="0"/>
        <w:bidi w:val="0"/>
        <w:adjustRightInd w:val="0"/>
        <w:snapToGrid w:val="0"/>
        <w:spacing w:before="93" w:line="576" w:lineRule="exact"/>
        <w:ind w:firstLine="672" w:firstLineChars="210"/>
        <w:textAlignment w:val="auto"/>
        <w:outlineLvl w:val="2"/>
        <w:rPr>
          <w:rFonts w:ascii="仿宋" w:hAnsi="仿宋" w:eastAsia="仿宋"/>
          <w:bCs/>
          <w:sz w:val="32"/>
          <w:szCs w:val="32"/>
        </w:rPr>
      </w:pPr>
      <w:bookmarkStart w:id="21" w:name="_Toc32102"/>
      <w:bookmarkStart w:id="22" w:name="_Toc15377198"/>
      <w:bookmarkStart w:id="23" w:name="_Toc15378445"/>
      <w:r>
        <w:rPr>
          <w:rFonts w:hint="eastAsia" w:ascii="仿宋" w:hAnsi="仿宋" w:eastAsia="仿宋"/>
          <w:bCs/>
          <w:sz w:val="32"/>
          <w:szCs w:val="32"/>
        </w:rPr>
        <w:t>（一）主要职能</w:t>
      </w:r>
      <w:bookmarkEnd w:id="21"/>
    </w:p>
    <w:bookmarkEnd w:id="22"/>
    <w:bookmarkEnd w:id="23"/>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一是贯彻执行国家统计工作的方针、政策和法律、法规以及统计制度和统计标准，拟定本县统计工作规划和统计调查计划，审批本地区、各部门的地方统计调查项目，承担组织领导和协调全县统计工作，确保统计数据真实、准确、及时的责任。</w:t>
      </w:r>
    </w:p>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二是建立健全全县国民经济核算体系，组织实施全县国民经济核算制度和投入产出调查，实施全县国民经济核算工作，核算全县国内生产总值，汇编提供国民经济核算资料，参与全县经济社会目标责任考核。</w:t>
      </w:r>
    </w:p>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三是组织实施农林牧渔业、工业、建筑业、批发和零售业、住宿和餐饮业、房地产业等国民经济行业以及能源、投资、人口、收入、科技、社会发展基本情况、环境基本状况等领域的统计调查，建立全县经济社会发展监测评价制度及指标体系，对重点区域和重要领域实施监测评价，牵头综合整理和提供资源、房屋、旅游、教育、卫生、邮电、交通运输、社会保障、公用事业、对外贸易、对外经济等全县基本统计资料。</w:t>
      </w:r>
    </w:p>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四是按照国家和省的统一部署，组织实施人口、经济、农业等普查和重大国情国力以及社情民意专项调查，汇总整理和提供有关国情国力方面的统计数据。</w:t>
      </w:r>
    </w:p>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五是建立健全全县统计数据质量审核、监控和评估制度，依法对乡(镇)、县级部门重要统计数据进行审核、监控和评估，组织指导统计基层基础建设。</w:t>
      </w:r>
    </w:p>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六是对国民经济、社会发展、科技进步和资源环境等情况进行统计分析和预测，定期发布全县经济社会发展情况的统计信息，向县委、县政府及有关部门提供统计咨询建议，向社会公众提供统计信息服务。</w:t>
      </w:r>
    </w:p>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七是组织全县统计专业资格考试和从业资格认定工作，开展统计交流与合作。</w:t>
      </w:r>
    </w:p>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八是建立健全全县统计数据库系统和统计信息自动化系统，建立健全县统计信息共享制度，指导全县统计信息化。</w:t>
      </w:r>
    </w:p>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九是增加能源统计、服务业统计、社情民意调查和社会发展统计方面的相关职责。</w:t>
      </w:r>
    </w:p>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十是承担县政府公布的行政审批事项。</w:t>
      </w:r>
    </w:p>
    <w:p>
      <w:pPr>
        <w:pageBreakBefore w:val="0"/>
        <w:kinsoku/>
        <w:wordWrap/>
        <w:overflowPunct/>
        <w:topLinePunct w:val="0"/>
        <w:bidi w:val="0"/>
        <w:spacing w:line="576" w:lineRule="exact"/>
        <w:ind w:firstLine="640" w:firstLineChars="200"/>
        <w:textAlignment w:val="auto"/>
        <w:rPr>
          <w:rFonts w:ascii="仿宋" w:hAnsi="仿宋" w:eastAsia="仿宋" w:cs="仿宋"/>
          <w:sz w:val="32"/>
          <w:szCs w:val="32"/>
        </w:rPr>
      </w:pPr>
      <w:r>
        <w:rPr>
          <w:rFonts w:hint="eastAsia" w:ascii="仿宋" w:hAnsi="仿宋" w:eastAsia="仿宋" w:cs="仿宋"/>
          <w:sz w:val="32"/>
          <w:szCs w:val="32"/>
        </w:rPr>
        <w:t xml:space="preserve">十一是承办县政府交办的其他事项。 </w:t>
      </w:r>
    </w:p>
    <w:p>
      <w:pPr>
        <w:pStyle w:val="5"/>
        <w:pageBreakBefore w:val="0"/>
        <w:kinsoku/>
        <w:wordWrap/>
        <w:overflowPunct/>
        <w:topLinePunct w:val="0"/>
        <w:bidi w:val="0"/>
        <w:adjustRightInd w:val="0"/>
        <w:snapToGrid w:val="0"/>
        <w:spacing w:before="93" w:line="576" w:lineRule="exact"/>
        <w:ind w:firstLine="672" w:firstLineChars="210"/>
        <w:textAlignment w:val="auto"/>
        <w:outlineLvl w:val="2"/>
        <w:rPr>
          <w:rFonts w:ascii="仿宋" w:hAnsi="仿宋" w:eastAsia="仿宋"/>
          <w:bCs/>
          <w:sz w:val="32"/>
          <w:szCs w:val="32"/>
        </w:rPr>
      </w:pPr>
      <w:bookmarkStart w:id="24" w:name="_Toc15377199"/>
      <w:bookmarkStart w:id="25" w:name="_Toc15378446"/>
      <w:bookmarkStart w:id="26" w:name="_Toc15100"/>
      <w:r>
        <w:rPr>
          <w:rFonts w:hint="eastAsia" w:ascii="仿宋" w:hAnsi="仿宋" w:eastAsia="仿宋"/>
          <w:bCs/>
          <w:sz w:val="32"/>
          <w:szCs w:val="32"/>
        </w:rPr>
        <w:t>（二）</w:t>
      </w:r>
      <w:r>
        <w:rPr>
          <w:rFonts w:ascii="仿宋" w:hAnsi="仿宋" w:eastAsia="仿宋"/>
          <w:bCs/>
          <w:sz w:val="32"/>
          <w:szCs w:val="32"/>
        </w:rPr>
        <w:t>20</w:t>
      </w:r>
      <w:r>
        <w:rPr>
          <w:rFonts w:hint="eastAsia" w:ascii="仿宋" w:hAnsi="仿宋" w:eastAsia="仿宋"/>
          <w:bCs/>
          <w:sz w:val="32"/>
          <w:szCs w:val="32"/>
        </w:rPr>
        <w:t>21年重点工作完成情况</w:t>
      </w:r>
      <w:bookmarkEnd w:id="24"/>
      <w:bookmarkEnd w:id="25"/>
      <w:bookmarkEnd w:id="26"/>
    </w:p>
    <w:p>
      <w:pPr>
        <w:pageBreakBefore w:val="0"/>
        <w:kinsoku/>
        <w:wordWrap/>
        <w:overflowPunct/>
        <w:topLinePunct w:val="0"/>
        <w:bidi w:val="0"/>
        <w:spacing w:line="576" w:lineRule="exact"/>
        <w:ind w:firstLine="643" w:firstLineChars="200"/>
        <w:textAlignment w:val="auto"/>
        <w:rPr>
          <w:rStyle w:val="34"/>
          <w:rFonts w:ascii="仿宋" w:hAnsi="仿宋" w:eastAsia="仿宋" w:cs="仿宋"/>
          <w:sz w:val="32"/>
          <w:szCs w:val="32"/>
        </w:rPr>
      </w:pPr>
      <w:r>
        <w:rPr>
          <w:rFonts w:hint="eastAsia" w:ascii="仿宋" w:hAnsi="仿宋" w:eastAsia="仿宋" w:cs="仿宋"/>
          <w:b/>
          <w:bCs/>
          <w:color w:val="000000"/>
          <w:sz w:val="32"/>
          <w:szCs w:val="32"/>
        </w:rPr>
        <w:t>1.抓党建，带队伍，发展格局显著优化。</w:t>
      </w:r>
      <w:r>
        <w:rPr>
          <w:rStyle w:val="34"/>
          <w:rFonts w:hint="eastAsia" w:ascii="仿宋" w:hAnsi="仿宋" w:eastAsia="仿宋" w:cs="仿宋"/>
          <w:b/>
          <w:bCs/>
          <w:sz w:val="32"/>
          <w:szCs w:val="32"/>
        </w:rPr>
        <w:t>一是强根固本，学思践悟下实功。</w:t>
      </w:r>
      <w:r>
        <w:rPr>
          <w:rStyle w:val="34"/>
          <w:rFonts w:hint="eastAsia" w:ascii="仿宋" w:hAnsi="仿宋" w:eastAsia="仿宋" w:cs="仿宋"/>
          <w:sz w:val="32"/>
          <w:szCs w:val="32"/>
        </w:rPr>
        <w:t>创新开展“统计业务通”大学习活动，得到省、市统计局、县委组织部领导的充分肯定并大力推广，目前已开展三十五讲。持续强化党史学习教育，班子成员讲授党史18次、召开中心组（扩大）会议14次、县级挂包领导讲授党课4次、组织观看爱国主义影片60余人次、组织全局干部职工到通川区参观红色革命教育基地张爱萍故居、联合讲治社区党支部开展“党史学习教育+住户调查业务培训”党建联建活动，以此不断提升统计队伍的政治素养和业务能力。</w:t>
      </w:r>
      <w:r>
        <w:rPr>
          <w:rStyle w:val="34"/>
          <w:rFonts w:hint="eastAsia" w:ascii="仿宋" w:hAnsi="仿宋" w:eastAsia="仿宋" w:cs="仿宋"/>
          <w:b/>
          <w:bCs/>
          <w:sz w:val="32"/>
          <w:szCs w:val="32"/>
        </w:rPr>
        <w:t>二是提档升级，创新方式添活力。</w:t>
      </w:r>
      <w:r>
        <w:rPr>
          <w:rFonts w:hint="eastAsia" w:ascii="仿宋" w:hAnsi="仿宋" w:eastAsia="仿宋" w:cs="仿宋"/>
          <w:bCs/>
          <w:color w:val="000000"/>
          <w:sz w:val="32"/>
          <w:szCs w:val="32"/>
        </w:rPr>
        <w:t>创新建立了周例会、工作周清单式推进法、值周领导“123”工作法、单位“五心工作管理法”等制度方法，为有力、有序、有效推进工作奠定了坚实的基础。</w:t>
      </w:r>
      <w:r>
        <w:rPr>
          <w:rStyle w:val="34"/>
          <w:rFonts w:hint="eastAsia" w:ascii="仿宋" w:hAnsi="仿宋" w:eastAsia="仿宋" w:cs="仿宋"/>
          <w:b/>
          <w:bCs/>
          <w:sz w:val="32"/>
          <w:szCs w:val="32"/>
        </w:rPr>
        <w:t>三是学以致用，互动交流优服务。</w:t>
      </w:r>
      <w:r>
        <w:rPr>
          <w:rStyle w:val="34"/>
          <w:rFonts w:hint="eastAsia" w:ascii="仿宋" w:hAnsi="仿宋" w:eastAsia="仿宋" w:cs="仿宋"/>
          <w:sz w:val="32"/>
          <w:szCs w:val="32"/>
        </w:rPr>
        <w:t>采取“请进来、走出去”的方式开展学习交流。省调查总队副总队长李诗刚、省统计局副局长陈智、一级调研员马建平、贸经处处长余学英等先后来开调研工作；攀枝花市、米易县统计局等多个市州县市区赴开江考察学习统计基层基础工作；成功举办“万达开（云）”川渝统筹发展示范区统计监测制度研讨会。多次赴省统计局、泸州市、开州区等统计局交流学习先进经验做法，并予以借鉴和实践推广。</w:t>
      </w:r>
    </w:p>
    <w:p>
      <w:pPr>
        <w:pageBreakBefore w:val="0"/>
        <w:kinsoku/>
        <w:wordWrap/>
        <w:overflowPunct/>
        <w:topLinePunct w:val="0"/>
        <w:bidi w:val="0"/>
        <w:spacing w:line="576" w:lineRule="exact"/>
        <w:ind w:firstLine="643" w:firstLineChars="200"/>
        <w:textAlignment w:val="auto"/>
        <w:rPr>
          <w:rStyle w:val="34"/>
          <w:rFonts w:ascii="仿宋" w:hAnsi="仿宋" w:eastAsia="仿宋" w:cs="仿宋"/>
          <w:sz w:val="32"/>
          <w:szCs w:val="32"/>
        </w:rPr>
      </w:pPr>
      <w:r>
        <w:rPr>
          <w:rStyle w:val="34"/>
          <w:rFonts w:hint="eastAsia" w:ascii="仿宋" w:hAnsi="仿宋" w:eastAsia="仿宋" w:cs="仿宋"/>
          <w:b/>
          <w:sz w:val="32"/>
          <w:szCs w:val="32"/>
        </w:rPr>
        <w:t>2.抓预警、重研判，统计服务提质增效。一是在预判上抓“早”，健全联动机制。</w:t>
      </w:r>
      <w:r>
        <w:rPr>
          <w:rStyle w:val="34"/>
          <w:rFonts w:hint="eastAsia" w:ascii="仿宋" w:hAnsi="仿宋" w:eastAsia="仿宋" w:cs="仿宋"/>
          <w:sz w:val="32"/>
          <w:szCs w:val="32"/>
        </w:rPr>
        <w:t>每月对经济运行情况预研预判，遇到指标异动及时预警，积极承办全县经济形势分析等会议近20次，各类培训会20余次，涉及企业100余家，网点10余个，覆盖600余人次。时刻与行业主管部门保持信息共享、形成合力、共商发展大计，严格落实 “事前预测、事中预警、事后分析”工作机制，对经济整个运行态势及时精准分析研判，科学应对。</w:t>
      </w:r>
      <w:r>
        <w:rPr>
          <w:rStyle w:val="34"/>
          <w:rFonts w:hint="eastAsia" w:ascii="仿宋" w:hAnsi="仿宋" w:eastAsia="仿宋" w:cs="仿宋"/>
          <w:b/>
          <w:sz w:val="32"/>
          <w:szCs w:val="32"/>
        </w:rPr>
        <w:t>二是在监测上抓“准”，健全监督机制。</w:t>
      </w:r>
      <w:r>
        <w:rPr>
          <w:rStyle w:val="34"/>
          <w:rFonts w:hint="eastAsia" w:ascii="仿宋" w:hAnsi="仿宋" w:eastAsia="仿宋" w:cs="仿宋"/>
          <w:sz w:val="32"/>
          <w:szCs w:val="32"/>
        </w:rPr>
        <w:t>进一步强化统计监测责任，每月对“联网直报企业”报表及平台异动情况、住户记账情况、乡镇样方粮食生产情况、畜禽养殖大户生产情况等随时监测，做到问题早发现、早谋划、早解决。</w:t>
      </w:r>
      <w:r>
        <w:rPr>
          <w:rStyle w:val="34"/>
          <w:rFonts w:hint="eastAsia" w:ascii="仿宋" w:hAnsi="仿宋" w:eastAsia="仿宋" w:cs="仿宋"/>
          <w:b/>
          <w:sz w:val="32"/>
          <w:szCs w:val="32"/>
        </w:rPr>
        <w:t>三是在分析上抓“深”，健全长效机制。</w:t>
      </w:r>
      <w:r>
        <w:rPr>
          <w:rStyle w:val="34"/>
          <w:rFonts w:hint="eastAsia" w:ascii="仿宋" w:hAnsi="仿宋" w:eastAsia="仿宋" w:cs="仿宋"/>
          <w:sz w:val="32"/>
          <w:szCs w:val="32"/>
        </w:rPr>
        <w:t>利用《统计专报》《数说开江》《领导干部手册》《统计简报》《统计公报》等产品精准对统计数据进行全面分析，不断提升统计分析的站位高度、研判精度、质量深度，使统计数据活起来、亮起来，为推动全县经济高质量发展提供统计支撑和决策参考。今年共撰写编送《统计专报》16期，各类分析、报告50余篇，工作动态300余篇，近10篇专报获得县委、县政府主要领导肯定性批示。</w:t>
      </w:r>
    </w:p>
    <w:p>
      <w:pPr>
        <w:pageBreakBefore w:val="0"/>
        <w:kinsoku/>
        <w:wordWrap/>
        <w:overflowPunct/>
        <w:topLinePunct w:val="0"/>
        <w:bidi w:val="0"/>
        <w:spacing w:line="576" w:lineRule="exact"/>
        <w:ind w:firstLine="611" w:firstLineChars="200"/>
        <w:textAlignment w:val="auto"/>
        <w:rPr>
          <w:rFonts w:ascii="仿宋" w:hAnsi="仿宋" w:eastAsia="仿宋" w:cs="仿宋"/>
          <w:sz w:val="32"/>
          <w:szCs w:val="32"/>
        </w:rPr>
      </w:pPr>
      <w:r>
        <w:rPr>
          <w:rFonts w:hint="eastAsia" w:ascii="仿宋" w:hAnsi="仿宋" w:eastAsia="仿宋" w:cs="仿宋"/>
          <w:b/>
          <w:w w:val="95"/>
          <w:sz w:val="32"/>
          <w:szCs w:val="32"/>
        </w:rPr>
        <w:t>3.定目标，明方向，经济数据常抓不懈。</w:t>
      </w:r>
      <w:r>
        <w:rPr>
          <w:rFonts w:hint="eastAsia" w:ascii="仿宋" w:hAnsi="仿宋" w:eastAsia="仿宋" w:cs="仿宋"/>
          <w:b/>
          <w:bCs/>
          <w:sz w:val="32"/>
          <w:szCs w:val="32"/>
        </w:rPr>
        <w:t>一是科学谋划，确保完成全年经济社会发展目标任务。</w:t>
      </w:r>
      <w:r>
        <w:rPr>
          <w:rFonts w:hint="eastAsia" w:ascii="仿宋" w:hAnsi="仿宋" w:eastAsia="仿宋" w:cs="仿宋"/>
          <w:sz w:val="32"/>
          <w:szCs w:val="32"/>
        </w:rPr>
        <w:t>根据市委、市政府下达任务目标，结合宏观经济形势和开江发展实际，我局科学研判，为县委、县政府提出建议任务目标。</w:t>
      </w:r>
      <w:r>
        <w:rPr>
          <w:rFonts w:hint="eastAsia" w:ascii="仿宋" w:hAnsi="仿宋" w:eastAsia="仿宋" w:cs="仿宋"/>
          <w:b/>
          <w:bCs/>
          <w:sz w:val="32"/>
          <w:szCs w:val="32"/>
        </w:rPr>
        <w:t>二是锚准重心，狠抓“四上一新”企业培育和升规入统工作。</w:t>
      </w:r>
      <w:r>
        <w:rPr>
          <w:rFonts w:hint="eastAsia" w:ascii="仿宋" w:hAnsi="仿宋" w:eastAsia="仿宋" w:cs="仿宋"/>
          <w:sz w:val="32"/>
          <w:szCs w:val="32"/>
        </w:rPr>
        <w:t>①组建专班，常态推进，实行周调度机制。②摸清底数，形成清单。分类形成规上企业名单、临规企业名单、达规个体名单“三张清单”，做到底子清、情况明、对策准。③明确目标，分解任务。</w:t>
      </w:r>
      <w:r>
        <w:rPr>
          <w:rFonts w:hint="eastAsia" w:ascii="仿宋" w:hAnsi="仿宋" w:eastAsia="仿宋" w:cs="仿宋"/>
          <w:b/>
          <w:bCs/>
          <w:sz w:val="32"/>
          <w:szCs w:val="32"/>
        </w:rPr>
        <w:t>三是精准发力，狠抓固定资产投资入库工作。</w:t>
      </w:r>
      <w:r>
        <w:rPr>
          <w:rFonts w:hint="eastAsia" w:ascii="仿宋" w:hAnsi="仿宋" w:eastAsia="仿宋" w:cs="仿宋"/>
          <w:sz w:val="32"/>
          <w:szCs w:val="32"/>
        </w:rPr>
        <w:t>①</w:t>
      </w:r>
      <w:r>
        <w:rPr>
          <w:rFonts w:hint="eastAsia" w:ascii="仿宋" w:hAnsi="仿宋" w:eastAsia="仿宋" w:cs="仿宋"/>
          <w:b/>
          <w:bCs/>
          <w:sz w:val="32"/>
          <w:szCs w:val="32"/>
        </w:rPr>
        <w:t>加强会商衔接沟通。</w:t>
      </w:r>
      <w:r>
        <w:rPr>
          <w:rFonts w:hint="eastAsia" w:ascii="仿宋" w:hAnsi="仿宋" w:eastAsia="仿宋" w:cs="仿宋"/>
          <w:sz w:val="32"/>
          <w:szCs w:val="32"/>
        </w:rPr>
        <w:t>与主管部门召开会商衔接会议10余次，主要针对如何提高入库资料质量进行商讨、查短板、添举措、谋思路。②</w:t>
      </w:r>
      <w:r>
        <w:rPr>
          <w:rFonts w:hint="eastAsia" w:ascii="仿宋" w:hAnsi="仿宋" w:eastAsia="仿宋" w:cs="仿宋"/>
          <w:b/>
          <w:bCs/>
          <w:sz w:val="32"/>
          <w:szCs w:val="32"/>
        </w:rPr>
        <w:t>周周开展报数倒逼。</w:t>
      </w:r>
      <w:r>
        <w:rPr>
          <w:rFonts w:hint="eastAsia" w:ascii="仿宋" w:hAnsi="仿宋" w:eastAsia="仿宋" w:cs="仿宋"/>
          <w:sz w:val="32"/>
          <w:szCs w:val="32"/>
        </w:rPr>
        <w:t>与发改局互联共通，对涉及县级部门、各乡镇采取周周催报，提高报数进度。③</w:t>
      </w:r>
      <w:r>
        <w:rPr>
          <w:rFonts w:hint="eastAsia" w:ascii="仿宋" w:hAnsi="仿宋" w:eastAsia="仿宋" w:cs="仿宋"/>
          <w:b/>
          <w:bCs/>
          <w:sz w:val="32"/>
          <w:szCs w:val="32"/>
        </w:rPr>
        <w:t>严格审核提高质量。</w:t>
      </w:r>
      <w:r>
        <w:rPr>
          <w:rFonts w:hint="eastAsia" w:ascii="仿宋" w:hAnsi="仿宋" w:eastAsia="仿宋" w:cs="仿宋"/>
          <w:sz w:val="32"/>
          <w:szCs w:val="32"/>
        </w:rPr>
        <w:t>对不合格的资料坚决返回、及时整改，提高上报资料被市、省认可度。</w:t>
      </w:r>
    </w:p>
    <w:p>
      <w:pPr>
        <w:pStyle w:val="3"/>
        <w:keepNext/>
        <w:keepLines/>
        <w:pageBreakBefore w:val="0"/>
        <w:widowControl w:val="0"/>
        <w:kinsoku/>
        <w:wordWrap/>
        <w:overflowPunct/>
        <w:topLinePunct w:val="0"/>
        <w:autoSpaceDE/>
        <w:autoSpaceDN/>
        <w:bidi w:val="0"/>
        <w:adjustRightInd/>
        <w:snapToGrid/>
        <w:spacing w:line="576" w:lineRule="exact"/>
        <w:ind w:firstLine="640" w:firstLineChars="200"/>
        <w:textAlignment w:val="auto"/>
        <w:rPr>
          <w:rStyle w:val="27"/>
          <w:b w:val="0"/>
          <w:bCs w:val="0"/>
        </w:rPr>
      </w:pPr>
      <w:bookmarkStart w:id="27" w:name="_Toc15396601"/>
      <w:bookmarkStart w:id="28" w:name="_Toc15377200"/>
      <w:bookmarkStart w:id="29" w:name="_Toc7788"/>
      <w:r>
        <w:rPr>
          <w:rFonts w:hint="eastAsia" w:ascii="黑体" w:eastAsia="黑体"/>
          <w:b w:val="0"/>
        </w:rPr>
        <w:t>二、</w:t>
      </w:r>
      <w:r>
        <w:rPr>
          <w:rFonts w:hint="eastAsia" w:ascii="黑体" w:hAnsi="黑体" w:eastAsia="黑体"/>
          <w:b w:val="0"/>
        </w:rPr>
        <w:t>机</w:t>
      </w:r>
      <w:r>
        <w:rPr>
          <w:rStyle w:val="27"/>
          <w:rFonts w:hint="eastAsia" w:ascii="黑体" w:hAnsi="黑体" w:eastAsia="黑体"/>
          <w:b w:val="0"/>
          <w:bCs w:val="0"/>
        </w:rPr>
        <w:t>构设置</w:t>
      </w:r>
      <w:bookmarkEnd w:id="27"/>
      <w:bookmarkEnd w:id="28"/>
      <w:bookmarkEnd w:id="29"/>
    </w:p>
    <w:p>
      <w:pPr>
        <w:pageBreakBefore w:val="0"/>
        <w:kinsoku/>
        <w:wordWrap/>
        <w:overflowPunct/>
        <w:topLinePunct w:val="0"/>
        <w:bidi w:val="0"/>
        <w:spacing w:line="576" w:lineRule="exact"/>
        <w:ind w:firstLine="800" w:firstLineChars="250"/>
        <w:textAlignment w:val="auto"/>
        <w:rPr>
          <w:rFonts w:ascii="仿宋" w:hAnsi="仿宋" w:eastAsia="仿宋"/>
          <w:sz w:val="32"/>
          <w:szCs w:val="32"/>
        </w:rPr>
      </w:pPr>
      <w:r>
        <w:rPr>
          <w:rFonts w:hint="eastAsia" w:ascii="仿宋" w:hAnsi="仿宋" w:eastAsia="仿宋"/>
          <w:sz w:val="32"/>
          <w:szCs w:val="32"/>
        </w:rPr>
        <w:t>开江县统计局</w:t>
      </w:r>
      <w:r>
        <w:rPr>
          <w:rFonts w:hint="eastAsia" w:ascii="仿宋" w:hAnsi="仿宋" w:eastAsia="仿宋" w:cs="仿宋"/>
          <w:sz w:val="32"/>
          <w:szCs w:val="32"/>
        </w:rPr>
        <w:t>县统计局内设办公室（增挂行政审批股牌子）、综合农经股、工交投资股、商贸社会股、统计执法监督股（对外挂开江县统计执法监督大队）5个股室。</w:t>
      </w:r>
      <w:r>
        <w:rPr>
          <w:rFonts w:hint="eastAsia" w:ascii="仿宋" w:hAnsi="仿宋" w:eastAsia="仿宋"/>
          <w:sz w:val="32"/>
          <w:szCs w:val="32"/>
        </w:rPr>
        <w:t>下属二级单位4个，其中行政单位0个；参照公务员法管理的事业单位</w:t>
      </w:r>
      <w:r>
        <w:rPr>
          <w:rFonts w:hint="eastAsia" w:ascii="仿宋" w:hAnsi="仿宋" w:eastAsia="仿宋"/>
          <w:bCs/>
          <w:sz w:val="32"/>
          <w:szCs w:val="32"/>
        </w:rPr>
        <w:t>2</w:t>
      </w:r>
      <w:r>
        <w:rPr>
          <w:rFonts w:hint="eastAsia" w:ascii="仿宋" w:hAnsi="仿宋" w:eastAsia="仿宋"/>
          <w:sz w:val="32"/>
          <w:szCs w:val="32"/>
        </w:rPr>
        <w:t>个，即</w:t>
      </w:r>
      <w:r>
        <w:rPr>
          <w:rFonts w:hint="eastAsia" w:ascii="仿宋" w:hAnsi="仿宋" w:eastAsia="仿宋" w:cs="仿宋"/>
          <w:sz w:val="32"/>
          <w:szCs w:val="32"/>
        </w:rPr>
        <w:t xml:space="preserve">开江县城乡社会经济调查队和开江县普查中心； </w:t>
      </w:r>
      <w:r>
        <w:rPr>
          <w:rFonts w:hint="eastAsia" w:ascii="仿宋" w:hAnsi="仿宋" w:eastAsia="仿宋"/>
          <w:sz w:val="32"/>
          <w:szCs w:val="32"/>
        </w:rPr>
        <w:t>其他事业单位2个，即</w:t>
      </w:r>
      <w:r>
        <w:rPr>
          <w:rFonts w:hint="eastAsia" w:ascii="仿宋" w:hAnsi="仿宋" w:eastAsia="仿宋" w:cs="仿宋"/>
          <w:sz w:val="32"/>
          <w:szCs w:val="32"/>
        </w:rPr>
        <w:t>开江县服务业和能源统计监测中心和开江县统计大数据中心（增挂开江县社情民意调查中心牌子）。</w:t>
      </w:r>
    </w:p>
    <w:p>
      <w:pPr>
        <w:pStyle w:val="5"/>
        <w:pageBreakBefore w:val="0"/>
        <w:kinsoku/>
        <w:wordWrap/>
        <w:overflowPunct/>
        <w:topLinePunct w:val="0"/>
        <w:bidi w:val="0"/>
        <w:adjustRightInd w:val="0"/>
        <w:snapToGrid w:val="0"/>
        <w:spacing w:before="93" w:line="576" w:lineRule="exact"/>
        <w:ind w:firstLine="672" w:firstLineChars="210"/>
        <w:textAlignment w:val="auto"/>
        <w:rPr>
          <w:rFonts w:ascii="仿宋" w:hAnsi="仿宋" w:eastAsia="仿宋"/>
          <w:sz w:val="32"/>
          <w:szCs w:val="32"/>
        </w:rPr>
      </w:pPr>
      <w:r>
        <w:rPr>
          <w:rFonts w:hint="eastAsia" w:ascii="仿宋" w:hAnsi="仿宋" w:eastAsia="仿宋"/>
          <w:sz w:val="32"/>
          <w:szCs w:val="32"/>
        </w:rPr>
        <w:t>无纳入开江</w:t>
      </w:r>
      <w:r>
        <w:rPr>
          <w:rFonts w:ascii="仿宋" w:hAnsi="仿宋" w:eastAsia="仿宋"/>
          <w:sz w:val="32"/>
          <w:szCs w:val="32"/>
        </w:rPr>
        <w:t>县统计局</w:t>
      </w:r>
      <w:r>
        <w:rPr>
          <w:rFonts w:hint="eastAsia" w:ascii="仿宋" w:hAnsi="仿宋" w:eastAsia="仿宋"/>
          <w:sz w:val="32"/>
          <w:szCs w:val="32"/>
        </w:rPr>
        <w:t>2021年度部门决算编制范围的二级预算单位。</w:t>
      </w:r>
    </w:p>
    <w:p>
      <w:pPr>
        <w:pageBreakBefore w:val="0"/>
        <w:widowControl/>
        <w:kinsoku/>
        <w:wordWrap/>
        <w:overflowPunct/>
        <w:topLinePunct w:val="0"/>
        <w:bidi w:val="0"/>
        <w:spacing w:line="576" w:lineRule="exact"/>
        <w:jc w:val="left"/>
        <w:textAlignment w:val="auto"/>
        <w:rPr>
          <w:rFonts w:hint="eastAsia"/>
        </w:rPr>
      </w:pPr>
      <w:r>
        <w:rPr>
          <w:rFonts w:ascii="仿宋" w:hAnsi="仿宋" w:eastAsia="仿宋"/>
          <w:sz w:val="32"/>
          <w:szCs w:val="32"/>
        </w:rPr>
        <w:br w:type="page"/>
      </w:r>
      <w:bookmarkStart w:id="30" w:name="_Toc25145"/>
      <w:bookmarkStart w:id="31" w:name="_Toc15377204"/>
      <w:bookmarkStart w:id="32" w:name="_Toc15396602"/>
    </w:p>
    <w:p>
      <w:pPr>
        <w:pStyle w:val="2"/>
        <w:pageBreakBefore w:val="0"/>
        <w:kinsoku/>
        <w:wordWrap/>
        <w:overflowPunct/>
        <w:topLinePunct w:val="0"/>
        <w:bidi w:val="0"/>
        <w:spacing w:line="576" w:lineRule="exact"/>
        <w:jc w:val="center"/>
        <w:textAlignment w:val="auto"/>
      </w:pPr>
      <w:r>
        <w:rPr>
          <w:rFonts w:hint="eastAsia"/>
        </w:rPr>
        <w:t>第二部分 2021年度部门决算情况说明</w:t>
      </w:r>
      <w:bookmarkEnd w:id="30"/>
      <w:bookmarkEnd w:id="31"/>
      <w:bookmarkEnd w:id="32"/>
    </w:p>
    <w:p>
      <w:pPr>
        <w:pageBreakBefore w:val="0"/>
        <w:kinsoku/>
        <w:wordWrap/>
        <w:overflowPunct/>
        <w:topLinePunct w:val="0"/>
        <w:bidi w:val="0"/>
        <w:spacing w:line="576" w:lineRule="exact"/>
        <w:textAlignment w:val="auto"/>
      </w:pPr>
    </w:p>
    <w:p>
      <w:pPr>
        <w:pStyle w:val="25"/>
        <w:pageBreakBefore w:val="0"/>
        <w:numPr>
          <w:ilvl w:val="0"/>
          <w:numId w:val="1"/>
        </w:numPr>
        <w:kinsoku/>
        <w:wordWrap/>
        <w:overflowPunct/>
        <w:topLinePunct w:val="0"/>
        <w:bidi w:val="0"/>
        <w:spacing w:line="576" w:lineRule="exact"/>
        <w:ind w:firstLineChars="0"/>
        <w:textAlignment w:val="auto"/>
        <w:outlineLvl w:val="1"/>
        <w:rPr>
          <w:rStyle w:val="27"/>
          <w:rFonts w:ascii="黑体" w:hAnsi="黑体" w:eastAsia="黑体"/>
          <w:b w:val="0"/>
        </w:rPr>
      </w:pPr>
      <w:bookmarkStart w:id="33" w:name="_Toc15396603"/>
      <w:bookmarkStart w:id="34" w:name="_Toc15377205"/>
      <w:bookmarkStart w:id="35" w:name="_Toc17514"/>
      <w:r>
        <w:rPr>
          <w:rFonts w:hint="eastAsia" w:ascii="黑体" w:hAnsi="黑体" w:eastAsia="黑体"/>
          <w:sz w:val="32"/>
          <w:szCs w:val="32"/>
        </w:rPr>
        <w:t>收</w:t>
      </w:r>
      <w:r>
        <w:rPr>
          <w:rStyle w:val="27"/>
          <w:rFonts w:hint="eastAsia" w:ascii="黑体" w:hAnsi="黑体" w:eastAsia="黑体"/>
          <w:b w:val="0"/>
        </w:rPr>
        <w:t>入支出决算总体情况说明</w:t>
      </w:r>
      <w:bookmarkEnd w:id="33"/>
      <w:bookmarkEnd w:id="34"/>
      <w:bookmarkEnd w:id="35"/>
    </w:p>
    <w:p>
      <w:pPr>
        <w:pageBreakBefore w:val="0"/>
        <w:kinsoku/>
        <w:wordWrap/>
        <w:overflowPunct/>
        <w:topLinePunct w:val="0"/>
        <w:bidi w:val="0"/>
        <w:spacing w:line="576" w:lineRule="exact"/>
        <w:ind w:firstLine="640" w:firstLineChars="200"/>
        <w:textAlignment w:val="auto"/>
        <w:rPr>
          <w:rFonts w:ascii="仿宋" w:hAnsi="仿宋" w:eastAsia="仿宋"/>
          <w:sz w:val="32"/>
          <w:szCs w:val="32"/>
        </w:rPr>
      </w:pPr>
      <w:r>
        <w:rPr>
          <w:rFonts w:hint="eastAsia" w:ascii="仿宋" w:hAnsi="仿宋" w:eastAsia="仿宋"/>
          <w:sz w:val="32"/>
          <w:szCs w:val="32"/>
        </w:rPr>
        <w:t>2021年度收、支总计326.54万元。与2020年相比，收、支总计各减少430.54万元，下降56.87</w:t>
      </w:r>
      <w:r>
        <w:rPr>
          <w:rFonts w:ascii="仿宋" w:hAnsi="仿宋" w:eastAsia="仿宋"/>
          <w:sz w:val="32"/>
          <w:szCs w:val="32"/>
        </w:rPr>
        <w:t>%</w:t>
      </w:r>
      <w:r>
        <w:rPr>
          <w:rFonts w:hint="eastAsia" w:ascii="仿宋" w:hAnsi="仿宋" w:eastAsia="仿宋"/>
          <w:sz w:val="32"/>
          <w:szCs w:val="32"/>
        </w:rPr>
        <w:t>。主要变动原因是</w:t>
      </w:r>
    </w:p>
    <w:p>
      <w:pPr>
        <w:pageBreakBefore w:val="0"/>
        <w:kinsoku/>
        <w:wordWrap/>
        <w:overflowPunct/>
        <w:topLinePunct w:val="0"/>
        <w:bidi w:val="0"/>
        <w:spacing w:line="576" w:lineRule="exact"/>
        <w:textAlignment w:val="auto"/>
        <w:rPr>
          <w:rFonts w:ascii="仿宋" w:hAnsi="仿宋" w:eastAsia="仿宋" w:cs="仿宋"/>
          <w:sz w:val="32"/>
          <w:szCs w:val="32"/>
        </w:rPr>
      </w:pPr>
      <w:r>
        <w:rPr>
          <w:rFonts w:hint="eastAsia" w:ascii="仿宋" w:hAnsi="仿宋" w:eastAsia="仿宋" w:cs="仿宋"/>
          <w:sz w:val="32"/>
          <w:szCs w:val="32"/>
        </w:rPr>
        <w:t>2020年正在开展第七次全国人口普查工作，需要大量经费保障工作顺利进行。</w:t>
      </w:r>
    </w:p>
    <w:p>
      <w:pPr>
        <w:pStyle w:val="25"/>
        <w:pageBreakBefore w:val="0"/>
        <w:numPr>
          <w:ilvl w:val="0"/>
          <w:numId w:val="1"/>
        </w:numPr>
        <w:kinsoku/>
        <w:wordWrap/>
        <w:overflowPunct/>
        <w:topLinePunct w:val="0"/>
        <w:bidi w:val="0"/>
        <w:spacing w:line="576" w:lineRule="exact"/>
        <w:ind w:firstLineChars="0"/>
        <w:textAlignment w:val="auto"/>
        <w:outlineLvl w:val="1"/>
        <w:rPr>
          <w:rStyle w:val="27"/>
          <w:rFonts w:ascii="黑体" w:hAnsi="黑体" w:eastAsia="黑体"/>
          <w:b w:val="0"/>
        </w:rPr>
      </w:pPr>
      <w:bookmarkStart w:id="36" w:name="_Toc27966"/>
      <w:bookmarkStart w:id="37" w:name="_Toc15377206"/>
      <w:bookmarkStart w:id="38" w:name="_Toc15396604"/>
      <w:r>
        <w:rPr>
          <w:rFonts w:hint="eastAsia" w:ascii="黑体" w:hAnsi="黑体" w:eastAsia="黑体"/>
          <w:sz w:val="32"/>
          <w:szCs w:val="32"/>
        </w:rPr>
        <w:t>收</w:t>
      </w:r>
      <w:r>
        <w:rPr>
          <w:rStyle w:val="27"/>
          <w:rFonts w:hint="eastAsia" w:ascii="黑体" w:hAnsi="黑体" w:eastAsia="黑体"/>
          <w:b w:val="0"/>
        </w:rPr>
        <w:t>入决算情况说明</w:t>
      </w:r>
      <w:bookmarkEnd w:id="36"/>
      <w:bookmarkEnd w:id="37"/>
      <w:bookmarkEnd w:id="38"/>
    </w:p>
    <w:p>
      <w:pPr>
        <w:pageBreakBefore w:val="0"/>
        <w:kinsoku/>
        <w:wordWrap/>
        <w:overflowPunct/>
        <w:topLinePunct w:val="0"/>
        <w:bidi w:val="0"/>
        <w:spacing w:line="576" w:lineRule="exact"/>
        <w:ind w:firstLine="640" w:firstLineChars="200"/>
        <w:textAlignment w:val="auto"/>
        <w:outlineLvl w:val="1"/>
        <w:rPr>
          <w:rFonts w:ascii="仿宋" w:hAnsi="仿宋" w:eastAsia="仿宋"/>
          <w:b/>
          <w:sz w:val="32"/>
          <w:szCs w:val="32"/>
        </w:rPr>
      </w:pPr>
      <w:bookmarkStart w:id="39" w:name="_Toc15357"/>
      <w:r>
        <w:rPr>
          <w:rFonts w:ascii="仿宋" w:hAnsi="仿宋" w:eastAsia="仿宋"/>
          <w:sz w:val="32"/>
          <w:szCs w:val="32"/>
        </w:rPr>
        <w:t>20</w:t>
      </w:r>
      <w:r>
        <w:rPr>
          <w:rFonts w:hint="eastAsia" w:ascii="仿宋" w:hAnsi="仿宋" w:eastAsia="仿宋"/>
          <w:sz w:val="32"/>
          <w:szCs w:val="32"/>
        </w:rPr>
        <w:t>21年本年收入合计306.54万元，其中：一般公共预算财政拨款收入306.54万元，占100</w:t>
      </w:r>
      <w:r>
        <w:rPr>
          <w:rFonts w:ascii="仿宋" w:hAnsi="仿宋" w:eastAsia="仿宋"/>
          <w:sz w:val="32"/>
          <w:szCs w:val="32"/>
        </w:rPr>
        <w:t>%</w:t>
      </w:r>
      <w:r>
        <w:rPr>
          <w:rFonts w:hint="eastAsia" w:ascii="仿宋" w:hAnsi="仿宋" w:eastAsia="仿宋"/>
          <w:sz w:val="32"/>
          <w:szCs w:val="32"/>
        </w:rPr>
        <w:t>。</w:t>
      </w:r>
      <w:bookmarkEnd w:id="39"/>
      <w:r>
        <w:rPr>
          <w:rFonts w:ascii="仿宋" w:hAnsi="仿宋" w:eastAsia="仿宋"/>
          <w:b/>
          <w:sz w:val="32"/>
          <w:szCs w:val="32"/>
        </w:rPr>
        <w:t xml:space="preserve"> </w:t>
      </w:r>
    </w:p>
    <w:p>
      <w:pPr>
        <w:pStyle w:val="25"/>
        <w:pageBreakBefore w:val="0"/>
        <w:numPr>
          <w:ilvl w:val="0"/>
          <w:numId w:val="1"/>
        </w:numPr>
        <w:kinsoku/>
        <w:wordWrap/>
        <w:overflowPunct/>
        <w:topLinePunct w:val="0"/>
        <w:bidi w:val="0"/>
        <w:spacing w:line="576" w:lineRule="exact"/>
        <w:ind w:firstLineChars="0"/>
        <w:textAlignment w:val="auto"/>
        <w:outlineLvl w:val="1"/>
        <w:rPr>
          <w:rStyle w:val="27"/>
          <w:rFonts w:ascii="黑体" w:hAnsi="黑体" w:eastAsia="黑体"/>
          <w:b w:val="0"/>
        </w:rPr>
      </w:pPr>
      <w:bookmarkStart w:id="40" w:name="_Toc15396605"/>
      <w:bookmarkStart w:id="41" w:name="_Toc15377207"/>
      <w:bookmarkStart w:id="42" w:name="_Toc3519"/>
      <w:r>
        <w:rPr>
          <w:rFonts w:hint="eastAsia" w:ascii="黑体" w:hAnsi="黑体" w:eastAsia="黑体"/>
          <w:sz w:val="32"/>
          <w:szCs w:val="32"/>
        </w:rPr>
        <w:t>支</w:t>
      </w:r>
      <w:r>
        <w:rPr>
          <w:rStyle w:val="27"/>
          <w:rFonts w:hint="eastAsia" w:ascii="黑体" w:hAnsi="黑体" w:eastAsia="黑体"/>
          <w:b w:val="0"/>
        </w:rPr>
        <w:t>出决算情况说明</w:t>
      </w:r>
      <w:bookmarkEnd w:id="40"/>
      <w:bookmarkEnd w:id="41"/>
      <w:bookmarkEnd w:id="42"/>
    </w:p>
    <w:p>
      <w:pPr>
        <w:pageBreakBefore w:val="0"/>
        <w:kinsoku/>
        <w:wordWrap/>
        <w:overflowPunct/>
        <w:topLinePunct w:val="0"/>
        <w:bidi w:val="0"/>
        <w:spacing w:line="576" w:lineRule="exact"/>
        <w:ind w:firstLine="640" w:firstLineChars="200"/>
        <w:textAlignment w:val="auto"/>
        <w:outlineLvl w:val="1"/>
        <w:rPr>
          <w:rFonts w:ascii="仿宋" w:hAnsi="仿宋" w:eastAsia="仿宋"/>
          <w:sz w:val="32"/>
          <w:szCs w:val="32"/>
        </w:rPr>
      </w:pPr>
      <w:bookmarkStart w:id="43" w:name="_Toc20840"/>
      <w:r>
        <w:rPr>
          <w:rFonts w:ascii="仿宋" w:hAnsi="仿宋" w:eastAsia="仿宋"/>
          <w:sz w:val="32"/>
          <w:szCs w:val="32"/>
        </w:rPr>
        <w:t>20</w:t>
      </w:r>
      <w:r>
        <w:rPr>
          <w:rFonts w:hint="eastAsia" w:ascii="仿宋" w:hAnsi="仿宋" w:eastAsia="仿宋"/>
          <w:sz w:val="32"/>
          <w:szCs w:val="32"/>
        </w:rPr>
        <w:t>21年本年支出合计326.54万元，其中：基本支出306.54万元，占93.88</w:t>
      </w:r>
      <w:r>
        <w:rPr>
          <w:rFonts w:ascii="仿宋" w:hAnsi="仿宋" w:eastAsia="仿宋"/>
          <w:sz w:val="32"/>
          <w:szCs w:val="32"/>
        </w:rPr>
        <w:t>%</w:t>
      </w:r>
      <w:r>
        <w:rPr>
          <w:rFonts w:hint="eastAsia" w:ascii="仿宋" w:hAnsi="仿宋" w:eastAsia="仿宋"/>
          <w:sz w:val="32"/>
          <w:szCs w:val="32"/>
        </w:rPr>
        <w:t>；项目支出20万元，占6.12</w:t>
      </w:r>
      <w:r>
        <w:rPr>
          <w:rFonts w:ascii="仿宋" w:hAnsi="仿宋" w:eastAsia="仿宋"/>
          <w:sz w:val="32"/>
          <w:szCs w:val="32"/>
        </w:rPr>
        <w:t>%</w:t>
      </w:r>
      <w:r>
        <w:rPr>
          <w:rFonts w:hint="eastAsia" w:ascii="仿宋" w:hAnsi="仿宋" w:eastAsia="仿宋"/>
          <w:sz w:val="32"/>
          <w:szCs w:val="32"/>
        </w:rPr>
        <w:t>。</w:t>
      </w:r>
      <w:bookmarkEnd w:id="43"/>
    </w:p>
    <w:p>
      <w:pPr>
        <w:pageBreakBefore w:val="0"/>
        <w:kinsoku/>
        <w:wordWrap/>
        <w:overflowPunct/>
        <w:topLinePunct w:val="0"/>
        <w:bidi w:val="0"/>
        <w:spacing w:line="576" w:lineRule="exact"/>
        <w:ind w:firstLine="640" w:firstLineChars="200"/>
        <w:textAlignment w:val="auto"/>
        <w:outlineLvl w:val="1"/>
        <w:rPr>
          <w:rStyle w:val="27"/>
          <w:rFonts w:ascii="黑体" w:hAnsi="黑体" w:eastAsia="黑体"/>
          <w:b w:val="0"/>
        </w:rPr>
      </w:pPr>
      <w:bookmarkStart w:id="44" w:name="_Toc15396606"/>
      <w:bookmarkStart w:id="45" w:name="_Toc15377208"/>
      <w:bookmarkStart w:id="46" w:name="_Toc17102"/>
      <w:r>
        <w:rPr>
          <w:rFonts w:hint="eastAsia" w:ascii="黑体" w:hAnsi="黑体" w:eastAsia="黑体"/>
          <w:sz w:val="32"/>
          <w:szCs w:val="32"/>
        </w:rPr>
        <w:t>四、财</w:t>
      </w:r>
      <w:r>
        <w:rPr>
          <w:rStyle w:val="27"/>
          <w:rFonts w:hint="eastAsia" w:ascii="黑体" w:hAnsi="黑体" w:eastAsia="黑体"/>
          <w:b w:val="0"/>
        </w:rPr>
        <w:t>政拨款收入支出决算总体情况说明</w:t>
      </w:r>
      <w:bookmarkEnd w:id="44"/>
      <w:bookmarkEnd w:id="45"/>
      <w:bookmarkEnd w:id="46"/>
    </w:p>
    <w:p>
      <w:pPr>
        <w:pageBreakBefore w:val="0"/>
        <w:kinsoku/>
        <w:wordWrap/>
        <w:overflowPunct/>
        <w:topLinePunct w:val="0"/>
        <w:bidi w:val="0"/>
        <w:spacing w:line="576" w:lineRule="exact"/>
        <w:ind w:firstLine="640" w:firstLineChars="200"/>
        <w:textAlignment w:val="auto"/>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21年财政拨款收、支总计326.54万元。与</w:t>
      </w:r>
      <w:r>
        <w:rPr>
          <w:rFonts w:ascii="仿宋" w:hAnsi="仿宋" w:eastAsia="仿宋"/>
          <w:sz w:val="32"/>
          <w:szCs w:val="32"/>
        </w:rPr>
        <w:t>20</w:t>
      </w:r>
      <w:r>
        <w:rPr>
          <w:rFonts w:hint="eastAsia" w:ascii="仿宋" w:hAnsi="仿宋" w:eastAsia="仿宋"/>
          <w:sz w:val="32"/>
          <w:szCs w:val="32"/>
        </w:rPr>
        <w:t>20年相比，财政拨款收、支总计各减少430.54万元，下降56.87</w:t>
      </w:r>
      <w:r>
        <w:rPr>
          <w:rFonts w:ascii="仿宋" w:hAnsi="仿宋" w:eastAsia="仿宋"/>
          <w:sz w:val="32"/>
          <w:szCs w:val="32"/>
        </w:rPr>
        <w:t>%</w:t>
      </w:r>
      <w:r>
        <w:rPr>
          <w:rFonts w:hint="eastAsia" w:ascii="仿宋" w:hAnsi="仿宋" w:eastAsia="仿宋"/>
          <w:sz w:val="32"/>
          <w:szCs w:val="32"/>
        </w:rPr>
        <w:t>。主要变动原因是</w:t>
      </w:r>
      <w:r>
        <w:rPr>
          <w:rFonts w:hint="eastAsia" w:ascii="仿宋" w:hAnsi="仿宋" w:eastAsia="仿宋" w:cs="仿宋"/>
          <w:sz w:val="32"/>
          <w:szCs w:val="32"/>
        </w:rPr>
        <w:t>2020年正在开展第七次全国人口普查工作，需要大量经费保障工作顺利进行。</w:t>
      </w:r>
    </w:p>
    <w:p>
      <w:pPr>
        <w:pageBreakBefore w:val="0"/>
        <w:kinsoku/>
        <w:wordWrap/>
        <w:overflowPunct/>
        <w:topLinePunct w:val="0"/>
        <w:bidi w:val="0"/>
        <w:spacing w:line="576" w:lineRule="exact"/>
        <w:ind w:firstLine="640" w:firstLineChars="200"/>
        <w:textAlignment w:val="auto"/>
        <w:outlineLvl w:val="1"/>
        <w:rPr>
          <w:rStyle w:val="27"/>
          <w:rFonts w:ascii="黑体" w:hAnsi="黑体" w:eastAsia="黑体"/>
          <w:b w:val="0"/>
        </w:rPr>
      </w:pPr>
      <w:bookmarkStart w:id="47" w:name="_Toc15396607"/>
      <w:bookmarkStart w:id="48" w:name="_Toc15377209"/>
      <w:bookmarkStart w:id="49" w:name="_Toc17387"/>
      <w:r>
        <w:rPr>
          <w:rFonts w:hint="eastAsia" w:ascii="黑体" w:hAnsi="黑体" w:eastAsia="黑体"/>
          <w:sz w:val="32"/>
          <w:szCs w:val="32"/>
        </w:rPr>
        <w:t>五、</w:t>
      </w:r>
      <w:r>
        <w:rPr>
          <w:rFonts w:hint="eastAsia" w:ascii="黑体" w:hAnsi="黑体" w:eastAsia="黑体"/>
          <w:b/>
          <w:sz w:val="32"/>
          <w:szCs w:val="32"/>
        </w:rPr>
        <w:t>一</w:t>
      </w:r>
      <w:r>
        <w:rPr>
          <w:rStyle w:val="27"/>
          <w:rFonts w:hint="eastAsia" w:ascii="黑体" w:hAnsi="黑体" w:eastAsia="黑体"/>
          <w:b w:val="0"/>
        </w:rPr>
        <w:t>般公共预算财政拨款支出决算情况说明</w:t>
      </w:r>
      <w:bookmarkEnd w:id="47"/>
      <w:bookmarkEnd w:id="48"/>
      <w:bookmarkEnd w:id="49"/>
    </w:p>
    <w:p>
      <w:pPr>
        <w:pageBreakBefore w:val="0"/>
        <w:kinsoku/>
        <w:wordWrap/>
        <w:overflowPunct/>
        <w:topLinePunct w:val="0"/>
        <w:bidi w:val="0"/>
        <w:spacing w:line="576" w:lineRule="exact"/>
        <w:ind w:firstLine="643" w:firstLineChars="200"/>
        <w:textAlignment w:val="auto"/>
        <w:outlineLvl w:val="2"/>
        <w:rPr>
          <w:rFonts w:ascii="仿宋" w:hAnsi="仿宋" w:eastAsia="仿宋"/>
          <w:b/>
          <w:sz w:val="32"/>
          <w:szCs w:val="32"/>
        </w:rPr>
      </w:pPr>
      <w:bookmarkStart w:id="50" w:name="_Toc24914"/>
      <w:bookmarkStart w:id="51" w:name="_Toc15377210"/>
      <w:r>
        <w:rPr>
          <w:rFonts w:hint="eastAsia" w:ascii="仿宋" w:hAnsi="仿宋" w:eastAsia="仿宋"/>
          <w:b/>
          <w:sz w:val="32"/>
          <w:szCs w:val="32"/>
        </w:rPr>
        <w:t>（一）一般公共预算财政拨款支出决算总体情况</w:t>
      </w:r>
      <w:bookmarkEnd w:id="50"/>
      <w:bookmarkEnd w:id="51"/>
    </w:p>
    <w:p>
      <w:pPr>
        <w:pageBreakBefore w:val="0"/>
        <w:kinsoku/>
        <w:wordWrap/>
        <w:overflowPunct/>
        <w:topLinePunct w:val="0"/>
        <w:bidi w:val="0"/>
        <w:spacing w:line="576" w:lineRule="exact"/>
        <w:ind w:firstLine="640" w:firstLineChars="200"/>
        <w:textAlignment w:val="auto"/>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21年一般公共预算财政拨款支出326.54万元，占本年支出合计的100</w:t>
      </w:r>
      <w:r>
        <w:rPr>
          <w:rFonts w:ascii="仿宋" w:hAnsi="仿宋" w:eastAsia="仿宋"/>
          <w:sz w:val="32"/>
          <w:szCs w:val="32"/>
        </w:rPr>
        <w:t>%</w:t>
      </w:r>
      <w:r>
        <w:rPr>
          <w:rFonts w:hint="eastAsia" w:ascii="仿宋" w:hAnsi="仿宋" w:eastAsia="仿宋"/>
          <w:sz w:val="32"/>
          <w:szCs w:val="32"/>
        </w:rPr>
        <w:t>。与</w:t>
      </w:r>
      <w:r>
        <w:rPr>
          <w:rFonts w:ascii="仿宋" w:hAnsi="仿宋" w:eastAsia="仿宋"/>
          <w:sz w:val="32"/>
          <w:szCs w:val="32"/>
        </w:rPr>
        <w:t>20</w:t>
      </w:r>
      <w:r>
        <w:rPr>
          <w:rFonts w:hint="eastAsia" w:ascii="仿宋" w:hAnsi="仿宋" w:eastAsia="仿宋"/>
          <w:sz w:val="32"/>
          <w:szCs w:val="32"/>
        </w:rPr>
        <w:t>20年相比，一般公共预算财政拨款支出减少430.54万元，下降56.87</w:t>
      </w:r>
      <w:r>
        <w:rPr>
          <w:rFonts w:ascii="仿宋" w:hAnsi="仿宋" w:eastAsia="仿宋"/>
          <w:sz w:val="32"/>
          <w:szCs w:val="32"/>
        </w:rPr>
        <w:t>%</w:t>
      </w:r>
      <w:r>
        <w:rPr>
          <w:rFonts w:hint="eastAsia" w:ascii="仿宋" w:hAnsi="仿宋" w:eastAsia="仿宋"/>
          <w:sz w:val="32"/>
          <w:szCs w:val="32"/>
        </w:rPr>
        <w:t>。主要变动原因是</w:t>
      </w:r>
      <w:r>
        <w:rPr>
          <w:rFonts w:hint="eastAsia" w:ascii="仿宋" w:hAnsi="仿宋" w:eastAsia="仿宋" w:cs="仿宋"/>
          <w:sz w:val="32"/>
          <w:szCs w:val="32"/>
        </w:rPr>
        <w:t>2020年正在开展第七次全国人口普查工作，需要大量经费保障工作顺利进行。</w:t>
      </w:r>
    </w:p>
    <w:p>
      <w:pPr>
        <w:pageBreakBefore w:val="0"/>
        <w:kinsoku/>
        <w:wordWrap/>
        <w:overflowPunct/>
        <w:topLinePunct w:val="0"/>
        <w:bidi w:val="0"/>
        <w:spacing w:line="576" w:lineRule="exact"/>
        <w:ind w:firstLine="643" w:firstLineChars="200"/>
        <w:textAlignment w:val="auto"/>
        <w:outlineLvl w:val="2"/>
        <w:rPr>
          <w:rFonts w:ascii="仿宋" w:hAnsi="仿宋" w:eastAsia="仿宋"/>
          <w:b/>
          <w:sz w:val="32"/>
          <w:szCs w:val="32"/>
        </w:rPr>
      </w:pPr>
      <w:bookmarkStart w:id="52" w:name="_Toc15377211"/>
      <w:bookmarkStart w:id="53" w:name="_Toc1234"/>
      <w:r>
        <w:rPr>
          <w:rFonts w:hint="eastAsia" w:ascii="仿宋" w:hAnsi="仿宋" w:eastAsia="仿宋"/>
          <w:b/>
          <w:sz w:val="32"/>
          <w:szCs w:val="32"/>
        </w:rPr>
        <w:t>（二）一般公共预算财政拨款支出决算结构情况</w:t>
      </w:r>
      <w:bookmarkEnd w:id="52"/>
      <w:bookmarkEnd w:id="53"/>
    </w:p>
    <w:p>
      <w:pPr>
        <w:pageBreakBefore w:val="0"/>
        <w:kinsoku/>
        <w:wordWrap/>
        <w:overflowPunct/>
        <w:topLinePunct w:val="0"/>
        <w:bidi w:val="0"/>
        <w:spacing w:line="576" w:lineRule="exact"/>
        <w:ind w:firstLine="640"/>
        <w:textAlignment w:val="auto"/>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21年一般公共预算财政拨款支出326.54万元，主要用于以下方面</w:t>
      </w:r>
      <w:r>
        <w:rPr>
          <w:rFonts w:ascii="仿宋" w:hAnsi="仿宋" w:eastAsia="仿宋"/>
          <w:sz w:val="32"/>
          <w:szCs w:val="32"/>
        </w:rPr>
        <w:t>:</w:t>
      </w:r>
      <w:r>
        <w:rPr>
          <w:rFonts w:hint="eastAsia" w:ascii="仿宋" w:hAnsi="仿宋" w:eastAsia="仿宋"/>
          <w:sz w:val="32"/>
          <w:szCs w:val="32"/>
        </w:rPr>
        <w:t>一般公共服务支出256.47万元，占78.55</w:t>
      </w:r>
      <w:r>
        <w:rPr>
          <w:rFonts w:ascii="仿宋" w:hAnsi="仿宋" w:eastAsia="仿宋"/>
          <w:sz w:val="32"/>
          <w:szCs w:val="32"/>
        </w:rPr>
        <w:t>%</w:t>
      </w:r>
      <w:r>
        <w:rPr>
          <w:rFonts w:hint="eastAsia" w:ascii="仿宋" w:hAnsi="仿宋" w:eastAsia="仿宋"/>
          <w:sz w:val="32"/>
          <w:szCs w:val="32"/>
        </w:rPr>
        <w:t>；社会保障和就业支出29.60万元，占9.06</w:t>
      </w:r>
      <w:r>
        <w:rPr>
          <w:rFonts w:ascii="仿宋" w:hAnsi="仿宋" w:eastAsia="仿宋"/>
          <w:sz w:val="32"/>
          <w:szCs w:val="32"/>
        </w:rPr>
        <w:t>%</w:t>
      </w:r>
      <w:r>
        <w:rPr>
          <w:rFonts w:hint="eastAsia" w:ascii="仿宋" w:hAnsi="仿宋" w:eastAsia="仿宋"/>
          <w:sz w:val="32"/>
          <w:szCs w:val="32"/>
        </w:rPr>
        <w:t>；卫生健康支出18.65万元，占5.71</w:t>
      </w:r>
      <w:r>
        <w:rPr>
          <w:rFonts w:ascii="仿宋" w:hAnsi="仿宋" w:eastAsia="仿宋"/>
          <w:sz w:val="32"/>
          <w:szCs w:val="32"/>
        </w:rPr>
        <w:t>%</w:t>
      </w:r>
      <w:r>
        <w:rPr>
          <w:rFonts w:hint="eastAsia" w:ascii="仿宋" w:hAnsi="仿宋" w:eastAsia="仿宋"/>
          <w:sz w:val="32"/>
          <w:szCs w:val="32"/>
        </w:rPr>
        <w:t>；住房保障支出21.81万元，占6.68</w:t>
      </w:r>
      <w:r>
        <w:rPr>
          <w:rFonts w:ascii="仿宋" w:hAnsi="仿宋" w:eastAsia="仿宋"/>
          <w:sz w:val="32"/>
          <w:szCs w:val="32"/>
        </w:rPr>
        <w:t>%</w:t>
      </w:r>
      <w:r>
        <w:rPr>
          <w:rFonts w:hint="eastAsia" w:ascii="仿宋" w:hAnsi="仿宋" w:eastAsia="仿宋"/>
          <w:sz w:val="32"/>
          <w:szCs w:val="32"/>
        </w:rPr>
        <w:t>。</w:t>
      </w:r>
    </w:p>
    <w:p>
      <w:pPr>
        <w:pageBreakBefore w:val="0"/>
        <w:kinsoku/>
        <w:wordWrap/>
        <w:overflowPunct/>
        <w:topLinePunct w:val="0"/>
        <w:bidi w:val="0"/>
        <w:spacing w:line="576" w:lineRule="exact"/>
        <w:ind w:firstLine="643" w:firstLineChars="200"/>
        <w:textAlignment w:val="auto"/>
        <w:outlineLvl w:val="2"/>
        <w:rPr>
          <w:rFonts w:ascii="仿宋" w:hAnsi="仿宋" w:eastAsia="仿宋"/>
          <w:b/>
          <w:sz w:val="32"/>
          <w:szCs w:val="32"/>
        </w:rPr>
      </w:pPr>
      <w:bookmarkStart w:id="54" w:name="_Toc15377212"/>
      <w:bookmarkStart w:id="55" w:name="_Toc19817"/>
      <w:r>
        <w:rPr>
          <w:rFonts w:hint="eastAsia" w:ascii="仿宋" w:hAnsi="仿宋" w:eastAsia="仿宋"/>
          <w:b/>
          <w:sz w:val="32"/>
          <w:szCs w:val="32"/>
        </w:rPr>
        <w:t>（三）一般公共预算财政拨款支出决算具体情况</w:t>
      </w:r>
      <w:bookmarkEnd w:id="54"/>
      <w:bookmarkEnd w:id="55"/>
    </w:p>
    <w:p>
      <w:pPr>
        <w:pageBreakBefore w:val="0"/>
        <w:kinsoku/>
        <w:wordWrap/>
        <w:overflowPunct/>
        <w:topLinePunct w:val="0"/>
        <w:bidi w:val="0"/>
        <w:spacing w:line="576" w:lineRule="exact"/>
        <w:ind w:firstLine="640" w:firstLineChars="200"/>
        <w:textAlignment w:val="auto"/>
        <w:outlineLvl w:val="2"/>
        <w:rPr>
          <w:rFonts w:ascii="仿宋" w:hAnsi="仿宋" w:eastAsia="仿宋"/>
          <w:b w:val="0"/>
          <w:bCs/>
          <w:sz w:val="32"/>
          <w:szCs w:val="32"/>
        </w:rPr>
      </w:pPr>
      <w:bookmarkStart w:id="56" w:name="_Toc15377444"/>
      <w:bookmarkStart w:id="57" w:name="_Toc15377213"/>
      <w:bookmarkStart w:id="58" w:name="_Toc15378460"/>
      <w:bookmarkStart w:id="59" w:name="_Toc10197"/>
      <w:r>
        <w:rPr>
          <w:rFonts w:hint="eastAsia" w:ascii="仿宋" w:hAnsi="仿宋" w:eastAsia="仿宋"/>
          <w:b w:val="0"/>
          <w:bCs/>
          <w:sz w:val="32"/>
          <w:szCs w:val="32"/>
        </w:rPr>
        <w:t>2021年一般公共预算支出决算数为326.54万元，</w:t>
      </w:r>
      <w:r>
        <w:rPr>
          <w:rStyle w:val="16"/>
          <w:rFonts w:hint="eastAsia" w:ascii="仿宋" w:hAnsi="仿宋" w:eastAsia="仿宋"/>
          <w:b w:val="0"/>
          <w:bCs/>
          <w:sz w:val="32"/>
          <w:szCs w:val="32"/>
        </w:rPr>
        <w:t>完成预算127.2</w:t>
      </w:r>
      <w:r>
        <w:rPr>
          <w:rStyle w:val="16"/>
          <w:rFonts w:ascii="仿宋" w:hAnsi="仿宋" w:eastAsia="仿宋"/>
          <w:b w:val="0"/>
          <w:bCs/>
          <w:sz w:val="32"/>
          <w:szCs w:val="32"/>
        </w:rPr>
        <w:t>%</w:t>
      </w:r>
      <w:r>
        <w:rPr>
          <w:rStyle w:val="16"/>
          <w:rFonts w:hint="eastAsia" w:ascii="仿宋" w:hAnsi="仿宋" w:eastAsia="仿宋"/>
          <w:b w:val="0"/>
          <w:bCs/>
          <w:sz w:val="32"/>
          <w:szCs w:val="32"/>
        </w:rPr>
        <w:t>。其中：</w:t>
      </w:r>
      <w:bookmarkEnd w:id="56"/>
      <w:bookmarkEnd w:id="57"/>
      <w:bookmarkEnd w:id="58"/>
      <w:bookmarkEnd w:id="59"/>
    </w:p>
    <w:p>
      <w:pPr>
        <w:pageBreakBefore w:val="0"/>
        <w:kinsoku/>
        <w:wordWrap/>
        <w:overflowPunct/>
        <w:topLinePunct w:val="0"/>
        <w:bidi w:val="0"/>
        <w:spacing w:line="576" w:lineRule="exact"/>
        <w:ind w:firstLine="643" w:firstLineChars="200"/>
        <w:textAlignment w:val="auto"/>
        <w:rPr>
          <w:rStyle w:val="16"/>
          <w:rFonts w:ascii="仿宋" w:hAnsi="仿宋" w:eastAsia="仿宋"/>
          <w:b w:val="0"/>
          <w:bCs/>
          <w:sz w:val="32"/>
          <w:szCs w:val="32"/>
        </w:rPr>
      </w:pPr>
      <w:r>
        <w:rPr>
          <w:rStyle w:val="16"/>
          <w:rFonts w:ascii="仿宋" w:hAnsi="仿宋" w:eastAsia="仿宋"/>
          <w:bCs/>
          <w:sz w:val="32"/>
          <w:szCs w:val="32"/>
        </w:rPr>
        <w:t>1.</w:t>
      </w:r>
      <w:r>
        <w:rPr>
          <w:rStyle w:val="16"/>
          <w:rFonts w:hint="eastAsia" w:ascii="仿宋" w:hAnsi="仿宋" w:eastAsia="仿宋"/>
          <w:bCs/>
          <w:sz w:val="32"/>
          <w:szCs w:val="32"/>
        </w:rPr>
        <w:t>一般公共服务</w:t>
      </w:r>
      <w:r>
        <w:rPr>
          <w:rStyle w:val="16"/>
          <w:rFonts w:ascii="仿宋" w:hAnsi="仿宋" w:eastAsia="仿宋"/>
          <w:bCs/>
          <w:sz w:val="32"/>
          <w:szCs w:val="32"/>
        </w:rPr>
        <w:t>:</w:t>
      </w:r>
      <w:r>
        <w:rPr>
          <w:rStyle w:val="16"/>
          <w:rFonts w:hint="eastAsia" w:ascii="仿宋" w:hAnsi="仿宋" w:eastAsia="仿宋"/>
          <w:b w:val="0"/>
          <w:bCs/>
          <w:sz w:val="32"/>
          <w:szCs w:val="32"/>
        </w:rPr>
        <w:t>支出决算为256.47万元，完成预算131.12</w:t>
      </w:r>
      <w:r>
        <w:rPr>
          <w:rStyle w:val="16"/>
          <w:rFonts w:ascii="仿宋" w:hAnsi="仿宋" w:eastAsia="仿宋"/>
          <w:b w:val="0"/>
          <w:bCs/>
          <w:sz w:val="32"/>
          <w:szCs w:val="32"/>
        </w:rPr>
        <w:t>%</w:t>
      </w:r>
      <w:r>
        <w:rPr>
          <w:rStyle w:val="16"/>
          <w:rFonts w:hint="eastAsia" w:ascii="仿宋" w:hAnsi="仿宋" w:eastAsia="仿宋"/>
          <w:b w:val="0"/>
          <w:bCs/>
          <w:sz w:val="32"/>
          <w:szCs w:val="32"/>
        </w:rPr>
        <w:t>，决算数大于预算数的主要原因是人员增加和今年有20万上年结转的专项普查经费。</w:t>
      </w:r>
    </w:p>
    <w:p>
      <w:pPr>
        <w:pageBreakBefore w:val="0"/>
        <w:kinsoku/>
        <w:wordWrap/>
        <w:overflowPunct/>
        <w:topLinePunct w:val="0"/>
        <w:bidi w:val="0"/>
        <w:spacing w:line="576" w:lineRule="exact"/>
        <w:ind w:firstLine="643" w:firstLineChars="200"/>
        <w:textAlignment w:val="auto"/>
        <w:rPr>
          <w:rFonts w:ascii="仿宋" w:hAnsi="仿宋" w:eastAsia="仿宋"/>
          <w:b/>
          <w:sz w:val="32"/>
          <w:szCs w:val="32"/>
        </w:rPr>
      </w:pPr>
      <w:r>
        <w:rPr>
          <w:rStyle w:val="16"/>
          <w:rFonts w:hint="eastAsia" w:ascii="仿宋" w:hAnsi="仿宋" w:eastAsia="仿宋"/>
          <w:bCs/>
          <w:sz w:val="32"/>
          <w:szCs w:val="32"/>
        </w:rPr>
        <w:t>2</w:t>
      </w:r>
      <w:r>
        <w:rPr>
          <w:rStyle w:val="16"/>
          <w:rFonts w:ascii="仿宋" w:hAnsi="仿宋" w:eastAsia="仿宋"/>
          <w:bCs/>
          <w:sz w:val="32"/>
          <w:szCs w:val="32"/>
        </w:rPr>
        <w:t>.</w:t>
      </w:r>
      <w:r>
        <w:rPr>
          <w:rStyle w:val="16"/>
          <w:rFonts w:hint="eastAsia" w:ascii="仿宋" w:hAnsi="仿宋" w:eastAsia="仿宋"/>
          <w:bCs/>
          <w:sz w:val="32"/>
          <w:szCs w:val="32"/>
        </w:rPr>
        <w:t>社会保障和就业</w:t>
      </w:r>
      <w:r>
        <w:rPr>
          <w:rStyle w:val="16"/>
          <w:rFonts w:ascii="仿宋" w:hAnsi="仿宋" w:eastAsia="仿宋"/>
          <w:bCs/>
          <w:sz w:val="32"/>
          <w:szCs w:val="32"/>
        </w:rPr>
        <w:t>:</w:t>
      </w:r>
      <w:r>
        <w:rPr>
          <w:rStyle w:val="16"/>
          <w:rFonts w:hint="eastAsia" w:ascii="仿宋" w:hAnsi="仿宋" w:eastAsia="仿宋"/>
          <w:b w:val="0"/>
          <w:bCs/>
          <w:sz w:val="32"/>
          <w:szCs w:val="32"/>
        </w:rPr>
        <w:t>支出决算为29.60万元，完成预算113.56</w:t>
      </w:r>
      <w:r>
        <w:rPr>
          <w:rStyle w:val="16"/>
          <w:rFonts w:ascii="仿宋" w:hAnsi="仿宋" w:eastAsia="仿宋"/>
          <w:b w:val="0"/>
          <w:bCs/>
          <w:sz w:val="32"/>
          <w:szCs w:val="32"/>
        </w:rPr>
        <w:t>%</w:t>
      </w:r>
      <w:r>
        <w:rPr>
          <w:rStyle w:val="16"/>
          <w:rFonts w:hint="eastAsia" w:ascii="仿宋" w:hAnsi="仿宋" w:eastAsia="仿宋"/>
          <w:b w:val="0"/>
          <w:bCs/>
          <w:sz w:val="32"/>
          <w:szCs w:val="32"/>
        </w:rPr>
        <w:t>，决算数大于预算数的主要原因是人员增加。</w:t>
      </w:r>
    </w:p>
    <w:p>
      <w:pPr>
        <w:pageBreakBefore w:val="0"/>
        <w:kinsoku/>
        <w:wordWrap/>
        <w:overflowPunct/>
        <w:topLinePunct w:val="0"/>
        <w:bidi w:val="0"/>
        <w:spacing w:line="576" w:lineRule="exact"/>
        <w:ind w:firstLine="643" w:firstLineChars="200"/>
        <w:textAlignment w:val="auto"/>
        <w:rPr>
          <w:rStyle w:val="16"/>
          <w:rFonts w:ascii="仿宋" w:hAnsi="仿宋" w:eastAsia="仿宋"/>
          <w:b w:val="0"/>
          <w:bCs/>
          <w:sz w:val="32"/>
          <w:szCs w:val="32"/>
        </w:rPr>
      </w:pPr>
      <w:r>
        <w:rPr>
          <w:rStyle w:val="16"/>
          <w:rFonts w:hint="eastAsia" w:ascii="仿宋" w:hAnsi="仿宋" w:eastAsia="仿宋"/>
          <w:bCs/>
          <w:sz w:val="32"/>
          <w:szCs w:val="32"/>
        </w:rPr>
        <w:t>3</w:t>
      </w:r>
      <w:r>
        <w:rPr>
          <w:rStyle w:val="16"/>
          <w:rFonts w:ascii="仿宋" w:hAnsi="仿宋" w:eastAsia="仿宋"/>
          <w:bCs/>
          <w:sz w:val="32"/>
          <w:szCs w:val="32"/>
        </w:rPr>
        <w:t>.</w:t>
      </w:r>
      <w:r>
        <w:rPr>
          <w:rFonts w:hint="eastAsia" w:ascii="仿宋" w:hAnsi="仿宋" w:eastAsia="仿宋"/>
          <w:b/>
          <w:bCs/>
          <w:sz w:val="32"/>
          <w:szCs w:val="32"/>
        </w:rPr>
        <w:t>卫生健康</w:t>
      </w:r>
      <w:r>
        <w:rPr>
          <w:rStyle w:val="16"/>
          <w:rFonts w:ascii="仿宋" w:hAnsi="仿宋" w:eastAsia="仿宋"/>
          <w:bCs/>
          <w:sz w:val="32"/>
          <w:szCs w:val="32"/>
        </w:rPr>
        <w:t>:</w:t>
      </w:r>
      <w:r>
        <w:rPr>
          <w:rStyle w:val="16"/>
          <w:rFonts w:hint="eastAsia" w:ascii="仿宋" w:hAnsi="仿宋" w:eastAsia="仿宋"/>
          <w:b w:val="0"/>
          <w:bCs/>
          <w:sz w:val="32"/>
          <w:szCs w:val="32"/>
        </w:rPr>
        <w:t>支出决算为18.65万元，完成预算120.20</w:t>
      </w:r>
      <w:r>
        <w:rPr>
          <w:rStyle w:val="16"/>
          <w:rFonts w:ascii="仿宋" w:hAnsi="仿宋" w:eastAsia="仿宋"/>
          <w:b w:val="0"/>
          <w:bCs/>
          <w:sz w:val="32"/>
          <w:szCs w:val="32"/>
        </w:rPr>
        <w:t>%</w:t>
      </w:r>
      <w:r>
        <w:rPr>
          <w:rStyle w:val="16"/>
          <w:rFonts w:hint="eastAsia" w:ascii="仿宋" w:hAnsi="仿宋" w:eastAsia="仿宋"/>
          <w:b w:val="0"/>
          <w:bCs/>
          <w:sz w:val="32"/>
          <w:szCs w:val="32"/>
        </w:rPr>
        <w:t>，决算数大于预算数的主要原因是人员增加。</w:t>
      </w:r>
    </w:p>
    <w:p>
      <w:pPr>
        <w:pStyle w:val="5"/>
        <w:pageBreakBefore w:val="0"/>
        <w:kinsoku/>
        <w:wordWrap/>
        <w:overflowPunct/>
        <w:topLinePunct w:val="0"/>
        <w:bidi w:val="0"/>
        <w:spacing w:before="93" w:line="576" w:lineRule="exact"/>
        <w:textAlignment w:val="auto"/>
      </w:pPr>
      <w:r>
        <w:rPr>
          <w:rFonts w:hint="eastAsia"/>
        </w:rPr>
        <w:t xml:space="preserve">   </w:t>
      </w:r>
      <w:r>
        <w:rPr>
          <w:rFonts w:hint="eastAsia" w:ascii="仿宋" w:hAnsi="仿宋" w:eastAsia="仿宋"/>
          <w:b/>
          <w:bCs/>
          <w:kern w:val="2"/>
          <w:sz w:val="32"/>
          <w:szCs w:val="32"/>
        </w:rPr>
        <w:t xml:space="preserve"> 4.住房保障支出：</w:t>
      </w:r>
      <w:r>
        <w:rPr>
          <w:rStyle w:val="16"/>
          <w:rFonts w:hint="eastAsia" w:ascii="仿宋" w:hAnsi="仿宋" w:eastAsia="仿宋"/>
          <w:b w:val="0"/>
          <w:bCs/>
          <w:sz w:val="32"/>
          <w:szCs w:val="32"/>
        </w:rPr>
        <w:t>支出决算为21.81万元，完成预算111.56</w:t>
      </w:r>
      <w:r>
        <w:rPr>
          <w:rStyle w:val="16"/>
          <w:rFonts w:ascii="仿宋" w:hAnsi="仿宋" w:eastAsia="仿宋"/>
          <w:b w:val="0"/>
          <w:bCs/>
          <w:sz w:val="32"/>
          <w:szCs w:val="32"/>
        </w:rPr>
        <w:t>%</w:t>
      </w:r>
      <w:r>
        <w:rPr>
          <w:rStyle w:val="16"/>
          <w:rFonts w:hint="eastAsia" w:ascii="仿宋" w:hAnsi="仿宋" w:eastAsia="仿宋"/>
          <w:b w:val="0"/>
          <w:bCs/>
          <w:sz w:val="32"/>
          <w:szCs w:val="32"/>
        </w:rPr>
        <w:t>，决算数大于预算数的主要原因是人员增加。</w:t>
      </w:r>
    </w:p>
    <w:p>
      <w:pPr>
        <w:pageBreakBefore w:val="0"/>
        <w:tabs>
          <w:tab w:val="right" w:pos="8306"/>
        </w:tabs>
        <w:kinsoku/>
        <w:wordWrap/>
        <w:overflowPunct/>
        <w:topLinePunct w:val="0"/>
        <w:bidi w:val="0"/>
        <w:spacing w:line="576" w:lineRule="exact"/>
        <w:ind w:firstLine="640"/>
        <w:textAlignment w:val="auto"/>
        <w:outlineLvl w:val="1"/>
        <w:rPr>
          <w:rStyle w:val="27"/>
        </w:rPr>
      </w:pPr>
      <w:bookmarkStart w:id="60" w:name="_Toc21417"/>
      <w:bookmarkStart w:id="61" w:name="_Toc15396608"/>
      <w:bookmarkStart w:id="62" w:name="_Toc15377214"/>
      <w:r>
        <w:rPr>
          <w:rFonts w:hint="eastAsia" w:ascii="黑体" w:eastAsia="黑体"/>
          <w:sz w:val="32"/>
          <w:szCs w:val="32"/>
        </w:rPr>
        <w:t>六</w:t>
      </w:r>
      <w:r>
        <w:rPr>
          <w:rFonts w:hint="eastAsia" w:ascii="黑体" w:eastAsia="黑体"/>
          <w:b/>
          <w:sz w:val="32"/>
          <w:szCs w:val="32"/>
        </w:rPr>
        <w:t>、</w:t>
      </w:r>
      <w:r>
        <w:rPr>
          <w:rFonts w:hint="eastAsia" w:ascii="黑体" w:hAnsi="黑体" w:eastAsia="黑体"/>
          <w:b/>
          <w:sz w:val="32"/>
          <w:szCs w:val="32"/>
        </w:rPr>
        <w:t>一</w:t>
      </w:r>
      <w:r>
        <w:rPr>
          <w:rStyle w:val="27"/>
          <w:rFonts w:hint="eastAsia" w:ascii="黑体" w:hAnsi="黑体" w:eastAsia="黑体"/>
          <w:b w:val="0"/>
        </w:rPr>
        <w:t>般公共预算财政拨款基本支出决算情况说明</w:t>
      </w:r>
      <w:bookmarkEnd w:id="60"/>
      <w:bookmarkEnd w:id="61"/>
      <w:bookmarkEnd w:id="62"/>
      <w:r>
        <w:rPr>
          <w:rStyle w:val="27"/>
          <w:rFonts w:ascii="黑体" w:hAnsi="黑体" w:eastAsia="黑体"/>
          <w:b w:val="0"/>
        </w:rPr>
        <w:tab/>
      </w:r>
    </w:p>
    <w:p>
      <w:pPr>
        <w:pageBreakBefore w:val="0"/>
        <w:kinsoku/>
        <w:wordWrap/>
        <w:overflowPunct/>
        <w:topLinePunct w:val="0"/>
        <w:bidi w:val="0"/>
        <w:spacing w:line="576" w:lineRule="exact"/>
        <w:ind w:firstLine="645"/>
        <w:textAlignment w:val="auto"/>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21年一般公共预算财政拨款基本支出306.54万元，其中：</w:t>
      </w:r>
    </w:p>
    <w:p>
      <w:pPr>
        <w:pageBreakBefore w:val="0"/>
        <w:kinsoku/>
        <w:wordWrap/>
        <w:overflowPunct/>
        <w:topLinePunct w:val="0"/>
        <w:bidi w:val="0"/>
        <w:spacing w:line="576" w:lineRule="exact"/>
        <w:ind w:firstLine="645"/>
        <w:textAlignment w:val="auto"/>
        <w:rPr>
          <w:rFonts w:ascii="仿宋" w:hAnsi="仿宋" w:eastAsia="仿宋"/>
          <w:sz w:val="32"/>
          <w:szCs w:val="32"/>
        </w:rPr>
      </w:pPr>
      <w:r>
        <w:rPr>
          <w:rFonts w:hint="eastAsia" w:ascii="仿宋" w:hAnsi="仿宋" w:eastAsia="仿宋"/>
          <w:sz w:val="32"/>
          <w:szCs w:val="32"/>
        </w:rPr>
        <w:t>人员经费262.83万元，主要包括：基本工资、津贴补贴、奖金、绩效工资、机关事业单位基本养老保险缴费、职工基本医疗保险缴费、公务员医疗补助缴费、其他社会保障缴费、生活补助、奖励金、住房公积金支出。</w:t>
      </w:r>
      <w:r>
        <w:rPr>
          <w:rFonts w:ascii="仿宋" w:hAnsi="仿宋" w:eastAsia="仿宋"/>
          <w:sz w:val="32"/>
          <w:szCs w:val="32"/>
        </w:rPr>
        <w:br w:type="textWrapping"/>
      </w:r>
      <w:r>
        <w:rPr>
          <w:rFonts w:hint="eastAsia" w:ascii="仿宋" w:hAnsi="仿宋" w:eastAsia="仿宋"/>
          <w:sz w:val="32"/>
          <w:szCs w:val="32"/>
        </w:rPr>
        <w:t>　　公用经费43.71万元，主要包括：办公费、印刷费、水费、电费、邮电费、物业管理费、差旅费、维修（护）费、租赁费、会议费、培训费、公务接待费、劳务费、工会经费、其他交通费、其他商品和服务支出。</w:t>
      </w:r>
    </w:p>
    <w:p>
      <w:pPr>
        <w:pageBreakBefore w:val="0"/>
        <w:kinsoku/>
        <w:wordWrap/>
        <w:overflowPunct/>
        <w:topLinePunct w:val="0"/>
        <w:bidi w:val="0"/>
        <w:spacing w:line="576" w:lineRule="exact"/>
        <w:ind w:firstLine="640"/>
        <w:textAlignment w:val="auto"/>
        <w:outlineLvl w:val="1"/>
        <w:rPr>
          <w:rStyle w:val="27"/>
          <w:rFonts w:ascii="黑体" w:hAnsi="黑体" w:eastAsia="黑体"/>
          <w:b w:val="0"/>
        </w:rPr>
      </w:pPr>
      <w:bookmarkStart w:id="63" w:name="_Toc22482"/>
      <w:bookmarkStart w:id="64" w:name="_Toc15396609"/>
      <w:bookmarkStart w:id="65" w:name="_Toc15377215"/>
      <w:r>
        <w:rPr>
          <w:rFonts w:hint="eastAsia" w:ascii="黑体" w:eastAsia="黑体"/>
          <w:sz w:val="32"/>
          <w:szCs w:val="32"/>
        </w:rPr>
        <w:t>七、</w:t>
      </w:r>
      <w:r>
        <w:rPr>
          <w:rStyle w:val="27"/>
          <w:rFonts w:hint="eastAsia" w:ascii="黑体" w:hAnsi="黑体" w:eastAsia="黑体"/>
        </w:rPr>
        <w:t>“</w:t>
      </w:r>
      <w:r>
        <w:rPr>
          <w:rStyle w:val="27"/>
          <w:rFonts w:hint="eastAsia" w:ascii="黑体" w:hAnsi="黑体" w:eastAsia="黑体"/>
          <w:b w:val="0"/>
        </w:rPr>
        <w:t>三公”经费财政拨款支出决算情况说明</w:t>
      </w:r>
      <w:bookmarkEnd w:id="63"/>
      <w:bookmarkEnd w:id="64"/>
      <w:bookmarkEnd w:id="65"/>
    </w:p>
    <w:p>
      <w:pPr>
        <w:pageBreakBefore w:val="0"/>
        <w:kinsoku/>
        <w:wordWrap/>
        <w:overflowPunct/>
        <w:topLinePunct w:val="0"/>
        <w:bidi w:val="0"/>
        <w:spacing w:line="576" w:lineRule="exact"/>
        <w:ind w:firstLine="640"/>
        <w:textAlignment w:val="auto"/>
        <w:outlineLvl w:val="2"/>
        <w:rPr>
          <w:rFonts w:ascii="仿宋" w:hAnsi="仿宋" w:eastAsia="仿宋"/>
          <w:b/>
          <w:sz w:val="32"/>
          <w:szCs w:val="32"/>
        </w:rPr>
      </w:pPr>
      <w:bookmarkStart w:id="66" w:name="_Toc18845"/>
      <w:bookmarkStart w:id="67" w:name="_Toc15377216"/>
      <w:r>
        <w:rPr>
          <w:rFonts w:hint="eastAsia" w:ascii="仿宋" w:hAnsi="仿宋" w:eastAsia="仿宋"/>
          <w:b/>
          <w:sz w:val="32"/>
          <w:szCs w:val="32"/>
        </w:rPr>
        <w:t>（一）“三公”经费财政拨款支出决算总体情况说明</w:t>
      </w:r>
      <w:bookmarkEnd w:id="66"/>
      <w:bookmarkEnd w:id="67"/>
    </w:p>
    <w:p>
      <w:pPr>
        <w:pageBreakBefore w:val="0"/>
        <w:kinsoku/>
        <w:wordWrap/>
        <w:overflowPunct/>
        <w:topLinePunct w:val="0"/>
        <w:bidi w:val="0"/>
        <w:spacing w:line="576" w:lineRule="exact"/>
        <w:ind w:firstLine="640"/>
        <w:textAlignment w:val="auto"/>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21年“三公”经费财政拨款支出决算为0.3万元，完成预算100</w:t>
      </w:r>
      <w:r>
        <w:rPr>
          <w:rFonts w:ascii="仿宋" w:hAnsi="仿宋" w:eastAsia="仿宋"/>
          <w:sz w:val="32"/>
          <w:szCs w:val="32"/>
        </w:rPr>
        <w:t>%</w:t>
      </w:r>
      <w:r>
        <w:rPr>
          <w:rFonts w:hint="eastAsia" w:ascii="仿宋" w:hAnsi="仿宋" w:eastAsia="仿宋"/>
          <w:sz w:val="32"/>
          <w:szCs w:val="32"/>
        </w:rPr>
        <w:t>。</w:t>
      </w:r>
    </w:p>
    <w:p>
      <w:pPr>
        <w:pageBreakBefore w:val="0"/>
        <w:kinsoku/>
        <w:wordWrap/>
        <w:overflowPunct/>
        <w:topLinePunct w:val="0"/>
        <w:bidi w:val="0"/>
        <w:spacing w:line="576" w:lineRule="exact"/>
        <w:ind w:firstLine="640"/>
        <w:textAlignment w:val="auto"/>
        <w:outlineLvl w:val="2"/>
        <w:rPr>
          <w:rFonts w:ascii="仿宋" w:hAnsi="仿宋" w:eastAsia="仿宋"/>
          <w:b/>
          <w:sz w:val="32"/>
          <w:szCs w:val="32"/>
        </w:rPr>
      </w:pPr>
      <w:bookmarkStart w:id="68" w:name="_Toc31195"/>
      <w:bookmarkStart w:id="69" w:name="_Toc15377217"/>
      <w:r>
        <w:rPr>
          <w:rFonts w:hint="eastAsia" w:ascii="仿宋" w:hAnsi="仿宋" w:eastAsia="仿宋"/>
          <w:b/>
          <w:sz w:val="32"/>
          <w:szCs w:val="32"/>
        </w:rPr>
        <w:t>（二）“三公”经费财政拨款支出决算具体情况说明</w:t>
      </w:r>
      <w:bookmarkEnd w:id="68"/>
      <w:bookmarkEnd w:id="69"/>
    </w:p>
    <w:p>
      <w:pPr>
        <w:pageBreakBefore w:val="0"/>
        <w:kinsoku/>
        <w:wordWrap/>
        <w:overflowPunct/>
        <w:topLinePunct w:val="0"/>
        <w:bidi w:val="0"/>
        <w:spacing w:line="576" w:lineRule="exact"/>
        <w:ind w:firstLine="640"/>
        <w:textAlignment w:val="auto"/>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21年“三公”经费财政拨款支出决算中，因公出国（境）费支出决算0万元，占0</w:t>
      </w:r>
      <w:r>
        <w:rPr>
          <w:rFonts w:ascii="仿宋" w:hAnsi="仿宋" w:eastAsia="仿宋"/>
          <w:sz w:val="32"/>
          <w:szCs w:val="32"/>
        </w:rPr>
        <w:t>%</w:t>
      </w:r>
      <w:r>
        <w:rPr>
          <w:rFonts w:hint="eastAsia" w:ascii="仿宋" w:hAnsi="仿宋" w:eastAsia="仿宋"/>
          <w:sz w:val="32"/>
          <w:szCs w:val="32"/>
        </w:rPr>
        <w:t>；公务用车购置及运行维护费支出决算0万元，占0</w:t>
      </w:r>
      <w:r>
        <w:rPr>
          <w:rFonts w:ascii="仿宋" w:hAnsi="仿宋" w:eastAsia="仿宋"/>
          <w:sz w:val="32"/>
          <w:szCs w:val="32"/>
        </w:rPr>
        <w:t>%</w:t>
      </w:r>
      <w:r>
        <w:rPr>
          <w:rFonts w:hint="eastAsia" w:ascii="仿宋" w:hAnsi="仿宋" w:eastAsia="仿宋"/>
          <w:sz w:val="32"/>
          <w:szCs w:val="32"/>
        </w:rPr>
        <w:t>；公务接待费支出决算0.3万元，占100</w:t>
      </w:r>
      <w:r>
        <w:rPr>
          <w:rFonts w:ascii="仿宋" w:hAnsi="仿宋" w:eastAsia="仿宋"/>
          <w:sz w:val="32"/>
          <w:szCs w:val="32"/>
        </w:rPr>
        <w:t>%</w:t>
      </w:r>
      <w:r>
        <w:rPr>
          <w:rFonts w:hint="eastAsia" w:ascii="仿宋" w:hAnsi="仿宋" w:eastAsia="仿宋"/>
          <w:sz w:val="32"/>
          <w:szCs w:val="32"/>
        </w:rPr>
        <w:t>。具体情况如下：</w:t>
      </w:r>
    </w:p>
    <w:p>
      <w:pPr>
        <w:pageBreakBefore w:val="0"/>
        <w:kinsoku/>
        <w:wordWrap/>
        <w:overflowPunct/>
        <w:topLinePunct w:val="0"/>
        <w:bidi w:val="0"/>
        <w:spacing w:line="576" w:lineRule="exact"/>
        <w:ind w:firstLine="640"/>
        <w:textAlignment w:val="auto"/>
        <w:rPr>
          <w:rFonts w:ascii="仿宋_GB2312" w:eastAsia="仿宋_GB2312"/>
          <w:b w:val="0"/>
          <w:bCs/>
          <w:sz w:val="32"/>
          <w:szCs w:val="32"/>
        </w:rPr>
      </w:pPr>
      <w:r>
        <w:rPr>
          <w:rFonts w:ascii="仿宋_GB2312" w:eastAsia="仿宋_GB2312"/>
          <w:b w:val="0"/>
          <w:bCs/>
          <w:sz w:val="32"/>
          <w:szCs w:val="32"/>
        </w:rPr>
        <w:t>1.</w:t>
      </w:r>
      <w:r>
        <w:rPr>
          <w:rFonts w:hint="eastAsia" w:ascii="仿宋_GB2312" w:eastAsia="仿宋_GB2312"/>
          <w:b w:val="0"/>
          <w:bCs/>
          <w:sz w:val="32"/>
          <w:szCs w:val="32"/>
        </w:rPr>
        <w:t>因公出国（境）经费支出0万元</w:t>
      </w:r>
      <w:r>
        <w:rPr>
          <w:rStyle w:val="16"/>
          <w:rFonts w:hint="eastAsia" w:ascii="仿宋" w:hAnsi="仿宋" w:eastAsia="仿宋"/>
          <w:b w:val="0"/>
          <w:bCs/>
          <w:sz w:val="32"/>
          <w:szCs w:val="32"/>
        </w:rPr>
        <w:t>。</w:t>
      </w:r>
      <w:r>
        <w:rPr>
          <w:rFonts w:hint="eastAsia" w:ascii="仿宋_GB2312" w:eastAsia="仿宋_GB2312"/>
          <w:b w:val="0"/>
          <w:bCs/>
          <w:sz w:val="32"/>
          <w:szCs w:val="32"/>
        </w:rPr>
        <w:t>全年安排因公出国（境）团组0次，出国（境）0人。</w:t>
      </w:r>
    </w:p>
    <w:p>
      <w:pPr>
        <w:pageBreakBefore w:val="0"/>
        <w:kinsoku/>
        <w:wordWrap/>
        <w:overflowPunct/>
        <w:topLinePunct w:val="0"/>
        <w:bidi w:val="0"/>
        <w:spacing w:line="576" w:lineRule="exact"/>
        <w:ind w:firstLine="640"/>
        <w:textAlignment w:val="auto"/>
        <w:rPr>
          <w:rFonts w:ascii="仿宋_GB2312" w:eastAsia="仿宋_GB2312"/>
          <w:b w:val="0"/>
          <w:bCs/>
          <w:sz w:val="32"/>
          <w:szCs w:val="32"/>
        </w:rPr>
      </w:pPr>
      <w:r>
        <w:rPr>
          <w:rFonts w:ascii="仿宋_GB2312" w:eastAsia="仿宋_GB2312"/>
          <w:b w:val="0"/>
          <w:bCs/>
          <w:sz w:val="32"/>
          <w:szCs w:val="32"/>
        </w:rPr>
        <w:t>2.</w:t>
      </w:r>
      <w:r>
        <w:rPr>
          <w:rFonts w:hint="eastAsia" w:ascii="仿宋_GB2312" w:eastAsia="仿宋_GB2312"/>
          <w:b w:val="0"/>
          <w:bCs/>
          <w:sz w:val="32"/>
          <w:szCs w:val="32"/>
        </w:rPr>
        <w:t>公务用车购置及运行维护费支出0万元</w:t>
      </w:r>
      <w:r>
        <w:rPr>
          <w:rStyle w:val="16"/>
          <w:rFonts w:hint="eastAsia" w:ascii="仿宋" w:hAnsi="仿宋" w:eastAsia="仿宋"/>
          <w:b w:val="0"/>
          <w:bCs/>
          <w:sz w:val="32"/>
          <w:szCs w:val="32"/>
        </w:rPr>
        <w:t>。</w:t>
      </w:r>
    </w:p>
    <w:p>
      <w:pPr>
        <w:pageBreakBefore w:val="0"/>
        <w:kinsoku/>
        <w:wordWrap/>
        <w:overflowPunct/>
        <w:topLinePunct w:val="0"/>
        <w:bidi w:val="0"/>
        <w:spacing w:line="576" w:lineRule="exact"/>
        <w:ind w:firstLine="640" w:firstLineChars="200"/>
        <w:textAlignment w:val="auto"/>
        <w:rPr>
          <w:rFonts w:ascii="仿宋_GB2312" w:eastAsia="仿宋_GB2312"/>
          <w:b w:val="0"/>
          <w:bCs/>
          <w:sz w:val="32"/>
          <w:szCs w:val="32"/>
        </w:rPr>
      </w:pPr>
      <w:r>
        <w:rPr>
          <w:rFonts w:hint="eastAsia" w:ascii="仿宋_GB2312" w:eastAsia="仿宋_GB2312"/>
          <w:b w:val="0"/>
          <w:bCs/>
          <w:sz w:val="32"/>
          <w:szCs w:val="32"/>
        </w:rPr>
        <w:t>其中：公务用车购置支出0万元。截至</w:t>
      </w:r>
      <w:r>
        <w:rPr>
          <w:rFonts w:ascii="仿宋_GB2312" w:eastAsia="仿宋_GB2312"/>
          <w:b w:val="0"/>
          <w:bCs/>
          <w:sz w:val="32"/>
          <w:szCs w:val="32"/>
        </w:rPr>
        <w:t>20</w:t>
      </w:r>
      <w:r>
        <w:rPr>
          <w:rFonts w:hint="eastAsia" w:ascii="仿宋_GB2312" w:eastAsia="仿宋_GB2312"/>
          <w:b w:val="0"/>
          <w:bCs/>
          <w:sz w:val="32"/>
          <w:szCs w:val="32"/>
        </w:rPr>
        <w:t>21年</w:t>
      </w:r>
      <w:r>
        <w:rPr>
          <w:rFonts w:ascii="仿宋_GB2312" w:eastAsia="仿宋_GB2312"/>
          <w:b w:val="0"/>
          <w:bCs/>
          <w:sz w:val="32"/>
          <w:szCs w:val="32"/>
        </w:rPr>
        <w:t>12</w:t>
      </w:r>
      <w:r>
        <w:rPr>
          <w:rFonts w:hint="eastAsia" w:ascii="仿宋_GB2312" w:eastAsia="仿宋_GB2312"/>
          <w:b w:val="0"/>
          <w:bCs/>
          <w:sz w:val="32"/>
          <w:szCs w:val="32"/>
        </w:rPr>
        <w:t>月底，单位共有公务用车0辆。</w:t>
      </w:r>
    </w:p>
    <w:p>
      <w:pPr>
        <w:pageBreakBefore w:val="0"/>
        <w:kinsoku/>
        <w:wordWrap/>
        <w:overflowPunct/>
        <w:topLinePunct w:val="0"/>
        <w:bidi w:val="0"/>
        <w:spacing w:line="576" w:lineRule="exact"/>
        <w:ind w:firstLine="640"/>
        <w:textAlignment w:val="auto"/>
        <w:rPr>
          <w:b w:val="0"/>
          <w:bCs/>
        </w:rPr>
      </w:pPr>
      <w:r>
        <w:rPr>
          <w:rFonts w:hint="eastAsia" w:ascii="仿宋_GB2312" w:eastAsia="仿宋_GB2312"/>
          <w:b w:val="0"/>
          <w:bCs/>
          <w:sz w:val="32"/>
          <w:szCs w:val="32"/>
        </w:rPr>
        <w:t>公务用车运行维护费支出0万元。</w:t>
      </w:r>
    </w:p>
    <w:p>
      <w:pPr>
        <w:pageBreakBefore w:val="0"/>
        <w:kinsoku/>
        <w:wordWrap/>
        <w:overflowPunct/>
        <w:topLinePunct w:val="0"/>
        <w:bidi w:val="0"/>
        <w:spacing w:line="576" w:lineRule="exact"/>
        <w:ind w:firstLine="640"/>
        <w:textAlignment w:val="auto"/>
        <w:rPr>
          <w:rFonts w:ascii="仿宋" w:hAnsi="仿宋" w:eastAsia="仿宋"/>
          <w:sz w:val="32"/>
          <w:szCs w:val="32"/>
        </w:rPr>
      </w:pPr>
      <w:bookmarkStart w:id="70" w:name="_Toc15377218"/>
      <w:bookmarkStart w:id="71" w:name="_Toc15396610"/>
      <w:r>
        <w:rPr>
          <w:rFonts w:hint="eastAsia" w:ascii="仿宋" w:hAnsi="仿宋" w:eastAsia="仿宋"/>
          <w:sz w:val="32"/>
          <w:szCs w:val="32"/>
        </w:rPr>
        <w:t>3.公务接待费支出0.3万元，完成预算100</w:t>
      </w:r>
      <w:r>
        <w:rPr>
          <w:rFonts w:ascii="仿宋" w:hAnsi="仿宋" w:eastAsia="仿宋"/>
          <w:sz w:val="32"/>
          <w:szCs w:val="32"/>
        </w:rPr>
        <w:t>%</w:t>
      </w:r>
      <w:r>
        <w:rPr>
          <w:rFonts w:hint="eastAsia" w:ascii="仿宋" w:hAnsi="仿宋" w:eastAsia="仿宋"/>
          <w:sz w:val="32"/>
          <w:szCs w:val="32"/>
        </w:rPr>
        <w:t>。公务接待费支出决算比</w:t>
      </w:r>
      <w:r>
        <w:rPr>
          <w:rFonts w:ascii="仿宋" w:hAnsi="仿宋" w:eastAsia="仿宋"/>
          <w:sz w:val="32"/>
          <w:szCs w:val="32"/>
        </w:rPr>
        <w:t>20</w:t>
      </w:r>
      <w:r>
        <w:rPr>
          <w:rFonts w:hint="eastAsia" w:ascii="仿宋" w:hAnsi="仿宋" w:eastAsia="仿宋"/>
          <w:sz w:val="32"/>
          <w:szCs w:val="32"/>
        </w:rPr>
        <w:t>20年减少1.15万元，下降79.31</w:t>
      </w:r>
      <w:r>
        <w:rPr>
          <w:rFonts w:ascii="仿宋" w:hAnsi="仿宋" w:eastAsia="仿宋"/>
          <w:sz w:val="32"/>
          <w:szCs w:val="32"/>
        </w:rPr>
        <w:t>%</w:t>
      </w:r>
      <w:r>
        <w:rPr>
          <w:rFonts w:hint="eastAsia" w:ascii="仿宋" w:hAnsi="仿宋" w:eastAsia="仿宋"/>
          <w:sz w:val="32"/>
          <w:szCs w:val="32"/>
        </w:rPr>
        <w:t>。主要原因是厉行节约，认真贯彻落实压减“三公”经费相关规定和2020年正在开展第七次全国人口普查工作，上级检查指导工作相对较多。其中：</w:t>
      </w:r>
    </w:p>
    <w:p>
      <w:pPr>
        <w:pageBreakBefore w:val="0"/>
        <w:kinsoku/>
        <w:wordWrap/>
        <w:overflowPunct/>
        <w:topLinePunct w:val="0"/>
        <w:bidi w:val="0"/>
        <w:spacing w:line="576" w:lineRule="exact"/>
        <w:ind w:firstLine="640"/>
        <w:textAlignment w:val="auto"/>
        <w:rPr>
          <w:rFonts w:hint="eastAsia" w:ascii="仿宋" w:hAnsi="仿宋" w:eastAsia="仿宋"/>
          <w:sz w:val="32"/>
          <w:szCs w:val="32"/>
          <w:lang w:val="en-US" w:eastAsia="zh-CN"/>
        </w:rPr>
      </w:pPr>
      <w:r>
        <w:rPr>
          <w:rFonts w:hint="eastAsia" w:ascii="仿宋" w:hAnsi="仿宋" w:eastAsia="仿宋"/>
          <w:sz w:val="32"/>
          <w:szCs w:val="32"/>
        </w:rPr>
        <w:t>国内公务接待支出0.3万元，主要用于开展业务活动开支的用餐费等。国内公务接待</w:t>
      </w:r>
      <w:r>
        <w:rPr>
          <w:rFonts w:hint="eastAsia" w:ascii="仿宋" w:hAnsi="仿宋" w:eastAsia="仿宋"/>
          <w:sz w:val="32"/>
          <w:szCs w:val="32"/>
          <w:lang w:val="en-US" w:eastAsia="zh-CN"/>
        </w:rPr>
        <w:t>8</w:t>
      </w:r>
      <w:r>
        <w:rPr>
          <w:rFonts w:hint="eastAsia" w:ascii="仿宋" w:hAnsi="仿宋" w:eastAsia="仿宋"/>
          <w:sz w:val="32"/>
          <w:szCs w:val="32"/>
        </w:rPr>
        <w:t>批次，</w:t>
      </w:r>
      <w:r>
        <w:rPr>
          <w:rFonts w:hint="eastAsia" w:ascii="仿宋" w:hAnsi="仿宋" w:eastAsia="仿宋"/>
          <w:sz w:val="32"/>
          <w:szCs w:val="32"/>
          <w:lang w:val="en-US" w:eastAsia="zh-CN"/>
        </w:rPr>
        <w:t>47</w:t>
      </w:r>
      <w:r>
        <w:rPr>
          <w:rFonts w:hint="eastAsia" w:ascii="仿宋" w:hAnsi="仿宋" w:eastAsia="仿宋"/>
          <w:sz w:val="32"/>
          <w:szCs w:val="32"/>
        </w:rPr>
        <w:t>人次（不包括陪同人员），共计支出0.3万元</w:t>
      </w:r>
      <w:r>
        <w:rPr>
          <w:rFonts w:hint="eastAsia" w:ascii="仿宋" w:hAnsi="仿宋" w:eastAsia="仿宋"/>
          <w:sz w:val="32"/>
          <w:szCs w:val="32"/>
          <w:lang w:eastAsia="zh-CN"/>
        </w:rPr>
        <w:t>。</w:t>
      </w:r>
    </w:p>
    <w:p>
      <w:pPr>
        <w:pageBreakBefore w:val="0"/>
        <w:kinsoku/>
        <w:wordWrap/>
        <w:overflowPunct/>
        <w:topLinePunct w:val="0"/>
        <w:bidi w:val="0"/>
        <w:spacing w:line="576" w:lineRule="exact"/>
        <w:ind w:firstLine="640"/>
        <w:textAlignment w:val="auto"/>
        <w:outlineLvl w:val="1"/>
        <w:rPr>
          <w:rStyle w:val="27"/>
          <w:rFonts w:ascii="黑体" w:hAnsi="黑体" w:eastAsia="黑体"/>
        </w:rPr>
      </w:pPr>
      <w:bookmarkStart w:id="72" w:name="_Toc5872"/>
      <w:r>
        <w:rPr>
          <w:rFonts w:hint="eastAsia" w:ascii="黑体" w:eastAsia="黑体"/>
          <w:sz w:val="32"/>
          <w:szCs w:val="32"/>
        </w:rPr>
        <w:t>八、</w:t>
      </w:r>
      <w:r>
        <w:rPr>
          <w:rStyle w:val="27"/>
          <w:rFonts w:hint="eastAsia" w:ascii="黑体" w:hAnsi="黑体" w:eastAsia="黑体"/>
          <w:b w:val="0"/>
        </w:rPr>
        <w:t>政府性基金预算支出决算情况说明</w:t>
      </w:r>
      <w:bookmarkEnd w:id="70"/>
      <w:bookmarkEnd w:id="71"/>
      <w:bookmarkEnd w:id="72"/>
    </w:p>
    <w:p>
      <w:pPr>
        <w:pageBreakBefore w:val="0"/>
        <w:kinsoku/>
        <w:wordWrap/>
        <w:overflowPunct/>
        <w:topLinePunct w:val="0"/>
        <w:bidi w:val="0"/>
        <w:spacing w:line="576" w:lineRule="exact"/>
        <w:ind w:firstLine="640"/>
        <w:textAlignment w:val="auto"/>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21年政府性基金预算财政拨款支出0万元。</w:t>
      </w:r>
    </w:p>
    <w:p>
      <w:pPr>
        <w:pageBreakBefore w:val="0"/>
        <w:numPr>
          <w:ilvl w:val="0"/>
          <w:numId w:val="2"/>
        </w:numPr>
        <w:kinsoku/>
        <w:wordWrap/>
        <w:overflowPunct/>
        <w:topLinePunct w:val="0"/>
        <w:bidi w:val="0"/>
        <w:spacing w:line="576" w:lineRule="exact"/>
        <w:ind w:firstLine="640"/>
        <w:textAlignment w:val="auto"/>
        <w:outlineLvl w:val="1"/>
        <w:rPr>
          <w:rStyle w:val="27"/>
          <w:rFonts w:ascii="黑体" w:hAnsi="黑体" w:eastAsia="黑体"/>
          <w:b w:val="0"/>
        </w:rPr>
      </w:pPr>
      <w:bookmarkStart w:id="73" w:name="_Toc15377219"/>
      <w:bookmarkStart w:id="74" w:name="_Toc14896"/>
      <w:bookmarkStart w:id="75" w:name="_Toc15396611"/>
      <w:r>
        <w:rPr>
          <w:rStyle w:val="27"/>
          <w:rFonts w:hint="eastAsia" w:ascii="黑体" w:hAnsi="黑体" w:eastAsia="黑体"/>
          <w:b w:val="0"/>
        </w:rPr>
        <w:t>国有资本经营预算支出决算情况说明</w:t>
      </w:r>
      <w:bookmarkEnd w:id="73"/>
      <w:bookmarkEnd w:id="74"/>
      <w:bookmarkEnd w:id="75"/>
    </w:p>
    <w:p>
      <w:pPr>
        <w:pageBreakBefore w:val="0"/>
        <w:kinsoku/>
        <w:wordWrap/>
        <w:overflowPunct/>
        <w:topLinePunct w:val="0"/>
        <w:bidi w:val="0"/>
        <w:spacing w:line="576" w:lineRule="exact"/>
        <w:ind w:firstLine="640"/>
        <w:textAlignment w:val="auto"/>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21年国有资本经营预算财政拨款支出0万元。</w:t>
      </w:r>
    </w:p>
    <w:p>
      <w:pPr>
        <w:pageBreakBefore w:val="0"/>
        <w:numPr>
          <w:ilvl w:val="0"/>
          <w:numId w:val="2"/>
        </w:numPr>
        <w:kinsoku/>
        <w:wordWrap/>
        <w:overflowPunct/>
        <w:topLinePunct w:val="0"/>
        <w:bidi w:val="0"/>
        <w:spacing w:line="576" w:lineRule="exact"/>
        <w:ind w:firstLine="640"/>
        <w:textAlignment w:val="auto"/>
        <w:outlineLvl w:val="1"/>
        <w:rPr>
          <w:rStyle w:val="27"/>
          <w:rFonts w:ascii="黑体" w:hAnsi="黑体" w:eastAsia="黑体"/>
          <w:b w:val="0"/>
        </w:rPr>
      </w:pPr>
      <w:bookmarkStart w:id="76" w:name="_Toc15377221"/>
      <w:bookmarkStart w:id="77" w:name="_Toc15396612"/>
      <w:bookmarkStart w:id="78" w:name="_Toc5411"/>
      <w:r>
        <w:rPr>
          <w:rStyle w:val="27"/>
          <w:rFonts w:hint="eastAsia" w:ascii="黑体" w:hAnsi="黑体" w:eastAsia="黑体"/>
          <w:b w:val="0"/>
        </w:rPr>
        <w:t>其他重要事项的情况说明</w:t>
      </w:r>
      <w:bookmarkEnd w:id="76"/>
      <w:bookmarkEnd w:id="77"/>
      <w:bookmarkEnd w:id="78"/>
    </w:p>
    <w:p>
      <w:pPr>
        <w:pageBreakBefore w:val="0"/>
        <w:kinsoku/>
        <w:wordWrap/>
        <w:overflowPunct/>
        <w:topLinePunct w:val="0"/>
        <w:bidi w:val="0"/>
        <w:spacing w:line="576" w:lineRule="exact"/>
        <w:ind w:firstLine="643" w:firstLineChars="200"/>
        <w:textAlignment w:val="auto"/>
        <w:outlineLvl w:val="2"/>
        <w:rPr>
          <w:rFonts w:ascii="仿宋" w:hAnsi="仿宋" w:eastAsia="仿宋"/>
          <w:sz w:val="32"/>
          <w:szCs w:val="32"/>
        </w:rPr>
      </w:pPr>
      <w:bookmarkStart w:id="79" w:name="_Toc15377222"/>
      <w:bookmarkStart w:id="80" w:name="_Toc22949"/>
      <w:r>
        <w:rPr>
          <w:rFonts w:hint="eastAsia" w:ascii="仿宋" w:hAnsi="仿宋" w:eastAsia="仿宋"/>
          <w:b/>
          <w:sz w:val="32"/>
          <w:szCs w:val="32"/>
        </w:rPr>
        <w:t>（一）机关运行经费支出情况</w:t>
      </w:r>
      <w:bookmarkEnd w:id="79"/>
      <w:bookmarkEnd w:id="80"/>
    </w:p>
    <w:p>
      <w:pPr>
        <w:pageBreakBefore w:val="0"/>
        <w:kinsoku/>
        <w:wordWrap/>
        <w:overflowPunct/>
        <w:topLinePunct w:val="0"/>
        <w:bidi w:val="0"/>
        <w:spacing w:line="576" w:lineRule="exact"/>
        <w:ind w:firstLine="640" w:firstLineChars="200"/>
        <w:textAlignment w:val="auto"/>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w:t>
      </w:r>
      <w:r>
        <w:rPr>
          <w:rFonts w:ascii="仿宋_GB2312" w:eastAsia="仿宋_GB2312"/>
          <w:sz w:val="32"/>
          <w:szCs w:val="32"/>
        </w:rPr>
        <w:t>开江县统计局</w:t>
      </w:r>
      <w:r>
        <w:rPr>
          <w:rFonts w:hint="eastAsia" w:ascii="仿宋_GB2312" w:eastAsia="仿宋_GB2312"/>
          <w:sz w:val="32"/>
          <w:szCs w:val="32"/>
        </w:rPr>
        <w:t>机关运行经费支出142.02万元，比</w:t>
      </w:r>
      <w:r>
        <w:rPr>
          <w:rFonts w:ascii="仿宋_GB2312" w:eastAsia="仿宋_GB2312"/>
          <w:sz w:val="32"/>
          <w:szCs w:val="32"/>
        </w:rPr>
        <w:t>20</w:t>
      </w:r>
      <w:r>
        <w:rPr>
          <w:rFonts w:hint="eastAsia" w:ascii="仿宋_GB2312" w:eastAsia="仿宋_GB2312"/>
          <w:sz w:val="32"/>
          <w:szCs w:val="32"/>
        </w:rPr>
        <w:t>20年增加19.54万元，增长15.95</w:t>
      </w:r>
      <w:r>
        <w:rPr>
          <w:rFonts w:ascii="仿宋_GB2312" w:eastAsia="仿宋_GB2312"/>
          <w:sz w:val="32"/>
          <w:szCs w:val="32"/>
        </w:rPr>
        <w:t>%</w:t>
      </w:r>
      <w:r>
        <w:rPr>
          <w:rFonts w:hint="eastAsia" w:ascii="仿宋_GB2312" w:eastAsia="仿宋_GB2312"/>
          <w:sz w:val="32"/>
          <w:szCs w:val="32"/>
        </w:rPr>
        <w:t>。主要原因是人员增加。</w:t>
      </w:r>
    </w:p>
    <w:p>
      <w:pPr>
        <w:pageBreakBefore w:val="0"/>
        <w:kinsoku/>
        <w:wordWrap/>
        <w:overflowPunct/>
        <w:topLinePunct w:val="0"/>
        <w:autoSpaceDE w:val="0"/>
        <w:autoSpaceDN w:val="0"/>
        <w:bidi w:val="0"/>
        <w:adjustRightInd w:val="0"/>
        <w:spacing w:line="576" w:lineRule="exact"/>
        <w:ind w:firstLine="643" w:firstLineChars="200"/>
        <w:jc w:val="left"/>
        <w:textAlignment w:val="auto"/>
        <w:outlineLvl w:val="2"/>
        <w:rPr>
          <w:rFonts w:ascii="仿宋" w:hAnsi="仿宋" w:eastAsia="仿宋"/>
          <w:b/>
          <w:sz w:val="32"/>
          <w:szCs w:val="32"/>
        </w:rPr>
      </w:pPr>
      <w:bookmarkStart w:id="81" w:name="_Toc25024"/>
      <w:bookmarkStart w:id="82" w:name="_Toc15377223"/>
      <w:r>
        <w:rPr>
          <w:rFonts w:hint="eastAsia" w:ascii="仿宋" w:hAnsi="仿宋" w:eastAsia="仿宋"/>
          <w:b/>
          <w:sz w:val="32"/>
          <w:szCs w:val="32"/>
        </w:rPr>
        <w:t>（二）政府采购支出情况</w:t>
      </w:r>
      <w:bookmarkEnd w:id="81"/>
      <w:bookmarkEnd w:id="82"/>
    </w:p>
    <w:p>
      <w:pPr>
        <w:pageBreakBefore w:val="0"/>
        <w:kinsoku/>
        <w:wordWrap/>
        <w:overflowPunct/>
        <w:topLinePunct w:val="0"/>
        <w:bidi w:val="0"/>
        <w:spacing w:line="576" w:lineRule="exact"/>
        <w:ind w:firstLine="640" w:firstLineChars="200"/>
        <w:textAlignment w:val="auto"/>
        <w:rPr>
          <w:rFonts w:ascii="仿宋" w:hAnsi="仿宋" w:eastAsia="仿宋"/>
          <w:b/>
          <w:sz w:val="32"/>
          <w:szCs w:val="32"/>
        </w:rPr>
      </w:pPr>
      <w:r>
        <w:rPr>
          <w:rFonts w:ascii="仿宋_GB2312" w:eastAsia="仿宋_GB2312"/>
          <w:sz w:val="32"/>
          <w:szCs w:val="32"/>
        </w:rPr>
        <w:t>20</w:t>
      </w:r>
      <w:r>
        <w:rPr>
          <w:rFonts w:hint="eastAsia" w:ascii="仿宋_GB2312" w:eastAsia="仿宋_GB2312"/>
          <w:sz w:val="32"/>
          <w:szCs w:val="32"/>
        </w:rPr>
        <w:t>21年，开江县统计局政府采购支出总额0万元，其中：政府采购货物支出0万元、政府采购工程支出0万元、政府采购服务支出0万元。</w:t>
      </w:r>
    </w:p>
    <w:p>
      <w:pPr>
        <w:pageBreakBefore w:val="0"/>
        <w:kinsoku/>
        <w:wordWrap/>
        <w:overflowPunct/>
        <w:topLinePunct w:val="0"/>
        <w:autoSpaceDE w:val="0"/>
        <w:autoSpaceDN w:val="0"/>
        <w:bidi w:val="0"/>
        <w:adjustRightInd w:val="0"/>
        <w:spacing w:line="576" w:lineRule="exact"/>
        <w:ind w:firstLine="643" w:firstLineChars="200"/>
        <w:jc w:val="left"/>
        <w:textAlignment w:val="auto"/>
        <w:outlineLvl w:val="2"/>
        <w:rPr>
          <w:rFonts w:ascii="仿宋" w:hAnsi="仿宋" w:eastAsia="仿宋"/>
          <w:b/>
          <w:sz w:val="32"/>
          <w:szCs w:val="32"/>
        </w:rPr>
      </w:pPr>
      <w:bookmarkStart w:id="83" w:name="_Toc15377224"/>
      <w:bookmarkStart w:id="84" w:name="_Toc1911"/>
      <w:r>
        <w:rPr>
          <w:rFonts w:hint="eastAsia" w:ascii="仿宋" w:hAnsi="仿宋" w:eastAsia="仿宋"/>
          <w:b/>
          <w:sz w:val="32"/>
          <w:szCs w:val="32"/>
        </w:rPr>
        <w:t>（三）国有资产占有使用情况</w:t>
      </w:r>
      <w:bookmarkEnd w:id="83"/>
      <w:bookmarkEnd w:id="84"/>
    </w:p>
    <w:p>
      <w:pPr>
        <w:pageBreakBefore w:val="0"/>
        <w:kinsoku/>
        <w:wordWrap/>
        <w:overflowPunct/>
        <w:topLinePunct w:val="0"/>
        <w:autoSpaceDE w:val="0"/>
        <w:autoSpaceDN w:val="0"/>
        <w:bidi w:val="0"/>
        <w:adjustRightInd w:val="0"/>
        <w:spacing w:line="576" w:lineRule="exact"/>
        <w:ind w:firstLine="640" w:firstLineChars="200"/>
        <w:jc w:val="left"/>
        <w:textAlignment w:val="auto"/>
        <w:rPr>
          <w:rFonts w:ascii="仿宋_GB2312" w:eastAsia="仿宋_GB2312"/>
          <w:sz w:val="32"/>
          <w:szCs w:val="32"/>
        </w:rPr>
      </w:pPr>
      <w:r>
        <w:rPr>
          <w:rFonts w:hint="eastAsia" w:ascii="仿宋_GB2312" w:eastAsia="仿宋_GB2312"/>
          <w:sz w:val="32"/>
          <w:szCs w:val="32"/>
        </w:rPr>
        <w:t>截至</w:t>
      </w:r>
      <w:r>
        <w:rPr>
          <w:rFonts w:ascii="仿宋_GB2312" w:eastAsia="仿宋_GB2312"/>
          <w:sz w:val="32"/>
          <w:szCs w:val="32"/>
        </w:rPr>
        <w:t>20</w:t>
      </w:r>
      <w:r>
        <w:rPr>
          <w:rFonts w:hint="eastAsia" w:ascii="仿宋_GB2312" w:eastAsia="仿宋_GB2312"/>
          <w:sz w:val="32"/>
          <w:szCs w:val="32"/>
        </w:rPr>
        <w:t>21年</w:t>
      </w:r>
      <w:r>
        <w:rPr>
          <w:rFonts w:ascii="仿宋_GB2312" w:eastAsia="仿宋_GB2312"/>
          <w:sz w:val="32"/>
          <w:szCs w:val="32"/>
        </w:rPr>
        <w:t>12</w:t>
      </w:r>
      <w:r>
        <w:rPr>
          <w:rFonts w:hint="eastAsia" w:ascii="仿宋_GB2312" w:eastAsia="仿宋_GB2312"/>
          <w:sz w:val="32"/>
          <w:szCs w:val="32"/>
        </w:rPr>
        <w:t>月</w:t>
      </w:r>
      <w:r>
        <w:rPr>
          <w:rFonts w:ascii="仿宋_GB2312" w:eastAsia="仿宋_GB2312"/>
          <w:sz w:val="32"/>
          <w:szCs w:val="32"/>
        </w:rPr>
        <w:t>31</w:t>
      </w:r>
      <w:r>
        <w:rPr>
          <w:rFonts w:hint="eastAsia" w:ascii="仿宋_GB2312" w:eastAsia="仿宋_GB2312"/>
          <w:sz w:val="32"/>
          <w:szCs w:val="32"/>
        </w:rPr>
        <w:t>日，开江县统计局共有车辆0辆。</w:t>
      </w:r>
    </w:p>
    <w:p>
      <w:pPr>
        <w:pageBreakBefore w:val="0"/>
        <w:kinsoku/>
        <w:wordWrap/>
        <w:overflowPunct/>
        <w:topLinePunct w:val="0"/>
        <w:autoSpaceDE w:val="0"/>
        <w:autoSpaceDN w:val="0"/>
        <w:bidi w:val="0"/>
        <w:adjustRightInd w:val="0"/>
        <w:spacing w:line="576" w:lineRule="exact"/>
        <w:ind w:firstLine="643" w:firstLineChars="200"/>
        <w:jc w:val="left"/>
        <w:textAlignment w:val="auto"/>
        <w:outlineLvl w:val="2"/>
        <w:rPr>
          <w:rFonts w:ascii="仿宋" w:hAnsi="仿宋" w:eastAsia="仿宋"/>
          <w:b/>
          <w:sz w:val="32"/>
          <w:szCs w:val="32"/>
        </w:rPr>
      </w:pPr>
      <w:bookmarkStart w:id="85" w:name="_Toc24430"/>
      <w:r>
        <w:rPr>
          <w:rFonts w:hint="eastAsia" w:ascii="仿宋" w:hAnsi="仿宋" w:eastAsia="仿宋"/>
          <w:b/>
          <w:sz w:val="32"/>
          <w:szCs w:val="32"/>
        </w:rPr>
        <w:t>（四）预算绩效管理情况</w:t>
      </w:r>
      <w:bookmarkEnd w:id="85"/>
    </w:p>
    <w:p>
      <w:pPr>
        <w:pageBreakBefore w:val="0"/>
        <w:kinsoku/>
        <w:wordWrap/>
        <w:overflowPunct/>
        <w:topLinePunct w:val="0"/>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在2021年度预算编制阶段，对5个项目编制了绩效目标，预算执行过程中，选取2个项目开展绩效监控，年终执行完毕后，对2个项目开展了绩效自评。同时，本部门对2021年部门整体开展绩效自评，《2021年开江县统计局整体绩效评价报告》见附件（第四部分）。</w:t>
      </w:r>
    </w:p>
    <w:p>
      <w:pPr>
        <w:pStyle w:val="2"/>
        <w:pageBreakBefore w:val="0"/>
        <w:kinsoku/>
        <w:wordWrap/>
        <w:overflowPunct/>
        <w:topLinePunct w:val="0"/>
        <w:bidi w:val="0"/>
        <w:spacing w:line="576" w:lineRule="exact"/>
        <w:jc w:val="center"/>
        <w:textAlignment w:val="auto"/>
      </w:pPr>
      <w:r>
        <w:br w:type="page"/>
      </w:r>
    </w:p>
    <w:p>
      <w:pPr>
        <w:pStyle w:val="2"/>
        <w:pageBreakBefore w:val="0"/>
        <w:kinsoku/>
        <w:wordWrap/>
        <w:overflowPunct/>
        <w:topLinePunct w:val="0"/>
        <w:bidi w:val="0"/>
        <w:spacing w:line="576" w:lineRule="exact"/>
        <w:jc w:val="center"/>
        <w:textAlignment w:val="auto"/>
      </w:pPr>
      <w:bookmarkStart w:id="86" w:name="_Toc15396613"/>
      <w:bookmarkStart w:id="87" w:name="_Toc12967"/>
      <w:bookmarkStart w:id="88" w:name="_Toc15377225"/>
      <w:r>
        <w:rPr>
          <w:rFonts w:hint="eastAsia"/>
          <w:lang w:eastAsia="zh-CN"/>
        </w:rPr>
        <w:t>第三部分：</w:t>
      </w:r>
      <w:r>
        <w:rPr>
          <w:rFonts w:hint="eastAsia"/>
        </w:rPr>
        <w:t>名词解释</w:t>
      </w:r>
      <w:bookmarkEnd w:id="86"/>
      <w:bookmarkEnd w:id="87"/>
      <w:bookmarkEnd w:id="88"/>
    </w:p>
    <w:p>
      <w:pPr>
        <w:pageBreakBefore w:val="0"/>
        <w:kinsoku/>
        <w:wordWrap/>
        <w:overflowPunct/>
        <w:topLinePunct w:val="0"/>
        <w:bidi w:val="0"/>
        <w:spacing w:line="576" w:lineRule="exact"/>
        <w:jc w:val="left"/>
        <w:textAlignment w:val="auto"/>
        <w:rPr>
          <w:rFonts w:ascii="宋体"/>
          <w:b/>
          <w:sz w:val="44"/>
          <w:szCs w:val="44"/>
        </w:rPr>
      </w:pPr>
    </w:p>
    <w:p>
      <w:pPr>
        <w:pStyle w:val="24"/>
        <w:pageBreakBefore w:val="0"/>
        <w:kinsoku/>
        <w:wordWrap/>
        <w:overflowPunct/>
        <w:topLinePunct w:val="0"/>
        <w:bidi w:val="0"/>
        <w:spacing w:line="576" w:lineRule="exact"/>
        <w:ind w:firstLine="640" w:firstLineChars="200"/>
        <w:textAlignment w:val="auto"/>
        <w:rPr>
          <w:rFonts w:ascii="仿宋_GB2312" w:eastAsia="仿宋_GB2312"/>
          <w:color w:val="auto"/>
          <w:sz w:val="32"/>
          <w:szCs w:val="32"/>
        </w:rPr>
      </w:pPr>
      <w:r>
        <w:rPr>
          <w:rFonts w:ascii="仿宋_GB2312" w:eastAsia="仿宋_GB2312"/>
          <w:color w:val="auto"/>
          <w:sz w:val="32"/>
          <w:szCs w:val="32"/>
        </w:rPr>
        <w:t>1.</w:t>
      </w:r>
      <w:r>
        <w:rPr>
          <w:rFonts w:hint="eastAsia" w:ascii="仿宋_GB2312" w:eastAsia="仿宋_GB2312"/>
          <w:color w:val="auto"/>
          <w:sz w:val="32"/>
          <w:szCs w:val="32"/>
        </w:rPr>
        <w:t>财政拨款收入：指单位从同级财政部门取得的财政预算资金。</w:t>
      </w:r>
    </w:p>
    <w:p>
      <w:pPr>
        <w:pStyle w:val="24"/>
        <w:pageBreakBefore w:val="0"/>
        <w:kinsoku/>
        <w:wordWrap/>
        <w:overflowPunct/>
        <w:topLinePunct w:val="0"/>
        <w:bidi w:val="0"/>
        <w:spacing w:line="576" w:lineRule="exact"/>
        <w:ind w:firstLine="640" w:firstLineChars="200"/>
        <w:textAlignment w:val="auto"/>
        <w:rPr>
          <w:rFonts w:ascii="仿宋_GB2312" w:eastAsia="仿宋_GB2312"/>
          <w:color w:val="auto"/>
          <w:sz w:val="32"/>
          <w:szCs w:val="32"/>
        </w:rPr>
      </w:pPr>
      <w:r>
        <w:rPr>
          <w:rFonts w:hint="eastAsia" w:ascii="仿宋_GB2312" w:eastAsia="仿宋_GB2312"/>
          <w:color w:val="auto"/>
          <w:sz w:val="32"/>
          <w:szCs w:val="32"/>
        </w:rPr>
        <w:t>2</w:t>
      </w:r>
      <w:r>
        <w:rPr>
          <w:rFonts w:ascii="仿宋_GB2312" w:eastAsia="仿宋_GB2312"/>
          <w:color w:val="auto"/>
          <w:sz w:val="32"/>
          <w:szCs w:val="32"/>
        </w:rPr>
        <w:t>.</w:t>
      </w:r>
      <w:r>
        <w:rPr>
          <w:rFonts w:hint="eastAsia" w:ascii="仿宋_GB2312" w:eastAsia="仿宋_GB2312"/>
          <w:color w:val="auto"/>
          <w:sz w:val="32"/>
          <w:szCs w:val="32"/>
        </w:rPr>
        <w:t>年初结转和结余：指以前年度尚未完成、结转到本年按有关规定继续使用的资金。</w:t>
      </w:r>
    </w:p>
    <w:p>
      <w:pPr>
        <w:pStyle w:val="24"/>
        <w:pageBreakBefore w:val="0"/>
        <w:kinsoku/>
        <w:wordWrap/>
        <w:overflowPunct/>
        <w:topLinePunct w:val="0"/>
        <w:bidi w:val="0"/>
        <w:spacing w:line="576" w:lineRule="exact"/>
        <w:ind w:firstLine="640" w:firstLineChars="200"/>
        <w:textAlignment w:val="auto"/>
        <w:rPr>
          <w:rFonts w:ascii="仿宋_GB2312" w:eastAsia="仿宋_GB2312"/>
          <w:color w:val="auto"/>
          <w:sz w:val="32"/>
          <w:szCs w:val="32"/>
        </w:rPr>
      </w:pPr>
      <w:r>
        <w:rPr>
          <w:rFonts w:hint="eastAsia" w:ascii="仿宋_GB2312" w:eastAsia="仿宋_GB2312"/>
          <w:color w:val="auto"/>
          <w:sz w:val="32"/>
          <w:szCs w:val="32"/>
        </w:rPr>
        <w:t>3</w:t>
      </w:r>
      <w:r>
        <w:rPr>
          <w:rFonts w:hint="eastAsia" w:ascii="仿宋_GB2312" w:eastAsia="仿宋_GB2312"/>
          <w:color w:val="auto"/>
          <w:sz w:val="32"/>
          <w:szCs w:val="32"/>
          <w:lang w:eastAsia="zh-CN"/>
        </w:rPr>
        <w:t>.</w:t>
      </w:r>
      <w:r>
        <w:rPr>
          <w:rFonts w:hint="eastAsia" w:ascii="仿宋_GB2312" w:eastAsia="仿宋_GB2312"/>
          <w:color w:val="auto"/>
          <w:sz w:val="32"/>
          <w:szCs w:val="32"/>
        </w:rPr>
        <w:t>年末结转和结余：指单位按有关规定结转到下年或以后年度继续使用的资金。</w:t>
      </w:r>
    </w:p>
    <w:p>
      <w:pPr>
        <w:pageBreakBefore w:val="0"/>
        <w:kinsoku/>
        <w:wordWrap/>
        <w:overflowPunct/>
        <w:topLinePunct w:val="0"/>
        <w:bidi w:val="0"/>
        <w:spacing w:line="576" w:lineRule="exact"/>
        <w:ind w:firstLine="640" w:firstLineChars="200"/>
        <w:textAlignment w:val="auto"/>
        <w:rPr>
          <w:rFonts w:ascii="仿宋_GB2312" w:eastAsia="仿宋_GB2312"/>
          <w:sz w:val="32"/>
          <w:szCs w:val="32"/>
        </w:rPr>
      </w:pPr>
      <w:r>
        <w:rPr>
          <w:rFonts w:hint="eastAsia" w:ascii="仿宋_GB2312" w:eastAsia="仿宋_GB2312"/>
          <w:sz w:val="32"/>
          <w:szCs w:val="32"/>
        </w:rPr>
        <w:t>4.社会保障和就业（类）：指机关事业单位基本养老保险缴费。</w:t>
      </w:r>
    </w:p>
    <w:p>
      <w:pPr>
        <w:pageBreakBefore w:val="0"/>
        <w:kinsoku/>
        <w:wordWrap/>
        <w:overflowPunct/>
        <w:topLinePunct w:val="0"/>
        <w:bidi w:val="0"/>
        <w:spacing w:line="576"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5.医疗卫生与计划生育（类）：指机关事业医疗支出及公务员医疗补助。</w:t>
      </w:r>
    </w:p>
    <w:p>
      <w:pPr>
        <w:pageBreakBefore w:val="0"/>
        <w:kinsoku/>
        <w:wordWrap/>
        <w:overflowPunct/>
        <w:topLinePunct w:val="0"/>
        <w:bidi w:val="0"/>
        <w:spacing w:line="576" w:lineRule="exact"/>
        <w:ind w:firstLine="640" w:firstLineChars="200"/>
        <w:textAlignment w:val="auto"/>
        <w:rPr>
          <w:rFonts w:ascii="仿宋_GB2312" w:eastAsia="仿宋_GB2312"/>
          <w:sz w:val="32"/>
          <w:szCs w:val="32"/>
        </w:rPr>
      </w:pPr>
      <w:r>
        <w:rPr>
          <w:rFonts w:hint="eastAsia" w:ascii="仿宋_GB2312" w:eastAsia="仿宋_GB2312"/>
          <w:sz w:val="32"/>
          <w:szCs w:val="32"/>
        </w:rPr>
        <w:t>6.住房保障（类）：指机关事业单位职工住房公积金缴费。</w:t>
      </w:r>
    </w:p>
    <w:p>
      <w:pPr>
        <w:pageBreakBefore w:val="0"/>
        <w:kinsoku/>
        <w:wordWrap/>
        <w:overflowPunct/>
        <w:topLinePunct w:val="0"/>
        <w:bidi w:val="0"/>
        <w:spacing w:line="576" w:lineRule="exact"/>
        <w:ind w:firstLine="640" w:firstLineChars="200"/>
        <w:textAlignment w:val="auto"/>
        <w:rPr>
          <w:rFonts w:ascii="仿宋_GB2312" w:eastAsia="仿宋_GB2312"/>
          <w:sz w:val="32"/>
          <w:szCs w:val="32"/>
        </w:rPr>
      </w:pPr>
      <w:r>
        <w:rPr>
          <w:rFonts w:ascii="仿宋_GB2312" w:eastAsia="仿宋_GB2312"/>
          <w:sz w:val="32"/>
          <w:szCs w:val="32"/>
        </w:rPr>
        <w:t>7.</w:t>
      </w:r>
      <w:r>
        <w:rPr>
          <w:rFonts w:hint="eastAsia" w:ascii="仿宋_GB2312" w:eastAsia="仿宋_GB2312"/>
          <w:sz w:val="32"/>
          <w:szCs w:val="32"/>
        </w:rPr>
        <w:t>基本支出：指为保障机构正常运转、完成日常工作任务而发生的人员支出和公用支出。</w:t>
      </w:r>
    </w:p>
    <w:p>
      <w:pPr>
        <w:pageBreakBefore w:val="0"/>
        <w:kinsoku/>
        <w:wordWrap/>
        <w:overflowPunct/>
        <w:topLinePunct w:val="0"/>
        <w:bidi w:val="0"/>
        <w:spacing w:line="576" w:lineRule="exact"/>
        <w:ind w:firstLine="640" w:firstLineChars="200"/>
        <w:textAlignment w:val="auto"/>
        <w:rPr>
          <w:rFonts w:ascii="仿宋_GB2312" w:eastAsia="仿宋_GB2312"/>
          <w:sz w:val="32"/>
          <w:szCs w:val="32"/>
        </w:rPr>
      </w:pPr>
      <w:r>
        <w:rPr>
          <w:rFonts w:ascii="仿宋_GB2312" w:eastAsia="仿宋_GB2312"/>
          <w:sz w:val="32"/>
          <w:szCs w:val="32"/>
        </w:rPr>
        <w:t>8.</w:t>
      </w:r>
      <w:r>
        <w:rPr>
          <w:rFonts w:hint="eastAsia" w:ascii="仿宋_GB2312" w:eastAsia="仿宋_GB2312"/>
          <w:sz w:val="32"/>
          <w:szCs w:val="32"/>
        </w:rPr>
        <w:t>项目支出：指在基本支出之外为完成特定行政任务和事业发展目标所发生的支出。</w:t>
      </w:r>
    </w:p>
    <w:p>
      <w:pPr>
        <w:pStyle w:val="24"/>
        <w:pageBreakBefore w:val="0"/>
        <w:kinsoku/>
        <w:wordWrap/>
        <w:overflowPunct/>
        <w:topLinePunct w:val="0"/>
        <w:bidi w:val="0"/>
        <w:spacing w:line="576" w:lineRule="exact"/>
        <w:ind w:firstLine="640" w:firstLineChars="200"/>
        <w:textAlignment w:val="auto"/>
        <w:rPr>
          <w:rFonts w:ascii="仿宋_GB2312" w:eastAsia="仿宋_GB2312"/>
          <w:color w:val="auto"/>
          <w:sz w:val="32"/>
          <w:szCs w:val="32"/>
        </w:rPr>
      </w:pPr>
      <w:r>
        <w:rPr>
          <w:rFonts w:hint="eastAsia" w:ascii="仿宋_GB2312" w:eastAsia="仿宋_GB2312"/>
          <w:color w:val="auto"/>
          <w:sz w:val="32"/>
          <w:szCs w:val="32"/>
        </w:rPr>
        <w:t>9</w:t>
      </w:r>
      <w:r>
        <w:rPr>
          <w:rFonts w:ascii="仿宋_GB2312" w:eastAsia="仿宋_GB2312"/>
          <w:color w:val="auto"/>
          <w:sz w:val="32"/>
          <w:szCs w:val="32"/>
        </w:rPr>
        <w:t>.</w:t>
      </w:r>
      <w:r>
        <w:rPr>
          <w:rFonts w:hint="eastAsia" w:ascii="仿宋_GB2312" w:eastAsia="仿宋_GB2312"/>
          <w:color w:val="auto"/>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4"/>
        <w:pageBreakBefore w:val="0"/>
        <w:kinsoku/>
        <w:wordWrap/>
        <w:overflowPunct/>
        <w:topLinePunct w:val="0"/>
        <w:bidi w:val="0"/>
        <w:spacing w:line="576" w:lineRule="exact"/>
        <w:ind w:firstLine="640" w:firstLineChars="200"/>
        <w:textAlignment w:val="auto"/>
        <w:rPr>
          <w:rFonts w:ascii="仿宋_GB2312" w:eastAsia="仿宋_GB2312"/>
          <w:color w:val="auto"/>
          <w:sz w:val="32"/>
          <w:szCs w:val="32"/>
        </w:rPr>
      </w:pPr>
      <w:r>
        <w:rPr>
          <w:rFonts w:ascii="仿宋_GB2312" w:eastAsia="仿宋_GB2312"/>
          <w:color w:val="auto"/>
          <w:sz w:val="32"/>
          <w:szCs w:val="32"/>
        </w:rPr>
        <w:t>1</w:t>
      </w:r>
      <w:r>
        <w:rPr>
          <w:rFonts w:hint="eastAsia" w:ascii="仿宋_GB2312" w:eastAsia="仿宋_GB2312"/>
          <w:color w:val="auto"/>
          <w:sz w:val="32"/>
          <w:szCs w:val="32"/>
        </w:rPr>
        <w:t>0</w:t>
      </w:r>
      <w:r>
        <w:rPr>
          <w:rFonts w:ascii="仿宋_GB2312" w:eastAsia="仿宋_GB2312"/>
          <w:color w:val="auto"/>
          <w:sz w:val="32"/>
          <w:szCs w:val="32"/>
        </w:rPr>
        <w:t>.</w:t>
      </w:r>
      <w:r>
        <w:rPr>
          <w:rFonts w:hint="eastAsia" w:ascii="仿宋_GB2312" w:eastAsia="仿宋_GB2312"/>
          <w:color w:val="auto"/>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24"/>
        <w:pageBreakBefore w:val="0"/>
        <w:kinsoku/>
        <w:wordWrap/>
        <w:overflowPunct/>
        <w:topLinePunct w:val="0"/>
        <w:bidi w:val="0"/>
        <w:spacing w:line="576" w:lineRule="exact"/>
        <w:ind w:firstLine="640" w:firstLineChars="200"/>
        <w:textAlignment w:val="auto"/>
        <w:rPr>
          <w:rFonts w:ascii="仿宋_GB2312" w:eastAsia="仿宋_GB2312" w:cs="黑体"/>
          <w:color w:val="auto"/>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bookmarkStart w:id="89" w:name="_Toc15396614"/>
      <w:bookmarkStart w:id="90" w:name="_Toc15377226"/>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ageBreakBefore w:val="0"/>
        <w:kinsoku/>
        <w:wordWrap/>
        <w:overflowPunct/>
        <w:topLinePunct w:val="0"/>
        <w:bidi w:val="0"/>
        <w:spacing w:line="576" w:lineRule="exact"/>
        <w:jc w:val="center"/>
        <w:textAlignment w:val="auto"/>
        <w:outlineLvl w:val="0"/>
        <w:rPr>
          <w:rFonts w:hint="eastAsia" w:ascii="仿宋" w:hAnsi="仿宋" w:eastAsia="仿宋"/>
          <w:b/>
          <w:sz w:val="32"/>
          <w:szCs w:val="32"/>
        </w:rPr>
      </w:pPr>
    </w:p>
    <w:p>
      <w:pPr>
        <w:pStyle w:val="2"/>
        <w:pageBreakBefore w:val="0"/>
        <w:kinsoku/>
        <w:wordWrap/>
        <w:overflowPunct/>
        <w:topLinePunct w:val="0"/>
        <w:bidi w:val="0"/>
        <w:spacing w:line="576" w:lineRule="exact"/>
        <w:jc w:val="center"/>
        <w:textAlignment w:val="auto"/>
      </w:pPr>
      <w:bookmarkStart w:id="91" w:name="_Toc17486"/>
      <w:r>
        <w:rPr>
          <w:rFonts w:hint="eastAsia"/>
        </w:rPr>
        <w:t>第四部分 附件</w:t>
      </w:r>
      <w:bookmarkEnd w:id="89"/>
      <w:bookmarkEnd w:id="91"/>
    </w:p>
    <w:p>
      <w:pPr>
        <w:pageBreakBefore w:val="0"/>
        <w:kinsoku/>
        <w:wordWrap/>
        <w:overflowPunct/>
        <w:topLinePunct w:val="0"/>
        <w:bidi w:val="0"/>
        <w:spacing w:line="576" w:lineRule="exact"/>
        <w:jc w:val="left"/>
        <w:textAlignment w:val="auto"/>
        <w:rPr>
          <w:rFonts w:ascii="黑体" w:hAnsi="黑体" w:eastAsia="黑体" w:cs="黑体"/>
          <w:sz w:val="32"/>
          <w:szCs w:val="32"/>
        </w:rPr>
      </w:pPr>
      <w:r>
        <w:rPr>
          <w:rFonts w:ascii="黑体" w:hAnsi="黑体" w:eastAsia="黑体" w:cs="黑体"/>
          <w:sz w:val="32"/>
          <w:szCs w:val="32"/>
        </w:rPr>
        <w:t>附件</w:t>
      </w:r>
      <w:r>
        <w:rPr>
          <w:rFonts w:hint="eastAsia" w:ascii="黑体" w:hAnsi="黑体" w:eastAsia="黑体" w:cs="黑体"/>
          <w:sz w:val="32"/>
          <w:szCs w:val="32"/>
        </w:rPr>
        <w:t>1</w:t>
      </w:r>
    </w:p>
    <w:p>
      <w:pPr>
        <w:pageBreakBefore w:val="0"/>
        <w:kinsoku/>
        <w:wordWrap/>
        <w:overflowPunct/>
        <w:topLinePunct w:val="0"/>
        <w:bidi w:val="0"/>
        <w:spacing w:line="576" w:lineRule="exact"/>
        <w:jc w:val="center"/>
        <w:textAlignment w:val="auto"/>
        <w:rPr>
          <w:rFonts w:ascii="方正小标宋简体" w:hAnsi="宋体" w:eastAsia="方正小标宋简体"/>
          <w:kern w:val="0"/>
          <w:sz w:val="40"/>
          <w:szCs w:val="44"/>
          <w:lang w:val="zh-CN"/>
        </w:rPr>
      </w:pPr>
      <w:r>
        <w:rPr>
          <w:rFonts w:hint="eastAsia" w:ascii="方正小标宋简体" w:hAnsi="宋体" w:eastAsia="方正小标宋简体"/>
          <w:kern w:val="0"/>
          <w:sz w:val="40"/>
          <w:szCs w:val="44"/>
        </w:rPr>
        <w:t>2021年开江县统计局整体绩效评价报告</w:t>
      </w:r>
    </w:p>
    <w:p>
      <w:pPr>
        <w:pageBreakBefore w:val="0"/>
        <w:widowControl/>
        <w:numPr>
          <w:ilvl w:val="0"/>
          <w:numId w:val="3"/>
        </w:numPr>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基本情况</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lang w:val="zh-CN"/>
        </w:rPr>
      </w:pPr>
      <w:r>
        <w:rPr>
          <w:rFonts w:hint="eastAsia" w:ascii="仿宋" w:hAnsi="仿宋" w:eastAsia="仿宋"/>
          <w:sz w:val="32"/>
          <w:szCs w:val="32"/>
          <w:lang w:val="zh-CN"/>
        </w:rPr>
        <w:t>（一）机构组成。开江县统计局内设四股一室,即是综合农经股、工交投资股、商贸社会股、统计执法监督股和办公室(增挂行政审批股牌子)，下属两个参公单位和两个事业单位,城乡社会经济调查队、普查中心、服务业和能源统计监测中心、开江县统计大数据中心（增挂社情民意调查中心牌子）。</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lang w:val="zh-CN"/>
        </w:rPr>
      </w:pPr>
      <w:r>
        <w:rPr>
          <w:rFonts w:hint="eastAsia" w:ascii="仿宋" w:hAnsi="仿宋" w:eastAsia="仿宋"/>
          <w:sz w:val="32"/>
          <w:szCs w:val="32"/>
          <w:lang w:val="zh-CN"/>
        </w:rPr>
        <w:t>（二）机构职能</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rPr>
      </w:pPr>
      <w:r>
        <w:rPr>
          <w:rFonts w:hint="eastAsia" w:ascii="仿宋" w:hAnsi="仿宋" w:eastAsia="仿宋"/>
          <w:sz w:val="32"/>
          <w:szCs w:val="32"/>
        </w:rPr>
        <w:t>1、贯彻执行国家、省、市统计工作的方针、政策和法律、法规以及统计制度和统计标准，拟订全县统计工作规划和统计调查计划，审批本地区、各部门的地方统计调查项目，承担组织领导和协调全县统计工作，确保统计数据真实、准确、完整、及时。负责统计监督检查工作，依法查处统计违法行为。</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rPr>
      </w:pPr>
      <w:r>
        <w:rPr>
          <w:rFonts w:hint="eastAsia" w:ascii="仿宋" w:hAnsi="仿宋" w:eastAsia="仿宋"/>
          <w:sz w:val="32"/>
          <w:szCs w:val="32"/>
        </w:rPr>
        <w:t>2、建立健全全县国民经济核算体系，组织实施全县国民经济核算制度和投入产出调查，负责组织实施全县国民经济核算工作，核算全县地区生产总值，汇编提供国民经济核算资料，开展分析研究，参与全县经济社会目标责任考核。</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rPr>
      </w:pPr>
      <w:r>
        <w:rPr>
          <w:rFonts w:hint="eastAsia" w:ascii="仿宋" w:hAnsi="仿宋" w:eastAsia="仿宋"/>
          <w:sz w:val="32"/>
          <w:szCs w:val="32"/>
        </w:rPr>
        <w:t>3、按照国家和省、市的统一部署，组织实施人口、经济、农业等普查和重大国情国力以及社情民意专项调查，汇总、整理和提供有关国情国力方面的统计数据。</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rPr>
      </w:pPr>
      <w:r>
        <w:rPr>
          <w:rFonts w:hint="eastAsia" w:ascii="仿宋" w:hAnsi="仿宋" w:eastAsia="仿宋"/>
          <w:sz w:val="32"/>
          <w:szCs w:val="32"/>
        </w:rPr>
        <w:t>4、组织实施农林牧渔业、工业、建筑业、批发和零售业、住宿和餐饮业、房地产业等国民经济行业以及能源、投资、人口、收入、科技、社会发展基本情况、环境基本状况等领域的统计调查，建立全县经济社会发展监测评价制度及指标体系，对重点区域和重要领域实施监测评价，牵头综合整理和提供资源、房屋、旅游、教育、卫生、邮电、交通运输、社会保障、公用事业、对外贸易、对外经济等全县基本统计资料。</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rPr>
      </w:pPr>
      <w:r>
        <w:rPr>
          <w:rFonts w:hint="eastAsia" w:ascii="仿宋" w:hAnsi="仿宋" w:eastAsia="仿宋"/>
          <w:sz w:val="32"/>
          <w:szCs w:val="32"/>
        </w:rPr>
        <w:t>5、建立健全全县统计数据质量审核、监控和评估制度，依法对乡镇（街道）、县直部门重要统计数据进行审核、监控和评估，组织指导统计基层基础建设。</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rPr>
      </w:pPr>
      <w:r>
        <w:rPr>
          <w:rFonts w:hint="eastAsia" w:ascii="仿宋" w:hAnsi="仿宋" w:eastAsia="仿宋"/>
          <w:sz w:val="32"/>
          <w:szCs w:val="32"/>
        </w:rPr>
        <w:t>6、对国民经济、社会发展、科技进步和资源环境等情况进行统计分析和预测，定期发布全县经济社会发展情况的统计信息，向县委、县政府及有关部门提供统计咨询建议，向社会公众提供统计信息服务。</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rPr>
      </w:pPr>
      <w:r>
        <w:rPr>
          <w:rFonts w:hint="eastAsia" w:ascii="仿宋" w:hAnsi="仿宋" w:eastAsia="仿宋"/>
          <w:sz w:val="32"/>
          <w:szCs w:val="32"/>
        </w:rPr>
        <w:t>7、指导全县统计专业人才队伍建设，协助管理乡镇（街道）、相关县直部门统计人员，会同有关部门组织管理全县统计专业技术资格考试和统计人员继续教育工作。</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rPr>
      </w:pPr>
      <w:r>
        <w:rPr>
          <w:rFonts w:hint="eastAsia" w:ascii="仿宋" w:hAnsi="仿宋" w:eastAsia="仿宋"/>
          <w:sz w:val="32"/>
          <w:szCs w:val="32"/>
        </w:rPr>
        <w:t>8、组织制定乡镇（街道）、县直部门统计数据库和网络的基本标准和运行规则，建立健全全县统计数据库系统和统计信息自动化系统，建立健全县直部门统计信息共享制度，指导统计信息化建设。</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rPr>
      </w:pPr>
      <w:r>
        <w:rPr>
          <w:rFonts w:hint="eastAsia" w:ascii="仿宋" w:hAnsi="仿宋" w:eastAsia="仿宋"/>
          <w:sz w:val="32"/>
          <w:szCs w:val="32"/>
        </w:rPr>
        <w:t>9、负责职责范围内的安全生产、职业健康、应急管理、意识形态、生态环境保护、服务便民化等工作。</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lang w:val="zh-CN"/>
        </w:rPr>
      </w:pPr>
      <w:r>
        <w:rPr>
          <w:rFonts w:hint="eastAsia" w:ascii="仿宋" w:hAnsi="仿宋" w:eastAsia="仿宋"/>
          <w:sz w:val="32"/>
          <w:szCs w:val="32"/>
        </w:rPr>
        <w:t>10、完成县委、县政府交办的其他任务。</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（三）人员概况</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lang w:val="zh-CN"/>
        </w:rPr>
      </w:pPr>
      <w:r>
        <w:rPr>
          <w:rFonts w:hint="eastAsia" w:ascii="仿宋" w:hAnsi="仿宋" w:eastAsia="仿宋"/>
          <w:sz w:val="32"/>
          <w:szCs w:val="32"/>
        </w:rPr>
        <w:t>2021年末职工32人，其：公务员10人（含机关工勤1人）、参公管理9人（含参公管理工勤1人）、事业人员13人。</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二、财政资金收支情况</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（一）财政资金收入情况</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sz w:val="32"/>
          <w:szCs w:val="32"/>
          <w:lang w:val="zh-CN"/>
        </w:rPr>
      </w:pPr>
      <w:r>
        <w:rPr>
          <w:rFonts w:hint="eastAsia" w:ascii="仿宋" w:hAnsi="仿宋" w:eastAsia="仿宋"/>
          <w:sz w:val="32"/>
          <w:szCs w:val="32"/>
        </w:rPr>
        <w:t>2021年</w:t>
      </w:r>
      <w:r>
        <w:rPr>
          <w:rFonts w:hint="eastAsia" w:ascii="仿宋" w:hAnsi="仿宋" w:eastAsia="仿宋" w:cs="仿宋"/>
          <w:bCs/>
          <w:color w:val="000000"/>
          <w:sz w:val="32"/>
          <w:szCs w:val="32"/>
        </w:rPr>
        <w:t>一般</w:t>
      </w:r>
      <w:r>
        <w:rPr>
          <w:rFonts w:hint="eastAsia" w:ascii="仿宋" w:hAnsi="仿宋" w:eastAsia="仿宋" w:cs="仿宋"/>
          <w:color w:val="000000"/>
          <w:sz w:val="32"/>
          <w:szCs w:val="32"/>
        </w:rPr>
        <w:t>公共预算财政拨款收入</w:t>
      </w:r>
      <w:r>
        <w:rPr>
          <w:rFonts w:hint="eastAsia" w:ascii="仿宋" w:hAnsi="仿宋" w:eastAsia="仿宋"/>
          <w:sz w:val="32"/>
          <w:szCs w:val="32"/>
        </w:rPr>
        <w:t>为326.54万元（其中有20万元上年结转项目经费），较上年度下降430.54万元。</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（二）财政资金支出情况</w:t>
      </w:r>
    </w:p>
    <w:p>
      <w:pPr>
        <w:pageBreakBefore w:val="0"/>
        <w:kinsoku/>
        <w:wordWrap/>
        <w:overflowPunct/>
        <w:topLinePunct w:val="0"/>
        <w:bidi w:val="0"/>
        <w:snapToGrid w:val="0"/>
        <w:spacing w:line="576" w:lineRule="exact"/>
        <w:ind w:firstLine="640" w:firstLineChars="200"/>
        <w:textAlignment w:val="auto"/>
        <w:rPr>
          <w:rFonts w:ascii="仿宋" w:hAnsi="仿宋" w:eastAsia="仿宋"/>
          <w:sz w:val="32"/>
          <w:szCs w:val="32"/>
          <w:lang w:val="zh-CN"/>
        </w:rPr>
      </w:pPr>
      <w:r>
        <w:rPr>
          <w:rFonts w:hint="eastAsia" w:ascii="仿宋" w:hAnsi="仿宋" w:eastAsia="仿宋"/>
          <w:sz w:val="32"/>
          <w:szCs w:val="32"/>
        </w:rPr>
        <w:t>2021年支出决算数为326.54万元，其中:基本支出306.54万元，项目支出20万元。</w:t>
      </w:r>
    </w:p>
    <w:p>
      <w:pPr>
        <w:pageBreakBefore w:val="0"/>
        <w:widowControl/>
        <w:numPr>
          <w:ilvl w:val="0"/>
          <w:numId w:val="3"/>
        </w:numPr>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部门整体预算绩效管理情况</w:t>
      </w:r>
    </w:p>
    <w:p>
      <w:pPr>
        <w:pageBreakBefore w:val="0"/>
        <w:widowControl/>
        <w:kinsoku/>
        <w:wordWrap/>
        <w:overflowPunct/>
        <w:topLinePunct w:val="0"/>
        <w:bidi w:val="0"/>
        <w:adjustRightInd w:val="0"/>
        <w:snapToGrid w:val="0"/>
        <w:spacing w:line="576" w:lineRule="exact"/>
        <w:ind w:left="420" w:leftChars="200"/>
        <w:contextualSpacing/>
        <w:jc w:val="left"/>
        <w:textAlignment w:val="auto"/>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（一）部门预算项目绩效管理</w:t>
      </w:r>
      <w:bookmarkStart w:id="121" w:name="_GoBack"/>
      <w:bookmarkEnd w:id="121"/>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1.部门绩效目标制定</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本部门本年度绩效目标制定合理且明确，设立的整体绩效目标和项目绩效目标均符合国家法律法规、国民经济和社会发展总体规划，符合“三定”方案确定的职责与部门制定的中长期实施规划。设定的绩效指标清晰、细化、可衡量，与部门年度的任务相对应，并与年度部门预算资金匹配。</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2．目标实现</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部门整体支出实现目标：本部门保障了单位职工基本工资、津补贴等正常发放和五险一金的缴纳；保障了单位水、电、网络费的缴纳及一些日常运转。</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部门项目支出实现目标：本部门2021年共有5个项目，其中30万元以上部门预算项目共2个，分别为城乡一体化项目和全国第七次人口普查项目。这5个项目实现的目标分别为：完成第七次全国人口普查两员补贴发放、开发人口普查数据手册、编撰人口普查画册、编撰人口普查数据汇编资料等；客观监测居民收入分配格局和不同层次居民生活质量，更好地满足研究制定城乡统筹政策的需要，为国民经济核算和居民消费价格指数权重制定提供基础数据；依法开展粮食遥感抽样调查，评估全县粮食播面及产量；进一步增强人们的统计法律意识，加强统计执法检查工作，做到有法必依、违法必究，督促各级政府及其统计机构、统计调查者和统计调查对象认真贯彻落实统计法的各项规定，提高统计数据质量；完成基本单位名录维护人员补贴发放、开展业务培训和下乡指导，促进基本单位名录库规范化建设达标。</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3.支出控制</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2021年本部门支出控制在预算范围内，符合国家财经法规和财务管理制度规定，资金的拨付有完整的审批过程和手续，资金使用无截留、挤占、挪用、虚列支出等情况。</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4.绩效监控</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本部门对2021年1-8月整体支出绩效进行了监控分析，填写了监控分析表并撰写了绩效监控报告。</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5.执行进度及完成情况</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部门整体支出中人员经费执行进度基本与相应月度匹配，公用经费相对滞后，其原因是本县财政薄弱；人员经费预算完成率达100%，公用经费预算完成率为69%。</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（二）结果应用情况</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1.绩效自评公开情况</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在总结2020年绩效目标编制工作的基础上，将2021年部门整体支出绩效目标进一步细化量化，并按照“公开及时，内容准确，形式规范”的要求进行了信息公开。</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2．评价结果整改情况</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充分运用绩效评价结果，进一步改进预算管理，科学合理编制预算，严格执行预算。按照《预算法》相关规定，参考上一年的预算执行情况和年度的收支预测、部门重点工作等科学编制预算。</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3.应用结果反馈等情况</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我单位严格按照年初预算使用经费，部门整体支出严格遵守各项规章制度，规范财政资金管理，严格控制“三公”经费，强化财政支出理念，提升部门责任意识，提高资金使用效益。</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仿宋"/>
          <w:color w:val="000000"/>
          <w:sz w:val="32"/>
          <w:szCs w:val="32"/>
        </w:rPr>
      </w:pPr>
      <w:r>
        <w:rPr>
          <w:rFonts w:hint="eastAsia" w:ascii="仿宋" w:hAnsi="仿宋" w:eastAsia="仿宋" w:cs="仿宋"/>
          <w:color w:val="000000"/>
          <w:sz w:val="32"/>
          <w:szCs w:val="32"/>
        </w:rPr>
        <w:t>2021年绩效目标全面完成，单位财务制度健全、管理规范，并得到了有效执行。通过加强预算绩效，财政资金得到了有效使用，行政效率得到了提高，促进了各项工作顺利开展。</w:t>
      </w:r>
    </w:p>
    <w:p>
      <w:pPr>
        <w:pageBreakBefore w:val="0"/>
        <w:widowControl/>
        <w:numPr>
          <w:ilvl w:val="0"/>
          <w:numId w:val="4"/>
        </w:numPr>
        <w:tabs>
          <w:tab w:val="left" w:pos="0"/>
        </w:tabs>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宋体"/>
          <w:color w:val="000000"/>
          <w:kern w:val="0"/>
          <w:sz w:val="32"/>
          <w:szCs w:val="32"/>
          <w:shd w:val="clear" w:color="auto" w:fill="FFFFFF"/>
          <w:lang w:val="zh-CN"/>
        </w:rPr>
      </w:pPr>
      <w:r>
        <w:rPr>
          <w:rFonts w:hint="eastAsia" w:ascii="仿宋" w:hAnsi="仿宋" w:eastAsia="仿宋" w:cs="宋体"/>
          <w:color w:val="000000"/>
          <w:kern w:val="0"/>
          <w:sz w:val="32"/>
          <w:szCs w:val="32"/>
          <w:shd w:val="clear" w:color="auto" w:fill="FFFFFF"/>
          <w:lang w:val="zh-CN"/>
        </w:rPr>
        <w:t>自评质量</w:t>
      </w:r>
    </w:p>
    <w:p>
      <w:pPr>
        <w:pageBreakBefore w:val="0"/>
        <w:widowControl/>
        <w:kinsoku/>
        <w:wordWrap/>
        <w:overflowPunct/>
        <w:topLinePunct w:val="0"/>
        <w:bidi w:val="0"/>
        <w:adjustRightInd w:val="0"/>
        <w:snapToGrid w:val="0"/>
        <w:spacing w:line="576" w:lineRule="exact"/>
        <w:contextualSpacing/>
        <w:jc w:val="left"/>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 xml:space="preserve">    我单位实现了2021年财政预算支出的绩效目标，部门绩效目标与国家政策法规、单位职能职责、年度重点工作任务相符。预算绩效自评情况 较好，目标编制质量有待提升；预算执行情况较好；整体效益实现情况较好，年度工作有效完成。</w:t>
      </w:r>
    </w:p>
    <w:p>
      <w:pPr>
        <w:pageBreakBefore w:val="0"/>
        <w:widowControl/>
        <w:kinsoku/>
        <w:wordWrap/>
        <w:overflowPunct/>
        <w:topLinePunct w:val="0"/>
        <w:bidi w:val="0"/>
        <w:adjustRightInd w:val="0"/>
        <w:snapToGrid w:val="0"/>
        <w:spacing w:line="576" w:lineRule="exact"/>
        <w:ind w:firstLine="640" w:firstLineChars="200"/>
        <w:contextualSpacing/>
        <w:jc w:val="left"/>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四、评价结论及建议</w:t>
      </w:r>
    </w:p>
    <w:p>
      <w:pPr>
        <w:pageBreakBefore w:val="0"/>
        <w:kinsoku/>
        <w:wordWrap/>
        <w:overflowPunct/>
        <w:topLinePunct w:val="0"/>
        <w:bidi w:val="0"/>
        <w:spacing w:line="576" w:lineRule="exact"/>
        <w:ind w:firstLine="640" w:firstLineChars="200"/>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（一）评价结论</w:t>
      </w:r>
    </w:p>
    <w:p>
      <w:pPr>
        <w:pageBreakBefore w:val="0"/>
        <w:kinsoku/>
        <w:wordWrap/>
        <w:overflowPunct/>
        <w:topLinePunct w:val="0"/>
        <w:bidi w:val="0"/>
        <w:spacing w:line="576" w:lineRule="exact"/>
        <w:ind w:firstLine="640" w:firstLineChars="200"/>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1.绩效目标完成情况。我单位2021年整体支出绩效年度目标完成率达100%。</w:t>
      </w:r>
    </w:p>
    <w:p>
      <w:pPr>
        <w:pageBreakBefore w:val="0"/>
        <w:kinsoku/>
        <w:wordWrap/>
        <w:overflowPunct/>
        <w:topLinePunct w:val="0"/>
        <w:bidi w:val="0"/>
        <w:spacing w:line="576" w:lineRule="exact"/>
        <w:ind w:firstLine="640" w:firstLineChars="200"/>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2.初步建立事前有目标、事中有监控、事后有评价的常态化预算绩效管理体系，预算绩效管理工作进展明显。</w:t>
      </w:r>
    </w:p>
    <w:p>
      <w:pPr>
        <w:pageBreakBefore w:val="0"/>
        <w:kinsoku/>
        <w:wordWrap/>
        <w:overflowPunct/>
        <w:topLinePunct w:val="0"/>
        <w:bidi w:val="0"/>
        <w:spacing w:line="576" w:lineRule="exact"/>
        <w:ind w:firstLine="640" w:firstLineChars="200"/>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（二）存在问题</w:t>
      </w:r>
    </w:p>
    <w:p>
      <w:pPr>
        <w:pageBreakBefore w:val="0"/>
        <w:kinsoku/>
        <w:wordWrap/>
        <w:overflowPunct/>
        <w:topLinePunct w:val="0"/>
        <w:bidi w:val="0"/>
        <w:spacing w:line="576" w:lineRule="exact"/>
        <w:ind w:firstLine="640" w:firstLineChars="200"/>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经费保障滞后，执行进度受到影响。</w:t>
      </w:r>
    </w:p>
    <w:p>
      <w:pPr>
        <w:pageBreakBefore w:val="0"/>
        <w:kinsoku/>
        <w:wordWrap/>
        <w:overflowPunct/>
        <w:topLinePunct w:val="0"/>
        <w:bidi w:val="0"/>
        <w:spacing w:line="576" w:lineRule="exact"/>
        <w:ind w:firstLine="640" w:firstLineChars="200"/>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（三）改进建议</w:t>
      </w:r>
    </w:p>
    <w:p>
      <w:pPr>
        <w:pageBreakBefore w:val="0"/>
        <w:kinsoku/>
        <w:wordWrap/>
        <w:overflowPunct/>
        <w:topLinePunct w:val="0"/>
        <w:bidi w:val="0"/>
        <w:spacing w:line="576" w:lineRule="exact"/>
        <w:ind w:firstLine="640" w:firstLineChars="200"/>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进一步加强经费保障，保障预算执行进度，确保各项工作顺利开展，确保绩效目标顺利完成。</w:t>
      </w:r>
    </w:p>
    <w:p>
      <w:pPr>
        <w:pStyle w:val="13"/>
        <w:pageBreakBefore w:val="0"/>
        <w:kinsoku/>
        <w:wordWrap/>
        <w:overflowPunct/>
        <w:topLinePunct w:val="0"/>
        <w:bidi w:val="0"/>
        <w:spacing w:line="576" w:lineRule="exact"/>
        <w:ind w:firstLine="640"/>
        <w:textAlignment w:val="auto"/>
        <w:rPr>
          <w:rFonts w:ascii="仿宋" w:hAnsi="仿宋" w:eastAsia="仿宋"/>
          <w:sz w:val="32"/>
          <w:szCs w:val="32"/>
        </w:rPr>
      </w:pPr>
    </w:p>
    <w:p>
      <w:pPr>
        <w:pageBreakBefore w:val="0"/>
        <w:kinsoku/>
        <w:wordWrap/>
        <w:overflowPunct/>
        <w:topLinePunct w:val="0"/>
        <w:bidi w:val="0"/>
        <w:spacing w:line="576" w:lineRule="exact"/>
        <w:ind w:firstLine="640" w:firstLineChars="200"/>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附1. 全国第七次人口普查项目绩效目标自评</w:t>
      </w:r>
    </w:p>
    <w:p>
      <w:pPr>
        <w:pageBreakBefore w:val="0"/>
        <w:kinsoku/>
        <w:wordWrap/>
        <w:overflowPunct/>
        <w:topLinePunct w:val="0"/>
        <w:bidi w:val="0"/>
        <w:spacing w:line="576" w:lineRule="exact"/>
        <w:ind w:firstLine="640" w:firstLineChars="200"/>
        <w:textAlignment w:val="auto"/>
        <w:rPr>
          <w:rFonts w:ascii="仿宋" w:hAnsi="仿宋" w:eastAsia="仿宋" w:cs="宋体"/>
          <w:color w:val="000000"/>
          <w:kern w:val="0"/>
          <w:sz w:val="32"/>
          <w:szCs w:val="32"/>
          <w:shd w:val="clear" w:color="auto" w:fill="FFFFFF"/>
        </w:rPr>
      </w:pPr>
      <w:r>
        <w:rPr>
          <w:rFonts w:hint="eastAsia" w:ascii="仿宋" w:hAnsi="仿宋" w:eastAsia="仿宋" w:cs="宋体"/>
          <w:color w:val="000000"/>
          <w:kern w:val="0"/>
          <w:sz w:val="32"/>
          <w:szCs w:val="32"/>
          <w:shd w:val="clear" w:color="auto" w:fill="FFFFFF"/>
        </w:rPr>
        <w:t xml:space="preserve">  2. 城乡一体化项目绩效目标自评</w:t>
      </w:r>
    </w:p>
    <w:p>
      <w:pPr>
        <w:pStyle w:val="13"/>
        <w:pageBreakBefore w:val="0"/>
        <w:kinsoku/>
        <w:wordWrap/>
        <w:overflowPunct/>
        <w:topLinePunct w:val="0"/>
        <w:bidi w:val="0"/>
        <w:spacing w:line="576" w:lineRule="exact"/>
        <w:ind w:left="0" w:leftChars="0" w:right="641" w:firstLine="0" w:firstLineChars="0"/>
        <w:jc w:val="both"/>
        <w:textAlignment w:val="auto"/>
      </w:pPr>
    </w:p>
    <w:tbl>
      <w:tblPr>
        <w:tblStyle w:val="14"/>
        <w:tblpPr w:leftFromText="180" w:rightFromText="180" w:vertAnchor="text" w:horzAnchor="page" w:tblpX="1028" w:tblpY="441"/>
        <w:tblOverlap w:val="never"/>
        <w:tblW w:w="5913" w:type="pct"/>
        <w:tblInd w:w="0" w:type="dxa"/>
        <w:tblLayout w:type="fixed"/>
        <w:tblCellMar>
          <w:top w:w="0" w:type="dxa"/>
          <w:left w:w="108" w:type="dxa"/>
          <w:bottom w:w="0" w:type="dxa"/>
          <w:right w:w="108" w:type="dxa"/>
        </w:tblCellMar>
      </w:tblPr>
      <w:tblGrid>
        <w:gridCol w:w="1230"/>
        <w:gridCol w:w="1121"/>
        <w:gridCol w:w="1494"/>
        <w:gridCol w:w="1827"/>
        <w:gridCol w:w="888"/>
        <w:gridCol w:w="3283"/>
        <w:gridCol w:w="236"/>
      </w:tblGrid>
      <w:tr>
        <w:tblPrEx>
          <w:tblCellMar>
            <w:top w:w="0" w:type="dxa"/>
            <w:left w:w="108" w:type="dxa"/>
            <w:bottom w:w="0" w:type="dxa"/>
            <w:right w:w="108" w:type="dxa"/>
          </w:tblCellMar>
        </w:tblPrEx>
        <w:trPr>
          <w:trHeight w:val="887" w:hRule="atLeast"/>
        </w:trPr>
        <w:tc>
          <w:tcPr>
            <w:tcW w:w="4882" w:type="pct"/>
            <w:gridSpan w:val="6"/>
            <w:tcBorders>
              <w:top w:val="nil"/>
              <w:left w:val="nil"/>
              <w:bottom w:val="nil"/>
              <w:right w:val="nil"/>
            </w:tcBorders>
            <w:shd w:val="clear" w:color="auto" w:fill="auto"/>
            <w:noWrap/>
            <w:vAlign w:val="center"/>
          </w:tcPr>
          <w:p>
            <w:pPr>
              <w:widowControl/>
              <w:jc w:val="left"/>
              <w:textAlignment w:val="center"/>
              <w:rPr>
                <w:rFonts w:ascii="黑体" w:hAnsi="黑体" w:eastAsia="黑体" w:cs="宋体"/>
                <w:color w:val="000000"/>
                <w:kern w:val="0"/>
                <w:sz w:val="32"/>
                <w:szCs w:val="32"/>
                <w:shd w:val="clear" w:color="auto" w:fill="FFFFFF"/>
              </w:rPr>
            </w:pPr>
            <w:r>
              <w:rPr>
                <w:rFonts w:hint="eastAsia" w:ascii="黑体" w:hAnsi="黑体" w:eastAsia="黑体" w:cs="宋体"/>
                <w:color w:val="000000"/>
                <w:kern w:val="0"/>
                <w:sz w:val="32"/>
                <w:szCs w:val="32"/>
                <w:shd w:val="clear" w:color="auto" w:fill="FFFFFF"/>
              </w:rPr>
              <w:t>附1</w:t>
            </w:r>
          </w:p>
          <w:p>
            <w:pPr>
              <w:widowControl/>
              <w:jc w:val="center"/>
              <w:textAlignment w:val="center"/>
              <w:rPr>
                <w:rFonts w:ascii="黑体" w:hAnsi="黑体" w:eastAsia="黑体" w:cs="宋体"/>
                <w:color w:val="000000"/>
                <w:kern w:val="0"/>
                <w:szCs w:val="32"/>
                <w:shd w:val="clear" w:color="auto" w:fill="FFFFFF"/>
              </w:rPr>
            </w:pPr>
            <w:r>
              <w:rPr>
                <w:rFonts w:hint="eastAsia" w:ascii="黑体" w:hAnsi="黑体" w:eastAsia="黑体" w:cs="宋体"/>
                <w:color w:val="000000"/>
                <w:kern w:val="0"/>
                <w:sz w:val="32"/>
                <w:szCs w:val="32"/>
                <w:shd w:val="clear" w:color="auto" w:fill="FFFFFF"/>
              </w:rPr>
              <w:t>全国第七次人口普查项目绩效目标自评</w:t>
            </w:r>
          </w:p>
        </w:tc>
        <w:tc>
          <w:tcPr>
            <w:tcW w:w="117" w:type="pct"/>
            <w:tcBorders>
              <w:top w:val="nil"/>
              <w:left w:val="nil"/>
              <w:bottom w:val="nil"/>
              <w:right w:val="nil"/>
            </w:tcBorders>
            <w:shd w:val="clear" w:color="auto" w:fill="auto"/>
            <w:noWrap/>
            <w:vAlign w:val="center"/>
          </w:tcPr>
          <w:p>
            <w:pPr>
              <w:widowControl/>
              <w:jc w:val="center"/>
              <w:textAlignment w:val="center"/>
              <w:rPr>
                <w:rFonts w:ascii="仿宋_GB2312" w:cs="宋体"/>
                <w:color w:val="000000"/>
                <w:kern w:val="0"/>
                <w:szCs w:val="32"/>
                <w:shd w:val="clear" w:color="auto" w:fill="FFFFFF"/>
              </w:rPr>
            </w:pPr>
          </w:p>
        </w:tc>
      </w:tr>
      <w:tr>
        <w:tblPrEx>
          <w:tblCellMar>
            <w:top w:w="0" w:type="dxa"/>
            <w:left w:w="108" w:type="dxa"/>
            <w:bottom w:w="0" w:type="dxa"/>
            <w:right w:w="108" w:type="dxa"/>
          </w:tblCellMar>
        </w:tblPrEx>
        <w:trPr>
          <w:gridAfter w:val="1"/>
          <w:wAfter w:w="117" w:type="pct"/>
          <w:trHeight w:val="616" w:hRule="atLeast"/>
        </w:trPr>
        <w:tc>
          <w:tcPr>
            <w:tcW w:w="1166"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kern w:val="0"/>
                <w:szCs w:val="21"/>
              </w:rPr>
              <w:t>主管部门及代码</w:t>
            </w:r>
          </w:p>
        </w:tc>
        <w:tc>
          <w:tcPr>
            <w:tcW w:w="1647"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r>
              <w:rPr>
                <w:rFonts w:ascii="宋体" w:cs="宋体"/>
                <w:color w:val="000000"/>
                <w:szCs w:val="21"/>
              </w:rPr>
              <w:t>开江县统计局</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kern w:val="0"/>
                <w:szCs w:val="21"/>
              </w:rPr>
              <w:t>实施单位</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ascii="宋体" w:cs="宋体"/>
                <w:color w:val="000000"/>
                <w:szCs w:val="21"/>
              </w:rPr>
              <w:t>开江县统计局</w:t>
            </w:r>
          </w:p>
        </w:tc>
      </w:tr>
      <w:tr>
        <w:tblPrEx>
          <w:tblCellMar>
            <w:top w:w="0" w:type="dxa"/>
            <w:left w:w="108" w:type="dxa"/>
            <w:bottom w:w="0" w:type="dxa"/>
            <w:right w:w="108" w:type="dxa"/>
          </w:tblCellMar>
        </w:tblPrEx>
        <w:trPr>
          <w:gridAfter w:val="1"/>
          <w:wAfter w:w="117" w:type="pct"/>
          <w:trHeight w:val="616" w:hRule="atLeast"/>
        </w:trPr>
        <w:tc>
          <w:tcPr>
            <w:tcW w:w="1166"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kern w:val="0"/>
                <w:szCs w:val="21"/>
              </w:rPr>
              <w:t>项目预算</w:t>
            </w:r>
            <w:r>
              <w:rPr>
                <w:rFonts w:hint="eastAsia" w:ascii="宋体" w:cs="宋体"/>
                <w:color w:val="000000"/>
                <w:kern w:val="0"/>
                <w:szCs w:val="21"/>
              </w:rPr>
              <w:br w:type="textWrapping"/>
            </w:r>
            <w:r>
              <w:rPr>
                <w:rFonts w:hint="eastAsia" w:ascii="宋体" w:cs="宋体"/>
                <w:color w:val="000000"/>
                <w:kern w:val="0"/>
                <w:szCs w:val="21"/>
              </w:rPr>
              <w:t>执行情况</w:t>
            </w:r>
            <w:r>
              <w:rPr>
                <w:rFonts w:hint="eastAsia" w:ascii="宋体" w:cs="宋体"/>
                <w:color w:val="000000"/>
                <w:kern w:val="0"/>
                <w:szCs w:val="21"/>
              </w:rPr>
              <w:br w:type="textWrapping"/>
            </w:r>
            <w:r>
              <w:rPr>
                <w:rFonts w:hint="eastAsia" w:ascii="宋体" w:cs="宋体"/>
                <w:color w:val="000000"/>
                <w:kern w:val="0"/>
                <w:szCs w:val="21"/>
              </w:rPr>
              <w:t>（万元）</w:t>
            </w: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kern w:val="0"/>
                <w:szCs w:val="21"/>
              </w:rPr>
              <w:t xml:space="preserve"> 预算数：</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szCs w:val="21"/>
              </w:rPr>
              <w:t>280万</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kern w:val="0"/>
                <w:szCs w:val="21"/>
              </w:rPr>
              <w:t xml:space="preserve"> 执行数：</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39.8万</w:t>
            </w:r>
          </w:p>
        </w:tc>
      </w:tr>
      <w:tr>
        <w:tblPrEx>
          <w:tblCellMar>
            <w:top w:w="0" w:type="dxa"/>
            <w:left w:w="108" w:type="dxa"/>
            <w:bottom w:w="0" w:type="dxa"/>
            <w:right w:w="108" w:type="dxa"/>
          </w:tblCellMar>
        </w:tblPrEx>
        <w:trPr>
          <w:gridAfter w:val="1"/>
          <w:wAfter w:w="117" w:type="pct"/>
          <w:trHeight w:val="919" w:hRule="atLeast"/>
        </w:trPr>
        <w:tc>
          <w:tcPr>
            <w:tcW w:w="116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szCs w:val="21"/>
              </w:rPr>
            </w:pP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kern w:val="0"/>
                <w:szCs w:val="21"/>
              </w:rPr>
            </w:pPr>
            <w:r>
              <w:rPr>
                <w:rFonts w:hint="eastAsia" w:ascii="宋体" w:cs="宋体"/>
                <w:color w:val="000000"/>
                <w:kern w:val="0"/>
                <w:szCs w:val="21"/>
              </w:rPr>
              <w:t>其中：</w:t>
            </w:r>
          </w:p>
          <w:p>
            <w:pPr>
              <w:widowControl/>
              <w:spacing w:line="320" w:lineRule="exact"/>
              <w:jc w:val="left"/>
              <w:textAlignment w:val="center"/>
              <w:rPr>
                <w:rFonts w:ascii="宋体" w:cs="宋体"/>
                <w:color w:val="000000"/>
                <w:szCs w:val="21"/>
              </w:rPr>
            </w:pPr>
            <w:r>
              <w:rPr>
                <w:rFonts w:hint="eastAsia" w:ascii="宋体" w:cs="宋体"/>
                <w:color w:val="000000"/>
                <w:kern w:val="0"/>
                <w:szCs w:val="21"/>
              </w:rPr>
              <w:t>财政拨款</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szCs w:val="21"/>
              </w:rPr>
              <w:t>280万</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kern w:val="0"/>
                <w:szCs w:val="21"/>
              </w:rPr>
            </w:pPr>
            <w:r>
              <w:rPr>
                <w:rFonts w:hint="eastAsia" w:ascii="宋体" w:cs="宋体"/>
                <w:color w:val="000000"/>
                <w:kern w:val="0"/>
                <w:szCs w:val="21"/>
              </w:rPr>
              <w:t>其中：</w:t>
            </w:r>
          </w:p>
          <w:p>
            <w:pPr>
              <w:widowControl/>
              <w:spacing w:line="320" w:lineRule="exact"/>
              <w:jc w:val="left"/>
              <w:textAlignment w:val="center"/>
              <w:rPr>
                <w:rFonts w:ascii="宋体" w:cs="宋体"/>
                <w:color w:val="000000"/>
                <w:szCs w:val="21"/>
              </w:rPr>
            </w:pPr>
            <w:r>
              <w:rPr>
                <w:rFonts w:hint="eastAsia" w:ascii="宋体" w:cs="宋体"/>
                <w:color w:val="000000"/>
                <w:kern w:val="0"/>
                <w:szCs w:val="21"/>
              </w:rPr>
              <w:t>财政拨款</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39.8万</w:t>
            </w:r>
          </w:p>
        </w:tc>
      </w:tr>
      <w:tr>
        <w:tblPrEx>
          <w:tblCellMar>
            <w:top w:w="0" w:type="dxa"/>
            <w:left w:w="108" w:type="dxa"/>
            <w:bottom w:w="0" w:type="dxa"/>
            <w:right w:w="108" w:type="dxa"/>
          </w:tblCellMar>
        </w:tblPrEx>
        <w:trPr>
          <w:gridAfter w:val="1"/>
          <w:wAfter w:w="117" w:type="pct"/>
          <w:trHeight w:val="616" w:hRule="atLeast"/>
        </w:trPr>
        <w:tc>
          <w:tcPr>
            <w:tcW w:w="1166"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szCs w:val="21"/>
              </w:rPr>
            </w:pP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kern w:val="0"/>
                <w:szCs w:val="21"/>
              </w:rPr>
              <w:t>其他资金</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kern w:val="0"/>
                <w:szCs w:val="21"/>
              </w:rPr>
              <w:t>其他资金</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p>
        </w:tc>
      </w:tr>
      <w:tr>
        <w:tblPrEx>
          <w:tblCellMar>
            <w:top w:w="0" w:type="dxa"/>
            <w:left w:w="108" w:type="dxa"/>
            <w:bottom w:w="0" w:type="dxa"/>
            <w:right w:w="108" w:type="dxa"/>
          </w:tblCellMar>
        </w:tblPrEx>
        <w:trPr>
          <w:gridAfter w:val="1"/>
          <w:wAfter w:w="117" w:type="pct"/>
          <w:trHeight w:val="313" w:hRule="atLeast"/>
        </w:trPr>
        <w:tc>
          <w:tcPr>
            <w:tcW w:w="61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kern w:val="0"/>
                <w:szCs w:val="21"/>
              </w:rPr>
            </w:pPr>
            <w:r>
              <w:rPr>
                <w:rFonts w:hint="eastAsia" w:ascii="宋体" w:cs="宋体"/>
                <w:color w:val="000000"/>
                <w:kern w:val="0"/>
                <w:szCs w:val="21"/>
              </w:rPr>
              <w:t>年度总体目标</w:t>
            </w:r>
          </w:p>
          <w:p>
            <w:pPr>
              <w:widowControl/>
              <w:spacing w:line="320" w:lineRule="exact"/>
              <w:jc w:val="center"/>
              <w:textAlignment w:val="center"/>
              <w:rPr>
                <w:rFonts w:ascii="宋体" w:cs="宋体"/>
                <w:color w:val="000000"/>
                <w:szCs w:val="21"/>
              </w:rPr>
            </w:pPr>
            <w:r>
              <w:rPr>
                <w:rFonts w:hint="eastAsia" w:ascii="宋体" w:cs="宋体"/>
                <w:color w:val="000000"/>
                <w:kern w:val="0"/>
                <w:szCs w:val="21"/>
              </w:rPr>
              <w:t>完成情况</w:t>
            </w:r>
          </w:p>
        </w:tc>
        <w:tc>
          <w:tcPr>
            <w:tcW w:w="2203"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kern w:val="0"/>
                <w:szCs w:val="21"/>
              </w:rPr>
              <w:t>预期目标</w:t>
            </w:r>
          </w:p>
        </w:tc>
        <w:tc>
          <w:tcPr>
            <w:tcW w:w="206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kern w:val="0"/>
                <w:szCs w:val="21"/>
              </w:rPr>
              <w:t>目标实际完成情况</w:t>
            </w:r>
          </w:p>
        </w:tc>
      </w:tr>
      <w:tr>
        <w:tblPrEx>
          <w:tblCellMar>
            <w:top w:w="0" w:type="dxa"/>
            <w:left w:w="108" w:type="dxa"/>
            <w:bottom w:w="0" w:type="dxa"/>
            <w:right w:w="108" w:type="dxa"/>
          </w:tblCellMar>
        </w:tblPrEx>
        <w:trPr>
          <w:gridAfter w:val="1"/>
          <w:wAfter w:w="117" w:type="pct"/>
          <w:trHeight w:val="750" w:hRule="atLeast"/>
        </w:trPr>
        <w:tc>
          <w:tcPr>
            <w:tcW w:w="61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szCs w:val="21"/>
              </w:rPr>
            </w:pPr>
          </w:p>
        </w:tc>
        <w:tc>
          <w:tcPr>
            <w:tcW w:w="2203" w:type="pct"/>
            <w:gridSpan w:val="3"/>
            <w:tcBorders>
              <w:top w:val="single" w:color="000000" w:sz="4" w:space="0"/>
              <w:left w:val="single" w:color="000000" w:sz="4" w:space="0"/>
              <w:bottom w:val="single" w:color="000000" w:sz="4" w:space="0"/>
              <w:right w:val="single" w:color="000000" w:sz="4" w:space="0"/>
            </w:tcBorders>
            <w:shd w:val="clear" w:color="auto" w:fill="auto"/>
            <w:noWrap/>
          </w:tcPr>
          <w:p>
            <w:pPr>
              <w:widowControl/>
              <w:spacing w:line="320" w:lineRule="exact"/>
              <w:jc w:val="left"/>
              <w:textAlignment w:val="top"/>
              <w:rPr>
                <w:rFonts w:ascii="宋体" w:cs="宋体"/>
                <w:color w:val="000000"/>
                <w:szCs w:val="21"/>
              </w:rPr>
            </w:pPr>
            <w:r>
              <w:rPr>
                <w:rFonts w:hint="eastAsia" w:ascii="宋体" w:cs="宋体"/>
                <w:color w:val="000000"/>
                <w:szCs w:val="21"/>
              </w:rPr>
              <w:t>发放七人普两员补贴和开发人口普查相关资料。</w:t>
            </w:r>
          </w:p>
        </w:tc>
        <w:tc>
          <w:tcPr>
            <w:tcW w:w="2069" w:type="pct"/>
            <w:gridSpan w:val="2"/>
            <w:tcBorders>
              <w:top w:val="single" w:color="000000" w:sz="4" w:space="0"/>
              <w:left w:val="single" w:color="000000" w:sz="4" w:space="0"/>
              <w:bottom w:val="single" w:color="000000" w:sz="4" w:space="0"/>
              <w:right w:val="single" w:color="000000" w:sz="4" w:space="0"/>
            </w:tcBorders>
            <w:shd w:val="clear" w:color="auto" w:fill="auto"/>
            <w:noWrap/>
          </w:tcPr>
          <w:p>
            <w:pPr>
              <w:widowControl/>
              <w:spacing w:line="320" w:lineRule="exact"/>
              <w:jc w:val="left"/>
              <w:textAlignment w:val="top"/>
              <w:rPr>
                <w:rFonts w:ascii="宋体" w:cs="宋体"/>
                <w:color w:val="000000"/>
                <w:szCs w:val="21"/>
              </w:rPr>
            </w:pPr>
            <w:r>
              <w:rPr>
                <w:rFonts w:hint="eastAsia" w:ascii="宋体" w:cs="宋体"/>
                <w:color w:val="000000"/>
                <w:szCs w:val="21"/>
              </w:rPr>
              <w:t>已发放部分七人普两员补贴和开发部分人口</w:t>
            </w:r>
          </w:p>
          <w:p>
            <w:pPr>
              <w:widowControl/>
              <w:spacing w:line="320" w:lineRule="exact"/>
              <w:jc w:val="left"/>
              <w:textAlignment w:val="top"/>
              <w:rPr>
                <w:rFonts w:ascii="宋体" w:cs="宋体"/>
                <w:color w:val="000000"/>
                <w:szCs w:val="21"/>
              </w:rPr>
            </w:pPr>
            <w:r>
              <w:rPr>
                <w:rFonts w:hint="eastAsia" w:ascii="宋体" w:cs="宋体"/>
                <w:color w:val="000000"/>
                <w:szCs w:val="21"/>
              </w:rPr>
              <w:t>普查相关资料。</w:t>
            </w:r>
          </w:p>
        </w:tc>
      </w:tr>
      <w:tr>
        <w:tblPrEx>
          <w:tblCellMar>
            <w:top w:w="0" w:type="dxa"/>
            <w:left w:w="108" w:type="dxa"/>
            <w:bottom w:w="0" w:type="dxa"/>
            <w:right w:w="108" w:type="dxa"/>
          </w:tblCellMar>
        </w:tblPrEx>
        <w:trPr>
          <w:gridAfter w:val="1"/>
          <w:wAfter w:w="117" w:type="pct"/>
          <w:trHeight w:val="627" w:hRule="atLeast"/>
        </w:trPr>
        <w:tc>
          <w:tcPr>
            <w:tcW w:w="610" w:type="pct"/>
            <w:vMerge w:val="restart"/>
            <w:tcBorders>
              <w:top w:val="single" w:color="000000" w:sz="4" w:space="0"/>
              <w:left w:val="single" w:color="000000" w:sz="4" w:space="0"/>
              <w:bottom w:val="nil"/>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r>
              <w:rPr>
                <w:rFonts w:hint="eastAsia" w:ascii="宋体" w:cs="宋体"/>
                <w:color w:val="000000"/>
                <w:szCs w:val="21"/>
              </w:rPr>
              <w:t>年度绩效指标完成情况</w:t>
            </w:r>
          </w:p>
        </w:tc>
        <w:tc>
          <w:tcPr>
            <w:tcW w:w="556" w:type="pct"/>
            <w:tcBorders>
              <w:top w:val="single" w:color="000000" w:sz="4" w:space="0"/>
              <w:left w:val="nil"/>
              <w:bottom w:val="single" w:color="000000" w:sz="4" w:space="0"/>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r>
              <w:rPr>
                <w:rFonts w:hint="eastAsia" w:ascii="宋体" w:cs="宋体"/>
                <w:color w:val="000000"/>
                <w:szCs w:val="21"/>
              </w:rPr>
              <w:t>一级</w:t>
            </w:r>
          </w:p>
          <w:p>
            <w:pPr>
              <w:widowControl/>
              <w:spacing w:line="320" w:lineRule="exact"/>
              <w:textAlignment w:val="center"/>
              <w:rPr>
                <w:rFonts w:ascii="宋体" w:cs="宋体"/>
                <w:color w:val="000000"/>
                <w:szCs w:val="21"/>
              </w:rPr>
            </w:pPr>
            <w:r>
              <w:rPr>
                <w:rFonts w:hint="eastAsia" w:ascii="宋体" w:cs="宋体"/>
                <w:color w:val="000000"/>
                <w:szCs w:val="21"/>
              </w:rPr>
              <w:t>指标</w:t>
            </w: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r>
              <w:rPr>
                <w:rFonts w:hint="eastAsia" w:ascii="宋体" w:cs="宋体"/>
                <w:color w:val="000000"/>
                <w:szCs w:val="21"/>
              </w:rPr>
              <w:t>二级</w:t>
            </w:r>
          </w:p>
          <w:p>
            <w:pPr>
              <w:widowControl/>
              <w:spacing w:line="320" w:lineRule="exact"/>
              <w:textAlignment w:val="center"/>
              <w:rPr>
                <w:rFonts w:ascii="宋体" w:cs="宋体"/>
                <w:color w:val="000000"/>
                <w:szCs w:val="21"/>
              </w:rPr>
            </w:pPr>
            <w:r>
              <w:rPr>
                <w:rFonts w:hint="eastAsia" w:ascii="宋体" w:cs="宋体"/>
                <w:color w:val="000000"/>
                <w:szCs w:val="21"/>
              </w:rPr>
              <w:t>指标</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r>
              <w:rPr>
                <w:rFonts w:hint="eastAsia" w:ascii="宋体" w:cs="宋体"/>
                <w:color w:val="000000"/>
                <w:szCs w:val="21"/>
              </w:rPr>
              <w:t>三级</w:t>
            </w:r>
          </w:p>
          <w:p>
            <w:pPr>
              <w:widowControl/>
              <w:spacing w:line="320" w:lineRule="exact"/>
              <w:textAlignment w:val="center"/>
              <w:rPr>
                <w:rFonts w:ascii="宋体" w:cs="宋体"/>
                <w:color w:val="000000"/>
                <w:szCs w:val="21"/>
              </w:rPr>
            </w:pPr>
            <w:r>
              <w:rPr>
                <w:rFonts w:hint="eastAsia" w:ascii="宋体" w:cs="宋体"/>
                <w:color w:val="000000"/>
                <w:szCs w:val="21"/>
              </w:rPr>
              <w:t>指标</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r>
              <w:rPr>
                <w:rFonts w:hint="eastAsia" w:ascii="宋体" w:cs="宋体"/>
                <w:color w:val="000000"/>
                <w:szCs w:val="21"/>
              </w:rPr>
              <w:t>预期指标值</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r>
              <w:rPr>
                <w:rFonts w:hint="eastAsia" w:ascii="宋体" w:cs="宋体"/>
                <w:color w:val="000000"/>
                <w:szCs w:val="21"/>
              </w:rPr>
              <w:t>实际完成指标值</w:t>
            </w:r>
          </w:p>
        </w:tc>
      </w:tr>
      <w:tr>
        <w:tblPrEx>
          <w:tblCellMar>
            <w:top w:w="0" w:type="dxa"/>
            <w:left w:w="108" w:type="dxa"/>
            <w:bottom w:w="0" w:type="dxa"/>
            <w:right w:w="108" w:type="dxa"/>
          </w:tblCellMar>
        </w:tblPrEx>
        <w:trPr>
          <w:gridAfter w:val="1"/>
          <w:wAfter w:w="117" w:type="pct"/>
          <w:trHeight w:val="414" w:hRule="atLeast"/>
        </w:trPr>
        <w:tc>
          <w:tcPr>
            <w:tcW w:w="610" w:type="pct"/>
            <w:vMerge w:val="continue"/>
            <w:tcBorders>
              <w:top w:val="nil"/>
              <w:left w:val="single" w:color="000000" w:sz="4" w:space="0"/>
              <w:bottom w:val="nil"/>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p>
        </w:tc>
        <w:tc>
          <w:tcPr>
            <w:tcW w:w="55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完成</w:t>
            </w:r>
          </w:p>
          <w:p>
            <w:pPr>
              <w:widowControl/>
              <w:spacing w:line="320" w:lineRule="exact"/>
              <w:jc w:val="center"/>
              <w:textAlignment w:val="center"/>
              <w:rPr>
                <w:rFonts w:ascii="宋体" w:cs="宋体"/>
                <w:color w:val="000000"/>
                <w:szCs w:val="21"/>
              </w:rPr>
            </w:pPr>
            <w:r>
              <w:rPr>
                <w:rFonts w:hint="eastAsia" w:ascii="宋体" w:cs="宋体"/>
                <w:color w:val="000000"/>
                <w:szCs w:val="21"/>
              </w:rPr>
              <w:t>指标</w:t>
            </w: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数量指标</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ascii="宋体" w:cs="宋体"/>
                <w:color w:val="000000"/>
                <w:szCs w:val="21"/>
              </w:rPr>
              <w:t>普查员</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≥1500</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1500</w:t>
            </w:r>
          </w:p>
        </w:tc>
      </w:tr>
      <w:tr>
        <w:tblPrEx>
          <w:tblCellMar>
            <w:top w:w="0" w:type="dxa"/>
            <w:left w:w="108" w:type="dxa"/>
            <w:bottom w:w="0" w:type="dxa"/>
            <w:right w:w="108" w:type="dxa"/>
          </w:tblCellMar>
        </w:tblPrEx>
        <w:trPr>
          <w:gridAfter w:val="1"/>
          <w:wAfter w:w="117" w:type="pct"/>
          <w:trHeight w:val="414" w:hRule="atLeast"/>
        </w:trPr>
        <w:tc>
          <w:tcPr>
            <w:tcW w:w="610" w:type="pct"/>
            <w:vMerge w:val="continue"/>
            <w:tcBorders>
              <w:top w:val="nil"/>
              <w:left w:val="single" w:color="000000" w:sz="4" w:space="0"/>
              <w:bottom w:val="nil"/>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p>
        </w:tc>
        <w:tc>
          <w:tcPr>
            <w:tcW w:w="55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textAlignment w:val="center"/>
              <w:rPr>
                <w:rFonts w:ascii="宋体" w:cs="宋体"/>
                <w:color w:val="000000"/>
                <w:szCs w:val="21"/>
              </w:rPr>
            </w:pP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质量指标</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结果</w:t>
            </w:r>
            <w:r>
              <w:rPr>
                <w:rFonts w:ascii="宋体" w:cs="宋体"/>
                <w:color w:val="000000"/>
                <w:szCs w:val="21"/>
              </w:rPr>
              <w:t>利用率</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≥95%</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95%</w:t>
            </w:r>
          </w:p>
        </w:tc>
      </w:tr>
      <w:tr>
        <w:tblPrEx>
          <w:tblCellMar>
            <w:top w:w="0" w:type="dxa"/>
            <w:left w:w="108" w:type="dxa"/>
            <w:bottom w:w="0" w:type="dxa"/>
            <w:right w:w="108" w:type="dxa"/>
          </w:tblCellMar>
        </w:tblPrEx>
        <w:trPr>
          <w:gridAfter w:val="1"/>
          <w:wAfter w:w="117" w:type="pct"/>
          <w:trHeight w:val="414" w:hRule="atLeast"/>
        </w:trPr>
        <w:tc>
          <w:tcPr>
            <w:tcW w:w="610" w:type="pct"/>
            <w:vMerge w:val="continue"/>
            <w:tcBorders>
              <w:top w:val="nil"/>
              <w:left w:val="single" w:color="000000" w:sz="4" w:space="0"/>
              <w:bottom w:val="nil"/>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p>
        </w:tc>
        <w:tc>
          <w:tcPr>
            <w:tcW w:w="55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textAlignment w:val="center"/>
              <w:rPr>
                <w:rFonts w:ascii="宋体" w:cs="宋体"/>
                <w:color w:val="000000"/>
                <w:szCs w:val="21"/>
              </w:rPr>
            </w:pP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时效指标</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ascii="宋体" w:cs="宋体"/>
                <w:color w:val="000000"/>
                <w:szCs w:val="21"/>
              </w:rPr>
              <w:t>完成时间</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12月底</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12月底</w:t>
            </w:r>
          </w:p>
        </w:tc>
      </w:tr>
      <w:tr>
        <w:tblPrEx>
          <w:tblCellMar>
            <w:top w:w="0" w:type="dxa"/>
            <w:left w:w="108" w:type="dxa"/>
            <w:bottom w:w="0" w:type="dxa"/>
            <w:right w:w="108" w:type="dxa"/>
          </w:tblCellMar>
        </w:tblPrEx>
        <w:trPr>
          <w:gridAfter w:val="1"/>
          <w:wAfter w:w="117" w:type="pct"/>
          <w:trHeight w:val="616" w:hRule="atLeast"/>
        </w:trPr>
        <w:tc>
          <w:tcPr>
            <w:tcW w:w="610" w:type="pct"/>
            <w:vMerge w:val="continue"/>
            <w:tcBorders>
              <w:top w:val="nil"/>
              <w:left w:val="single" w:color="000000" w:sz="4" w:space="0"/>
              <w:bottom w:val="nil"/>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p>
        </w:tc>
        <w:tc>
          <w:tcPr>
            <w:tcW w:w="55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textAlignment w:val="center"/>
              <w:rPr>
                <w:rFonts w:ascii="宋体" w:cs="宋体"/>
                <w:color w:val="000000"/>
                <w:szCs w:val="21"/>
              </w:rPr>
            </w:pP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成本指标</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ascii="宋体" w:cs="宋体"/>
                <w:color w:val="000000"/>
                <w:szCs w:val="21"/>
              </w:rPr>
              <w:t>控制在预算范围内</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≤280万元</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280万元</w:t>
            </w:r>
          </w:p>
        </w:tc>
      </w:tr>
      <w:tr>
        <w:tblPrEx>
          <w:tblCellMar>
            <w:top w:w="0" w:type="dxa"/>
            <w:left w:w="108" w:type="dxa"/>
            <w:bottom w:w="0" w:type="dxa"/>
            <w:right w:w="108" w:type="dxa"/>
          </w:tblCellMar>
        </w:tblPrEx>
        <w:trPr>
          <w:gridAfter w:val="1"/>
          <w:wAfter w:w="117" w:type="pct"/>
          <w:trHeight w:val="414" w:hRule="atLeast"/>
        </w:trPr>
        <w:tc>
          <w:tcPr>
            <w:tcW w:w="610" w:type="pct"/>
            <w:vMerge w:val="continue"/>
            <w:tcBorders>
              <w:top w:val="nil"/>
              <w:left w:val="single" w:color="000000" w:sz="4" w:space="0"/>
              <w:bottom w:val="nil"/>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p>
        </w:tc>
        <w:tc>
          <w:tcPr>
            <w:tcW w:w="55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效益</w:t>
            </w:r>
            <w:r>
              <w:rPr>
                <w:rFonts w:hint="eastAsia" w:ascii="宋体" w:cs="宋体"/>
                <w:color w:val="000000"/>
                <w:szCs w:val="21"/>
              </w:rPr>
              <w:br w:type="textWrapping"/>
            </w:r>
            <w:r>
              <w:rPr>
                <w:rFonts w:hint="eastAsia" w:ascii="宋体" w:cs="宋体"/>
                <w:color w:val="000000"/>
                <w:szCs w:val="21"/>
              </w:rPr>
              <w:t>指标</w:t>
            </w: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经济效益指标</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p>
        </w:tc>
      </w:tr>
      <w:tr>
        <w:tblPrEx>
          <w:tblCellMar>
            <w:top w:w="0" w:type="dxa"/>
            <w:left w:w="108" w:type="dxa"/>
            <w:bottom w:w="0" w:type="dxa"/>
            <w:right w:w="108" w:type="dxa"/>
          </w:tblCellMar>
        </w:tblPrEx>
        <w:trPr>
          <w:gridAfter w:val="1"/>
          <w:wAfter w:w="117" w:type="pct"/>
          <w:trHeight w:val="616" w:hRule="atLeast"/>
        </w:trPr>
        <w:tc>
          <w:tcPr>
            <w:tcW w:w="610" w:type="pct"/>
            <w:vMerge w:val="continue"/>
            <w:tcBorders>
              <w:top w:val="nil"/>
              <w:left w:val="single" w:color="000000" w:sz="4" w:space="0"/>
              <w:bottom w:val="nil"/>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p>
        </w:tc>
        <w:tc>
          <w:tcPr>
            <w:tcW w:w="55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textAlignment w:val="center"/>
              <w:rPr>
                <w:rFonts w:ascii="宋体" w:cs="宋体"/>
                <w:color w:val="000000"/>
                <w:szCs w:val="21"/>
              </w:rPr>
            </w:pP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社会效益指标</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人口普查数据结果运用</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ascii="宋体" w:cs="宋体"/>
                <w:color w:val="000000"/>
                <w:szCs w:val="21"/>
              </w:rPr>
              <w:t>长期</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ascii="宋体" w:cs="宋体"/>
                <w:color w:val="000000"/>
                <w:szCs w:val="21"/>
              </w:rPr>
              <w:t>长期</w:t>
            </w:r>
          </w:p>
        </w:tc>
      </w:tr>
      <w:tr>
        <w:tblPrEx>
          <w:tblCellMar>
            <w:top w:w="0" w:type="dxa"/>
            <w:left w:w="108" w:type="dxa"/>
            <w:bottom w:w="0" w:type="dxa"/>
            <w:right w:w="108" w:type="dxa"/>
          </w:tblCellMar>
        </w:tblPrEx>
        <w:trPr>
          <w:gridAfter w:val="1"/>
          <w:wAfter w:w="117" w:type="pct"/>
          <w:trHeight w:val="616" w:hRule="atLeast"/>
        </w:trPr>
        <w:tc>
          <w:tcPr>
            <w:tcW w:w="610" w:type="pct"/>
            <w:vMerge w:val="continue"/>
            <w:tcBorders>
              <w:top w:val="nil"/>
              <w:left w:val="single" w:color="000000" w:sz="4" w:space="0"/>
              <w:bottom w:val="nil"/>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p>
        </w:tc>
        <w:tc>
          <w:tcPr>
            <w:tcW w:w="55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textAlignment w:val="center"/>
              <w:rPr>
                <w:rFonts w:ascii="宋体" w:cs="宋体"/>
                <w:color w:val="000000"/>
                <w:szCs w:val="21"/>
              </w:rPr>
            </w:pP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ind w:left="393" w:leftChars="87" w:hanging="210" w:hangingChars="100"/>
              <w:jc w:val="left"/>
              <w:textAlignment w:val="center"/>
              <w:rPr>
                <w:rFonts w:ascii="宋体" w:cs="宋体"/>
                <w:color w:val="000000"/>
                <w:szCs w:val="21"/>
              </w:rPr>
            </w:pPr>
            <w:r>
              <w:rPr>
                <w:rFonts w:hint="eastAsia" w:ascii="宋体" w:cs="宋体"/>
                <w:color w:val="000000"/>
                <w:szCs w:val="21"/>
              </w:rPr>
              <w:t>生态效益指标</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p>
        </w:tc>
      </w:tr>
      <w:tr>
        <w:tblPrEx>
          <w:tblCellMar>
            <w:top w:w="0" w:type="dxa"/>
            <w:left w:w="108" w:type="dxa"/>
            <w:bottom w:w="0" w:type="dxa"/>
            <w:right w:w="108" w:type="dxa"/>
          </w:tblCellMar>
        </w:tblPrEx>
        <w:trPr>
          <w:gridAfter w:val="1"/>
          <w:wAfter w:w="117" w:type="pct"/>
          <w:trHeight w:val="616" w:hRule="atLeast"/>
        </w:trPr>
        <w:tc>
          <w:tcPr>
            <w:tcW w:w="610" w:type="pct"/>
            <w:vMerge w:val="continue"/>
            <w:tcBorders>
              <w:top w:val="nil"/>
              <w:left w:val="single" w:color="000000" w:sz="4" w:space="0"/>
              <w:bottom w:val="nil"/>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p>
        </w:tc>
        <w:tc>
          <w:tcPr>
            <w:tcW w:w="55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textAlignment w:val="center"/>
              <w:rPr>
                <w:rFonts w:ascii="宋体" w:cs="宋体"/>
                <w:color w:val="000000"/>
                <w:szCs w:val="21"/>
              </w:rPr>
            </w:pP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可持续影响指标</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资料永久性保存</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ascii="宋体" w:cs="宋体"/>
                <w:color w:val="000000"/>
                <w:szCs w:val="21"/>
              </w:rPr>
              <w:t>长期</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ascii="宋体" w:cs="宋体"/>
                <w:color w:val="000000"/>
                <w:szCs w:val="21"/>
              </w:rPr>
              <w:t>长期</w:t>
            </w:r>
          </w:p>
        </w:tc>
      </w:tr>
      <w:tr>
        <w:tblPrEx>
          <w:tblCellMar>
            <w:top w:w="0" w:type="dxa"/>
            <w:left w:w="108" w:type="dxa"/>
            <w:bottom w:w="0" w:type="dxa"/>
            <w:right w:w="108" w:type="dxa"/>
          </w:tblCellMar>
        </w:tblPrEx>
        <w:trPr>
          <w:gridAfter w:val="1"/>
          <w:wAfter w:w="117" w:type="pct"/>
          <w:trHeight w:val="626" w:hRule="atLeast"/>
        </w:trPr>
        <w:tc>
          <w:tcPr>
            <w:tcW w:w="610" w:type="pct"/>
            <w:vMerge w:val="continue"/>
            <w:tcBorders>
              <w:top w:val="nil"/>
              <w:left w:val="single" w:color="000000" w:sz="4" w:space="0"/>
              <w:bottom w:val="single" w:color="000000" w:sz="4" w:space="0"/>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满意</w:t>
            </w:r>
            <w:r>
              <w:rPr>
                <w:rFonts w:hint="eastAsia" w:ascii="宋体" w:cs="宋体"/>
                <w:color w:val="000000"/>
                <w:szCs w:val="21"/>
              </w:rPr>
              <w:br w:type="textWrapping"/>
            </w:r>
            <w:r>
              <w:rPr>
                <w:rFonts w:hint="eastAsia" w:ascii="宋体" w:cs="宋体"/>
                <w:color w:val="000000"/>
                <w:szCs w:val="21"/>
              </w:rPr>
              <w:t>度指标</w:t>
            </w:r>
          </w:p>
        </w:tc>
        <w:tc>
          <w:tcPr>
            <w:tcW w:w="74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满意度</w:t>
            </w:r>
          </w:p>
          <w:p>
            <w:pPr>
              <w:widowControl/>
              <w:spacing w:line="320" w:lineRule="exact"/>
              <w:jc w:val="center"/>
              <w:textAlignment w:val="center"/>
              <w:rPr>
                <w:rFonts w:ascii="宋体" w:cs="宋体"/>
                <w:color w:val="000000"/>
                <w:szCs w:val="21"/>
              </w:rPr>
            </w:pPr>
            <w:r>
              <w:rPr>
                <w:rFonts w:hint="eastAsia" w:ascii="宋体" w:cs="宋体"/>
                <w:color w:val="000000"/>
                <w:szCs w:val="21"/>
              </w:rPr>
              <w:t>指标</w:t>
            </w:r>
          </w:p>
        </w:tc>
        <w:tc>
          <w:tcPr>
            <w:tcW w:w="906"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ascii="宋体" w:cs="宋体"/>
                <w:color w:val="000000"/>
                <w:szCs w:val="21"/>
              </w:rPr>
              <w:t>群众满意度</w:t>
            </w:r>
          </w:p>
        </w:tc>
        <w:tc>
          <w:tcPr>
            <w:tcW w:w="440"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≥95%</w:t>
            </w:r>
          </w:p>
        </w:tc>
        <w:tc>
          <w:tcPr>
            <w:tcW w:w="1628"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center"/>
              <w:rPr>
                <w:rFonts w:ascii="宋体" w:cs="宋体"/>
                <w:color w:val="000000"/>
                <w:szCs w:val="21"/>
              </w:rPr>
            </w:pPr>
            <w:r>
              <w:rPr>
                <w:rFonts w:hint="eastAsia" w:ascii="宋体" w:cs="宋体"/>
                <w:color w:val="000000"/>
                <w:szCs w:val="21"/>
              </w:rPr>
              <w:t>95%</w:t>
            </w:r>
          </w:p>
        </w:tc>
      </w:tr>
    </w:tbl>
    <w:p>
      <w:pPr>
        <w:pStyle w:val="13"/>
        <w:ind w:left="0" w:leftChars="0" w:firstLine="0" w:firstLineChars="0"/>
      </w:pPr>
    </w:p>
    <w:tbl>
      <w:tblPr>
        <w:tblStyle w:val="14"/>
        <w:tblpPr w:leftFromText="180" w:rightFromText="180" w:vertAnchor="text" w:horzAnchor="margin" w:tblpXSpec="center" w:tblpY="209"/>
        <w:tblOverlap w:val="never"/>
        <w:tblW w:w="6126" w:type="pct"/>
        <w:tblInd w:w="0" w:type="dxa"/>
        <w:tblLayout w:type="fixed"/>
        <w:tblCellMar>
          <w:top w:w="0" w:type="dxa"/>
          <w:left w:w="108" w:type="dxa"/>
          <w:bottom w:w="0" w:type="dxa"/>
          <w:right w:w="108" w:type="dxa"/>
        </w:tblCellMar>
      </w:tblPr>
      <w:tblGrid>
        <w:gridCol w:w="2326"/>
        <w:gridCol w:w="681"/>
        <w:gridCol w:w="92"/>
        <w:gridCol w:w="1324"/>
        <w:gridCol w:w="2224"/>
        <w:gridCol w:w="1476"/>
        <w:gridCol w:w="2082"/>
        <w:gridCol w:w="236"/>
      </w:tblGrid>
      <w:tr>
        <w:tblPrEx>
          <w:tblCellMar>
            <w:top w:w="0" w:type="dxa"/>
            <w:left w:w="108" w:type="dxa"/>
            <w:bottom w:w="0" w:type="dxa"/>
            <w:right w:w="108" w:type="dxa"/>
          </w:tblCellMar>
        </w:tblPrEx>
        <w:trPr>
          <w:trHeight w:val="696" w:hRule="atLeast"/>
        </w:trPr>
        <w:tc>
          <w:tcPr>
            <w:tcW w:w="4887" w:type="pct"/>
            <w:gridSpan w:val="7"/>
            <w:tcBorders>
              <w:top w:val="nil"/>
              <w:left w:val="nil"/>
              <w:bottom w:val="nil"/>
              <w:right w:val="nil"/>
            </w:tcBorders>
            <w:shd w:val="clear" w:color="auto" w:fill="auto"/>
            <w:noWrap/>
            <w:vAlign w:val="center"/>
          </w:tcPr>
          <w:p>
            <w:pPr>
              <w:widowControl/>
              <w:jc w:val="left"/>
              <w:textAlignment w:val="center"/>
              <w:rPr>
                <w:rFonts w:hint="eastAsia" w:ascii="黑体" w:hAnsi="黑体" w:eastAsia="黑体" w:cs="宋体"/>
                <w:color w:val="000000"/>
                <w:kern w:val="0"/>
                <w:sz w:val="32"/>
                <w:szCs w:val="32"/>
                <w:shd w:val="clear" w:color="auto" w:fill="FFFFFF"/>
              </w:rPr>
            </w:pPr>
          </w:p>
          <w:p>
            <w:pPr>
              <w:widowControl/>
              <w:jc w:val="left"/>
              <w:textAlignment w:val="center"/>
              <w:rPr>
                <w:rFonts w:hint="eastAsia" w:ascii="黑体" w:hAnsi="黑体" w:eastAsia="黑体" w:cs="宋体"/>
                <w:color w:val="000000"/>
                <w:kern w:val="0"/>
                <w:sz w:val="32"/>
                <w:szCs w:val="32"/>
                <w:shd w:val="clear" w:color="auto" w:fill="FFFFFF"/>
              </w:rPr>
            </w:pPr>
          </w:p>
          <w:p>
            <w:pPr>
              <w:widowControl/>
              <w:jc w:val="left"/>
              <w:textAlignment w:val="center"/>
              <w:rPr>
                <w:rFonts w:hint="eastAsia" w:ascii="黑体" w:hAnsi="黑体" w:eastAsia="黑体" w:cs="宋体"/>
                <w:color w:val="000000"/>
                <w:kern w:val="0"/>
                <w:sz w:val="32"/>
                <w:szCs w:val="32"/>
                <w:shd w:val="clear" w:color="auto" w:fill="FFFFFF"/>
              </w:rPr>
            </w:pPr>
          </w:p>
          <w:p>
            <w:pPr>
              <w:widowControl/>
              <w:jc w:val="left"/>
              <w:textAlignment w:val="center"/>
              <w:rPr>
                <w:rFonts w:hint="eastAsia" w:ascii="黑体" w:hAnsi="黑体" w:eastAsia="黑体" w:cs="宋体"/>
                <w:color w:val="000000"/>
                <w:kern w:val="0"/>
                <w:sz w:val="32"/>
                <w:szCs w:val="32"/>
                <w:shd w:val="clear" w:color="auto" w:fill="FFFFFF"/>
                <w:lang w:val="en-US" w:eastAsia="zh-CN"/>
              </w:rPr>
            </w:pPr>
            <w:r>
              <w:rPr>
                <w:rFonts w:hint="eastAsia" w:ascii="黑体" w:hAnsi="黑体" w:eastAsia="黑体" w:cs="宋体"/>
                <w:color w:val="000000"/>
                <w:kern w:val="0"/>
                <w:sz w:val="32"/>
                <w:szCs w:val="32"/>
                <w:shd w:val="clear" w:color="auto" w:fill="FFFFFF"/>
              </w:rPr>
              <w:t>附</w:t>
            </w:r>
            <w:r>
              <w:rPr>
                <w:rFonts w:hint="eastAsia" w:ascii="黑体" w:hAnsi="黑体" w:eastAsia="黑体" w:cs="宋体"/>
                <w:color w:val="000000"/>
                <w:kern w:val="0"/>
                <w:sz w:val="32"/>
                <w:szCs w:val="32"/>
                <w:shd w:val="clear" w:color="auto" w:fill="FFFFFF"/>
                <w:lang w:val="en-US" w:eastAsia="zh-CN"/>
              </w:rPr>
              <w:t>2</w:t>
            </w:r>
          </w:p>
          <w:p>
            <w:pPr>
              <w:widowControl/>
              <w:jc w:val="center"/>
              <w:textAlignment w:val="center"/>
              <w:rPr>
                <w:rFonts w:ascii="宋体" w:cs="宋体"/>
                <w:b/>
                <w:color w:val="000000"/>
                <w:sz w:val="24"/>
              </w:rPr>
            </w:pPr>
            <w:r>
              <w:rPr>
                <w:rFonts w:hint="eastAsia" w:ascii="黑体" w:hAnsi="黑体" w:eastAsia="黑体" w:cs="宋体"/>
                <w:color w:val="000000"/>
                <w:kern w:val="0"/>
                <w:sz w:val="32"/>
                <w:szCs w:val="32"/>
                <w:shd w:val="clear" w:color="auto" w:fill="FFFFFF"/>
              </w:rPr>
              <w:t>城乡一体化项目绩效目标自评</w:t>
            </w:r>
          </w:p>
        </w:tc>
        <w:tc>
          <w:tcPr>
            <w:tcW w:w="113" w:type="pct"/>
            <w:tcBorders>
              <w:top w:val="nil"/>
              <w:left w:val="nil"/>
              <w:bottom w:val="nil"/>
              <w:right w:val="nil"/>
            </w:tcBorders>
            <w:shd w:val="clear" w:color="auto" w:fill="auto"/>
            <w:noWrap/>
            <w:vAlign w:val="center"/>
          </w:tcPr>
          <w:p>
            <w:pPr>
              <w:widowControl/>
              <w:jc w:val="center"/>
              <w:textAlignment w:val="center"/>
              <w:rPr>
                <w:rFonts w:ascii="宋体" w:cs="宋体"/>
                <w:b/>
                <w:color w:val="000000"/>
                <w:kern w:val="0"/>
                <w:sz w:val="24"/>
              </w:rPr>
            </w:pPr>
          </w:p>
        </w:tc>
      </w:tr>
      <w:tr>
        <w:tblPrEx>
          <w:tblCellMar>
            <w:top w:w="0" w:type="dxa"/>
            <w:left w:w="108" w:type="dxa"/>
            <w:bottom w:w="0" w:type="dxa"/>
            <w:right w:w="108" w:type="dxa"/>
          </w:tblCellMar>
        </w:tblPrEx>
        <w:trPr>
          <w:gridAfter w:val="1"/>
          <w:wAfter w:w="113" w:type="pct"/>
          <w:trHeight w:val="260" w:hRule="atLeast"/>
        </w:trPr>
        <w:tc>
          <w:tcPr>
            <w:tcW w:w="1440"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kern w:val="0"/>
                <w:szCs w:val="21"/>
              </w:rPr>
              <w:t>主管部门及代码</w:t>
            </w:r>
          </w:p>
        </w:tc>
        <w:tc>
          <w:tcPr>
            <w:tcW w:w="1743"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textAlignment w:val="center"/>
              <w:rPr>
                <w:rFonts w:ascii="宋体" w:cs="宋体"/>
                <w:color w:val="000000"/>
                <w:szCs w:val="21"/>
              </w:rPr>
            </w:pPr>
            <w:r>
              <w:rPr>
                <w:rFonts w:ascii="宋体" w:cs="宋体"/>
                <w:color w:val="000000"/>
                <w:szCs w:val="21"/>
              </w:rPr>
              <w:t>开江县统计局</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kern w:val="0"/>
                <w:szCs w:val="21"/>
              </w:rPr>
              <w:t>实施单位</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ascii="宋体" w:cs="宋体"/>
                <w:color w:val="000000"/>
                <w:szCs w:val="21"/>
              </w:rPr>
              <w:t>开江县统计局</w:t>
            </w:r>
          </w:p>
        </w:tc>
      </w:tr>
      <w:tr>
        <w:tblPrEx>
          <w:tblCellMar>
            <w:top w:w="0" w:type="dxa"/>
            <w:left w:w="108" w:type="dxa"/>
            <w:bottom w:w="0" w:type="dxa"/>
            <w:right w:w="108" w:type="dxa"/>
          </w:tblCellMar>
        </w:tblPrEx>
        <w:trPr>
          <w:gridAfter w:val="1"/>
          <w:wAfter w:w="113" w:type="pct"/>
          <w:trHeight w:val="351" w:hRule="atLeast"/>
        </w:trPr>
        <w:tc>
          <w:tcPr>
            <w:tcW w:w="1440"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kern w:val="0"/>
                <w:szCs w:val="21"/>
              </w:rPr>
              <w:t>项目预算</w:t>
            </w:r>
            <w:r>
              <w:rPr>
                <w:rFonts w:hint="eastAsia" w:ascii="宋体" w:cs="宋体"/>
                <w:color w:val="000000"/>
                <w:kern w:val="0"/>
                <w:szCs w:val="21"/>
              </w:rPr>
              <w:br w:type="textWrapping"/>
            </w:r>
            <w:r>
              <w:rPr>
                <w:rFonts w:hint="eastAsia" w:ascii="宋体" w:cs="宋体"/>
                <w:color w:val="000000"/>
                <w:kern w:val="0"/>
                <w:szCs w:val="21"/>
              </w:rPr>
              <w:t>执行情况</w:t>
            </w:r>
            <w:r>
              <w:rPr>
                <w:rFonts w:hint="eastAsia" w:ascii="宋体" w:cs="宋体"/>
                <w:color w:val="000000"/>
                <w:kern w:val="0"/>
                <w:szCs w:val="21"/>
              </w:rPr>
              <w:br w:type="textWrapping"/>
            </w:r>
            <w:r>
              <w:rPr>
                <w:rFonts w:hint="eastAsia" w:ascii="宋体" w:cs="宋体"/>
                <w:color w:val="000000"/>
                <w:kern w:val="0"/>
                <w:szCs w:val="21"/>
              </w:rPr>
              <w:t>（万元）</w:t>
            </w:r>
          </w:p>
        </w:tc>
        <w:tc>
          <w:tcPr>
            <w:tcW w:w="67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kern w:val="0"/>
                <w:szCs w:val="21"/>
              </w:rPr>
              <w:t xml:space="preserve"> 预算数：</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szCs w:val="21"/>
              </w:rPr>
              <w:t>40万</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kern w:val="0"/>
                <w:szCs w:val="21"/>
              </w:rPr>
              <w:t xml:space="preserve"> 执行数：</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40万</w:t>
            </w:r>
          </w:p>
        </w:tc>
      </w:tr>
      <w:tr>
        <w:tblPrEx>
          <w:tblCellMar>
            <w:top w:w="0" w:type="dxa"/>
            <w:left w:w="108" w:type="dxa"/>
            <w:bottom w:w="0" w:type="dxa"/>
            <w:right w:w="108" w:type="dxa"/>
          </w:tblCellMar>
        </w:tblPrEx>
        <w:trPr>
          <w:gridAfter w:val="1"/>
          <w:wAfter w:w="113" w:type="pct"/>
          <w:trHeight w:val="593" w:hRule="atLeast"/>
        </w:trPr>
        <w:tc>
          <w:tcPr>
            <w:tcW w:w="1440"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szCs w:val="21"/>
              </w:rPr>
            </w:pPr>
          </w:p>
        </w:tc>
        <w:tc>
          <w:tcPr>
            <w:tcW w:w="67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kern w:val="0"/>
                <w:szCs w:val="21"/>
              </w:rPr>
            </w:pPr>
            <w:r>
              <w:rPr>
                <w:rFonts w:hint="eastAsia" w:ascii="宋体" w:cs="宋体"/>
                <w:color w:val="000000"/>
                <w:kern w:val="0"/>
                <w:szCs w:val="21"/>
              </w:rPr>
              <w:t>其中：</w:t>
            </w:r>
          </w:p>
          <w:p>
            <w:pPr>
              <w:widowControl/>
              <w:spacing w:line="320" w:lineRule="exact"/>
              <w:jc w:val="left"/>
              <w:textAlignment w:val="center"/>
              <w:rPr>
                <w:rFonts w:ascii="宋体" w:cs="宋体"/>
                <w:color w:val="000000"/>
                <w:szCs w:val="21"/>
              </w:rPr>
            </w:pPr>
            <w:r>
              <w:rPr>
                <w:rFonts w:hint="eastAsia" w:ascii="宋体" w:cs="宋体"/>
                <w:color w:val="000000"/>
                <w:kern w:val="0"/>
                <w:szCs w:val="21"/>
              </w:rPr>
              <w:t>财政拨款</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szCs w:val="21"/>
              </w:rPr>
              <w:t>40万</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kern w:val="0"/>
                <w:szCs w:val="21"/>
              </w:rPr>
            </w:pPr>
            <w:r>
              <w:rPr>
                <w:rFonts w:hint="eastAsia" w:ascii="宋体" w:cs="宋体"/>
                <w:color w:val="000000"/>
                <w:kern w:val="0"/>
                <w:szCs w:val="21"/>
              </w:rPr>
              <w:t>其中：</w:t>
            </w:r>
          </w:p>
          <w:p>
            <w:pPr>
              <w:widowControl/>
              <w:spacing w:line="320" w:lineRule="exact"/>
              <w:jc w:val="left"/>
              <w:textAlignment w:val="center"/>
              <w:rPr>
                <w:rFonts w:ascii="宋体" w:cs="宋体"/>
                <w:color w:val="000000"/>
                <w:szCs w:val="21"/>
              </w:rPr>
            </w:pPr>
            <w:r>
              <w:rPr>
                <w:rFonts w:hint="eastAsia" w:ascii="宋体" w:cs="宋体"/>
                <w:color w:val="000000"/>
                <w:kern w:val="0"/>
                <w:szCs w:val="21"/>
              </w:rPr>
              <w:t>财政拨款</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40万</w:t>
            </w:r>
          </w:p>
        </w:tc>
      </w:tr>
      <w:tr>
        <w:tblPrEx>
          <w:tblCellMar>
            <w:top w:w="0" w:type="dxa"/>
            <w:left w:w="108" w:type="dxa"/>
            <w:bottom w:w="0" w:type="dxa"/>
            <w:right w:w="108" w:type="dxa"/>
          </w:tblCellMar>
        </w:tblPrEx>
        <w:trPr>
          <w:gridAfter w:val="1"/>
          <w:wAfter w:w="113" w:type="pct"/>
          <w:trHeight w:val="351" w:hRule="atLeast"/>
        </w:trPr>
        <w:tc>
          <w:tcPr>
            <w:tcW w:w="1440"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szCs w:val="21"/>
              </w:rPr>
            </w:pPr>
          </w:p>
        </w:tc>
        <w:tc>
          <w:tcPr>
            <w:tcW w:w="67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kern w:val="0"/>
                <w:szCs w:val="21"/>
              </w:rPr>
              <w:t>其他资金</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left"/>
              <w:textAlignment w:val="center"/>
              <w:rPr>
                <w:rFonts w:ascii="宋体" w:cs="宋体"/>
                <w:color w:val="000000"/>
                <w:szCs w:val="21"/>
              </w:rPr>
            </w:pPr>
            <w:r>
              <w:rPr>
                <w:rFonts w:hint="eastAsia" w:ascii="宋体" w:cs="宋体"/>
                <w:color w:val="000000"/>
                <w:kern w:val="0"/>
                <w:szCs w:val="21"/>
              </w:rPr>
              <w:t>其他资金</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p>
        </w:tc>
      </w:tr>
      <w:tr>
        <w:tblPrEx>
          <w:tblCellMar>
            <w:top w:w="0" w:type="dxa"/>
            <w:left w:w="108" w:type="dxa"/>
            <w:bottom w:w="0" w:type="dxa"/>
            <w:right w:w="108" w:type="dxa"/>
          </w:tblCellMar>
        </w:tblPrEx>
        <w:trPr>
          <w:gridAfter w:val="1"/>
          <w:wAfter w:w="113" w:type="pct"/>
          <w:trHeight w:val="223" w:hRule="atLeast"/>
        </w:trPr>
        <w:tc>
          <w:tcPr>
            <w:tcW w:w="1114"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kern w:val="0"/>
                <w:szCs w:val="21"/>
              </w:rPr>
            </w:pPr>
            <w:r>
              <w:rPr>
                <w:rFonts w:hint="eastAsia" w:ascii="宋体" w:cs="宋体"/>
                <w:color w:val="000000"/>
                <w:kern w:val="0"/>
                <w:szCs w:val="21"/>
              </w:rPr>
              <w:t>年度总体目标</w:t>
            </w:r>
          </w:p>
          <w:p>
            <w:pPr>
              <w:widowControl/>
              <w:spacing w:line="320" w:lineRule="exact"/>
              <w:jc w:val="center"/>
              <w:textAlignment w:val="center"/>
              <w:rPr>
                <w:rFonts w:ascii="宋体" w:cs="宋体"/>
                <w:color w:val="000000"/>
                <w:szCs w:val="21"/>
              </w:rPr>
            </w:pPr>
            <w:r>
              <w:rPr>
                <w:rFonts w:hint="eastAsia" w:ascii="宋体" w:cs="宋体"/>
                <w:color w:val="000000"/>
                <w:kern w:val="0"/>
                <w:szCs w:val="21"/>
              </w:rPr>
              <w:t>完成情况</w:t>
            </w:r>
          </w:p>
        </w:tc>
        <w:tc>
          <w:tcPr>
            <w:tcW w:w="2069"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kern w:val="0"/>
                <w:szCs w:val="21"/>
              </w:rPr>
              <w:t>预期目标</w:t>
            </w:r>
          </w:p>
        </w:tc>
        <w:tc>
          <w:tcPr>
            <w:tcW w:w="170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kern w:val="0"/>
                <w:szCs w:val="21"/>
              </w:rPr>
              <w:t>目标实际完成情况</w:t>
            </w:r>
          </w:p>
        </w:tc>
      </w:tr>
      <w:tr>
        <w:tblPrEx>
          <w:tblCellMar>
            <w:top w:w="0" w:type="dxa"/>
            <w:left w:w="108" w:type="dxa"/>
            <w:bottom w:w="0" w:type="dxa"/>
            <w:right w:w="108" w:type="dxa"/>
          </w:tblCellMar>
        </w:tblPrEx>
        <w:trPr>
          <w:gridAfter w:val="1"/>
          <w:wAfter w:w="113" w:type="pct"/>
          <w:trHeight w:val="913" w:hRule="atLeast"/>
        </w:trPr>
        <w:tc>
          <w:tcPr>
            <w:tcW w:w="1114"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szCs w:val="21"/>
              </w:rPr>
            </w:pPr>
          </w:p>
        </w:tc>
        <w:tc>
          <w:tcPr>
            <w:tcW w:w="2069" w:type="pct"/>
            <w:gridSpan w:val="4"/>
            <w:tcBorders>
              <w:top w:val="single" w:color="000000" w:sz="4" w:space="0"/>
              <w:left w:val="single" w:color="000000" w:sz="4" w:space="0"/>
              <w:bottom w:val="single" w:color="000000" w:sz="4" w:space="0"/>
              <w:right w:val="single" w:color="000000" w:sz="4" w:space="0"/>
            </w:tcBorders>
            <w:shd w:val="clear" w:color="auto" w:fill="auto"/>
            <w:noWrap/>
          </w:tcPr>
          <w:p>
            <w:pPr>
              <w:widowControl/>
              <w:spacing w:line="320" w:lineRule="exact"/>
              <w:jc w:val="left"/>
              <w:textAlignment w:val="top"/>
              <w:rPr>
                <w:rFonts w:ascii="宋体" w:cs="宋体"/>
                <w:color w:val="000000"/>
                <w:szCs w:val="21"/>
              </w:rPr>
            </w:pPr>
            <w:r>
              <w:rPr>
                <w:rFonts w:hint="eastAsia" w:ascii="宋体" w:cs="宋体"/>
                <w:color w:val="000000"/>
                <w:szCs w:val="21"/>
              </w:rPr>
              <w:t>客观监测居民收入分配格局和不同层次居民生活质量。</w:t>
            </w:r>
          </w:p>
        </w:tc>
        <w:tc>
          <w:tcPr>
            <w:tcW w:w="1704" w:type="pct"/>
            <w:gridSpan w:val="2"/>
            <w:tcBorders>
              <w:top w:val="single" w:color="000000" w:sz="4" w:space="0"/>
              <w:left w:val="single" w:color="000000" w:sz="4" w:space="0"/>
              <w:bottom w:val="single" w:color="000000" w:sz="4" w:space="0"/>
              <w:right w:val="single" w:color="000000" w:sz="4" w:space="0"/>
            </w:tcBorders>
            <w:shd w:val="clear" w:color="auto" w:fill="auto"/>
            <w:noWrap/>
          </w:tcPr>
          <w:p>
            <w:pPr>
              <w:widowControl/>
              <w:spacing w:line="320" w:lineRule="exact"/>
              <w:jc w:val="left"/>
              <w:textAlignment w:val="top"/>
              <w:rPr>
                <w:rFonts w:ascii="宋体" w:cs="宋体"/>
                <w:color w:val="000000"/>
                <w:szCs w:val="21"/>
              </w:rPr>
            </w:pPr>
            <w:r>
              <w:rPr>
                <w:rFonts w:hint="eastAsia" w:ascii="宋体" w:cs="宋体"/>
                <w:color w:val="000000"/>
                <w:szCs w:val="21"/>
              </w:rPr>
              <w:t>为国民经济核算和居民消费价格指数权重制定提供基础数据。</w:t>
            </w:r>
          </w:p>
        </w:tc>
      </w:tr>
      <w:tr>
        <w:tblPrEx>
          <w:tblCellMar>
            <w:top w:w="0" w:type="dxa"/>
            <w:left w:w="108" w:type="dxa"/>
            <w:bottom w:w="0" w:type="dxa"/>
            <w:right w:w="108" w:type="dxa"/>
          </w:tblCellMar>
        </w:tblPrEx>
        <w:trPr>
          <w:gridAfter w:val="1"/>
          <w:wAfter w:w="113" w:type="pct"/>
          <w:trHeight w:val="759" w:hRule="atLeast"/>
        </w:trPr>
        <w:tc>
          <w:tcPr>
            <w:tcW w:w="1114" w:type="pct"/>
            <w:vMerge w:val="restart"/>
            <w:tcBorders>
              <w:top w:val="single" w:color="000000" w:sz="4" w:space="0"/>
              <w:left w:val="single" w:color="000000" w:sz="4" w:space="0"/>
              <w:bottom w:val="nil"/>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年度绩效指标完成情况</w:t>
            </w:r>
          </w:p>
        </w:tc>
        <w:tc>
          <w:tcPr>
            <w:tcW w:w="370" w:type="pct"/>
            <w:gridSpan w:val="2"/>
            <w:tcBorders>
              <w:top w:val="single" w:color="000000" w:sz="4" w:space="0"/>
              <w:left w:val="nil"/>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一级</w:t>
            </w:r>
          </w:p>
          <w:p>
            <w:pPr>
              <w:widowControl/>
              <w:spacing w:line="320" w:lineRule="exact"/>
              <w:jc w:val="center"/>
              <w:textAlignment w:val="center"/>
              <w:rPr>
                <w:rFonts w:ascii="宋体" w:cs="宋体"/>
                <w:color w:val="000000"/>
                <w:szCs w:val="21"/>
              </w:rPr>
            </w:pPr>
            <w:r>
              <w:rPr>
                <w:rFonts w:hint="eastAsia" w:ascii="宋体" w:cs="宋体"/>
                <w:color w:val="000000"/>
                <w:szCs w:val="21"/>
              </w:rPr>
              <w:t>指标</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二级</w:t>
            </w:r>
          </w:p>
          <w:p>
            <w:pPr>
              <w:widowControl/>
              <w:spacing w:line="320" w:lineRule="exact"/>
              <w:jc w:val="center"/>
              <w:textAlignment w:val="center"/>
              <w:rPr>
                <w:rFonts w:ascii="宋体" w:cs="宋体"/>
                <w:color w:val="000000"/>
                <w:szCs w:val="21"/>
              </w:rPr>
            </w:pPr>
            <w:r>
              <w:rPr>
                <w:rFonts w:hint="eastAsia" w:ascii="宋体" w:cs="宋体"/>
                <w:color w:val="000000"/>
                <w:szCs w:val="21"/>
              </w:rPr>
              <w:t>指标</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三级</w:t>
            </w:r>
          </w:p>
          <w:p>
            <w:pPr>
              <w:widowControl/>
              <w:spacing w:line="320" w:lineRule="exact"/>
              <w:jc w:val="center"/>
              <w:textAlignment w:val="center"/>
              <w:rPr>
                <w:rFonts w:ascii="宋体" w:cs="宋体"/>
                <w:color w:val="000000"/>
                <w:szCs w:val="21"/>
              </w:rPr>
            </w:pPr>
            <w:r>
              <w:rPr>
                <w:rFonts w:hint="eastAsia" w:ascii="宋体" w:cs="宋体"/>
                <w:color w:val="000000"/>
                <w:szCs w:val="21"/>
              </w:rPr>
              <w:t>指标</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预期指标值</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center"/>
              <w:rPr>
                <w:rFonts w:ascii="宋体" w:cs="宋体"/>
                <w:color w:val="000000"/>
                <w:szCs w:val="21"/>
              </w:rPr>
            </w:pPr>
            <w:r>
              <w:rPr>
                <w:rFonts w:hint="eastAsia" w:ascii="宋体" w:cs="宋体"/>
                <w:color w:val="000000"/>
                <w:szCs w:val="21"/>
              </w:rPr>
              <w:t>实际完成指标值</w:t>
            </w:r>
          </w:p>
        </w:tc>
      </w:tr>
      <w:tr>
        <w:tblPrEx>
          <w:tblCellMar>
            <w:top w:w="0" w:type="dxa"/>
            <w:left w:w="108" w:type="dxa"/>
            <w:bottom w:w="0" w:type="dxa"/>
            <w:right w:w="108" w:type="dxa"/>
          </w:tblCellMar>
        </w:tblPrEx>
        <w:trPr>
          <w:gridAfter w:val="1"/>
          <w:wAfter w:w="113" w:type="pct"/>
          <w:trHeight w:val="494" w:hRule="atLeast"/>
        </w:trPr>
        <w:tc>
          <w:tcPr>
            <w:tcW w:w="1114" w:type="pct"/>
            <w:vMerge w:val="continue"/>
            <w:tcBorders>
              <w:top w:val="nil"/>
              <w:left w:val="single" w:color="000000" w:sz="4" w:space="0"/>
              <w:bottom w:val="nil"/>
              <w:right w:val="single" w:color="000000" w:sz="4" w:space="0"/>
            </w:tcBorders>
            <w:shd w:val="clear" w:color="auto" w:fill="auto"/>
            <w:noWrap/>
            <w:vAlign w:val="center"/>
          </w:tcPr>
          <w:p>
            <w:pPr>
              <w:rPr>
                <w:rFonts w:ascii="宋体" w:cs="宋体"/>
                <w:color w:val="000000"/>
                <w:szCs w:val="21"/>
              </w:rPr>
            </w:pPr>
          </w:p>
        </w:tc>
        <w:tc>
          <w:tcPr>
            <w:tcW w:w="370"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bottom"/>
              <w:rPr>
                <w:rFonts w:ascii="宋体" w:cs="宋体"/>
                <w:color w:val="000000"/>
                <w:szCs w:val="21"/>
              </w:rPr>
            </w:pPr>
            <w:r>
              <w:rPr>
                <w:rFonts w:hint="eastAsia" w:ascii="宋体" w:cs="宋体"/>
                <w:color w:val="000000"/>
                <w:szCs w:val="21"/>
              </w:rPr>
              <w:t>完成</w:t>
            </w:r>
          </w:p>
          <w:p>
            <w:pPr>
              <w:widowControl/>
              <w:spacing w:line="320" w:lineRule="exact"/>
              <w:jc w:val="center"/>
              <w:textAlignment w:val="bottom"/>
              <w:rPr>
                <w:rFonts w:ascii="宋体" w:cs="宋体"/>
                <w:color w:val="000000"/>
                <w:szCs w:val="21"/>
              </w:rPr>
            </w:pPr>
            <w:r>
              <w:rPr>
                <w:rFonts w:hint="eastAsia" w:ascii="宋体" w:cs="宋体"/>
                <w:color w:val="000000"/>
                <w:szCs w:val="21"/>
              </w:rPr>
              <w:t>指标</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数量指标</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记账补贴费用</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≥30万元</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30万元</w:t>
            </w:r>
          </w:p>
        </w:tc>
      </w:tr>
      <w:tr>
        <w:tblPrEx>
          <w:tblCellMar>
            <w:top w:w="0" w:type="dxa"/>
            <w:left w:w="108" w:type="dxa"/>
            <w:bottom w:w="0" w:type="dxa"/>
            <w:right w:w="108" w:type="dxa"/>
          </w:tblCellMar>
        </w:tblPrEx>
        <w:trPr>
          <w:gridAfter w:val="1"/>
          <w:wAfter w:w="113" w:type="pct"/>
          <w:trHeight w:val="494" w:hRule="atLeast"/>
        </w:trPr>
        <w:tc>
          <w:tcPr>
            <w:tcW w:w="1114" w:type="pct"/>
            <w:vMerge w:val="continue"/>
            <w:tcBorders>
              <w:top w:val="nil"/>
              <w:left w:val="single" w:color="000000" w:sz="4" w:space="0"/>
              <w:bottom w:val="nil"/>
              <w:right w:val="single" w:color="000000" w:sz="4" w:space="0"/>
            </w:tcBorders>
            <w:shd w:val="clear" w:color="auto" w:fill="auto"/>
            <w:noWrap/>
            <w:vAlign w:val="center"/>
          </w:tcPr>
          <w:p>
            <w:pPr>
              <w:rPr>
                <w:rFonts w:ascii="宋体" w:cs="宋体"/>
                <w:color w:val="000000"/>
                <w:szCs w:val="21"/>
              </w:rPr>
            </w:pPr>
          </w:p>
        </w:tc>
        <w:tc>
          <w:tcPr>
            <w:tcW w:w="370"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ascii="宋体" w:cs="宋体"/>
                <w:color w:val="000000"/>
                <w:szCs w:val="21"/>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质量指标</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数据质量</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≥90%</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95%</w:t>
            </w:r>
          </w:p>
        </w:tc>
      </w:tr>
      <w:tr>
        <w:tblPrEx>
          <w:tblCellMar>
            <w:top w:w="0" w:type="dxa"/>
            <w:left w:w="108" w:type="dxa"/>
            <w:bottom w:w="0" w:type="dxa"/>
            <w:right w:w="108" w:type="dxa"/>
          </w:tblCellMar>
        </w:tblPrEx>
        <w:trPr>
          <w:gridAfter w:val="1"/>
          <w:wAfter w:w="113" w:type="pct"/>
          <w:trHeight w:val="494" w:hRule="atLeast"/>
        </w:trPr>
        <w:tc>
          <w:tcPr>
            <w:tcW w:w="1114" w:type="pct"/>
            <w:vMerge w:val="continue"/>
            <w:tcBorders>
              <w:top w:val="nil"/>
              <w:left w:val="single" w:color="000000" w:sz="4" w:space="0"/>
              <w:bottom w:val="nil"/>
              <w:right w:val="single" w:color="000000" w:sz="4" w:space="0"/>
            </w:tcBorders>
            <w:shd w:val="clear" w:color="auto" w:fill="auto"/>
            <w:noWrap/>
            <w:vAlign w:val="center"/>
          </w:tcPr>
          <w:p>
            <w:pPr>
              <w:rPr>
                <w:rFonts w:ascii="宋体" w:cs="宋体"/>
                <w:color w:val="000000"/>
                <w:szCs w:val="21"/>
              </w:rPr>
            </w:pPr>
          </w:p>
        </w:tc>
        <w:tc>
          <w:tcPr>
            <w:tcW w:w="370"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ascii="宋体" w:cs="宋体"/>
                <w:color w:val="000000"/>
                <w:szCs w:val="21"/>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时效指标</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完成时间</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2021年12月底</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2021年12月底</w:t>
            </w:r>
          </w:p>
        </w:tc>
      </w:tr>
      <w:tr>
        <w:tblPrEx>
          <w:tblCellMar>
            <w:top w:w="0" w:type="dxa"/>
            <w:left w:w="108" w:type="dxa"/>
            <w:bottom w:w="0" w:type="dxa"/>
            <w:right w:w="108" w:type="dxa"/>
          </w:tblCellMar>
        </w:tblPrEx>
        <w:trPr>
          <w:gridAfter w:val="1"/>
          <w:wAfter w:w="113" w:type="pct"/>
          <w:trHeight w:val="494" w:hRule="atLeast"/>
        </w:trPr>
        <w:tc>
          <w:tcPr>
            <w:tcW w:w="1114" w:type="pct"/>
            <w:vMerge w:val="continue"/>
            <w:tcBorders>
              <w:top w:val="nil"/>
              <w:left w:val="single" w:color="000000" w:sz="4" w:space="0"/>
              <w:bottom w:val="nil"/>
              <w:right w:val="single" w:color="000000" w:sz="4" w:space="0"/>
            </w:tcBorders>
            <w:shd w:val="clear" w:color="auto" w:fill="auto"/>
            <w:noWrap/>
            <w:vAlign w:val="center"/>
          </w:tcPr>
          <w:p>
            <w:pPr>
              <w:rPr>
                <w:rFonts w:ascii="宋体" w:cs="宋体"/>
                <w:color w:val="000000"/>
                <w:szCs w:val="21"/>
              </w:rPr>
            </w:pPr>
          </w:p>
        </w:tc>
        <w:tc>
          <w:tcPr>
            <w:tcW w:w="370"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ascii="宋体" w:cs="宋体"/>
                <w:color w:val="000000"/>
                <w:szCs w:val="21"/>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成本指标</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ascii="宋体" w:cs="宋体"/>
                <w:color w:val="000000"/>
                <w:szCs w:val="21"/>
              </w:rPr>
              <w:t>控制在预算范围内</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≤40万</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≤40万</w:t>
            </w:r>
          </w:p>
        </w:tc>
      </w:tr>
      <w:tr>
        <w:tblPrEx>
          <w:tblCellMar>
            <w:top w:w="0" w:type="dxa"/>
            <w:left w:w="108" w:type="dxa"/>
            <w:bottom w:w="0" w:type="dxa"/>
            <w:right w:w="108" w:type="dxa"/>
          </w:tblCellMar>
        </w:tblPrEx>
        <w:trPr>
          <w:gridAfter w:val="1"/>
          <w:wAfter w:w="113" w:type="pct"/>
          <w:trHeight w:val="494" w:hRule="atLeast"/>
        </w:trPr>
        <w:tc>
          <w:tcPr>
            <w:tcW w:w="1114" w:type="pct"/>
            <w:vMerge w:val="continue"/>
            <w:tcBorders>
              <w:top w:val="nil"/>
              <w:left w:val="single" w:color="000000" w:sz="4" w:space="0"/>
              <w:bottom w:val="nil"/>
              <w:right w:val="single" w:color="000000" w:sz="4" w:space="0"/>
            </w:tcBorders>
            <w:shd w:val="clear" w:color="auto" w:fill="auto"/>
            <w:noWrap/>
            <w:vAlign w:val="center"/>
          </w:tcPr>
          <w:p>
            <w:pPr>
              <w:rPr>
                <w:rFonts w:ascii="宋体" w:cs="宋体"/>
                <w:color w:val="000000"/>
                <w:szCs w:val="21"/>
              </w:rPr>
            </w:pPr>
          </w:p>
        </w:tc>
        <w:tc>
          <w:tcPr>
            <w:tcW w:w="370" w:type="pct"/>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20" w:lineRule="exact"/>
              <w:jc w:val="center"/>
              <w:textAlignment w:val="bottom"/>
              <w:rPr>
                <w:rFonts w:ascii="宋体" w:cs="宋体"/>
                <w:color w:val="000000"/>
                <w:szCs w:val="21"/>
              </w:rPr>
            </w:pPr>
            <w:r>
              <w:rPr>
                <w:rFonts w:hint="eastAsia" w:ascii="宋体" w:cs="宋体"/>
                <w:color w:val="000000"/>
                <w:szCs w:val="21"/>
              </w:rPr>
              <w:t>效益</w:t>
            </w:r>
            <w:r>
              <w:rPr>
                <w:rFonts w:hint="eastAsia" w:ascii="宋体" w:cs="宋体"/>
                <w:color w:val="000000"/>
                <w:szCs w:val="21"/>
              </w:rPr>
              <w:br w:type="textWrapping"/>
            </w:r>
            <w:r>
              <w:rPr>
                <w:rFonts w:hint="eastAsia" w:ascii="宋体" w:cs="宋体"/>
                <w:color w:val="000000"/>
                <w:szCs w:val="21"/>
              </w:rPr>
              <w:t>指标</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经济效益指标</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p>
        </w:tc>
      </w:tr>
      <w:tr>
        <w:tblPrEx>
          <w:tblCellMar>
            <w:top w:w="0" w:type="dxa"/>
            <w:left w:w="108" w:type="dxa"/>
            <w:bottom w:w="0" w:type="dxa"/>
            <w:right w:w="108" w:type="dxa"/>
          </w:tblCellMar>
        </w:tblPrEx>
        <w:trPr>
          <w:gridAfter w:val="1"/>
          <w:wAfter w:w="113" w:type="pct"/>
          <w:trHeight w:val="494" w:hRule="atLeast"/>
        </w:trPr>
        <w:tc>
          <w:tcPr>
            <w:tcW w:w="1114" w:type="pct"/>
            <w:vMerge w:val="continue"/>
            <w:tcBorders>
              <w:top w:val="nil"/>
              <w:left w:val="single" w:color="000000" w:sz="4" w:space="0"/>
              <w:bottom w:val="nil"/>
              <w:right w:val="single" w:color="000000" w:sz="4" w:space="0"/>
            </w:tcBorders>
            <w:shd w:val="clear" w:color="auto" w:fill="auto"/>
            <w:noWrap/>
            <w:vAlign w:val="center"/>
          </w:tcPr>
          <w:p>
            <w:pPr>
              <w:rPr>
                <w:rFonts w:ascii="宋体" w:cs="宋体"/>
                <w:color w:val="000000"/>
                <w:szCs w:val="21"/>
              </w:rPr>
            </w:pPr>
          </w:p>
        </w:tc>
        <w:tc>
          <w:tcPr>
            <w:tcW w:w="370"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ascii="宋体" w:cs="宋体"/>
                <w:color w:val="000000"/>
                <w:szCs w:val="21"/>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社会效益指标</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textAlignment w:val="bottom"/>
              <w:rPr>
                <w:rFonts w:ascii="宋体" w:cs="宋体"/>
                <w:color w:val="000000"/>
                <w:szCs w:val="21"/>
              </w:rPr>
            </w:pPr>
            <w:r>
              <w:rPr>
                <w:rFonts w:hint="eastAsia" w:ascii="宋体" w:cs="宋体"/>
                <w:color w:val="000000"/>
                <w:szCs w:val="21"/>
              </w:rPr>
              <w:t>客观真实反应城乡居民收入、消费和生活状况</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长期</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长期</w:t>
            </w:r>
          </w:p>
        </w:tc>
      </w:tr>
      <w:tr>
        <w:tblPrEx>
          <w:tblCellMar>
            <w:top w:w="0" w:type="dxa"/>
            <w:left w:w="108" w:type="dxa"/>
            <w:bottom w:w="0" w:type="dxa"/>
            <w:right w:w="108" w:type="dxa"/>
          </w:tblCellMar>
        </w:tblPrEx>
        <w:trPr>
          <w:gridAfter w:val="1"/>
          <w:wAfter w:w="113" w:type="pct"/>
          <w:trHeight w:val="593" w:hRule="atLeast"/>
        </w:trPr>
        <w:tc>
          <w:tcPr>
            <w:tcW w:w="1114" w:type="pct"/>
            <w:vMerge w:val="continue"/>
            <w:tcBorders>
              <w:top w:val="nil"/>
              <w:left w:val="single" w:color="000000" w:sz="4" w:space="0"/>
              <w:bottom w:val="nil"/>
              <w:right w:val="single" w:color="000000" w:sz="4" w:space="0"/>
            </w:tcBorders>
            <w:shd w:val="clear" w:color="auto" w:fill="auto"/>
            <w:noWrap/>
            <w:vAlign w:val="center"/>
          </w:tcPr>
          <w:p>
            <w:pPr>
              <w:rPr>
                <w:rFonts w:ascii="宋体" w:cs="宋体"/>
                <w:color w:val="000000"/>
                <w:szCs w:val="21"/>
              </w:rPr>
            </w:pPr>
          </w:p>
        </w:tc>
        <w:tc>
          <w:tcPr>
            <w:tcW w:w="370"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ascii="宋体" w:cs="宋体"/>
                <w:color w:val="000000"/>
                <w:szCs w:val="21"/>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ind w:left="393" w:leftChars="87" w:hanging="210" w:hangingChars="100"/>
              <w:jc w:val="left"/>
              <w:textAlignment w:val="bottom"/>
              <w:rPr>
                <w:rFonts w:ascii="宋体" w:cs="宋体"/>
                <w:color w:val="000000"/>
                <w:szCs w:val="21"/>
              </w:rPr>
            </w:pPr>
            <w:r>
              <w:rPr>
                <w:rFonts w:hint="eastAsia" w:ascii="宋体" w:cs="宋体"/>
                <w:color w:val="000000"/>
                <w:szCs w:val="21"/>
              </w:rPr>
              <w:t>生态效益指标</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p>
        </w:tc>
      </w:tr>
      <w:tr>
        <w:tblPrEx>
          <w:tblCellMar>
            <w:top w:w="0" w:type="dxa"/>
            <w:left w:w="108" w:type="dxa"/>
            <w:bottom w:w="0" w:type="dxa"/>
            <w:right w:w="108" w:type="dxa"/>
          </w:tblCellMar>
        </w:tblPrEx>
        <w:trPr>
          <w:gridAfter w:val="1"/>
          <w:wAfter w:w="113" w:type="pct"/>
          <w:trHeight w:val="494" w:hRule="atLeast"/>
        </w:trPr>
        <w:tc>
          <w:tcPr>
            <w:tcW w:w="1114" w:type="pct"/>
            <w:vMerge w:val="continue"/>
            <w:tcBorders>
              <w:top w:val="nil"/>
              <w:left w:val="single" w:color="000000" w:sz="4" w:space="0"/>
              <w:bottom w:val="nil"/>
              <w:right w:val="single" w:color="000000" w:sz="4" w:space="0"/>
            </w:tcBorders>
            <w:shd w:val="clear" w:color="auto" w:fill="auto"/>
            <w:noWrap/>
            <w:vAlign w:val="center"/>
          </w:tcPr>
          <w:p>
            <w:pPr>
              <w:rPr>
                <w:rFonts w:ascii="宋体" w:cs="宋体"/>
                <w:color w:val="000000"/>
                <w:szCs w:val="21"/>
              </w:rPr>
            </w:pPr>
          </w:p>
        </w:tc>
        <w:tc>
          <w:tcPr>
            <w:tcW w:w="370"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ascii="宋体" w:cs="宋体"/>
                <w:color w:val="000000"/>
                <w:szCs w:val="21"/>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可持续影响指标</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全民生活水平逐步提高</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长期</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长期</w:t>
            </w:r>
          </w:p>
        </w:tc>
      </w:tr>
      <w:tr>
        <w:tblPrEx>
          <w:tblCellMar>
            <w:top w:w="0" w:type="dxa"/>
            <w:left w:w="108" w:type="dxa"/>
            <w:bottom w:w="0" w:type="dxa"/>
            <w:right w:w="108" w:type="dxa"/>
          </w:tblCellMar>
        </w:tblPrEx>
        <w:trPr>
          <w:gridAfter w:val="1"/>
          <w:wAfter w:w="113" w:type="pct"/>
          <w:trHeight w:val="494" w:hRule="atLeast"/>
        </w:trPr>
        <w:tc>
          <w:tcPr>
            <w:tcW w:w="1114" w:type="pct"/>
            <w:vMerge w:val="continue"/>
            <w:tcBorders>
              <w:top w:val="nil"/>
              <w:left w:val="single" w:color="000000" w:sz="4" w:space="0"/>
              <w:bottom w:val="single" w:color="000000" w:sz="4" w:space="0"/>
              <w:right w:val="single" w:color="000000" w:sz="4" w:space="0"/>
            </w:tcBorders>
            <w:shd w:val="clear" w:color="auto" w:fill="auto"/>
            <w:noWrap/>
            <w:vAlign w:val="center"/>
          </w:tcPr>
          <w:p>
            <w:pPr>
              <w:rPr>
                <w:rFonts w:ascii="宋体" w:cs="宋体"/>
                <w:color w:val="000000"/>
                <w:szCs w:val="21"/>
              </w:rPr>
            </w:pPr>
          </w:p>
        </w:tc>
        <w:tc>
          <w:tcPr>
            <w:tcW w:w="370" w:type="pct"/>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满意</w:t>
            </w:r>
            <w:r>
              <w:rPr>
                <w:rFonts w:hint="eastAsia" w:ascii="宋体" w:cs="宋体"/>
                <w:color w:val="000000"/>
                <w:szCs w:val="21"/>
              </w:rPr>
              <w:br w:type="textWrapping"/>
            </w:r>
            <w:r>
              <w:rPr>
                <w:rFonts w:hint="eastAsia" w:ascii="宋体" w:cs="宋体"/>
                <w:color w:val="000000"/>
                <w:szCs w:val="21"/>
              </w:rPr>
              <w:t>度指标</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满意度</w:t>
            </w:r>
          </w:p>
          <w:p>
            <w:pPr>
              <w:widowControl/>
              <w:spacing w:line="320" w:lineRule="exact"/>
              <w:jc w:val="center"/>
              <w:textAlignment w:val="bottom"/>
              <w:rPr>
                <w:rFonts w:ascii="宋体" w:cs="宋体"/>
                <w:color w:val="000000"/>
                <w:szCs w:val="21"/>
              </w:rPr>
            </w:pPr>
            <w:r>
              <w:rPr>
                <w:rFonts w:hint="eastAsia" w:ascii="宋体" w:cs="宋体"/>
                <w:color w:val="000000"/>
                <w:szCs w:val="21"/>
              </w:rPr>
              <w:t>指标</w:t>
            </w:r>
          </w:p>
        </w:tc>
        <w:tc>
          <w:tcPr>
            <w:tcW w:w="1065"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群众满意度</w:t>
            </w:r>
          </w:p>
        </w:tc>
        <w:tc>
          <w:tcPr>
            <w:tcW w:w="70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≥95%</w:t>
            </w:r>
          </w:p>
        </w:tc>
        <w:tc>
          <w:tcPr>
            <w:tcW w:w="997"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widowControl/>
              <w:spacing w:line="320" w:lineRule="exact"/>
              <w:jc w:val="center"/>
              <w:textAlignment w:val="bottom"/>
              <w:rPr>
                <w:rFonts w:ascii="宋体" w:cs="宋体"/>
                <w:color w:val="000000"/>
                <w:szCs w:val="21"/>
              </w:rPr>
            </w:pPr>
            <w:r>
              <w:rPr>
                <w:rFonts w:hint="eastAsia" w:ascii="宋体" w:cs="宋体"/>
                <w:color w:val="000000"/>
                <w:szCs w:val="21"/>
              </w:rPr>
              <w:t>95%</w:t>
            </w:r>
          </w:p>
        </w:tc>
      </w:tr>
    </w:tbl>
    <w:p>
      <w:pPr>
        <w:pStyle w:val="13"/>
        <w:ind w:firstLine="0" w:firstLineChars="0"/>
      </w:pPr>
    </w:p>
    <w:p>
      <w:pPr>
        <w:pStyle w:val="13"/>
      </w:pPr>
    </w:p>
    <w:p>
      <w:pPr>
        <w:widowControl/>
        <w:adjustRightInd w:val="0"/>
        <w:snapToGrid w:val="0"/>
        <w:spacing w:line="580" w:lineRule="exact"/>
        <w:contextualSpacing/>
        <w:jc w:val="left"/>
        <w:rPr>
          <w:rFonts w:ascii="宋体" w:cs="宋体"/>
          <w:color w:val="000000"/>
          <w:szCs w:val="21"/>
        </w:rPr>
      </w:pPr>
    </w:p>
    <w:p>
      <w:pPr>
        <w:pStyle w:val="13"/>
        <w:rPr>
          <w:rFonts w:ascii="宋体" w:cs="宋体"/>
          <w:color w:val="000000"/>
          <w:szCs w:val="21"/>
        </w:rPr>
      </w:pPr>
    </w:p>
    <w:p>
      <w:pPr>
        <w:pStyle w:val="13"/>
      </w:pPr>
    </w:p>
    <w:p>
      <w:pPr>
        <w:pStyle w:val="13"/>
        <w:spacing w:before="93"/>
        <w:ind w:left="0" w:leftChars="0" w:firstLine="0" w:firstLineChars="0"/>
      </w:pPr>
    </w:p>
    <w:p>
      <w:pPr>
        <w:pStyle w:val="5"/>
        <w:spacing w:before="93"/>
        <w:rPr>
          <w:lang w:val="zh-CN"/>
        </w:rPr>
      </w:pPr>
      <w:r>
        <w:rPr>
          <w:rFonts w:hint="eastAsia" w:hAnsi="宋体" w:cs="宋体"/>
          <w:sz w:val="32"/>
          <w:szCs w:val="32"/>
          <w:shd w:val="clear" w:color="auto" w:fill="FFFFFF"/>
          <w:lang w:val="zh-CN"/>
        </w:rPr>
        <w:t>附件2</w:t>
      </w:r>
    </w:p>
    <w:p>
      <w:pPr>
        <w:spacing w:line="600" w:lineRule="exact"/>
        <w:jc w:val="center"/>
        <w:rPr>
          <w:rFonts w:hint="eastAsia" w:ascii="方正小标宋简体" w:hAnsi="方正小标宋简体" w:eastAsia="方正小标宋简体" w:cs="方正小标宋简体"/>
          <w:sz w:val="44"/>
          <w:szCs w:val="44"/>
          <w:lang w:val="zh-CN"/>
        </w:rPr>
      </w:pPr>
      <w:r>
        <w:rPr>
          <w:rFonts w:hint="eastAsia" w:ascii="方正小标宋简体" w:hAnsi="方正小标宋简体" w:eastAsia="方正小标宋简体" w:cs="方正小标宋简体"/>
          <w:sz w:val="44"/>
          <w:szCs w:val="44"/>
        </w:rPr>
        <w:t>2021年开江县统计局城乡一体化</w:t>
      </w:r>
      <w:r>
        <w:rPr>
          <w:rFonts w:hint="eastAsia" w:ascii="方正小标宋简体" w:hAnsi="方正小标宋简体" w:eastAsia="方正小标宋简体" w:cs="方正小标宋简体"/>
          <w:sz w:val="44"/>
          <w:szCs w:val="44"/>
          <w:lang w:val="zh-CN"/>
        </w:rPr>
        <w:t>项目绩效</w:t>
      </w:r>
    </w:p>
    <w:p>
      <w:pPr>
        <w:spacing w:line="600" w:lineRule="exact"/>
        <w:jc w:val="center"/>
        <w:rPr>
          <w:rFonts w:ascii="方正小标宋简体" w:hAnsi="方正小标宋简体" w:eastAsia="方正小标宋简体" w:cs="方正小标宋简体"/>
          <w:sz w:val="44"/>
          <w:szCs w:val="44"/>
          <w:lang w:val="zh-CN"/>
        </w:rPr>
      </w:pPr>
      <w:r>
        <w:rPr>
          <w:rFonts w:hint="eastAsia" w:ascii="方正小标宋简体" w:hAnsi="方正小标宋简体" w:eastAsia="方正小标宋简体" w:cs="方正小标宋简体"/>
          <w:sz w:val="44"/>
          <w:szCs w:val="44"/>
          <w:lang w:val="zh-CN"/>
        </w:rPr>
        <w:t>自评报告</w:t>
      </w:r>
    </w:p>
    <w:p>
      <w:pPr>
        <w:spacing w:line="600" w:lineRule="exact"/>
        <w:ind w:firstLine="640"/>
        <w:jc w:val="center"/>
        <w:rPr>
          <w:rFonts w:ascii="宋体" w:hAns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（一）项目资金申报及批复情况。</w:t>
      </w:r>
      <w:r>
        <w:rPr>
          <w:rFonts w:hint="eastAsia" w:ascii="仿宋_GB2312" w:hAnsi="宋体" w:eastAsia="仿宋_GB2312"/>
          <w:sz w:val="32"/>
          <w:szCs w:val="32"/>
        </w:rPr>
        <w:t>2021年</w:t>
      </w:r>
      <w:r>
        <w:rPr>
          <w:rFonts w:hint="eastAsia" w:ascii="仿宋_GB2312" w:hAnsi="宋体" w:eastAsia="仿宋_GB2312"/>
          <w:sz w:val="32"/>
          <w:szCs w:val="32"/>
          <w:lang w:val="zh-CN"/>
        </w:rPr>
        <w:t>开江县统计局</w:t>
      </w:r>
      <w:r>
        <w:rPr>
          <w:rFonts w:hint="eastAsia" w:ascii="仿宋_GB2312" w:hAnsi="宋体" w:eastAsia="仿宋_GB2312"/>
          <w:sz w:val="32"/>
          <w:szCs w:val="32"/>
        </w:rPr>
        <w:t>城乡一体化项目</w:t>
      </w:r>
      <w:r>
        <w:rPr>
          <w:rFonts w:hint="eastAsia" w:ascii="仿宋_GB2312" w:hAnsi="宋体" w:eastAsia="仿宋_GB2312"/>
          <w:sz w:val="32"/>
          <w:szCs w:val="32"/>
          <w:lang w:val="zh-CN"/>
        </w:rPr>
        <w:t>申报</w:t>
      </w:r>
      <w:r>
        <w:rPr>
          <w:rFonts w:hint="eastAsia" w:ascii="仿宋_GB2312" w:hAnsi="宋体" w:eastAsia="仿宋_GB2312"/>
          <w:sz w:val="32"/>
          <w:szCs w:val="32"/>
        </w:rPr>
        <w:t>40万，</w:t>
      </w:r>
      <w:r>
        <w:rPr>
          <w:rFonts w:hint="eastAsia" w:ascii="仿宋_GB2312" w:hAnsi="宋体" w:eastAsia="仿宋_GB2312"/>
          <w:sz w:val="32"/>
          <w:szCs w:val="32"/>
          <w:lang w:val="zh-CN"/>
        </w:rPr>
        <w:t>符合资金管理办法等相关规定。</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（二）项目绩效目标。</w:t>
      </w:r>
      <w:r>
        <w:rPr>
          <w:rFonts w:hint="eastAsia" w:ascii="仿宋_GB2312" w:hAnsi="宋体" w:eastAsia="仿宋_GB2312"/>
          <w:sz w:val="32"/>
          <w:szCs w:val="32"/>
          <w:lang w:val="zh-CN"/>
        </w:rPr>
        <w:t>该项目客观监测居民收入分配格局和不同层次居民生活质量，更好地满足研究制定城乡统筹政策的需要，为国民经济核算和居民消费价格指数权重制定提供基础数据。</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（三）项目资金申报相符性。</w:t>
      </w:r>
      <w:r>
        <w:rPr>
          <w:rFonts w:hint="eastAsia" w:ascii="仿宋_GB2312" w:hAnsi="宋体" w:eastAsia="仿宋_GB2312"/>
          <w:sz w:val="32"/>
          <w:szCs w:val="32"/>
          <w:lang w:val="zh-CN"/>
        </w:rPr>
        <w:t>项目申报内容与具体实施内容相符，申报目标合理可行。</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二、项目实施及管理情况</w:t>
      </w:r>
    </w:p>
    <w:p>
      <w:pPr>
        <w:adjustRightInd w:val="0"/>
        <w:snapToGrid w:val="0"/>
        <w:spacing w:line="600" w:lineRule="exact"/>
        <w:ind w:firstLine="720"/>
        <w:rPr>
          <w:rFonts w:ascii="楷体_GB2312" w:hAnsi="宋体" w:eastAsia="楷体_GB2312"/>
          <w:b/>
          <w:sz w:val="32"/>
          <w:szCs w:val="32"/>
          <w:lang w:val="zh-CN"/>
        </w:rPr>
      </w:pPr>
      <w:r>
        <w:rPr>
          <w:rFonts w:hint="eastAsia" w:ascii="仿宋_GB2312" w:hAnsi="宋体" w:eastAsia="仿宋_GB2312"/>
          <w:sz w:val="32"/>
          <w:szCs w:val="32"/>
          <w:lang w:val="zh-CN"/>
        </w:rPr>
        <w:tab/>
      </w:r>
      <w:r>
        <w:rPr>
          <w:rFonts w:hint="eastAsia" w:ascii="楷体_GB2312" w:hAnsi="宋体" w:eastAsia="楷体_GB2312"/>
          <w:b/>
          <w:sz w:val="32"/>
          <w:szCs w:val="32"/>
          <w:lang w:val="zh-CN"/>
        </w:rPr>
        <w:t>（一）资金计划、到位及使用情况</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sz w:val="32"/>
          <w:szCs w:val="32"/>
          <w:lang w:val="zh-CN"/>
        </w:rPr>
        <w:t>1．资金计划及到位。</w:t>
      </w:r>
      <w:r>
        <w:rPr>
          <w:rFonts w:hint="eastAsia" w:ascii="仿宋_GB2312" w:hAnsi="宋体" w:eastAsia="仿宋_GB2312"/>
          <w:sz w:val="32"/>
          <w:szCs w:val="32"/>
          <w:lang w:val="zh-CN"/>
        </w:rPr>
        <w:t>该项目主要来源是县级财政资金，资金到位率达</w:t>
      </w:r>
      <w:r>
        <w:rPr>
          <w:rFonts w:hint="eastAsia" w:ascii="仿宋_GB2312" w:hAnsi="宋体" w:eastAsia="仿宋_GB2312"/>
          <w:sz w:val="32"/>
          <w:szCs w:val="32"/>
        </w:rPr>
        <w:t>100%，但资金</w:t>
      </w:r>
      <w:r>
        <w:rPr>
          <w:rFonts w:hint="eastAsia" w:ascii="仿宋_GB2312" w:hAnsi="宋体" w:eastAsia="仿宋_GB2312"/>
          <w:sz w:val="32"/>
          <w:szCs w:val="32"/>
          <w:lang w:val="zh-CN"/>
        </w:rPr>
        <w:t>到位及时性有点滞后，是因为县级财政力量不足，缺乏资金。</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sz w:val="32"/>
          <w:szCs w:val="32"/>
          <w:lang w:val="zh-CN"/>
        </w:rPr>
        <w:t>2．资金使用。</w:t>
      </w:r>
      <w:r>
        <w:rPr>
          <w:rFonts w:hint="eastAsia" w:ascii="仿宋_GB2312" w:hAnsi="宋体" w:eastAsia="仿宋_GB2312"/>
          <w:sz w:val="32"/>
          <w:szCs w:val="32"/>
          <w:lang w:val="zh-CN"/>
        </w:rPr>
        <w:t>该项目经费资金支付与预算相符，支付依据合规合法，项目资金的实际支出</w:t>
      </w:r>
      <w:r>
        <w:rPr>
          <w:rFonts w:hint="eastAsia" w:ascii="仿宋_GB2312" w:hAnsi="宋体" w:eastAsia="仿宋_GB2312"/>
          <w:sz w:val="32"/>
          <w:szCs w:val="32"/>
        </w:rPr>
        <w:t>40万</w:t>
      </w:r>
      <w:r>
        <w:rPr>
          <w:rFonts w:hint="eastAsia" w:ascii="仿宋_GB2312" w:hAnsi="宋体" w:eastAsia="仿宋_GB2312"/>
          <w:sz w:val="32"/>
          <w:szCs w:val="32"/>
          <w:lang w:val="zh-CN"/>
        </w:rPr>
        <w:t>。</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（二）项目财务管理情况</w:t>
      </w:r>
    </w:p>
    <w:p>
      <w:pPr>
        <w:spacing w:line="576" w:lineRule="exact"/>
        <w:ind w:firstLine="640" w:firstLineChars="200"/>
        <w:jc w:val="left"/>
        <w:rPr>
          <w:rFonts w:ascii="仿宋_GB2312" w:hAnsi="宋体" w:eastAsia="仿宋_GB2312"/>
          <w:sz w:val="32"/>
          <w:szCs w:val="32"/>
          <w:lang w:val="zh-CN"/>
        </w:rPr>
      </w:pPr>
      <w:r>
        <w:rPr>
          <w:rFonts w:hint="eastAsia" w:ascii="仿宋_GB2312" w:hAnsi="宋体" w:eastAsia="仿宋_GB2312"/>
          <w:sz w:val="32"/>
          <w:szCs w:val="32"/>
          <w:lang w:val="zh-CN"/>
        </w:rPr>
        <w:t>开江县统计局制定了预算绩效目标管理办法，包括第一章 总 则、第二章 组织管理与职责、第三章绩效目标编制，共有三章十八条。按照管理办法，开江县统计局对项目资金合理开支使用，严格按照财务管理制度执行、及时进行财务处理、会计核算规范。</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（三）项目组织实施情况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开江县统计局设置了预算绩效管理领导小组，由党组书记、局长张德勋任组长负责预算绩效管理全面工作，由副局长蒋兴荣负责预算绩效管理组织工作，由其他领导班子负责预算绩效管理实施工作。领导小组下设办公室，由蒋兴荣兼任办公室主任，谭静、游佳为办公室成员，具体负责日常财务公开工作。在项目的具体实施过程中，分工明确，职责清晰，监管到位，项目工作顺利实施。</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三、项目绩效情况</w:t>
      </w:r>
      <w:r>
        <w:rPr>
          <w:rFonts w:hint="eastAsia"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adjustRightInd w:val="0"/>
        <w:snapToGrid w:val="0"/>
        <w:spacing w:line="600" w:lineRule="exact"/>
        <w:ind w:firstLine="720"/>
        <w:rPr>
          <w:rFonts w:ascii="仿宋_GB2312" w:hAnsi="宋体" w:eastAsia="仿宋_GB2312"/>
          <w:sz w:val="32"/>
          <w:szCs w:val="32"/>
        </w:rPr>
      </w:pPr>
      <w:r>
        <w:rPr>
          <w:rFonts w:hint="eastAsia" w:ascii="仿宋_GB2312" w:hAnsi="宋体" w:eastAsia="仿宋_GB2312"/>
          <w:sz w:val="32"/>
          <w:szCs w:val="32"/>
        </w:rPr>
        <w:t>城乡一体化项目完成情况，数量指标：记账补贴费用、开展业务培训、记账宣传、入点入户指导，完成率100%；质量指标：提高城乡居民收支情况数据质量，完成率100%；时效指标：完成时间在2021年年底前，完成率100%；成本指标：记账补贴费、业务培训费、差旅费等，完成率100%。</w:t>
      </w:r>
    </w:p>
    <w:p>
      <w:pPr>
        <w:numPr>
          <w:ilvl w:val="0"/>
          <w:numId w:val="5"/>
        </w:num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项目效益情况</w:t>
      </w:r>
    </w:p>
    <w:p>
      <w:pPr>
        <w:adjustRightInd w:val="0"/>
        <w:snapToGrid w:val="0"/>
        <w:spacing w:line="600" w:lineRule="exact"/>
        <w:ind w:firstLine="640" w:firstLineChars="200"/>
        <w:rPr>
          <w:rFonts w:ascii="仿宋_GB2312" w:hAnsi="宋体" w:eastAsia="仿宋_GB2312"/>
          <w:sz w:val="32"/>
          <w:szCs w:val="32"/>
        </w:rPr>
      </w:pPr>
      <w:r>
        <w:rPr>
          <w:rFonts w:hint="eastAsia" w:ascii="仿宋_GB2312" w:hAnsi="宋体" w:eastAsia="仿宋_GB2312"/>
          <w:sz w:val="32"/>
          <w:szCs w:val="32"/>
        </w:rPr>
        <w:t>城乡一体化项目完成情况，社会效益指标：客观真实反应城乡居民收入、消费和生活状况，为政府制定民生计划提供科学依据，完成率100%；可持续影响指标：全民生活水平逐步提高，完成率100%。服务对象满意度指标：群众满意度达95%以上，未收到任何举报和投诉，完成率100%。</w:t>
      </w:r>
      <w:r>
        <w:rPr>
          <w:rFonts w:hint="eastAsia" w:ascii="仿宋_GB2312" w:hAnsi="宋体" w:eastAsia="仿宋_GB2312"/>
          <w:sz w:val="32"/>
          <w:szCs w:val="32"/>
          <w:lang w:val="zh-CN"/>
        </w:rPr>
        <w:t>各效益指标均按照年初目标任务进度完成且取得很好效益。</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四、问题及建议</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（一）存在的问题。</w:t>
      </w:r>
      <w:r>
        <w:rPr>
          <w:rFonts w:hint="eastAsia" w:ascii="仿宋_GB2312" w:hAnsi="宋体" w:eastAsia="仿宋_GB2312"/>
          <w:sz w:val="32"/>
          <w:szCs w:val="32"/>
        </w:rPr>
        <w:t>资金</w:t>
      </w:r>
      <w:r>
        <w:rPr>
          <w:rFonts w:hint="eastAsia" w:ascii="仿宋_GB2312" w:hAnsi="宋体" w:eastAsia="仿宋_GB2312"/>
          <w:sz w:val="32"/>
          <w:szCs w:val="32"/>
          <w:lang w:val="zh-CN"/>
        </w:rPr>
        <w:t>到位不够及时，会影响统计相关工作的顺利开展。</w:t>
      </w:r>
    </w:p>
    <w:p>
      <w:pPr>
        <w:adjustRightInd w:val="0"/>
        <w:snapToGrid w:val="0"/>
        <w:spacing w:line="600" w:lineRule="exact"/>
        <w:ind w:firstLine="720"/>
        <w:rPr>
          <w:rFonts w:hint="eastAsia" w:ascii="仿宋_GB2312" w:hAnsi="宋体" w:eastAsia="仿宋_GB2312"/>
          <w:sz w:val="32"/>
          <w:szCs w:val="32"/>
          <w:lang w:val="zh-CN"/>
        </w:rPr>
      </w:pPr>
      <w:r>
        <w:rPr>
          <w:rFonts w:hint="eastAsia" w:ascii="楷体_GB2312" w:hAnsi="宋体" w:eastAsia="楷体_GB2312"/>
          <w:b/>
          <w:sz w:val="32"/>
          <w:szCs w:val="32"/>
          <w:lang w:val="zh-CN"/>
        </w:rPr>
        <w:t>（二）相关建议。</w:t>
      </w:r>
      <w:r>
        <w:rPr>
          <w:rFonts w:hint="eastAsia" w:ascii="仿宋_GB2312" w:hAnsi="宋体" w:eastAsia="仿宋_GB2312"/>
          <w:sz w:val="32"/>
          <w:szCs w:val="32"/>
          <w:lang w:val="zh-CN"/>
        </w:rPr>
        <w:t>目前无项目(相关政策)改进完善的建议意见。</w:t>
      </w:r>
    </w:p>
    <w:p>
      <w:pPr>
        <w:adjustRightInd w:val="0"/>
        <w:snapToGrid w:val="0"/>
        <w:spacing w:line="600" w:lineRule="exact"/>
        <w:ind w:firstLine="720"/>
        <w:rPr>
          <w:rFonts w:hint="eastAsia" w:ascii="仿宋_GB2312" w:hAnsi="宋体" w:eastAsia="仿宋_GB2312"/>
          <w:sz w:val="32"/>
          <w:szCs w:val="32"/>
          <w:lang w:val="zh-CN"/>
        </w:rPr>
      </w:pPr>
    </w:p>
    <w:p>
      <w:pPr>
        <w:adjustRightInd w:val="0"/>
        <w:snapToGrid w:val="0"/>
        <w:spacing w:line="600" w:lineRule="exact"/>
        <w:ind w:firstLine="720"/>
        <w:rPr>
          <w:rFonts w:hint="eastAsia" w:ascii="仿宋_GB2312" w:hAnsi="宋体" w:eastAsia="仿宋_GB2312"/>
          <w:sz w:val="32"/>
          <w:szCs w:val="32"/>
          <w:lang w:val="zh-CN"/>
        </w:rPr>
      </w:pPr>
    </w:p>
    <w:p>
      <w:pPr>
        <w:pStyle w:val="35"/>
        <w:spacing w:before="93" w:line="600" w:lineRule="exact"/>
        <w:jc w:val="both"/>
        <w:rPr>
          <w:rFonts w:hint="eastAsia" w:ascii="方正小标宋简体" w:hAnsi="宋体" w:eastAsia="方正小标宋简体"/>
          <w:sz w:val="44"/>
          <w:szCs w:val="44"/>
        </w:rPr>
      </w:pPr>
    </w:p>
    <w:p>
      <w:pPr>
        <w:pStyle w:val="35"/>
        <w:spacing w:before="93" w:line="600" w:lineRule="exact"/>
        <w:rPr>
          <w:rFonts w:hint="eastAsia" w:ascii="方正小标宋简体" w:hAnsi="宋体" w:eastAsia="方正小标宋简体"/>
          <w:sz w:val="44"/>
          <w:szCs w:val="44"/>
        </w:rPr>
      </w:pPr>
    </w:p>
    <w:p>
      <w:pPr>
        <w:pStyle w:val="35"/>
        <w:spacing w:before="93" w:line="600" w:lineRule="exact"/>
        <w:rPr>
          <w:rFonts w:hint="eastAsia" w:ascii="黑体" w:hAnsi="黑体" w:eastAsia="黑体"/>
          <w:sz w:val="32"/>
          <w:szCs w:val="32"/>
        </w:rPr>
      </w:pPr>
    </w:p>
    <w:p>
      <w:pPr>
        <w:pStyle w:val="35"/>
        <w:spacing w:before="93" w:line="600" w:lineRule="exact"/>
        <w:rPr>
          <w:rFonts w:hint="eastAsia" w:ascii="黑体" w:hAnsi="黑体" w:eastAsia="黑体"/>
          <w:sz w:val="32"/>
          <w:szCs w:val="32"/>
        </w:rPr>
      </w:pPr>
    </w:p>
    <w:p>
      <w:pPr>
        <w:pStyle w:val="35"/>
        <w:spacing w:before="93" w:line="600" w:lineRule="exact"/>
        <w:rPr>
          <w:rFonts w:hint="eastAsia" w:ascii="黑体" w:hAnsi="黑体" w:eastAsia="黑体"/>
          <w:sz w:val="32"/>
          <w:szCs w:val="32"/>
        </w:rPr>
      </w:pPr>
    </w:p>
    <w:p>
      <w:pPr>
        <w:pStyle w:val="35"/>
        <w:spacing w:before="93" w:line="600" w:lineRule="exact"/>
        <w:rPr>
          <w:rFonts w:hint="eastAsia" w:ascii="黑体" w:hAnsi="黑体" w:eastAsia="黑体"/>
          <w:sz w:val="32"/>
          <w:szCs w:val="32"/>
        </w:rPr>
      </w:pPr>
    </w:p>
    <w:p>
      <w:pPr>
        <w:pStyle w:val="35"/>
        <w:spacing w:before="93" w:line="600" w:lineRule="exact"/>
        <w:rPr>
          <w:rFonts w:hint="eastAsia" w:ascii="黑体" w:hAnsi="黑体" w:eastAsia="黑体"/>
          <w:sz w:val="32"/>
          <w:szCs w:val="32"/>
        </w:rPr>
      </w:pPr>
    </w:p>
    <w:p>
      <w:pPr>
        <w:pStyle w:val="35"/>
        <w:spacing w:before="93" w:line="600" w:lineRule="exact"/>
        <w:rPr>
          <w:rFonts w:hint="eastAsia" w:ascii="黑体" w:hAnsi="黑体" w:eastAsia="黑体"/>
          <w:sz w:val="32"/>
          <w:szCs w:val="32"/>
        </w:rPr>
      </w:pPr>
    </w:p>
    <w:p>
      <w:pPr>
        <w:pStyle w:val="35"/>
        <w:spacing w:before="93" w:line="600" w:lineRule="exact"/>
        <w:rPr>
          <w:rFonts w:hint="eastAsia" w:ascii="黑体" w:hAnsi="黑体" w:eastAsia="黑体"/>
          <w:sz w:val="32"/>
          <w:szCs w:val="32"/>
        </w:rPr>
      </w:pPr>
    </w:p>
    <w:p>
      <w:pPr>
        <w:pStyle w:val="35"/>
        <w:spacing w:before="93" w:line="600" w:lineRule="exact"/>
        <w:rPr>
          <w:rFonts w:hint="eastAsia" w:ascii="黑体" w:hAnsi="黑体" w:eastAsia="黑体"/>
          <w:sz w:val="32"/>
          <w:szCs w:val="32"/>
        </w:rPr>
      </w:pPr>
    </w:p>
    <w:p>
      <w:pPr>
        <w:pStyle w:val="35"/>
        <w:spacing w:before="93" w:line="600" w:lineRule="exact"/>
        <w:rPr>
          <w:rFonts w:hint="eastAsia" w:ascii="黑体" w:hAnsi="黑体" w:eastAsia="黑体"/>
          <w:sz w:val="32"/>
          <w:szCs w:val="32"/>
        </w:rPr>
      </w:pPr>
    </w:p>
    <w:p>
      <w:pPr>
        <w:pStyle w:val="35"/>
        <w:spacing w:before="93" w:line="600" w:lineRule="exact"/>
        <w:rPr>
          <w:rFonts w:hint="eastAsia" w:ascii="黑体" w:hAnsi="黑体" w:eastAsia="黑体"/>
          <w:sz w:val="32"/>
          <w:szCs w:val="32"/>
        </w:rPr>
      </w:pPr>
      <w:r>
        <w:rPr>
          <w:rFonts w:hint="eastAsia" w:ascii="黑体" w:hAnsi="黑体" w:eastAsia="黑体"/>
          <w:sz w:val="32"/>
          <w:szCs w:val="32"/>
        </w:rPr>
        <w:t>附件3</w:t>
      </w:r>
    </w:p>
    <w:p>
      <w:pPr>
        <w:pStyle w:val="35"/>
        <w:spacing w:before="93" w:line="600" w:lineRule="exact"/>
        <w:ind w:firstLine="883"/>
        <w:jc w:val="center"/>
        <w:rPr>
          <w:rFonts w:hint="eastAsia" w:ascii="方正小标宋简体" w:hAnsi="宋体" w:eastAsia="方正小标宋简体"/>
          <w:sz w:val="44"/>
          <w:szCs w:val="44"/>
        </w:rPr>
      </w:pPr>
      <w:r>
        <w:rPr>
          <w:rFonts w:hint="eastAsia" w:ascii="方正小标宋简体" w:hAnsi="宋体" w:eastAsia="方正小标宋简体"/>
          <w:sz w:val="44"/>
          <w:szCs w:val="44"/>
        </w:rPr>
        <w:t>开江县统计局全国第七次人口普查</w:t>
      </w:r>
    </w:p>
    <w:p>
      <w:pPr>
        <w:pStyle w:val="35"/>
        <w:spacing w:before="93" w:line="600" w:lineRule="exact"/>
        <w:ind w:firstLine="883"/>
        <w:jc w:val="center"/>
        <w:rPr>
          <w:rFonts w:ascii="仿宋_GB2312" w:hAnsi="宋体" w:eastAsia="仿宋_GB2312"/>
          <w:color w:val="auto"/>
          <w:kern w:val="2"/>
          <w:sz w:val="32"/>
          <w:szCs w:val="32"/>
        </w:rPr>
      </w:pPr>
      <w:r>
        <w:rPr>
          <w:rFonts w:hint="eastAsia" w:ascii="方正小标宋简体" w:hAnsi="宋体" w:eastAsia="方正小标宋简体"/>
          <w:sz w:val="44"/>
          <w:szCs w:val="44"/>
        </w:rPr>
        <w:t>项目绩效自评报告</w:t>
      </w:r>
    </w:p>
    <w:p>
      <w:pPr>
        <w:adjustRightInd w:val="0"/>
        <w:snapToGrid w:val="0"/>
        <w:spacing w:line="600" w:lineRule="exact"/>
        <w:ind w:firstLine="720"/>
        <w:rPr>
          <w:rFonts w:hint="eastAsia" w:ascii="仿宋" w:hAnsi="仿宋" w:eastAsia="仿宋"/>
          <w:sz w:val="32"/>
          <w:szCs w:val="32"/>
        </w:rPr>
      </w:pPr>
    </w:p>
    <w:p>
      <w:pPr>
        <w:adjustRightInd w:val="0"/>
        <w:snapToGrid w:val="0"/>
        <w:spacing w:line="600" w:lineRule="exact"/>
        <w:ind w:firstLine="720"/>
        <w:rPr>
          <w:rFonts w:ascii="黑体" w:hAnsi="黑体" w:eastAsia="黑体"/>
          <w:sz w:val="32"/>
          <w:szCs w:val="32"/>
        </w:rPr>
      </w:pPr>
      <w:r>
        <w:rPr>
          <w:rFonts w:hint="eastAsia" w:ascii="黑体" w:hAnsi="黑体" w:eastAsia="黑体"/>
          <w:sz w:val="32"/>
          <w:szCs w:val="32"/>
        </w:rPr>
        <w:t>一、项目概况</w:t>
      </w:r>
    </w:p>
    <w:p>
      <w:pPr>
        <w:adjustRightInd w:val="0"/>
        <w:snapToGrid w:val="0"/>
        <w:spacing w:line="600" w:lineRule="exact"/>
        <w:ind w:firstLine="720"/>
        <w:rPr>
          <w:rFonts w:ascii="仿宋" w:hAnsi="仿宋" w:eastAsia="仿宋"/>
          <w:sz w:val="32"/>
          <w:szCs w:val="32"/>
          <w:lang w:val="zh-CN"/>
        </w:rPr>
      </w:pPr>
      <w:r>
        <w:rPr>
          <w:rFonts w:hint="eastAsia" w:ascii="仿宋" w:hAnsi="仿宋" w:eastAsia="仿宋"/>
          <w:b/>
          <w:sz w:val="32"/>
          <w:szCs w:val="32"/>
          <w:lang w:val="zh-CN"/>
        </w:rPr>
        <w:t>（一）项目资金申报及批复情况。</w:t>
      </w:r>
      <w:r>
        <w:rPr>
          <w:rFonts w:hint="eastAsia" w:ascii="仿宋" w:hAnsi="仿宋" w:eastAsia="仿宋"/>
          <w:sz w:val="32"/>
          <w:szCs w:val="32"/>
        </w:rPr>
        <w:t>2021年</w:t>
      </w:r>
      <w:r>
        <w:rPr>
          <w:rFonts w:hint="eastAsia" w:ascii="仿宋" w:hAnsi="仿宋" w:eastAsia="仿宋"/>
          <w:sz w:val="32"/>
          <w:szCs w:val="32"/>
          <w:lang w:val="zh-CN"/>
        </w:rPr>
        <w:t>开江县统计局</w:t>
      </w:r>
      <w:r>
        <w:rPr>
          <w:rFonts w:hint="eastAsia" w:ascii="仿宋" w:hAnsi="仿宋" w:eastAsia="仿宋"/>
          <w:sz w:val="32"/>
          <w:szCs w:val="32"/>
        </w:rPr>
        <w:t>全国第七次人口普查项目</w:t>
      </w:r>
      <w:r>
        <w:rPr>
          <w:rFonts w:hint="eastAsia" w:ascii="仿宋" w:hAnsi="仿宋" w:eastAsia="仿宋"/>
          <w:sz w:val="32"/>
          <w:szCs w:val="32"/>
          <w:lang w:val="zh-CN"/>
        </w:rPr>
        <w:t>批复数为</w:t>
      </w:r>
      <w:r>
        <w:rPr>
          <w:rFonts w:hint="eastAsia" w:ascii="仿宋" w:hAnsi="仿宋" w:eastAsia="仿宋"/>
          <w:sz w:val="32"/>
          <w:szCs w:val="32"/>
        </w:rPr>
        <w:t>280万，</w:t>
      </w:r>
      <w:r>
        <w:rPr>
          <w:rFonts w:hint="eastAsia" w:ascii="仿宋" w:hAnsi="仿宋" w:eastAsia="仿宋"/>
          <w:sz w:val="32"/>
          <w:szCs w:val="32"/>
          <w:lang w:val="zh-CN"/>
        </w:rPr>
        <w:t>符合资金管理办法等相关规定。</w:t>
      </w:r>
    </w:p>
    <w:p>
      <w:pPr>
        <w:adjustRightInd w:val="0"/>
        <w:snapToGrid w:val="0"/>
        <w:spacing w:line="600" w:lineRule="exact"/>
        <w:ind w:firstLine="720"/>
        <w:rPr>
          <w:rFonts w:ascii="仿宋" w:hAnsi="仿宋" w:eastAsia="仿宋"/>
          <w:sz w:val="32"/>
          <w:szCs w:val="32"/>
          <w:lang w:val="zh-CN"/>
        </w:rPr>
      </w:pPr>
      <w:r>
        <w:rPr>
          <w:rFonts w:hint="eastAsia" w:ascii="仿宋" w:hAnsi="仿宋" w:eastAsia="仿宋"/>
          <w:b/>
          <w:sz w:val="32"/>
          <w:szCs w:val="32"/>
          <w:lang w:val="zh-CN"/>
        </w:rPr>
        <w:t>（二）项目绩效目标。</w:t>
      </w:r>
      <w:r>
        <w:rPr>
          <w:rFonts w:hint="eastAsia" w:ascii="仿宋" w:hAnsi="仿宋" w:eastAsia="仿宋"/>
          <w:sz w:val="32"/>
          <w:szCs w:val="32"/>
          <w:lang w:val="zh-CN"/>
        </w:rPr>
        <w:t>该项目用280万元用于发放七人普两员补贴、开发人口普查数据手册、编撰人口普查画册、编撰人口普查数据汇编资料。</w:t>
      </w:r>
    </w:p>
    <w:p>
      <w:pPr>
        <w:adjustRightInd w:val="0"/>
        <w:snapToGrid w:val="0"/>
        <w:spacing w:line="600" w:lineRule="exact"/>
        <w:ind w:firstLine="720"/>
        <w:rPr>
          <w:rFonts w:ascii="仿宋" w:hAnsi="仿宋" w:eastAsia="仿宋"/>
          <w:sz w:val="32"/>
          <w:szCs w:val="32"/>
        </w:rPr>
      </w:pPr>
      <w:r>
        <w:rPr>
          <w:rFonts w:hint="eastAsia" w:ascii="仿宋" w:hAnsi="仿宋" w:eastAsia="仿宋"/>
          <w:b/>
          <w:sz w:val="32"/>
          <w:szCs w:val="32"/>
          <w:lang w:val="zh-CN"/>
        </w:rPr>
        <w:t>（三）项目资金申报相符性。</w:t>
      </w:r>
      <w:r>
        <w:rPr>
          <w:rFonts w:hint="eastAsia" w:ascii="仿宋" w:hAnsi="仿宋" w:eastAsia="仿宋"/>
          <w:sz w:val="32"/>
          <w:szCs w:val="32"/>
          <w:lang w:val="zh-CN"/>
        </w:rPr>
        <w:t>项目申报内容与具体实施</w:t>
      </w:r>
      <w:r>
        <w:rPr>
          <w:rFonts w:hint="eastAsia" w:ascii="仿宋" w:hAnsi="仿宋" w:eastAsia="仿宋"/>
          <w:sz w:val="32"/>
          <w:szCs w:val="32"/>
        </w:rPr>
        <w:t>内容相符，申报目标合理可行。</w:t>
      </w:r>
    </w:p>
    <w:p>
      <w:pPr>
        <w:adjustRightInd w:val="0"/>
        <w:snapToGrid w:val="0"/>
        <w:spacing w:line="600" w:lineRule="exact"/>
        <w:ind w:firstLine="720"/>
        <w:rPr>
          <w:rFonts w:ascii="黑体" w:hAnsi="黑体" w:eastAsia="黑体"/>
          <w:sz w:val="32"/>
          <w:szCs w:val="32"/>
        </w:rPr>
      </w:pPr>
      <w:r>
        <w:rPr>
          <w:rFonts w:hint="eastAsia" w:ascii="黑体" w:hAnsi="黑体" w:eastAsia="黑体"/>
          <w:sz w:val="32"/>
          <w:szCs w:val="32"/>
        </w:rPr>
        <w:t>二、项目实施及管理情况</w:t>
      </w:r>
    </w:p>
    <w:p>
      <w:pPr>
        <w:adjustRightInd w:val="0"/>
        <w:snapToGrid w:val="0"/>
        <w:spacing w:line="600" w:lineRule="exact"/>
        <w:ind w:firstLine="720"/>
        <w:rPr>
          <w:rFonts w:ascii="仿宋" w:hAnsi="仿宋" w:eastAsia="仿宋"/>
          <w:b/>
          <w:sz w:val="32"/>
          <w:szCs w:val="32"/>
          <w:lang w:val="zh-CN"/>
        </w:rPr>
      </w:pPr>
      <w:r>
        <w:rPr>
          <w:rFonts w:hint="eastAsia" w:ascii="仿宋" w:hAnsi="仿宋" w:eastAsia="仿宋"/>
          <w:sz w:val="32"/>
          <w:szCs w:val="32"/>
          <w:lang w:val="zh-CN"/>
        </w:rPr>
        <w:tab/>
      </w:r>
      <w:r>
        <w:rPr>
          <w:rFonts w:hint="eastAsia" w:ascii="仿宋" w:hAnsi="仿宋" w:eastAsia="仿宋"/>
          <w:b/>
          <w:sz w:val="32"/>
          <w:szCs w:val="32"/>
          <w:lang w:val="zh-CN"/>
        </w:rPr>
        <w:t>（一）资金计划、到位及使用情况</w:t>
      </w:r>
    </w:p>
    <w:p>
      <w:pPr>
        <w:adjustRightInd w:val="0"/>
        <w:snapToGrid w:val="0"/>
        <w:spacing w:line="600" w:lineRule="exact"/>
        <w:ind w:firstLine="720"/>
        <w:rPr>
          <w:rFonts w:ascii="仿宋" w:hAnsi="仿宋" w:eastAsia="仿宋"/>
          <w:sz w:val="32"/>
          <w:szCs w:val="32"/>
          <w:lang w:val="zh-CN"/>
        </w:rPr>
      </w:pPr>
      <w:r>
        <w:rPr>
          <w:rFonts w:hint="eastAsia" w:ascii="仿宋" w:hAnsi="仿宋" w:eastAsia="仿宋"/>
          <w:sz w:val="32"/>
          <w:szCs w:val="32"/>
          <w:lang w:val="zh-CN"/>
        </w:rPr>
        <w:t>1．资金计划及到位。该项目主要来源是县级财政资金，资金到位398183元</w:t>
      </w:r>
      <w:r>
        <w:rPr>
          <w:rFonts w:hint="eastAsia" w:ascii="仿宋" w:hAnsi="仿宋" w:eastAsia="仿宋"/>
          <w:sz w:val="32"/>
          <w:szCs w:val="32"/>
        </w:rPr>
        <w:t>，资金</w:t>
      </w:r>
      <w:r>
        <w:rPr>
          <w:rFonts w:hint="eastAsia" w:ascii="仿宋" w:hAnsi="仿宋" w:eastAsia="仿宋"/>
          <w:sz w:val="32"/>
          <w:szCs w:val="32"/>
          <w:lang w:val="zh-CN"/>
        </w:rPr>
        <w:t>到位滞后，是因为县级财政力量不足，缺乏资金。</w:t>
      </w:r>
    </w:p>
    <w:p>
      <w:pPr>
        <w:adjustRightInd w:val="0"/>
        <w:snapToGrid w:val="0"/>
        <w:spacing w:line="600" w:lineRule="exact"/>
        <w:ind w:firstLine="720"/>
        <w:rPr>
          <w:rFonts w:ascii="仿宋" w:hAnsi="仿宋" w:eastAsia="仿宋"/>
          <w:sz w:val="32"/>
          <w:szCs w:val="32"/>
          <w:lang w:val="zh-CN"/>
        </w:rPr>
      </w:pPr>
      <w:r>
        <w:rPr>
          <w:rFonts w:hint="eastAsia" w:ascii="仿宋" w:hAnsi="仿宋" w:eastAsia="仿宋"/>
          <w:sz w:val="32"/>
          <w:szCs w:val="32"/>
          <w:lang w:val="zh-CN"/>
        </w:rPr>
        <w:t>2．资金使用。该项目经费资金支付398183元，支付依据合规合法。</w:t>
      </w:r>
    </w:p>
    <w:p>
      <w:pPr>
        <w:adjustRightInd w:val="0"/>
        <w:snapToGrid w:val="0"/>
        <w:spacing w:line="600" w:lineRule="exact"/>
        <w:ind w:firstLine="720"/>
        <w:rPr>
          <w:rFonts w:ascii="仿宋" w:hAnsi="仿宋" w:eastAsia="仿宋"/>
          <w:b/>
          <w:sz w:val="32"/>
          <w:szCs w:val="32"/>
          <w:lang w:val="zh-CN"/>
        </w:rPr>
      </w:pPr>
      <w:r>
        <w:rPr>
          <w:rFonts w:hint="eastAsia" w:ascii="仿宋" w:hAnsi="仿宋" w:eastAsia="仿宋"/>
          <w:b/>
          <w:sz w:val="32"/>
          <w:szCs w:val="32"/>
          <w:lang w:val="zh-CN"/>
        </w:rPr>
        <w:t>（二）项目财务管理情况</w:t>
      </w:r>
    </w:p>
    <w:p>
      <w:pPr>
        <w:spacing w:line="576" w:lineRule="exact"/>
        <w:ind w:firstLine="640" w:firstLineChars="200"/>
        <w:jc w:val="left"/>
        <w:rPr>
          <w:rFonts w:ascii="仿宋" w:hAnsi="仿宋" w:eastAsia="仿宋"/>
          <w:sz w:val="32"/>
          <w:szCs w:val="32"/>
          <w:lang w:val="zh-CN"/>
        </w:rPr>
      </w:pPr>
      <w:r>
        <w:rPr>
          <w:rFonts w:hint="eastAsia" w:ascii="仿宋" w:hAnsi="仿宋" w:eastAsia="仿宋"/>
          <w:sz w:val="32"/>
          <w:szCs w:val="32"/>
          <w:lang w:val="zh-CN"/>
        </w:rPr>
        <w:t>开江县统计局制定了预算绩效目标管理办法，包括第一章 总 则、第二章 组织管理与职责、第三章绩效目标编制，共有三章十八条。按照管理办法，开江县统计局对项目资金合理开支使用，严格按照财务管理制度执行、及时进行财务处理、会计核算规范。</w:t>
      </w:r>
    </w:p>
    <w:p>
      <w:pPr>
        <w:adjustRightInd w:val="0"/>
        <w:snapToGrid w:val="0"/>
        <w:spacing w:line="600" w:lineRule="exact"/>
        <w:ind w:firstLine="720"/>
        <w:rPr>
          <w:rFonts w:ascii="仿宋" w:hAnsi="仿宋" w:eastAsia="仿宋"/>
          <w:b/>
          <w:sz w:val="32"/>
          <w:szCs w:val="32"/>
          <w:lang w:val="zh-CN"/>
        </w:rPr>
      </w:pPr>
      <w:r>
        <w:rPr>
          <w:rFonts w:hint="eastAsia" w:ascii="仿宋" w:hAnsi="仿宋" w:eastAsia="仿宋"/>
          <w:b/>
          <w:sz w:val="32"/>
          <w:szCs w:val="32"/>
          <w:lang w:val="zh-CN"/>
        </w:rPr>
        <w:t>（三）项目组织实施情况</w:t>
      </w:r>
    </w:p>
    <w:p>
      <w:pPr>
        <w:adjustRightInd w:val="0"/>
        <w:snapToGrid w:val="0"/>
        <w:spacing w:line="600" w:lineRule="exact"/>
        <w:ind w:firstLine="720"/>
        <w:rPr>
          <w:rFonts w:ascii="仿宋" w:hAnsi="仿宋" w:eastAsia="仿宋"/>
          <w:sz w:val="32"/>
          <w:szCs w:val="32"/>
          <w:lang w:val="zh-CN"/>
        </w:rPr>
      </w:pPr>
      <w:r>
        <w:rPr>
          <w:rFonts w:hint="eastAsia" w:ascii="仿宋" w:hAnsi="仿宋" w:eastAsia="仿宋"/>
          <w:sz w:val="32"/>
          <w:szCs w:val="32"/>
          <w:lang w:val="zh-CN"/>
        </w:rPr>
        <w:t>开江县统计局设置了预算绩效管理领导小组，由党组书记、局长张德勋任组长负责预算绩效管理全面工作，由副局长蒋兴荣负责预算绩效管理组织工作，由其他领导班子负责预算绩效管理实施工作。领导小组下设办公室，由蒋兴荣兼任办公室主任，谭静、游佳为办公室成员，具体负责日常财务公开工作。在项目的具体实施过程中，分工明确，职责清晰，监管到位，项目工作顺利实施。</w:t>
      </w:r>
    </w:p>
    <w:p>
      <w:pPr>
        <w:adjustRightInd w:val="0"/>
        <w:snapToGrid w:val="0"/>
        <w:spacing w:line="600" w:lineRule="exact"/>
        <w:ind w:firstLine="720"/>
        <w:rPr>
          <w:rFonts w:ascii="黑体" w:hAnsi="黑体" w:eastAsia="黑体"/>
          <w:sz w:val="32"/>
          <w:szCs w:val="32"/>
          <w:lang w:val="zh-CN"/>
        </w:rPr>
      </w:pPr>
      <w:r>
        <w:rPr>
          <w:rFonts w:hint="eastAsia" w:ascii="黑体" w:hAnsi="黑体" w:eastAsia="黑体"/>
          <w:sz w:val="32"/>
          <w:szCs w:val="32"/>
        </w:rPr>
        <w:t>三、项目绩效情况</w:t>
      </w:r>
      <w:r>
        <w:rPr>
          <w:rFonts w:hint="eastAsia" w:ascii="黑体" w:hAnsi="黑体" w:eastAsia="黑体"/>
          <w:sz w:val="32"/>
          <w:szCs w:val="32"/>
          <w:lang w:val="zh-CN"/>
        </w:rPr>
        <w:tab/>
      </w:r>
    </w:p>
    <w:p>
      <w:pPr>
        <w:adjustRightInd w:val="0"/>
        <w:snapToGrid w:val="0"/>
        <w:spacing w:line="600" w:lineRule="exact"/>
        <w:ind w:firstLine="720"/>
        <w:rPr>
          <w:rFonts w:ascii="仿宋" w:hAnsi="仿宋" w:eastAsia="仿宋"/>
          <w:b/>
          <w:sz w:val="32"/>
          <w:szCs w:val="32"/>
          <w:lang w:val="zh-CN"/>
        </w:rPr>
      </w:pPr>
      <w:r>
        <w:rPr>
          <w:rFonts w:hint="eastAsia" w:ascii="仿宋" w:hAnsi="仿宋" w:eastAsia="仿宋"/>
          <w:b/>
          <w:sz w:val="32"/>
          <w:szCs w:val="32"/>
          <w:lang w:val="zh-CN"/>
        </w:rPr>
        <w:t>（一）项目完成情况</w:t>
      </w:r>
    </w:p>
    <w:p>
      <w:pPr>
        <w:adjustRightInd w:val="0"/>
        <w:snapToGrid w:val="0"/>
        <w:spacing w:line="600" w:lineRule="exact"/>
        <w:ind w:firstLine="720"/>
        <w:rPr>
          <w:rFonts w:ascii="仿宋" w:hAnsi="仿宋" w:eastAsia="仿宋"/>
          <w:sz w:val="32"/>
          <w:szCs w:val="32"/>
        </w:rPr>
      </w:pPr>
      <w:r>
        <w:rPr>
          <w:rFonts w:hint="eastAsia" w:ascii="仿宋" w:hAnsi="仿宋" w:eastAsia="仿宋"/>
          <w:sz w:val="32"/>
          <w:szCs w:val="32"/>
        </w:rPr>
        <w:t>全国第七次人口普查项目完成情况，数量指标：人口普查数据手册、画册、人口普查数据汇编，完成率100%；时效指标：完成时间在2021年年底前，完成率100%；成本指标：普查两员补贴、印刷费、广告制作费，完成率100%。</w:t>
      </w:r>
    </w:p>
    <w:p>
      <w:pPr>
        <w:numPr>
          <w:numId w:val="0"/>
        </w:numPr>
        <w:adjustRightInd w:val="0"/>
        <w:snapToGrid w:val="0"/>
        <w:spacing w:line="600" w:lineRule="exact"/>
        <w:ind w:firstLine="643" w:firstLineChars="200"/>
        <w:rPr>
          <w:rFonts w:ascii="仿宋" w:hAnsi="仿宋" w:eastAsia="仿宋"/>
          <w:b/>
          <w:sz w:val="32"/>
          <w:szCs w:val="32"/>
          <w:lang w:val="zh-CN"/>
        </w:rPr>
      </w:pPr>
      <w:r>
        <w:rPr>
          <w:rFonts w:hint="eastAsia" w:ascii="仿宋" w:hAnsi="仿宋" w:eastAsia="仿宋"/>
          <w:b/>
          <w:sz w:val="32"/>
          <w:szCs w:val="32"/>
          <w:lang w:val="zh-CN"/>
        </w:rPr>
        <w:t>（二）项目效益情况</w:t>
      </w:r>
    </w:p>
    <w:p>
      <w:pPr>
        <w:adjustRightInd w:val="0"/>
        <w:snapToGrid w:val="0"/>
        <w:spacing w:line="600" w:lineRule="exact"/>
        <w:ind w:firstLine="720"/>
        <w:rPr>
          <w:rFonts w:ascii="仿宋" w:hAnsi="仿宋" w:eastAsia="仿宋"/>
          <w:sz w:val="32"/>
          <w:szCs w:val="32"/>
        </w:rPr>
      </w:pPr>
      <w:r>
        <w:rPr>
          <w:rFonts w:hint="eastAsia" w:ascii="仿宋" w:hAnsi="仿宋" w:eastAsia="仿宋"/>
          <w:sz w:val="32"/>
          <w:szCs w:val="32"/>
        </w:rPr>
        <w:t>全国第七次人口普查项目完成情况，社会效益指标：人口普查数据结果运用，完成率100%；可持续影响指标：资料永久性保存，完成率100%。</w:t>
      </w:r>
    </w:p>
    <w:p>
      <w:pPr>
        <w:adjustRightInd w:val="0"/>
        <w:snapToGrid w:val="0"/>
        <w:spacing w:line="600" w:lineRule="exact"/>
        <w:ind w:firstLine="720"/>
        <w:rPr>
          <w:rFonts w:ascii="黑体" w:hAnsi="黑体" w:eastAsia="黑体"/>
          <w:sz w:val="32"/>
          <w:szCs w:val="32"/>
        </w:rPr>
      </w:pPr>
      <w:r>
        <w:rPr>
          <w:rFonts w:hint="eastAsia" w:ascii="黑体" w:hAnsi="黑体" w:eastAsia="黑体"/>
          <w:sz w:val="32"/>
          <w:szCs w:val="32"/>
        </w:rPr>
        <w:t>四、问题及建议</w:t>
      </w:r>
    </w:p>
    <w:p>
      <w:pPr>
        <w:adjustRightInd w:val="0"/>
        <w:snapToGrid w:val="0"/>
        <w:spacing w:line="600" w:lineRule="exact"/>
        <w:ind w:firstLine="720"/>
        <w:rPr>
          <w:rFonts w:ascii="仿宋" w:hAnsi="仿宋" w:eastAsia="仿宋"/>
          <w:sz w:val="32"/>
          <w:szCs w:val="32"/>
          <w:lang w:val="zh-CN"/>
        </w:rPr>
      </w:pPr>
      <w:r>
        <w:rPr>
          <w:rFonts w:hint="eastAsia" w:ascii="仿宋" w:hAnsi="仿宋" w:eastAsia="仿宋"/>
          <w:b/>
          <w:sz w:val="32"/>
          <w:szCs w:val="32"/>
          <w:lang w:val="zh-CN"/>
        </w:rPr>
        <w:t>（一）存在的问题。</w:t>
      </w:r>
      <w:r>
        <w:rPr>
          <w:rFonts w:hint="eastAsia" w:ascii="仿宋" w:hAnsi="仿宋" w:eastAsia="仿宋"/>
          <w:sz w:val="32"/>
          <w:szCs w:val="32"/>
        </w:rPr>
        <w:t>资金</w:t>
      </w:r>
      <w:r>
        <w:rPr>
          <w:rFonts w:hint="eastAsia" w:ascii="仿宋" w:hAnsi="仿宋" w:eastAsia="仿宋"/>
          <w:sz w:val="32"/>
          <w:szCs w:val="32"/>
          <w:lang w:val="zh-CN"/>
        </w:rPr>
        <w:t>到位不够及时，会影响统计相关工作的顺利开展。</w:t>
      </w:r>
    </w:p>
    <w:p>
      <w:pPr>
        <w:adjustRightInd w:val="0"/>
        <w:snapToGrid w:val="0"/>
        <w:spacing w:line="600" w:lineRule="exact"/>
        <w:ind w:firstLine="720"/>
        <w:rPr>
          <w:rFonts w:ascii="仿宋" w:hAnsi="仿宋" w:eastAsia="仿宋"/>
          <w:sz w:val="32"/>
          <w:szCs w:val="32"/>
          <w:lang w:val="zh-CN"/>
        </w:rPr>
      </w:pPr>
      <w:r>
        <w:rPr>
          <w:rFonts w:hint="eastAsia" w:ascii="仿宋" w:hAnsi="仿宋" w:eastAsia="仿宋"/>
          <w:b/>
          <w:sz w:val="32"/>
          <w:szCs w:val="32"/>
          <w:lang w:val="zh-CN"/>
        </w:rPr>
        <w:t>（二）相关建议。</w:t>
      </w:r>
      <w:r>
        <w:rPr>
          <w:rFonts w:hint="eastAsia" w:ascii="仿宋" w:hAnsi="仿宋" w:eastAsia="仿宋"/>
          <w:sz w:val="32"/>
          <w:szCs w:val="32"/>
          <w:lang w:val="zh-CN"/>
        </w:rPr>
        <w:t>目前无项目(相关政策)改进完善的建议意见。</w:t>
      </w:r>
    </w:p>
    <w:p>
      <w:pPr>
        <w:adjustRightInd w:val="0"/>
        <w:snapToGrid w:val="0"/>
        <w:spacing w:line="600" w:lineRule="exact"/>
        <w:ind w:firstLine="720"/>
        <w:rPr>
          <w:rFonts w:ascii="仿宋" w:hAnsi="仿宋" w:eastAsia="仿宋"/>
          <w:sz w:val="32"/>
          <w:szCs w:val="32"/>
          <w:lang w:val="zh-CN"/>
        </w:rPr>
      </w:pPr>
    </w:p>
    <w:p>
      <w:pPr>
        <w:adjustRightInd w:val="0"/>
        <w:snapToGrid w:val="0"/>
        <w:spacing w:line="600" w:lineRule="exact"/>
        <w:ind w:firstLine="720"/>
        <w:rPr>
          <w:rFonts w:ascii="仿宋" w:hAnsi="仿宋" w:eastAsia="仿宋"/>
          <w:sz w:val="32"/>
          <w:szCs w:val="32"/>
          <w:lang w:val="zh-CN"/>
        </w:rPr>
      </w:pPr>
    </w:p>
    <w:p>
      <w:pPr>
        <w:rPr>
          <w:rFonts w:ascii="仿宋" w:hAnsi="仿宋" w:eastAsia="仿宋"/>
          <w:sz w:val="32"/>
          <w:szCs w:val="32"/>
        </w:rPr>
      </w:pPr>
    </w:p>
    <w:p>
      <w:pPr>
        <w:adjustRightInd w:val="0"/>
        <w:snapToGrid w:val="0"/>
        <w:spacing w:line="600" w:lineRule="exact"/>
        <w:ind w:firstLine="720"/>
        <w:rPr>
          <w:rFonts w:hint="eastAsia" w:ascii="仿宋_GB2312" w:hAnsi="宋体" w:eastAsia="仿宋_GB2312"/>
          <w:sz w:val="32"/>
          <w:szCs w:val="32"/>
          <w:lang w:val="zh-CN"/>
        </w:rPr>
      </w:pPr>
    </w:p>
    <w:p>
      <w:pPr>
        <w:adjustRightInd w:val="0"/>
        <w:snapToGrid w:val="0"/>
        <w:spacing w:line="600" w:lineRule="exact"/>
        <w:ind w:firstLine="720"/>
        <w:rPr>
          <w:rFonts w:hint="eastAsia" w:ascii="仿宋_GB2312" w:hAnsi="宋体" w:eastAsia="仿宋_GB2312"/>
          <w:sz w:val="32"/>
          <w:szCs w:val="32"/>
          <w:lang w:val="zh-CN"/>
        </w:rPr>
      </w:pPr>
    </w:p>
    <w:p>
      <w:pPr>
        <w:adjustRightInd w:val="0"/>
        <w:snapToGrid w:val="0"/>
        <w:spacing w:line="600" w:lineRule="exact"/>
        <w:ind w:firstLine="720"/>
        <w:rPr>
          <w:rFonts w:hint="eastAsia" w:ascii="仿宋_GB2312" w:hAnsi="宋体" w:eastAsia="仿宋_GB2312"/>
          <w:sz w:val="32"/>
          <w:szCs w:val="32"/>
          <w:lang w:val="zh-CN"/>
        </w:rPr>
      </w:pPr>
    </w:p>
    <w:p>
      <w:pPr>
        <w:adjustRightInd w:val="0"/>
        <w:snapToGrid w:val="0"/>
        <w:spacing w:line="600" w:lineRule="exact"/>
        <w:ind w:firstLine="720"/>
        <w:rPr>
          <w:rFonts w:hint="eastAsia" w:ascii="仿宋_GB2312" w:hAnsi="宋体" w:eastAsia="仿宋_GB2312"/>
          <w:sz w:val="32"/>
          <w:szCs w:val="32"/>
          <w:lang w:val="zh-CN"/>
        </w:rPr>
      </w:pPr>
    </w:p>
    <w:p>
      <w:pPr>
        <w:adjustRightInd w:val="0"/>
        <w:snapToGrid w:val="0"/>
        <w:spacing w:line="600" w:lineRule="exact"/>
        <w:ind w:firstLine="720"/>
        <w:rPr>
          <w:rFonts w:hint="eastAsia" w:ascii="仿宋_GB2312" w:hAnsi="宋体" w:eastAsia="仿宋_GB2312"/>
          <w:sz w:val="32"/>
          <w:szCs w:val="32"/>
          <w:lang w:val="zh-CN"/>
        </w:rPr>
      </w:pPr>
    </w:p>
    <w:p>
      <w:pPr>
        <w:adjustRightInd w:val="0"/>
        <w:snapToGrid w:val="0"/>
        <w:spacing w:line="600" w:lineRule="exact"/>
        <w:ind w:firstLine="720"/>
        <w:rPr>
          <w:rFonts w:hint="eastAsia" w:ascii="仿宋_GB2312" w:hAnsi="宋体" w:eastAsia="仿宋_GB2312"/>
          <w:sz w:val="32"/>
          <w:szCs w:val="32"/>
          <w:lang w:val="zh-CN"/>
        </w:rPr>
      </w:pPr>
    </w:p>
    <w:p>
      <w:pPr>
        <w:adjustRightInd w:val="0"/>
        <w:snapToGrid w:val="0"/>
        <w:spacing w:line="600" w:lineRule="exact"/>
        <w:ind w:firstLine="720"/>
        <w:rPr>
          <w:rFonts w:hint="eastAsia" w:ascii="仿宋_GB2312" w:hAnsi="宋体" w:eastAsia="仿宋_GB2312"/>
          <w:sz w:val="32"/>
          <w:szCs w:val="32"/>
          <w:lang w:val="zh-CN"/>
        </w:rPr>
      </w:pPr>
    </w:p>
    <w:p>
      <w:pPr>
        <w:adjustRightInd w:val="0"/>
        <w:snapToGrid w:val="0"/>
        <w:spacing w:line="600" w:lineRule="exact"/>
        <w:ind w:firstLine="720"/>
        <w:rPr>
          <w:rFonts w:hint="eastAsia" w:ascii="仿宋_GB2312" w:hAnsi="宋体" w:eastAsia="仿宋_GB2312"/>
          <w:sz w:val="32"/>
          <w:szCs w:val="32"/>
          <w:lang w:val="zh-CN"/>
        </w:rPr>
      </w:pPr>
    </w:p>
    <w:p>
      <w:pPr>
        <w:adjustRightInd w:val="0"/>
        <w:snapToGrid w:val="0"/>
        <w:spacing w:line="600" w:lineRule="exact"/>
        <w:rPr>
          <w:rFonts w:ascii="仿宋_GB2312" w:hAnsi="宋体" w:eastAsia="仿宋_GB2312"/>
          <w:sz w:val="32"/>
          <w:szCs w:val="32"/>
          <w:lang w:val="zh-CN"/>
        </w:rPr>
      </w:pPr>
    </w:p>
    <w:p>
      <w:pPr>
        <w:widowControl/>
        <w:jc w:val="left"/>
        <w:rPr>
          <w:rStyle w:val="26"/>
          <w:rFonts w:ascii="黑体" w:hAnsi="黑体" w:eastAsia="黑体"/>
          <w:b w:val="0"/>
        </w:rPr>
      </w:pPr>
    </w:p>
    <w:p>
      <w:pPr>
        <w:spacing w:line="600" w:lineRule="exact"/>
        <w:jc w:val="center"/>
        <w:outlineLvl w:val="0"/>
        <w:rPr>
          <w:rFonts w:hint="eastAsia" w:ascii="黑体" w:hAnsi="黑体" w:eastAsia="黑体"/>
          <w:sz w:val="44"/>
          <w:szCs w:val="44"/>
        </w:rPr>
      </w:pPr>
      <w:bookmarkStart w:id="92" w:name="_Toc15396618"/>
    </w:p>
    <w:p>
      <w:pPr>
        <w:spacing w:line="600" w:lineRule="exact"/>
        <w:jc w:val="center"/>
        <w:outlineLvl w:val="0"/>
        <w:rPr>
          <w:rFonts w:hint="eastAsia" w:ascii="黑体" w:hAnsi="黑体" w:eastAsia="黑体"/>
          <w:sz w:val="44"/>
          <w:szCs w:val="44"/>
        </w:rPr>
      </w:pPr>
    </w:p>
    <w:p>
      <w:pPr>
        <w:spacing w:line="600" w:lineRule="exact"/>
        <w:jc w:val="center"/>
        <w:outlineLvl w:val="0"/>
        <w:rPr>
          <w:rFonts w:hint="eastAsia" w:ascii="黑体" w:hAnsi="黑体" w:eastAsia="黑体"/>
          <w:sz w:val="44"/>
          <w:szCs w:val="44"/>
        </w:rPr>
      </w:pPr>
    </w:p>
    <w:p>
      <w:pPr>
        <w:spacing w:line="600" w:lineRule="exact"/>
        <w:jc w:val="center"/>
        <w:outlineLvl w:val="0"/>
        <w:rPr>
          <w:rFonts w:hint="eastAsia" w:ascii="黑体" w:hAnsi="黑体" w:eastAsia="黑体"/>
          <w:sz w:val="44"/>
          <w:szCs w:val="44"/>
        </w:rPr>
      </w:pPr>
    </w:p>
    <w:p>
      <w:pPr>
        <w:spacing w:line="600" w:lineRule="exact"/>
        <w:jc w:val="center"/>
        <w:outlineLvl w:val="0"/>
        <w:rPr>
          <w:rFonts w:hint="eastAsia" w:ascii="黑体" w:hAnsi="黑体" w:eastAsia="黑体"/>
          <w:sz w:val="44"/>
          <w:szCs w:val="44"/>
        </w:rPr>
      </w:pPr>
    </w:p>
    <w:p>
      <w:pPr>
        <w:spacing w:line="600" w:lineRule="exact"/>
        <w:jc w:val="center"/>
        <w:outlineLvl w:val="0"/>
        <w:rPr>
          <w:rFonts w:hint="eastAsia" w:ascii="黑体" w:hAnsi="黑体" w:eastAsia="黑体"/>
          <w:sz w:val="44"/>
          <w:szCs w:val="44"/>
        </w:rPr>
      </w:pPr>
      <w:bookmarkStart w:id="93" w:name="_Toc22355"/>
    </w:p>
    <w:p>
      <w:pPr>
        <w:spacing w:line="600" w:lineRule="exact"/>
        <w:jc w:val="center"/>
        <w:outlineLvl w:val="0"/>
        <w:rPr>
          <w:rFonts w:hint="eastAsia" w:ascii="黑体" w:hAnsi="黑体" w:eastAsia="黑体"/>
          <w:sz w:val="44"/>
          <w:szCs w:val="44"/>
        </w:rPr>
      </w:pPr>
    </w:p>
    <w:p>
      <w:pPr>
        <w:spacing w:line="600" w:lineRule="exact"/>
        <w:jc w:val="center"/>
        <w:outlineLvl w:val="0"/>
        <w:rPr>
          <w:rFonts w:ascii="仿宋" w:hAnsi="仿宋" w:eastAsia="仿宋"/>
        </w:rPr>
      </w:pPr>
      <w:r>
        <w:rPr>
          <w:rFonts w:hint="eastAsia" w:ascii="黑体" w:hAnsi="黑体" w:eastAsia="黑体"/>
          <w:sz w:val="44"/>
          <w:szCs w:val="44"/>
        </w:rPr>
        <w:t>第</w:t>
      </w:r>
      <w:r>
        <w:rPr>
          <w:rStyle w:val="26"/>
          <w:rFonts w:hint="eastAsia" w:ascii="黑体" w:hAnsi="黑体" w:eastAsia="黑体"/>
          <w:b w:val="0"/>
        </w:rPr>
        <w:t>五部分 附表</w:t>
      </w:r>
      <w:bookmarkEnd w:id="90"/>
      <w:bookmarkEnd w:id="92"/>
      <w:bookmarkEnd w:id="93"/>
      <w:bookmarkStart w:id="94" w:name="_Toc15396619"/>
    </w:p>
    <w:p>
      <w:pPr>
        <w:pStyle w:val="3"/>
        <w:rPr>
          <w:rFonts w:ascii="仿宋" w:hAnsi="仿宋" w:eastAsia="仿宋"/>
        </w:rPr>
      </w:pPr>
      <w:bookmarkStart w:id="95" w:name="_Toc18564"/>
      <w:r>
        <w:rPr>
          <w:rFonts w:hint="eastAsia" w:ascii="仿宋" w:hAnsi="仿宋" w:eastAsia="仿宋"/>
          <w:b w:val="0"/>
        </w:rPr>
        <w:t>一、收</w:t>
      </w:r>
      <w:r>
        <w:rPr>
          <w:rStyle w:val="27"/>
          <w:rFonts w:hint="eastAsia" w:ascii="仿宋" w:hAnsi="仿宋" w:eastAsia="仿宋"/>
          <w:b w:val="0"/>
          <w:bCs w:val="0"/>
        </w:rPr>
        <w:t>入支出决算总表</w:t>
      </w:r>
      <w:bookmarkEnd w:id="94"/>
      <w:bookmarkEnd w:id="95"/>
    </w:p>
    <w:p>
      <w:pPr>
        <w:pStyle w:val="3"/>
        <w:rPr>
          <w:rFonts w:ascii="仿宋" w:hAnsi="仿宋" w:eastAsia="仿宋"/>
        </w:rPr>
      </w:pPr>
      <w:bookmarkStart w:id="96" w:name="_Toc15396620"/>
      <w:bookmarkStart w:id="97" w:name="_Toc12195"/>
      <w:r>
        <w:rPr>
          <w:rFonts w:hint="eastAsia" w:ascii="仿宋" w:hAnsi="仿宋" w:eastAsia="仿宋"/>
          <w:b w:val="0"/>
        </w:rPr>
        <w:t>二、收</w:t>
      </w:r>
      <w:r>
        <w:rPr>
          <w:rStyle w:val="27"/>
          <w:rFonts w:hint="eastAsia" w:ascii="仿宋" w:hAnsi="仿宋" w:eastAsia="仿宋"/>
          <w:b w:val="0"/>
          <w:bCs w:val="0"/>
        </w:rPr>
        <w:t>入决算表</w:t>
      </w:r>
      <w:bookmarkEnd w:id="96"/>
      <w:bookmarkEnd w:id="97"/>
    </w:p>
    <w:p>
      <w:pPr>
        <w:pStyle w:val="3"/>
        <w:rPr>
          <w:rFonts w:ascii="仿宋" w:hAnsi="仿宋" w:eastAsia="仿宋"/>
        </w:rPr>
      </w:pPr>
      <w:bookmarkStart w:id="98" w:name="_Toc24035"/>
      <w:bookmarkStart w:id="99" w:name="_Toc15396621"/>
      <w:r>
        <w:rPr>
          <w:rStyle w:val="27"/>
          <w:rFonts w:hint="eastAsia" w:ascii="仿宋" w:hAnsi="仿宋" w:eastAsia="仿宋"/>
          <w:b w:val="0"/>
          <w:bCs w:val="0"/>
        </w:rPr>
        <w:t>三、</w:t>
      </w:r>
      <w:r>
        <w:rPr>
          <w:rFonts w:hint="eastAsia" w:ascii="仿宋" w:hAnsi="仿宋" w:eastAsia="仿宋"/>
          <w:b w:val="0"/>
        </w:rPr>
        <w:t>支</w:t>
      </w:r>
      <w:r>
        <w:rPr>
          <w:rStyle w:val="27"/>
          <w:rFonts w:hint="eastAsia" w:ascii="仿宋" w:hAnsi="仿宋" w:eastAsia="仿宋"/>
          <w:b w:val="0"/>
          <w:bCs w:val="0"/>
        </w:rPr>
        <w:t>出决算表</w:t>
      </w:r>
      <w:bookmarkEnd w:id="98"/>
      <w:bookmarkEnd w:id="99"/>
    </w:p>
    <w:p>
      <w:pPr>
        <w:pStyle w:val="3"/>
        <w:rPr>
          <w:rFonts w:ascii="仿宋" w:hAnsi="仿宋" w:eastAsia="仿宋"/>
          <w:b w:val="0"/>
        </w:rPr>
      </w:pPr>
      <w:bookmarkStart w:id="100" w:name="_Toc15396622"/>
      <w:bookmarkStart w:id="101" w:name="_Toc11582"/>
      <w:r>
        <w:rPr>
          <w:rStyle w:val="27"/>
          <w:rFonts w:hint="eastAsia" w:ascii="仿宋" w:hAnsi="仿宋" w:eastAsia="仿宋"/>
          <w:b w:val="0"/>
          <w:bCs w:val="0"/>
        </w:rPr>
        <w:t>四、</w:t>
      </w:r>
      <w:r>
        <w:rPr>
          <w:rFonts w:hint="eastAsia" w:ascii="仿宋" w:hAnsi="仿宋" w:eastAsia="仿宋"/>
          <w:b w:val="0"/>
        </w:rPr>
        <w:t>财</w:t>
      </w:r>
      <w:r>
        <w:rPr>
          <w:rStyle w:val="27"/>
          <w:rFonts w:hint="eastAsia" w:ascii="仿宋" w:hAnsi="仿宋" w:eastAsia="仿宋"/>
          <w:b w:val="0"/>
          <w:bCs w:val="0"/>
        </w:rPr>
        <w:t>政拨款收入支出决算总表</w:t>
      </w:r>
      <w:bookmarkEnd w:id="100"/>
      <w:bookmarkEnd w:id="101"/>
    </w:p>
    <w:p>
      <w:pPr>
        <w:pStyle w:val="3"/>
        <w:rPr>
          <w:rStyle w:val="27"/>
          <w:rFonts w:ascii="仿宋" w:hAnsi="仿宋" w:eastAsia="仿宋"/>
          <w:b w:val="0"/>
          <w:bCs w:val="0"/>
        </w:rPr>
      </w:pPr>
      <w:bookmarkStart w:id="102" w:name="_Toc15396623"/>
      <w:bookmarkStart w:id="103" w:name="_Toc25101"/>
      <w:r>
        <w:rPr>
          <w:rStyle w:val="27"/>
          <w:rFonts w:hint="eastAsia" w:ascii="仿宋" w:hAnsi="仿宋" w:eastAsia="仿宋"/>
          <w:b w:val="0"/>
          <w:bCs w:val="0"/>
        </w:rPr>
        <w:t>五、</w:t>
      </w:r>
      <w:r>
        <w:rPr>
          <w:rFonts w:hint="eastAsia" w:ascii="仿宋" w:hAnsi="仿宋" w:eastAsia="仿宋"/>
          <w:b w:val="0"/>
        </w:rPr>
        <w:t>财</w:t>
      </w:r>
      <w:r>
        <w:rPr>
          <w:rStyle w:val="27"/>
          <w:rFonts w:hint="eastAsia" w:ascii="仿宋" w:hAnsi="仿宋" w:eastAsia="仿宋"/>
          <w:b w:val="0"/>
          <w:bCs w:val="0"/>
        </w:rPr>
        <w:t>政拨款支出决算明细表</w:t>
      </w:r>
      <w:bookmarkEnd w:id="102"/>
      <w:bookmarkEnd w:id="103"/>
      <w:bookmarkStart w:id="104" w:name="_Toc15396624"/>
    </w:p>
    <w:p>
      <w:pPr>
        <w:pStyle w:val="3"/>
        <w:rPr>
          <w:rFonts w:ascii="仿宋" w:hAnsi="仿宋" w:eastAsia="仿宋"/>
        </w:rPr>
      </w:pPr>
      <w:bookmarkStart w:id="105" w:name="_Toc1903"/>
      <w:r>
        <w:rPr>
          <w:rStyle w:val="27"/>
          <w:rFonts w:hint="eastAsia" w:ascii="仿宋" w:hAnsi="仿宋" w:eastAsia="仿宋"/>
          <w:b w:val="0"/>
          <w:bCs w:val="0"/>
        </w:rPr>
        <w:t>六、</w:t>
      </w:r>
      <w:r>
        <w:rPr>
          <w:rFonts w:hint="eastAsia" w:ascii="仿宋" w:hAnsi="仿宋" w:eastAsia="仿宋"/>
          <w:b w:val="0"/>
        </w:rPr>
        <w:t>一</w:t>
      </w:r>
      <w:r>
        <w:rPr>
          <w:rStyle w:val="27"/>
          <w:rFonts w:hint="eastAsia" w:ascii="仿宋" w:hAnsi="仿宋" w:eastAsia="仿宋"/>
          <w:b w:val="0"/>
          <w:bCs w:val="0"/>
        </w:rPr>
        <w:t>般公共预算财政拨款支出决算表</w:t>
      </w:r>
      <w:bookmarkEnd w:id="104"/>
      <w:bookmarkEnd w:id="105"/>
    </w:p>
    <w:p>
      <w:pPr>
        <w:pStyle w:val="3"/>
        <w:rPr>
          <w:rFonts w:ascii="仿宋" w:hAnsi="仿宋" w:eastAsia="仿宋"/>
        </w:rPr>
      </w:pPr>
      <w:bookmarkStart w:id="106" w:name="_Toc15396625"/>
      <w:bookmarkStart w:id="107" w:name="_Toc1676"/>
      <w:r>
        <w:rPr>
          <w:rStyle w:val="27"/>
          <w:rFonts w:hint="eastAsia" w:ascii="仿宋" w:hAnsi="仿宋" w:eastAsia="仿宋"/>
          <w:b w:val="0"/>
          <w:bCs w:val="0"/>
        </w:rPr>
        <w:t>七、</w:t>
      </w:r>
      <w:r>
        <w:rPr>
          <w:rFonts w:hint="eastAsia" w:ascii="仿宋" w:hAnsi="仿宋" w:eastAsia="仿宋"/>
          <w:b w:val="0"/>
        </w:rPr>
        <w:t>一</w:t>
      </w:r>
      <w:r>
        <w:rPr>
          <w:rStyle w:val="27"/>
          <w:rFonts w:hint="eastAsia" w:ascii="仿宋" w:hAnsi="仿宋" w:eastAsia="仿宋"/>
          <w:b w:val="0"/>
          <w:bCs w:val="0"/>
        </w:rPr>
        <w:t>般公共预算财政拨款支出决算明细表</w:t>
      </w:r>
      <w:bookmarkEnd w:id="106"/>
      <w:bookmarkEnd w:id="107"/>
    </w:p>
    <w:p>
      <w:pPr>
        <w:pStyle w:val="3"/>
        <w:rPr>
          <w:rFonts w:ascii="仿宋" w:hAnsi="仿宋" w:eastAsia="仿宋"/>
        </w:rPr>
      </w:pPr>
      <w:bookmarkStart w:id="108" w:name="_Toc19291"/>
      <w:bookmarkStart w:id="109" w:name="_Toc15396626"/>
      <w:r>
        <w:rPr>
          <w:rStyle w:val="27"/>
          <w:rFonts w:hint="eastAsia" w:ascii="仿宋" w:hAnsi="仿宋" w:eastAsia="仿宋"/>
          <w:b w:val="0"/>
          <w:bCs w:val="0"/>
        </w:rPr>
        <w:t>八、</w:t>
      </w:r>
      <w:r>
        <w:rPr>
          <w:rFonts w:hint="eastAsia" w:ascii="仿宋" w:hAnsi="仿宋" w:eastAsia="仿宋"/>
          <w:b w:val="0"/>
        </w:rPr>
        <w:t>一</w:t>
      </w:r>
      <w:r>
        <w:rPr>
          <w:rStyle w:val="27"/>
          <w:rFonts w:hint="eastAsia" w:ascii="仿宋" w:hAnsi="仿宋" w:eastAsia="仿宋"/>
          <w:b w:val="0"/>
          <w:bCs w:val="0"/>
        </w:rPr>
        <w:t>般公共预算财政拨款基本支出决算表</w:t>
      </w:r>
      <w:bookmarkEnd w:id="108"/>
      <w:bookmarkEnd w:id="109"/>
    </w:p>
    <w:p>
      <w:pPr>
        <w:pStyle w:val="3"/>
        <w:rPr>
          <w:rFonts w:ascii="仿宋" w:hAnsi="仿宋" w:eastAsia="仿宋"/>
        </w:rPr>
      </w:pPr>
      <w:bookmarkStart w:id="110" w:name="_Toc15396627"/>
      <w:bookmarkStart w:id="111" w:name="_Toc18089"/>
      <w:r>
        <w:rPr>
          <w:rStyle w:val="27"/>
          <w:rFonts w:hint="eastAsia" w:ascii="仿宋" w:hAnsi="仿宋" w:eastAsia="仿宋"/>
          <w:b w:val="0"/>
          <w:bCs w:val="0"/>
        </w:rPr>
        <w:t>九、</w:t>
      </w:r>
      <w:r>
        <w:rPr>
          <w:rFonts w:hint="eastAsia" w:ascii="仿宋" w:hAnsi="仿宋" w:eastAsia="仿宋"/>
          <w:b w:val="0"/>
        </w:rPr>
        <w:t>一</w:t>
      </w:r>
      <w:r>
        <w:rPr>
          <w:rStyle w:val="27"/>
          <w:rFonts w:hint="eastAsia" w:ascii="仿宋" w:hAnsi="仿宋" w:eastAsia="仿宋"/>
          <w:b w:val="0"/>
          <w:bCs w:val="0"/>
        </w:rPr>
        <w:t>般公共预算财政拨款项目支出决算表</w:t>
      </w:r>
      <w:bookmarkEnd w:id="110"/>
      <w:bookmarkEnd w:id="111"/>
    </w:p>
    <w:p>
      <w:pPr>
        <w:pStyle w:val="3"/>
        <w:rPr>
          <w:rFonts w:ascii="仿宋" w:hAnsi="仿宋" w:eastAsia="仿宋"/>
        </w:rPr>
      </w:pPr>
      <w:bookmarkStart w:id="112" w:name="_Toc1784"/>
      <w:bookmarkStart w:id="113" w:name="_Toc15396628"/>
      <w:r>
        <w:rPr>
          <w:rStyle w:val="27"/>
          <w:rFonts w:hint="eastAsia" w:ascii="仿宋" w:hAnsi="仿宋" w:eastAsia="仿宋"/>
          <w:b w:val="0"/>
          <w:bCs w:val="0"/>
        </w:rPr>
        <w:t>十、</w:t>
      </w:r>
      <w:r>
        <w:rPr>
          <w:rFonts w:hint="eastAsia" w:ascii="仿宋" w:hAnsi="仿宋" w:eastAsia="仿宋"/>
          <w:b w:val="0"/>
        </w:rPr>
        <w:t>一</w:t>
      </w:r>
      <w:r>
        <w:rPr>
          <w:rStyle w:val="27"/>
          <w:rFonts w:hint="eastAsia" w:ascii="仿宋" w:hAnsi="仿宋" w:eastAsia="仿宋"/>
          <w:b w:val="0"/>
          <w:bCs w:val="0"/>
        </w:rPr>
        <w:t>般公共预算财政拨款“三公”经费支出决算表</w:t>
      </w:r>
      <w:bookmarkEnd w:id="112"/>
      <w:bookmarkEnd w:id="113"/>
    </w:p>
    <w:p>
      <w:pPr>
        <w:pStyle w:val="3"/>
        <w:rPr>
          <w:rFonts w:ascii="仿宋" w:hAnsi="仿宋" w:eastAsia="仿宋"/>
        </w:rPr>
      </w:pPr>
      <w:bookmarkStart w:id="114" w:name="_Toc16658"/>
      <w:bookmarkStart w:id="115" w:name="_Toc15396629"/>
      <w:r>
        <w:rPr>
          <w:rStyle w:val="27"/>
          <w:rFonts w:hint="eastAsia" w:ascii="仿宋" w:hAnsi="仿宋" w:eastAsia="仿宋"/>
          <w:b w:val="0"/>
          <w:bCs w:val="0"/>
        </w:rPr>
        <w:t>十一、</w:t>
      </w:r>
      <w:r>
        <w:rPr>
          <w:rFonts w:hint="eastAsia" w:ascii="仿宋" w:hAnsi="仿宋" w:eastAsia="仿宋"/>
          <w:b w:val="0"/>
        </w:rPr>
        <w:t>政</w:t>
      </w:r>
      <w:r>
        <w:rPr>
          <w:rStyle w:val="27"/>
          <w:rFonts w:hint="eastAsia" w:ascii="仿宋" w:hAnsi="仿宋" w:eastAsia="仿宋"/>
          <w:b w:val="0"/>
          <w:bCs w:val="0"/>
        </w:rPr>
        <w:t>府性基金预算财政拨款收入支出决算表</w:t>
      </w:r>
      <w:bookmarkEnd w:id="114"/>
      <w:bookmarkEnd w:id="115"/>
    </w:p>
    <w:p>
      <w:pPr>
        <w:pStyle w:val="3"/>
        <w:rPr>
          <w:rFonts w:ascii="仿宋" w:hAnsi="仿宋" w:eastAsia="仿宋"/>
        </w:rPr>
      </w:pPr>
      <w:bookmarkStart w:id="116" w:name="_Toc15396630"/>
      <w:bookmarkStart w:id="117" w:name="_Toc11426"/>
      <w:r>
        <w:rPr>
          <w:rStyle w:val="27"/>
          <w:rFonts w:hint="eastAsia" w:ascii="仿宋" w:hAnsi="仿宋" w:eastAsia="仿宋"/>
          <w:b w:val="0"/>
          <w:bCs w:val="0"/>
        </w:rPr>
        <w:t>十二、</w:t>
      </w:r>
      <w:r>
        <w:rPr>
          <w:rFonts w:hint="eastAsia" w:ascii="仿宋" w:hAnsi="仿宋" w:eastAsia="仿宋"/>
          <w:b w:val="0"/>
        </w:rPr>
        <w:t>政</w:t>
      </w:r>
      <w:r>
        <w:rPr>
          <w:rStyle w:val="27"/>
          <w:rFonts w:hint="eastAsia" w:ascii="仿宋" w:hAnsi="仿宋" w:eastAsia="仿宋"/>
          <w:b w:val="0"/>
          <w:bCs w:val="0"/>
        </w:rPr>
        <w:t>府性基金预算财政拨款“三公”经费支出决算表</w:t>
      </w:r>
      <w:bookmarkEnd w:id="116"/>
      <w:bookmarkEnd w:id="117"/>
    </w:p>
    <w:p>
      <w:pPr>
        <w:pStyle w:val="3"/>
        <w:rPr>
          <w:rStyle w:val="27"/>
          <w:rFonts w:ascii="仿宋" w:hAnsi="仿宋" w:eastAsia="仿宋"/>
          <w:b w:val="0"/>
          <w:bCs w:val="0"/>
        </w:rPr>
      </w:pPr>
      <w:bookmarkStart w:id="118" w:name="_Toc15239"/>
      <w:bookmarkStart w:id="119" w:name="_Toc15396631"/>
      <w:r>
        <w:rPr>
          <w:rStyle w:val="27"/>
          <w:rFonts w:hint="eastAsia" w:ascii="仿宋" w:hAnsi="仿宋" w:eastAsia="仿宋"/>
          <w:b w:val="0"/>
          <w:bCs w:val="0"/>
        </w:rPr>
        <w:t>十三、</w:t>
      </w:r>
      <w:r>
        <w:rPr>
          <w:rFonts w:hint="eastAsia" w:ascii="仿宋" w:hAnsi="仿宋" w:eastAsia="仿宋"/>
          <w:b w:val="0"/>
        </w:rPr>
        <w:t>国</w:t>
      </w:r>
      <w:r>
        <w:rPr>
          <w:rStyle w:val="27"/>
          <w:rFonts w:hint="eastAsia" w:ascii="仿宋" w:hAnsi="仿宋" w:eastAsia="仿宋"/>
          <w:b w:val="0"/>
          <w:bCs w:val="0"/>
        </w:rPr>
        <w:t>有资本经营预算财政拨款收入支出决算表</w:t>
      </w:r>
      <w:bookmarkEnd w:id="118"/>
      <w:bookmarkEnd w:id="119"/>
    </w:p>
    <w:p>
      <w:pPr>
        <w:rPr>
          <w:rFonts w:eastAsia="仿宋"/>
        </w:rPr>
      </w:pPr>
      <w:bookmarkStart w:id="120" w:name="_Toc31879"/>
      <w:r>
        <w:rPr>
          <w:rStyle w:val="27"/>
          <w:rFonts w:hint="eastAsia" w:ascii="仿宋" w:hAnsi="仿宋" w:eastAsia="仿宋"/>
          <w:b w:val="0"/>
          <w:bCs w:val="0"/>
        </w:rPr>
        <w:t>十四、国有资本经营预算财政拨款支出决算表</w:t>
      </w:r>
      <w:bookmarkEnd w:id="120"/>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roman"/>
    <w:pitch w:val="default"/>
    <w:sig w:usb0="00000000" w:usb1="00000000" w:usb2="00000000" w:usb3="00000000" w:csb0="00000000" w:csb1="00000000"/>
  </w:font>
  <w:font w:name="方正小标宋简体">
    <w:panose1 w:val="03000509000000000000"/>
    <w:charset w:val="86"/>
    <w:family w:val="script"/>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9"/>
          <w:jc w:val="center"/>
        </w:pPr>
        <w:r>
          <w:fldChar w:fldCharType="begin"/>
        </w:r>
        <w:r>
          <w:instrText xml:space="preserve">PAGE   \* MERGEFORMAT</w:instrText>
        </w:r>
        <w:r>
          <w:fldChar w:fldCharType="separate"/>
        </w:r>
        <w:r>
          <w:rPr>
            <w:lang w:val="zh-CN"/>
          </w:rPr>
          <w:t>30</w:t>
        </w:r>
        <w: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AB73CD"/>
    <w:multiLevelType w:val="singleLevel"/>
    <w:tmpl w:val="C5AB73CD"/>
    <w:lvl w:ilvl="0" w:tentative="0">
      <w:start w:val="2"/>
      <w:numFmt w:val="chineseCounting"/>
      <w:suff w:val="nothing"/>
      <w:lvlText w:val="（%1）"/>
      <w:lvlJc w:val="left"/>
      <w:rPr>
        <w:rFonts w:hint="eastAsia"/>
      </w:rPr>
    </w:lvl>
  </w:abstractNum>
  <w:abstractNum w:abstractNumId="1">
    <w:nsid w:val="CF652CEC"/>
    <w:multiLevelType w:val="singleLevel"/>
    <w:tmpl w:val="CF652CEC"/>
    <w:lvl w:ilvl="0" w:tentative="0">
      <w:start w:val="9"/>
      <w:numFmt w:val="chineseCounting"/>
      <w:suff w:val="nothing"/>
      <w:lvlText w:val="%1、"/>
      <w:lvlJc w:val="left"/>
      <w:rPr>
        <w:rFonts w:hint="eastAsia"/>
      </w:rPr>
    </w:lvl>
  </w:abstractNum>
  <w:abstractNum w:abstractNumId="2">
    <w:nsid w:val="ED08D880"/>
    <w:multiLevelType w:val="singleLevel"/>
    <w:tmpl w:val="ED08D880"/>
    <w:lvl w:ilvl="0" w:tentative="0">
      <w:start w:val="1"/>
      <w:numFmt w:val="chineseCounting"/>
      <w:suff w:val="nothing"/>
      <w:lvlText w:val="%1、"/>
      <w:lvlJc w:val="left"/>
      <w:rPr>
        <w:rFonts w:hint="eastAsia"/>
      </w:rPr>
    </w:lvl>
  </w:abstractNum>
  <w:abstractNum w:abstractNumId="3">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4">
    <w:nsid w:val="3E794925"/>
    <w:multiLevelType w:val="singleLevel"/>
    <w:tmpl w:val="3E794925"/>
    <w:lvl w:ilvl="0" w:tentative="0">
      <w:start w:val="3"/>
      <w:numFmt w:val="chineseCounting"/>
      <w:suff w:val="nothing"/>
      <w:lvlText w:val="（%1）"/>
      <w:lvlJc w:val="left"/>
      <w:rPr>
        <w:rFonts w:hint="eastAsia"/>
      </w:rPr>
    </w:lvl>
  </w:abstractNum>
  <w:num w:numId="1">
    <w:abstractNumId w:val="3"/>
  </w:num>
  <w:num w:numId="2">
    <w:abstractNumId w:val="1"/>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YxYTE3ZTYwNDY0OWY2NWQ4Mjc4OWRmMTI1ODkxODMifQ=="/>
  </w:docVars>
  <w:rsids>
    <w:rsidRoot w:val="00F1361C"/>
    <w:rsid w:val="00021A5D"/>
    <w:rsid w:val="000222C6"/>
    <w:rsid w:val="0002549F"/>
    <w:rsid w:val="00035A98"/>
    <w:rsid w:val="000468DB"/>
    <w:rsid w:val="0006314A"/>
    <w:rsid w:val="0006487A"/>
    <w:rsid w:val="00065F8F"/>
    <w:rsid w:val="00066CB7"/>
    <w:rsid w:val="00070A43"/>
    <w:rsid w:val="000768F2"/>
    <w:rsid w:val="0009184B"/>
    <w:rsid w:val="00094236"/>
    <w:rsid w:val="0009593C"/>
    <w:rsid w:val="00096745"/>
    <w:rsid w:val="00097322"/>
    <w:rsid w:val="000A6A92"/>
    <w:rsid w:val="000B047F"/>
    <w:rsid w:val="000B5923"/>
    <w:rsid w:val="000B5A48"/>
    <w:rsid w:val="000B6FF3"/>
    <w:rsid w:val="000C2037"/>
    <w:rsid w:val="000C3467"/>
    <w:rsid w:val="000C3CA6"/>
    <w:rsid w:val="000D091D"/>
    <w:rsid w:val="000D1267"/>
    <w:rsid w:val="000D1D50"/>
    <w:rsid w:val="000D5782"/>
    <w:rsid w:val="000E6613"/>
    <w:rsid w:val="000E7119"/>
    <w:rsid w:val="00114E9B"/>
    <w:rsid w:val="00116AE8"/>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6D05"/>
    <w:rsid w:val="002E256A"/>
    <w:rsid w:val="002F1818"/>
    <w:rsid w:val="002F567B"/>
    <w:rsid w:val="003216A9"/>
    <w:rsid w:val="00335A74"/>
    <w:rsid w:val="0036561B"/>
    <w:rsid w:val="00366C0D"/>
    <w:rsid w:val="0037013F"/>
    <w:rsid w:val="00380C92"/>
    <w:rsid w:val="003A484F"/>
    <w:rsid w:val="003A4883"/>
    <w:rsid w:val="003A7DB1"/>
    <w:rsid w:val="003B0BE0"/>
    <w:rsid w:val="003B0C1B"/>
    <w:rsid w:val="003B4EE3"/>
    <w:rsid w:val="003B688C"/>
    <w:rsid w:val="003C0291"/>
    <w:rsid w:val="003C39AE"/>
    <w:rsid w:val="003C46E7"/>
    <w:rsid w:val="003C7B60"/>
    <w:rsid w:val="003D0C0F"/>
    <w:rsid w:val="003D1FB2"/>
    <w:rsid w:val="003D4CB6"/>
    <w:rsid w:val="003D66DA"/>
    <w:rsid w:val="003E1310"/>
    <w:rsid w:val="003E6F55"/>
    <w:rsid w:val="00406254"/>
    <w:rsid w:val="004223DE"/>
    <w:rsid w:val="00434489"/>
    <w:rsid w:val="00435DCA"/>
    <w:rsid w:val="00437085"/>
    <w:rsid w:val="00443880"/>
    <w:rsid w:val="004464F4"/>
    <w:rsid w:val="004513A1"/>
    <w:rsid w:val="00471401"/>
    <w:rsid w:val="00471EF1"/>
    <w:rsid w:val="00473F31"/>
    <w:rsid w:val="0048263A"/>
    <w:rsid w:val="00487E5D"/>
    <w:rsid w:val="004A711F"/>
    <w:rsid w:val="004B199D"/>
    <w:rsid w:val="004B4690"/>
    <w:rsid w:val="004E0A2D"/>
    <w:rsid w:val="004E206B"/>
    <w:rsid w:val="004E6DF7"/>
    <w:rsid w:val="004F0FBD"/>
    <w:rsid w:val="00505A47"/>
    <w:rsid w:val="00512FDA"/>
    <w:rsid w:val="00520DA0"/>
    <w:rsid w:val="00536FBD"/>
    <w:rsid w:val="005664BB"/>
    <w:rsid w:val="00566FFA"/>
    <w:rsid w:val="00567CB3"/>
    <w:rsid w:val="0057481D"/>
    <w:rsid w:val="00574D1E"/>
    <w:rsid w:val="0058486E"/>
    <w:rsid w:val="00585B33"/>
    <w:rsid w:val="0059014D"/>
    <w:rsid w:val="005B5C64"/>
    <w:rsid w:val="005C5337"/>
    <w:rsid w:val="005C6BD0"/>
    <w:rsid w:val="005D1C8B"/>
    <w:rsid w:val="005D3D2C"/>
    <w:rsid w:val="005D42C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365EF"/>
    <w:rsid w:val="006440E4"/>
    <w:rsid w:val="00646541"/>
    <w:rsid w:val="0066343B"/>
    <w:rsid w:val="00664777"/>
    <w:rsid w:val="006748A4"/>
    <w:rsid w:val="00681A31"/>
    <w:rsid w:val="00683E73"/>
    <w:rsid w:val="006A3141"/>
    <w:rsid w:val="006A3429"/>
    <w:rsid w:val="006A5E34"/>
    <w:rsid w:val="006B2422"/>
    <w:rsid w:val="006B2B9A"/>
    <w:rsid w:val="006C1937"/>
    <w:rsid w:val="006F020C"/>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46D8"/>
    <w:rsid w:val="007F55FC"/>
    <w:rsid w:val="007F5665"/>
    <w:rsid w:val="00800112"/>
    <w:rsid w:val="008019F6"/>
    <w:rsid w:val="00813348"/>
    <w:rsid w:val="008253BB"/>
    <w:rsid w:val="0083706E"/>
    <w:rsid w:val="008408F6"/>
    <w:rsid w:val="008423A5"/>
    <w:rsid w:val="00850625"/>
    <w:rsid w:val="00853718"/>
    <w:rsid w:val="00855221"/>
    <w:rsid w:val="00860645"/>
    <w:rsid w:val="00871F71"/>
    <w:rsid w:val="00872FD8"/>
    <w:rsid w:val="0088359F"/>
    <w:rsid w:val="00885AF4"/>
    <w:rsid w:val="0089149F"/>
    <w:rsid w:val="008939CD"/>
    <w:rsid w:val="008A697D"/>
    <w:rsid w:val="008B768C"/>
    <w:rsid w:val="008C4DB1"/>
    <w:rsid w:val="008C4EAF"/>
    <w:rsid w:val="008C5176"/>
    <w:rsid w:val="008C7FD0"/>
    <w:rsid w:val="008E1DE7"/>
    <w:rsid w:val="008E707C"/>
    <w:rsid w:val="008F682C"/>
    <w:rsid w:val="00900B08"/>
    <w:rsid w:val="00902155"/>
    <w:rsid w:val="00902FA3"/>
    <w:rsid w:val="00917BC8"/>
    <w:rsid w:val="00923564"/>
    <w:rsid w:val="0092392E"/>
    <w:rsid w:val="00926255"/>
    <w:rsid w:val="00930426"/>
    <w:rsid w:val="009315F9"/>
    <w:rsid w:val="00933499"/>
    <w:rsid w:val="00935C98"/>
    <w:rsid w:val="00942634"/>
    <w:rsid w:val="00946945"/>
    <w:rsid w:val="00946DF7"/>
    <w:rsid w:val="00951248"/>
    <w:rsid w:val="0095152F"/>
    <w:rsid w:val="00953BE1"/>
    <w:rsid w:val="00954C49"/>
    <w:rsid w:val="00955E37"/>
    <w:rsid w:val="0097099F"/>
    <w:rsid w:val="00971997"/>
    <w:rsid w:val="00971FFC"/>
    <w:rsid w:val="0098660A"/>
    <w:rsid w:val="009913AF"/>
    <w:rsid w:val="009931C3"/>
    <w:rsid w:val="00994A6E"/>
    <w:rsid w:val="009B2C43"/>
    <w:rsid w:val="009B4EAE"/>
    <w:rsid w:val="009B7573"/>
    <w:rsid w:val="009C22F4"/>
    <w:rsid w:val="009C2A4B"/>
    <w:rsid w:val="009C2E98"/>
    <w:rsid w:val="009C3FEA"/>
    <w:rsid w:val="009D3447"/>
    <w:rsid w:val="009D4711"/>
    <w:rsid w:val="009E4ABC"/>
    <w:rsid w:val="009F1185"/>
    <w:rsid w:val="009F18CD"/>
    <w:rsid w:val="009F2A13"/>
    <w:rsid w:val="009F7527"/>
    <w:rsid w:val="00A04EB0"/>
    <w:rsid w:val="00A13CC1"/>
    <w:rsid w:val="00A16847"/>
    <w:rsid w:val="00A237D8"/>
    <w:rsid w:val="00A268C4"/>
    <w:rsid w:val="00A307CD"/>
    <w:rsid w:val="00A331C8"/>
    <w:rsid w:val="00A35841"/>
    <w:rsid w:val="00A40A00"/>
    <w:rsid w:val="00A4142F"/>
    <w:rsid w:val="00A422EB"/>
    <w:rsid w:val="00A45BB7"/>
    <w:rsid w:val="00A5057D"/>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574B"/>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DF7705"/>
    <w:rsid w:val="00E01053"/>
    <w:rsid w:val="00E07ACF"/>
    <w:rsid w:val="00E3281C"/>
    <w:rsid w:val="00E331A1"/>
    <w:rsid w:val="00E33202"/>
    <w:rsid w:val="00E336A9"/>
    <w:rsid w:val="00E36929"/>
    <w:rsid w:val="00E472B1"/>
    <w:rsid w:val="00E50624"/>
    <w:rsid w:val="00E568DF"/>
    <w:rsid w:val="00E64269"/>
    <w:rsid w:val="00E656C1"/>
    <w:rsid w:val="00E82267"/>
    <w:rsid w:val="00E853CE"/>
    <w:rsid w:val="00E867B6"/>
    <w:rsid w:val="00EA010F"/>
    <w:rsid w:val="00EB6D20"/>
    <w:rsid w:val="00ED1B63"/>
    <w:rsid w:val="00ED3C1F"/>
    <w:rsid w:val="00ED4085"/>
    <w:rsid w:val="00ED420E"/>
    <w:rsid w:val="00ED5CAD"/>
    <w:rsid w:val="00ED6FBE"/>
    <w:rsid w:val="00EE2F57"/>
    <w:rsid w:val="00EF4C34"/>
    <w:rsid w:val="00EF77C6"/>
    <w:rsid w:val="00F05438"/>
    <w:rsid w:val="00F1361C"/>
    <w:rsid w:val="00F156F0"/>
    <w:rsid w:val="00F160C7"/>
    <w:rsid w:val="00F23A92"/>
    <w:rsid w:val="00F2408F"/>
    <w:rsid w:val="00F240E9"/>
    <w:rsid w:val="00F36D8F"/>
    <w:rsid w:val="00F417B1"/>
    <w:rsid w:val="00F45853"/>
    <w:rsid w:val="00F602DF"/>
    <w:rsid w:val="00F754A1"/>
    <w:rsid w:val="00F81FD9"/>
    <w:rsid w:val="00F841AA"/>
    <w:rsid w:val="00F84A94"/>
    <w:rsid w:val="00F86E7C"/>
    <w:rsid w:val="00F87E96"/>
    <w:rsid w:val="00F94452"/>
    <w:rsid w:val="00FA23E8"/>
    <w:rsid w:val="00FA44EA"/>
    <w:rsid w:val="00FD3CC1"/>
    <w:rsid w:val="00FF1E02"/>
    <w:rsid w:val="00FF30B4"/>
    <w:rsid w:val="00FF6F55"/>
    <w:rsid w:val="00FF7ED5"/>
    <w:rsid w:val="0370464D"/>
    <w:rsid w:val="06045BF6"/>
    <w:rsid w:val="066E0107"/>
    <w:rsid w:val="07996F6E"/>
    <w:rsid w:val="079B438E"/>
    <w:rsid w:val="07F13FAE"/>
    <w:rsid w:val="0A2032A3"/>
    <w:rsid w:val="101860EC"/>
    <w:rsid w:val="10C055FF"/>
    <w:rsid w:val="118107EC"/>
    <w:rsid w:val="11A11443"/>
    <w:rsid w:val="12940358"/>
    <w:rsid w:val="12EA7F78"/>
    <w:rsid w:val="13D50BC4"/>
    <w:rsid w:val="150D2643"/>
    <w:rsid w:val="164301A4"/>
    <w:rsid w:val="16BB723D"/>
    <w:rsid w:val="1B0818E3"/>
    <w:rsid w:val="1BE8440E"/>
    <w:rsid w:val="1BFC2ACA"/>
    <w:rsid w:val="1D155CEE"/>
    <w:rsid w:val="1E311151"/>
    <w:rsid w:val="1F705CA9"/>
    <w:rsid w:val="20E24984"/>
    <w:rsid w:val="221C5C74"/>
    <w:rsid w:val="23860B96"/>
    <w:rsid w:val="240371BF"/>
    <w:rsid w:val="29FD04D3"/>
    <w:rsid w:val="2C695F59"/>
    <w:rsid w:val="2C8A61B5"/>
    <w:rsid w:val="2D92255C"/>
    <w:rsid w:val="2DF04E50"/>
    <w:rsid w:val="319F7F4E"/>
    <w:rsid w:val="349E6F2F"/>
    <w:rsid w:val="35521C81"/>
    <w:rsid w:val="36AA5135"/>
    <w:rsid w:val="379F04AB"/>
    <w:rsid w:val="37E16F03"/>
    <w:rsid w:val="3AE74C19"/>
    <w:rsid w:val="3D98207C"/>
    <w:rsid w:val="3EC05EAD"/>
    <w:rsid w:val="40827192"/>
    <w:rsid w:val="408D1EDE"/>
    <w:rsid w:val="41B63597"/>
    <w:rsid w:val="43A318F9"/>
    <w:rsid w:val="44867251"/>
    <w:rsid w:val="44D06640"/>
    <w:rsid w:val="44E268DA"/>
    <w:rsid w:val="4A627F82"/>
    <w:rsid w:val="4B4F25DA"/>
    <w:rsid w:val="4BB61845"/>
    <w:rsid w:val="4BE068DB"/>
    <w:rsid w:val="4CCF550D"/>
    <w:rsid w:val="4D577224"/>
    <w:rsid w:val="4EAB630A"/>
    <w:rsid w:val="4ECE2238"/>
    <w:rsid w:val="519A07DF"/>
    <w:rsid w:val="5AF32D0E"/>
    <w:rsid w:val="5AF92295"/>
    <w:rsid w:val="5CD71FC4"/>
    <w:rsid w:val="5D0C00B7"/>
    <w:rsid w:val="5FF53085"/>
    <w:rsid w:val="602D6CC3"/>
    <w:rsid w:val="6200643D"/>
    <w:rsid w:val="64AA2690"/>
    <w:rsid w:val="65295CAB"/>
    <w:rsid w:val="69E43F0E"/>
    <w:rsid w:val="6C4A05C8"/>
    <w:rsid w:val="6E241705"/>
    <w:rsid w:val="6E7E3605"/>
    <w:rsid w:val="6FF5CC65"/>
    <w:rsid w:val="715C0E4B"/>
    <w:rsid w:val="72734D90"/>
    <w:rsid w:val="727662A7"/>
    <w:rsid w:val="73AD73D5"/>
    <w:rsid w:val="73B6EB34"/>
    <w:rsid w:val="750D2EF3"/>
    <w:rsid w:val="75EB0D5A"/>
    <w:rsid w:val="762F0C47"/>
    <w:rsid w:val="77E912C9"/>
    <w:rsid w:val="791505C8"/>
    <w:rsid w:val="79D875D8"/>
    <w:rsid w:val="79EE5BA4"/>
    <w:rsid w:val="7A894339"/>
    <w:rsid w:val="7C2823C0"/>
    <w:rsid w:val="7EEF11D3"/>
    <w:rsid w:val="7F3E1EFB"/>
    <w:rsid w:val="7FA30C79"/>
    <w:rsid w:val="7FC96657"/>
    <w:rsid w:val="D8D6DB89"/>
    <w:rsid w:val="DB6F4CAB"/>
    <w:rsid w:val="DF6F978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6"/>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7"/>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30"/>
    <w:unhideWhenUsed/>
    <w:qFormat/>
    <w:uiPriority w:val="9"/>
    <w:pPr>
      <w:keepNext/>
      <w:keepLines/>
      <w:spacing w:before="260" w:after="260" w:line="416" w:lineRule="auto"/>
      <w:outlineLvl w:val="2"/>
    </w:pPr>
    <w:rPr>
      <w:b/>
      <w:bCs/>
      <w:sz w:val="32"/>
      <w:szCs w:val="32"/>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3"/>
    <w:qFormat/>
    <w:uiPriority w:val="99"/>
    <w:pPr>
      <w:spacing w:beforeLines="30"/>
    </w:pPr>
    <w:rPr>
      <w:rFonts w:ascii="仿宋_GB2312" w:eastAsia="仿宋_GB2312"/>
      <w:kern w:val="0"/>
      <w:sz w:val="30"/>
    </w:rPr>
  </w:style>
  <w:style w:type="paragraph" w:styleId="6">
    <w:name w:val="Body Text Indent"/>
    <w:basedOn w:val="1"/>
    <w:link w:val="32"/>
    <w:semiHidden/>
    <w:unhideWhenUsed/>
    <w:qFormat/>
    <w:uiPriority w:val="99"/>
    <w:pPr>
      <w:spacing w:after="120"/>
      <w:ind w:left="420" w:leftChars="200"/>
    </w:p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29"/>
    <w:semiHidden/>
    <w:unhideWhenUsed/>
    <w:qFormat/>
    <w:uiPriority w:val="99"/>
    <w:rPr>
      <w:sz w:val="18"/>
      <w:szCs w:val="18"/>
    </w:rPr>
  </w:style>
  <w:style w:type="paragraph" w:styleId="9">
    <w:name w:val="footer"/>
    <w:basedOn w:val="1"/>
    <w:link w:val="21"/>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19"/>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2">
    <w:name w:val="toc 2"/>
    <w:basedOn w:val="1"/>
    <w:next w:val="1"/>
    <w:unhideWhenUsed/>
    <w:qFormat/>
    <w:uiPriority w:val="39"/>
    <w:pPr>
      <w:tabs>
        <w:tab w:val="right" w:leader="dot" w:pos="8296"/>
      </w:tabs>
      <w:ind w:left="420" w:leftChars="200"/>
    </w:pPr>
  </w:style>
  <w:style w:type="paragraph" w:styleId="13">
    <w:name w:val="Body Text First Indent 2"/>
    <w:basedOn w:val="6"/>
    <w:link w:val="33"/>
    <w:semiHidden/>
    <w:unhideWhenUsed/>
    <w:uiPriority w:val="99"/>
    <w:pPr>
      <w:ind w:firstLine="420" w:firstLineChars="200"/>
    </w:pPr>
  </w:style>
  <w:style w:type="character" w:styleId="16">
    <w:name w:val="Strong"/>
    <w:basedOn w:val="15"/>
    <w:qFormat/>
    <w:uiPriority w:val="99"/>
    <w:rPr>
      <w:b/>
    </w:rPr>
  </w:style>
  <w:style w:type="character" w:styleId="17">
    <w:name w:val="Hyperlink"/>
    <w:basedOn w:val="15"/>
    <w:unhideWhenUsed/>
    <w:qFormat/>
    <w:uiPriority w:val="99"/>
    <w:rPr>
      <w:color w:val="0000FF" w:themeColor="hyperlink"/>
      <w:u w:val="single"/>
      <w14:textFill>
        <w14:solidFill>
          <w14:schemeClr w14:val="hlink"/>
        </w14:solidFill>
      </w14:textFill>
    </w:rPr>
  </w:style>
  <w:style w:type="character" w:customStyle="1" w:styleId="18">
    <w:name w:val="Header Char"/>
    <w:basedOn w:val="15"/>
    <w:semiHidden/>
    <w:qFormat/>
    <w:uiPriority w:val="99"/>
    <w:rPr>
      <w:rFonts w:ascii="Times New Roman" w:hAnsi="Times New Roman"/>
      <w:sz w:val="18"/>
      <w:szCs w:val="18"/>
    </w:rPr>
  </w:style>
  <w:style w:type="character" w:customStyle="1" w:styleId="19">
    <w:name w:val="页眉 Char"/>
    <w:link w:val="10"/>
    <w:semiHidden/>
    <w:qFormat/>
    <w:locked/>
    <w:uiPriority w:val="99"/>
    <w:rPr>
      <w:sz w:val="18"/>
    </w:rPr>
  </w:style>
  <w:style w:type="character" w:customStyle="1" w:styleId="20">
    <w:name w:val="Footer Char"/>
    <w:basedOn w:val="15"/>
    <w:semiHidden/>
    <w:qFormat/>
    <w:uiPriority w:val="99"/>
    <w:rPr>
      <w:rFonts w:ascii="Times New Roman" w:hAnsi="Times New Roman"/>
      <w:sz w:val="18"/>
      <w:szCs w:val="18"/>
    </w:rPr>
  </w:style>
  <w:style w:type="character" w:customStyle="1" w:styleId="21">
    <w:name w:val="页脚 Char"/>
    <w:link w:val="9"/>
    <w:qFormat/>
    <w:locked/>
    <w:uiPriority w:val="99"/>
    <w:rPr>
      <w:sz w:val="18"/>
    </w:rPr>
  </w:style>
  <w:style w:type="character" w:customStyle="1" w:styleId="22">
    <w:name w:val="Body Text Char"/>
    <w:basedOn w:val="15"/>
    <w:semiHidden/>
    <w:qFormat/>
    <w:uiPriority w:val="99"/>
    <w:rPr>
      <w:rFonts w:ascii="Times New Roman" w:hAnsi="Times New Roman"/>
      <w:szCs w:val="24"/>
    </w:rPr>
  </w:style>
  <w:style w:type="character" w:customStyle="1" w:styleId="23">
    <w:name w:val="正文文本 Char"/>
    <w:link w:val="5"/>
    <w:qFormat/>
    <w:locked/>
    <w:uiPriority w:val="99"/>
    <w:rPr>
      <w:rFonts w:ascii="仿宋_GB2312" w:hAnsi="Times New Roman" w:eastAsia="仿宋_GB2312"/>
      <w:sz w:val="24"/>
    </w:rPr>
  </w:style>
  <w:style w:type="paragraph" w:customStyle="1" w:styleId="24">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5">
    <w:name w:val="List Paragraph"/>
    <w:basedOn w:val="1"/>
    <w:qFormat/>
    <w:uiPriority w:val="34"/>
    <w:pPr>
      <w:ind w:firstLine="420" w:firstLineChars="200"/>
    </w:pPr>
  </w:style>
  <w:style w:type="character" w:customStyle="1" w:styleId="26">
    <w:name w:val="标题 1 Char"/>
    <w:basedOn w:val="15"/>
    <w:link w:val="2"/>
    <w:qFormat/>
    <w:uiPriority w:val="9"/>
    <w:rPr>
      <w:rFonts w:ascii="Times New Roman" w:hAnsi="Times New Roman"/>
      <w:b/>
      <w:bCs/>
      <w:kern w:val="44"/>
      <w:sz w:val="44"/>
      <w:szCs w:val="44"/>
    </w:rPr>
  </w:style>
  <w:style w:type="character" w:customStyle="1" w:styleId="27">
    <w:name w:val="标题 2 Char"/>
    <w:basedOn w:val="15"/>
    <w:link w:val="3"/>
    <w:qFormat/>
    <w:uiPriority w:val="9"/>
    <w:rPr>
      <w:rFonts w:asciiTheme="majorHAnsi" w:hAnsiTheme="majorHAnsi" w:eastAsiaTheme="majorEastAsia" w:cstheme="majorBidi"/>
      <w:b/>
      <w:bCs/>
      <w:kern w:val="2"/>
      <w:sz w:val="32"/>
      <w:szCs w:val="32"/>
    </w:rPr>
  </w:style>
  <w:style w:type="paragraph" w:customStyle="1" w:styleId="28">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9">
    <w:name w:val="批注框文本 Char"/>
    <w:basedOn w:val="15"/>
    <w:link w:val="8"/>
    <w:semiHidden/>
    <w:qFormat/>
    <w:uiPriority w:val="99"/>
    <w:rPr>
      <w:rFonts w:ascii="Times New Roman" w:hAnsi="Times New Roman"/>
      <w:kern w:val="2"/>
      <w:sz w:val="18"/>
      <w:szCs w:val="18"/>
    </w:rPr>
  </w:style>
  <w:style w:type="character" w:customStyle="1" w:styleId="30">
    <w:name w:val="标题 3 Char"/>
    <w:basedOn w:val="15"/>
    <w:link w:val="4"/>
    <w:qFormat/>
    <w:uiPriority w:val="9"/>
    <w:rPr>
      <w:rFonts w:ascii="Times New Roman" w:hAnsi="Times New Roman"/>
      <w:b/>
      <w:bCs/>
      <w:kern w:val="2"/>
      <w:sz w:val="32"/>
      <w:szCs w:val="32"/>
    </w:rPr>
  </w:style>
  <w:style w:type="paragraph" w:customStyle="1" w:styleId="31">
    <w:name w:val="TOC 标题2"/>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2">
    <w:name w:val="正文文本缩进 Char"/>
    <w:basedOn w:val="15"/>
    <w:link w:val="6"/>
    <w:semiHidden/>
    <w:qFormat/>
    <w:uiPriority w:val="99"/>
    <w:rPr>
      <w:rFonts w:ascii="Times New Roman" w:hAnsi="Times New Roman" w:eastAsia="宋体" w:cs="Times New Roman"/>
      <w:kern w:val="2"/>
      <w:sz w:val="21"/>
      <w:szCs w:val="24"/>
    </w:rPr>
  </w:style>
  <w:style w:type="character" w:customStyle="1" w:styleId="33">
    <w:name w:val="正文首行缩进 2 Char"/>
    <w:basedOn w:val="32"/>
    <w:link w:val="13"/>
    <w:semiHidden/>
    <w:qFormat/>
    <w:uiPriority w:val="99"/>
  </w:style>
  <w:style w:type="character" w:customStyle="1" w:styleId="34">
    <w:name w:val="NormalCharacter"/>
    <w:semiHidden/>
    <w:qFormat/>
    <w:uiPriority w:val="0"/>
  </w:style>
  <w:style w:type="paragraph" w:customStyle="1" w:styleId="35">
    <w:name w:val="四号正文"/>
    <w:basedOn w:val="1"/>
    <w:qFormat/>
    <w:uiPriority w:val="0"/>
    <w:pPr>
      <w:spacing w:line="360" w:lineRule="auto"/>
    </w:pPr>
    <w:rPr>
      <w:rFonts w:ascii="??" w:hAnsi="??"/>
      <w:color w:val="000000"/>
      <w:kern w:val="0"/>
      <w:sz w:val="28"/>
      <w:szCs w:val="21"/>
      <w:lang w:val="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四川省财政厅</Company>
  <Pages>29</Pages>
  <Words>10748</Words>
  <Characters>11353</Characters>
  <Lines>84</Lines>
  <Paragraphs>23</Paragraphs>
  <TotalTime>9</TotalTime>
  <ScaleCrop>false</ScaleCrop>
  <LinksUpToDate>false</LinksUpToDate>
  <CharactersWithSpaces>11493</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2020-08-05T01:49:00Z</dcterms:created>
  <dc:creator>曹颖</dc:creator>
  <cp:lastModifiedBy>Administrator</cp:lastModifiedBy>
  <cp:lastPrinted>2022-08-08T09:11:00Z</cp:lastPrinted>
  <dcterms:modified xsi:type="dcterms:W3CDTF">2022-10-13T03:38:52Z</dcterms:modified>
  <dc:title>四川省***</dc:title>
  <cp:revision>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6C559ADEF862454E880927F6A994EDED</vt:lpwstr>
  </property>
</Properties>
</file>