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475"/>
      <w:bookmarkStart w:id="3" w:name="_Toc15378441"/>
      <w:bookmarkStart w:id="4" w:name="_Toc15377193"/>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8442"/>
      <w:bookmarkStart w:id="7" w:name="_Toc15396598"/>
      <w:bookmarkStart w:id="8" w:name="_Toc15377426"/>
      <w:bookmarkStart w:id="9" w:name="_Toc15377194"/>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sz w:val="72"/>
          <w:szCs w:val="72"/>
        </w:rPr>
        <w:t>达州市开江县妇幼保健计划生育服务中心</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pPr>
        <w:pStyle w:val="11"/>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highlight w:val="none"/>
          <w:lang w:eastAsia="zh-CN"/>
        </w:rPr>
      </w:pPr>
      <w:bookmarkStart w:id="14" w:name="_Toc15396600"/>
      <w:bookmarkStart w:id="15" w:name="_Toc15377197"/>
      <w:r>
        <w:rPr>
          <w:rStyle w:val="25"/>
          <w:rFonts w:hint="eastAsia" w:ascii="黑体" w:hAnsi="黑体" w:eastAsia="黑体"/>
          <w:b w:val="0"/>
          <w:bCs w:val="0"/>
          <w:color w:val="auto"/>
          <w:highlight w:val="none"/>
          <w:lang w:eastAsia="zh-CN"/>
        </w:rPr>
        <w:t>主要职责</w:t>
      </w:r>
    </w:p>
    <w:p>
      <w:pPr>
        <w:pStyle w:val="2"/>
        <w:adjustRightInd w:val="0"/>
        <w:snapToGrid w:val="0"/>
        <w:spacing w:before="93"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我院是集保健、医疗、教学为一体的国家二级甲等妇幼保健院、妇女儿童医院、国际爱婴医院，属财政全额拨款事业单位，承担着全县40余万妇女儿童的妇幼保健任务，是全县妇幼保健计划生育技术指导和业务培训中心。</w:t>
      </w:r>
    </w:p>
    <w:p>
      <w:pPr>
        <w:rPr>
          <w:rFonts w:hint="eastAsia"/>
          <w:lang w:eastAsia="zh-CN"/>
        </w:rPr>
      </w:pP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bookmarkEnd w:id="14"/>
    <w:bookmarkEnd w:id="15"/>
    <w:p>
      <w:pPr>
        <w:ind w:firstLine="800" w:firstLineChars="250"/>
        <w:rPr>
          <w:rFonts w:ascii="仿宋" w:hAnsi="仿宋" w:eastAsia="仿宋"/>
          <w:sz w:val="32"/>
          <w:szCs w:val="32"/>
        </w:rPr>
      </w:pPr>
      <w:r>
        <w:rPr>
          <w:rFonts w:hint="eastAsia" w:ascii="仿宋" w:hAnsi="仿宋" w:eastAsia="仿宋"/>
          <w:bCs/>
          <w:kern w:val="0"/>
          <w:sz w:val="32"/>
          <w:szCs w:val="32"/>
        </w:rPr>
        <w:t>纳入20</w:t>
      </w:r>
      <w:r>
        <w:rPr>
          <w:rFonts w:hint="eastAsia" w:ascii="仿宋" w:hAnsi="仿宋" w:eastAsia="仿宋"/>
          <w:bCs/>
          <w:kern w:val="0"/>
          <w:sz w:val="32"/>
          <w:szCs w:val="32"/>
          <w:lang w:val="en-US" w:eastAsia="zh-CN"/>
        </w:rPr>
        <w:t>22</w:t>
      </w:r>
      <w:r>
        <w:rPr>
          <w:rFonts w:hint="eastAsia" w:ascii="仿宋" w:hAnsi="仿宋" w:eastAsia="仿宋"/>
          <w:bCs/>
          <w:kern w:val="0"/>
          <w:sz w:val="32"/>
          <w:szCs w:val="32"/>
        </w:rPr>
        <w:t>年部门决算编报的单位共1个，事业单位管理。</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1898.27万元，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1898.27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入总计增加</w:t>
      </w:r>
      <w:r>
        <w:rPr>
          <w:rFonts w:hint="eastAsia" w:ascii="仿宋" w:hAnsi="仿宋" w:eastAsia="仿宋"/>
          <w:color w:val="auto"/>
          <w:sz w:val="32"/>
          <w:szCs w:val="32"/>
          <w:highlight w:val="none"/>
          <w:lang w:val="en-US" w:eastAsia="zh-CN"/>
        </w:rPr>
        <w:t>805.6万元，增长73.73%；</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605.6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医疗业务收入的增加。</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138430</wp:posOffset>
            </wp:positionH>
            <wp:positionV relativeFrom="paragraph">
              <wp:posOffset>90805</wp:posOffset>
            </wp:positionV>
            <wp:extent cx="5274310" cy="3076575"/>
            <wp:effectExtent l="5080" t="4445" r="16510"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1898.27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1898.27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
        <w:rPr>
          <w:rFonts w:hint="eastAsia" w:ascii="仿宋" w:hAnsi="仿宋" w:eastAsia="仿宋"/>
          <w:color w:val="auto"/>
          <w:sz w:val="32"/>
          <w:szCs w:val="32"/>
          <w:highlight w:val="none"/>
        </w:rPr>
      </w:pPr>
      <w:r>
        <w:rPr>
          <w:rFonts w:hint="eastAsia"/>
        </w:rPr>
        <w:drawing>
          <wp:inline distT="0" distB="0" distL="0" distR="0">
            <wp:extent cx="5218430" cy="2371725"/>
            <wp:effectExtent l="4445" t="4445" r="1587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1898.27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1809.32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95.31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88.94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pPr>
        <w:spacing w:line="600" w:lineRule="exact"/>
        <w:ind w:firstLine="640"/>
        <w:rPr>
          <w:rFonts w:ascii="仿宋" w:hAnsi="仿宋" w:eastAsia="仿宋"/>
          <w:color w:val="auto"/>
          <w:sz w:val="32"/>
          <w:szCs w:val="32"/>
          <w:highlight w:val="none"/>
          <w:shd w:val="pct10" w:color="auto" w:fill="FFFFFF"/>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pStyle w:val="2"/>
        <w:rPr>
          <w:rFonts w:ascii="仿宋_GB2312" w:eastAsia="仿宋_GB2312"/>
          <w:color w:val="auto"/>
          <w:sz w:val="32"/>
          <w:szCs w:val="32"/>
          <w:highlight w:val="none"/>
        </w:rPr>
      </w:pPr>
      <w:r>
        <w:rPr>
          <w:rFonts w:hint="eastAsia"/>
        </w:rPr>
        <w:drawing>
          <wp:inline distT="0" distB="0" distL="0" distR="0">
            <wp:extent cx="5141595" cy="2458085"/>
            <wp:effectExtent l="4445" t="4445" r="16510" b="139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1898.27万元，财政拨款</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1898.27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财政拨款</w:t>
      </w:r>
      <w:r>
        <w:rPr>
          <w:rFonts w:hint="eastAsia" w:ascii="仿宋" w:hAnsi="仿宋" w:eastAsia="仿宋"/>
          <w:color w:val="auto"/>
          <w:sz w:val="32"/>
          <w:szCs w:val="32"/>
          <w:highlight w:val="none"/>
        </w:rPr>
        <w:t>收</w:t>
      </w:r>
      <w:r>
        <w:rPr>
          <w:rFonts w:hint="eastAsia" w:ascii="仿宋" w:hAnsi="仿宋" w:eastAsia="仿宋"/>
          <w:color w:val="auto"/>
          <w:sz w:val="32"/>
          <w:szCs w:val="32"/>
          <w:highlight w:val="none"/>
          <w:lang w:eastAsia="zh-CN"/>
        </w:rPr>
        <w:t>入总计增加</w:t>
      </w:r>
      <w:r>
        <w:rPr>
          <w:rFonts w:hint="eastAsia" w:ascii="仿宋" w:hAnsi="仿宋" w:eastAsia="仿宋"/>
          <w:color w:val="auto"/>
          <w:sz w:val="32"/>
          <w:szCs w:val="32"/>
          <w:highlight w:val="none"/>
          <w:lang w:val="en-US" w:eastAsia="zh-CN"/>
        </w:rPr>
        <w:t>805.6万元，增长73.73%；</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605.6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医疗业务收入的增加。</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Style w:val="25"/>
          <w:rFonts w:ascii="黑体" w:hAnsi="黑体" w:eastAsia="黑体"/>
          <w:b w:val="0"/>
          <w:color w:val="auto"/>
          <w:highlight w:val="none"/>
        </w:rPr>
      </w:pPr>
      <w:r>
        <w:rPr>
          <w:rFonts w:ascii="仿宋_GB2312" w:eastAsia="仿宋_GB2312"/>
          <w:sz w:val="32"/>
          <w:szCs w:val="32"/>
        </w:rPr>
        <w:drawing>
          <wp:anchor distT="0" distB="0" distL="114300" distR="114300" simplePos="0" relativeHeight="251660288" behindDoc="0" locked="0" layoutInCell="1" allowOverlap="1">
            <wp:simplePos x="0" y="0"/>
            <wp:positionH relativeFrom="column">
              <wp:posOffset>-4445</wp:posOffset>
            </wp:positionH>
            <wp:positionV relativeFrom="paragraph">
              <wp:posOffset>105410</wp:posOffset>
            </wp:positionV>
            <wp:extent cx="5274310" cy="3076575"/>
            <wp:effectExtent l="5080" t="4445" r="16510"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1898.27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605.6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46.85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医疗业务的增加导致支出相应增长。</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rPr>
          <w:rFonts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-42545</wp:posOffset>
            </wp:positionH>
            <wp:positionV relativeFrom="paragraph">
              <wp:posOffset>176530</wp:posOffset>
            </wp:positionV>
            <wp:extent cx="5168900" cy="2761615"/>
            <wp:effectExtent l="4445" t="4445" r="8255" b="1524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1898.27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105.43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1717.54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75.3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ascii="仿宋" w:hAnsi="仿宋" w:eastAsia="仿宋"/>
          <w:sz w:val="32"/>
          <w:szCs w:val="32"/>
        </w:rPr>
        <w:drawing>
          <wp:anchor distT="0" distB="0" distL="114300" distR="114300" simplePos="0" relativeHeight="251662336" behindDoc="0" locked="0" layoutInCell="1" allowOverlap="1">
            <wp:simplePos x="0" y="0"/>
            <wp:positionH relativeFrom="column">
              <wp:posOffset>52705</wp:posOffset>
            </wp:positionH>
            <wp:positionV relativeFrom="paragraph">
              <wp:posOffset>274955</wp:posOffset>
            </wp:positionV>
            <wp:extent cx="5159375" cy="3105150"/>
            <wp:effectExtent l="4445" t="4445" r="17780"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1898.27</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205.7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
          <w:bCs w:val="0"/>
          <w:color w:val="000000"/>
          <w:sz w:val="32"/>
          <w:szCs w:val="32"/>
        </w:rPr>
        <w:t>行政事业单位养老支出（款）机关事业单位基本养老保险缴费支出（项）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105.43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109.39</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w:t>
      </w:r>
      <w:r>
        <w:rPr>
          <w:rStyle w:val="14"/>
          <w:rFonts w:hint="eastAsia" w:ascii="仿宋" w:hAnsi="仿宋" w:eastAsia="仿宋"/>
          <w:b w:val="0"/>
          <w:bCs/>
          <w:color w:val="auto"/>
          <w:sz w:val="32"/>
          <w:szCs w:val="32"/>
          <w:highlight w:val="none"/>
          <w:lang w:eastAsia="zh-CN"/>
        </w:rPr>
        <w:t>大</w:t>
      </w:r>
      <w:r>
        <w:rPr>
          <w:rStyle w:val="14"/>
          <w:rFonts w:hint="eastAsia" w:ascii="仿宋" w:hAnsi="仿宋" w:eastAsia="仿宋"/>
          <w:b w:val="0"/>
          <w:bCs/>
          <w:color w:val="auto"/>
          <w:sz w:val="32"/>
          <w:szCs w:val="32"/>
          <w:highlight w:val="none"/>
        </w:rPr>
        <w:t>于预算数的主要原因是</w:t>
      </w:r>
      <w:r>
        <w:rPr>
          <w:rStyle w:val="14"/>
          <w:rFonts w:hint="eastAsia" w:ascii="仿宋" w:hAnsi="仿宋" w:eastAsia="仿宋"/>
          <w:b w:val="0"/>
          <w:bCs/>
          <w:color w:val="auto"/>
          <w:sz w:val="32"/>
          <w:szCs w:val="32"/>
          <w:highlight w:val="none"/>
          <w:lang w:eastAsia="zh-CN"/>
        </w:rPr>
        <w:t>保险基数提高和人员变动</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
          <w:bCs w:val="0"/>
          <w:color w:val="000000"/>
          <w:sz w:val="32"/>
          <w:szCs w:val="32"/>
        </w:rPr>
        <w:t>公共卫生（款）妇幼保健机构（项）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1573.75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208.68</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w:t>
      </w:r>
      <w:r>
        <w:rPr>
          <w:rStyle w:val="14"/>
          <w:rFonts w:hint="eastAsia" w:ascii="仿宋" w:hAnsi="仿宋" w:eastAsia="仿宋"/>
          <w:b w:val="0"/>
          <w:bCs/>
          <w:color w:val="auto"/>
          <w:sz w:val="32"/>
          <w:szCs w:val="32"/>
          <w:highlight w:val="none"/>
          <w:lang w:eastAsia="zh-CN"/>
        </w:rPr>
        <w:t>大</w:t>
      </w:r>
      <w:r>
        <w:rPr>
          <w:rStyle w:val="14"/>
          <w:rFonts w:hint="eastAsia" w:ascii="仿宋" w:hAnsi="仿宋" w:eastAsia="仿宋"/>
          <w:b w:val="0"/>
          <w:bCs/>
          <w:color w:val="auto"/>
          <w:sz w:val="32"/>
          <w:szCs w:val="32"/>
          <w:highlight w:val="none"/>
        </w:rPr>
        <w:t>于预算数的主要原因是</w:t>
      </w:r>
      <w:r>
        <w:rPr>
          <w:rStyle w:val="14"/>
          <w:rFonts w:hint="eastAsia" w:ascii="仿宋" w:hAnsi="仿宋" w:eastAsia="仿宋"/>
          <w:b w:val="0"/>
          <w:bCs/>
          <w:color w:val="auto"/>
          <w:sz w:val="32"/>
          <w:szCs w:val="32"/>
          <w:highlight w:val="none"/>
          <w:lang w:eastAsia="zh-CN"/>
        </w:rPr>
        <w:t>年初预算时未含当年医疗业务收入</w:t>
      </w:r>
      <w:r>
        <w:rPr>
          <w:rStyle w:val="14"/>
          <w:rFonts w:hint="eastAsia" w:ascii="仿宋" w:hAnsi="仿宋" w:eastAsia="仿宋"/>
          <w:b w:val="0"/>
          <w:bCs/>
          <w:color w:val="auto"/>
          <w:sz w:val="32"/>
          <w:szCs w:val="32"/>
          <w:highlight w:val="none"/>
        </w:rPr>
        <w:t>。</w:t>
      </w:r>
      <w:r>
        <w:rPr>
          <w:rStyle w:val="14"/>
          <w:rFonts w:hint="eastAsia" w:ascii="仿宋" w:hAnsi="仿宋" w:eastAsia="仿宋"/>
          <w:b/>
          <w:bCs w:val="0"/>
          <w:color w:val="000000"/>
          <w:sz w:val="32"/>
          <w:szCs w:val="32"/>
        </w:rPr>
        <w:t>基本公共卫生服务（项）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74.04</w:t>
      </w:r>
      <w:r>
        <w:rPr>
          <w:rStyle w:val="14"/>
          <w:rFonts w:ascii="仿宋" w:hAnsi="仿宋" w:eastAsia="仿宋"/>
          <w:b w:val="0"/>
          <w:bCs/>
          <w:color w:val="000000"/>
          <w:sz w:val="32"/>
          <w:szCs w:val="32"/>
        </w:rPr>
        <w:t>万元</w:t>
      </w:r>
      <w:r>
        <w:rPr>
          <w:rStyle w:val="14"/>
          <w:rFonts w:hint="eastAsia" w:ascii="仿宋" w:hAnsi="仿宋" w:eastAsia="仿宋"/>
          <w:b w:val="0"/>
          <w:bCs/>
          <w:color w:val="000000"/>
          <w:sz w:val="32"/>
          <w:szCs w:val="32"/>
        </w:rPr>
        <w:t>，</w:t>
      </w:r>
      <w:r>
        <w:rPr>
          <w:rStyle w:val="14"/>
          <w:rFonts w:ascii="仿宋" w:hAnsi="仿宋" w:eastAsia="仿宋"/>
          <w:b w:val="0"/>
          <w:bCs/>
          <w:color w:val="000000"/>
          <w:sz w:val="32"/>
          <w:szCs w:val="32"/>
        </w:rPr>
        <w:t>完成</w:t>
      </w:r>
      <w:r>
        <w:rPr>
          <w:rStyle w:val="14"/>
          <w:rFonts w:hint="eastAsia" w:ascii="仿宋" w:hAnsi="仿宋" w:eastAsia="仿宋"/>
          <w:b w:val="0"/>
          <w:bCs/>
          <w:color w:val="000000"/>
          <w:sz w:val="32"/>
          <w:szCs w:val="32"/>
        </w:rPr>
        <w:t>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bCs w:val="0"/>
          <w:color w:val="000000"/>
          <w:sz w:val="32"/>
          <w:szCs w:val="32"/>
        </w:rPr>
        <w:t>重大公共卫生服务（项）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14.91</w:t>
      </w:r>
      <w:r>
        <w:rPr>
          <w:rStyle w:val="14"/>
          <w:rFonts w:ascii="仿宋" w:hAnsi="仿宋" w:eastAsia="仿宋"/>
          <w:b w:val="0"/>
          <w:bCs/>
          <w:color w:val="000000"/>
          <w:sz w:val="32"/>
          <w:szCs w:val="32"/>
        </w:rPr>
        <w:t>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bCs w:val="0"/>
          <w:color w:val="000000"/>
          <w:sz w:val="32"/>
          <w:szCs w:val="32"/>
        </w:rPr>
        <w:t>行政事业单位医疗（款）事业单位医疗（项）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54.85万元，</w:t>
      </w:r>
      <w:r>
        <w:rPr>
          <w:rStyle w:val="14"/>
          <w:rFonts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120.7</w:t>
      </w:r>
      <w:r>
        <w:rPr>
          <w:rStyle w:val="14"/>
          <w:rFonts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w:t>
      </w:r>
      <w:r>
        <w:rPr>
          <w:rStyle w:val="14"/>
          <w:rFonts w:ascii="仿宋" w:hAnsi="仿宋" w:eastAsia="仿宋"/>
          <w:b w:val="0"/>
          <w:bCs/>
          <w:color w:val="000000"/>
          <w:sz w:val="32"/>
          <w:szCs w:val="32"/>
        </w:rPr>
        <w:t>于预算数的主要原因是</w:t>
      </w:r>
      <w:r>
        <w:rPr>
          <w:rStyle w:val="14"/>
          <w:rFonts w:hint="eastAsia" w:ascii="仿宋" w:hAnsi="仿宋" w:eastAsia="仿宋"/>
          <w:b w:val="0"/>
          <w:bCs/>
          <w:color w:val="000000"/>
          <w:sz w:val="32"/>
          <w:szCs w:val="32"/>
          <w:lang w:eastAsia="zh-CN"/>
        </w:rPr>
        <w:t>医疗保险基数提高以及人员变动</w:t>
      </w:r>
      <w:r>
        <w:rPr>
          <w:rStyle w:val="14"/>
          <w:rFonts w:ascii="仿宋" w:hAnsi="仿宋" w:eastAsia="仿宋"/>
          <w:b w:val="0"/>
          <w:bCs/>
          <w:color w:val="000000"/>
          <w:sz w:val="32"/>
          <w:szCs w:val="32"/>
        </w:rPr>
        <w:t>。</w:t>
      </w:r>
    </w:p>
    <w:p>
      <w:pPr>
        <w:spacing w:line="600" w:lineRule="exact"/>
        <w:ind w:firstLine="640" w:firstLineChars="200"/>
        <w:rPr>
          <w:rFonts w:hint="default" w:eastAsia="仿宋"/>
          <w:lang w:val="en-US" w:eastAsia="zh-CN"/>
        </w:rPr>
      </w:pPr>
      <w:r>
        <w:rPr>
          <w:rStyle w:val="14"/>
          <w:rFonts w:hint="eastAsia" w:ascii="仿宋" w:hAnsi="仿宋" w:eastAsia="仿宋"/>
          <w:b w:val="0"/>
          <w:bCs/>
          <w:color w:val="000000"/>
          <w:sz w:val="32"/>
          <w:szCs w:val="32"/>
          <w:lang w:val="en-US" w:eastAsia="zh-CN"/>
        </w:rPr>
        <w:t xml:space="preserve"> </w:t>
      </w:r>
      <w:r>
        <w:rPr>
          <w:rStyle w:val="14"/>
          <w:rFonts w:hint="eastAsia" w:ascii="仿宋" w:hAnsi="仿宋" w:eastAsia="仿宋"/>
          <w:b w:val="0"/>
          <w:bCs/>
          <w:color w:val="000000"/>
          <w:sz w:val="32"/>
          <w:szCs w:val="32"/>
        </w:rPr>
        <w:t>3.</w:t>
      </w:r>
      <w:r>
        <w:rPr>
          <w:rFonts w:hint="eastAsia" w:ascii="仿宋" w:hAnsi="仿宋" w:eastAsia="仿宋"/>
          <w:b/>
          <w:bCs w:val="0"/>
          <w:color w:val="000000"/>
          <w:sz w:val="32"/>
          <w:szCs w:val="32"/>
        </w:rPr>
        <w:t>住房保障</w:t>
      </w:r>
      <w:r>
        <w:rPr>
          <w:rStyle w:val="14"/>
          <w:rFonts w:hint="eastAsia" w:ascii="仿宋" w:hAnsi="仿宋" w:eastAsia="仿宋"/>
          <w:b/>
          <w:bCs w:val="0"/>
          <w:color w:val="000000"/>
          <w:sz w:val="32"/>
          <w:szCs w:val="32"/>
        </w:rPr>
        <w:t>（类）住房改革（款）住房公积金（项）：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75.3万元，</w:t>
      </w:r>
      <w:r>
        <w:rPr>
          <w:rStyle w:val="14"/>
          <w:rFonts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104.16</w:t>
      </w:r>
      <w:r>
        <w:rPr>
          <w:rStyle w:val="14"/>
          <w:rFonts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w:t>
      </w:r>
      <w:r>
        <w:rPr>
          <w:rStyle w:val="14"/>
          <w:rFonts w:ascii="仿宋" w:hAnsi="仿宋" w:eastAsia="仿宋"/>
          <w:b w:val="0"/>
          <w:bCs/>
          <w:color w:val="000000"/>
          <w:sz w:val="32"/>
          <w:szCs w:val="32"/>
        </w:rPr>
        <w:t>于预算数的主要原因是</w:t>
      </w:r>
      <w:r>
        <w:rPr>
          <w:rStyle w:val="14"/>
          <w:rFonts w:hint="eastAsia" w:ascii="仿宋" w:hAnsi="仿宋" w:eastAsia="仿宋"/>
          <w:b w:val="0"/>
          <w:bCs/>
          <w:color w:val="000000"/>
          <w:sz w:val="32"/>
          <w:szCs w:val="32"/>
          <w:lang w:eastAsia="zh-CN"/>
        </w:rPr>
        <w:t>人员变动</w:t>
      </w:r>
      <w:r>
        <w:rPr>
          <w:rStyle w:val="14"/>
          <w:rFonts w:ascii="仿宋" w:hAnsi="仿宋" w:eastAsia="仿宋"/>
          <w:b w:val="0"/>
          <w:bCs/>
          <w:color w:val="000000"/>
          <w:sz w:val="32"/>
          <w:szCs w:val="32"/>
        </w:rPr>
        <w:t>。</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tabs>
          <w:tab w:val="right" w:pos="8306"/>
        </w:tabs>
        <w:spacing w:line="600" w:lineRule="exact"/>
        <w:ind w:firstLine="640"/>
        <w:outlineLvl w:val="1"/>
        <w:rPr>
          <w:rStyle w:val="25"/>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1809.32</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1514.92</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生活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294.4</w:t>
      </w:r>
      <w:r>
        <w:rPr>
          <w:rFonts w:hint="eastAsia" w:ascii="仿宋" w:hAnsi="仿宋" w:eastAsia="仿宋"/>
          <w:color w:val="auto"/>
          <w:sz w:val="32"/>
          <w:szCs w:val="32"/>
          <w:highlight w:val="none"/>
        </w:rPr>
        <w:t>万元，主要包括：办公费、印刷费、水费、电费、邮电费、物业管理费、差旅费、维修（护）费、培训费、公务接待费、劳务费、工会经费、福利费、公务用车运行维护费、其他商品和服务支出。</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outlineLvl w:val="1"/>
        <w:rPr>
          <w:rStyle w:val="2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减少1.5万元，下降21.43%。</w:t>
      </w:r>
      <w:r>
        <w:rPr>
          <w:rFonts w:hint="eastAsia" w:ascii="仿宋" w:hAnsi="仿宋" w:eastAsia="仿宋"/>
          <w:color w:val="auto"/>
          <w:sz w:val="32"/>
          <w:szCs w:val="32"/>
          <w:highlight w:val="none"/>
        </w:rPr>
        <w:t>决算数与预算数持平。</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年“三公”经费财政拨款支出决算中公务用车购置及运行维护费支出决算</w:t>
      </w:r>
      <w:r>
        <w:rPr>
          <w:rFonts w:hint="eastAsia" w:ascii="仿宋" w:hAnsi="仿宋" w:eastAsia="仿宋"/>
          <w:color w:val="auto"/>
          <w:sz w:val="32"/>
          <w:szCs w:val="32"/>
          <w:highlight w:val="none"/>
          <w:lang w:val="en-US" w:eastAsia="zh-CN"/>
        </w:rPr>
        <w:t>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2"/>
        <w:rPr>
          <w:rFonts w:hint="eastAsia" w:ascii="仿宋" w:hAnsi="仿宋" w:eastAsia="仿宋"/>
          <w:color w:val="auto"/>
          <w:sz w:val="32"/>
          <w:szCs w:val="32"/>
          <w:highlight w:val="none"/>
        </w:rPr>
      </w:pPr>
      <w:r>
        <w:rPr>
          <w:rFonts w:hint="eastAsia"/>
        </w:rPr>
        <w:drawing>
          <wp:inline distT="0" distB="0" distL="0" distR="0">
            <wp:extent cx="5274310" cy="3076575"/>
            <wp:effectExtent l="5080" t="4445" r="16510" b="508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rPr>
          <w:rFonts w:hint="eastAsia" w:ascii="仿宋" w:hAnsi="仿宋" w:eastAsia="仿宋"/>
          <w:color w:val="auto"/>
          <w:sz w:val="32"/>
          <w:szCs w:val="32"/>
          <w:highlight w:val="none"/>
        </w:rPr>
      </w:pP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4.5</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21.43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现有车辆比上年减少</w:t>
      </w:r>
      <w:r>
        <w:rPr>
          <w:rFonts w:hint="eastAsia" w:ascii="仿宋_GB2312" w:eastAsia="仿宋_GB2312"/>
          <w:color w:val="auto"/>
          <w:sz w:val="32"/>
          <w:szCs w:val="32"/>
          <w:highlight w:val="none"/>
        </w:rPr>
        <w:t>。</w:t>
      </w:r>
    </w:p>
    <w:p>
      <w:pPr>
        <w:spacing w:line="600" w:lineRule="exact"/>
        <w:ind w:firstLine="640"/>
        <w:rPr>
          <w:rFonts w:ascii="仿宋_GB2312" w:eastAsia="仿宋_GB2312"/>
          <w:sz w:val="32"/>
          <w:szCs w:val="32"/>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4.5</w:t>
      </w:r>
      <w:r>
        <w:rPr>
          <w:rFonts w:hint="eastAsia" w:ascii="仿宋_GB2312" w:eastAsia="仿宋_GB2312"/>
          <w:color w:val="auto"/>
          <w:sz w:val="32"/>
          <w:szCs w:val="32"/>
          <w:highlight w:val="none"/>
        </w:rPr>
        <w:t>万元。主要用于</w:t>
      </w:r>
      <w:r>
        <w:rPr>
          <w:rFonts w:hint="eastAsia" w:ascii="仿宋_GB2312" w:eastAsia="仿宋_GB2312"/>
          <w:sz w:val="32"/>
          <w:szCs w:val="32"/>
        </w:rPr>
        <w:t>接送病人及出差等所需的公务用车燃料费、维修费、过路过桥费、保险费等支出。</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特种专业技术车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2</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。其中：</w:t>
      </w:r>
      <w:bookmarkStart w:id="67" w:name="_GoBack"/>
      <w:bookmarkEnd w:id="67"/>
    </w:p>
    <w:p>
      <w:pPr>
        <w:spacing w:line="600" w:lineRule="exact"/>
        <w:ind w:firstLine="640"/>
        <w:rPr>
          <w:rFonts w:ascii="黑体" w:eastAsia="黑体"/>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w:t>
      </w:r>
      <w:r>
        <w:rPr>
          <w:rFonts w:hint="eastAsia" w:ascii="仿宋_GB2312" w:eastAsia="仿宋_GB2312"/>
          <w:color w:val="auto"/>
          <w:sz w:val="32"/>
          <w:szCs w:val="32"/>
          <w:highlight w:val="none"/>
        </w:rPr>
        <w:t>万元，主要用于执行公务、开展业务活动开支的用餐费等)。国内公务接待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市药管站检查工作</w:t>
      </w:r>
      <w:r>
        <w:rPr>
          <w:rFonts w:hint="eastAsia" w:ascii="仿宋_GB2312" w:eastAsia="仿宋_GB2312"/>
          <w:color w:val="auto"/>
          <w:sz w:val="32"/>
          <w:szCs w:val="32"/>
          <w:highlight w:val="none"/>
          <w:lang w:val="en-US" w:eastAsia="zh-CN"/>
        </w:rPr>
        <w:t>633元，市保健院指导二甲复评工作1060元，省保健质控专家组质控900元，省二甲复评工作组二甲复评7407元。</w:t>
      </w:r>
      <w:bookmarkStart w:id="40" w:name="_Toc15377218"/>
      <w:bookmarkStart w:id="41" w:name="_Toc15396610"/>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无</w:t>
      </w:r>
    </w:p>
    <w:p>
      <w:pPr>
        <w:numPr>
          <w:ilvl w:val="0"/>
          <w:numId w:val="3"/>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44" w:name="_Toc15396612"/>
      <w:bookmarkStart w:id="45" w:name="_Toc15377221"/>
      <w:r>
        <w:rPr>
          <w:rStyle w:val="2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无</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无</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我中心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w:t>
      </w:r>
      <w:r>
        <w:rPr>
          <w:rFonts w:hint="eastAsia" w:ascii="仿宋_GB2312" w:eastAsia="仿宋_GB2312"/>
          <w:color w:val="000000"/>
          <w:sz w:val="32"/>
          <w:szCs w:val="32"/>
        </w:rPr>
        <w:t>特种专业技术用车</w:t>
      </w:r>
      <w:r>
        <w:rPr>
          <w:rFonts w:ascii="仿宋_GB2312" w:eastAsia="仿宋_GB2312"/>
          <w:color w:val="000000"/>
          <w:sz w:val="32"/>
          <w:szCs w:val="32"/>
        </w:rPr>
        <w:t>2</w:t>
      </w:r>
      <w:r>
        <w:rPr>
          <w:rFonts w:hint="eastAsia" w:ascii="仿宋_GB2312" w:eastAsia="仿宋_GB2312"/>
          <w:color w:val="000000"/>
          <w:sz w:val="32"/>
          <w:szCs w:val="32"/>
        </w:rPr>
        <w:t>辆、其他用车1辆，其他用车主要是用于下乡帮扶及平时与各乡镇和上级部门业务往来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台。</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eastAsia="zh-CN"/>
        </w:rPr>
        <w:t>部门整体支出绩效</w:t>
      </w:r>
      <w:r>
        <w:rPr>
          <w:rFonts w:hint="eastAsia" w:ascii="仿宋_GB2312" w:hAnsi="仿宋_GB2312" w:eastAsia="仿宋_GB2312" w:cs="仿宋_GB2312"/>
          <w:color w:val="auto"/>
          <w:sz w:val="32"/>
          <w:szCs w:val="32"/>
          <w:highlight w:val="none"/>
        </w:rPr>
        <w:t>项目</w:t>
      </w:r>
      <w:r>
        <w:rPr>
          <w:rFonts w:hint="eastAsia" w:hAnsi="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hint="eastAsia" w:ascii="仿宋_GB2312" w:eastAsia="仿宋"/>
          <w:b w:val="0"/>
          <w:bCs w:val="0"/>
          <w:color w:val="000000"/>
          <w:sz w:val="32"/>
          <w:szCs w:val="32"/>
        </w:rPr>
      </w:pPr>
      <w:r>
        <w:rPr>
          <w:rFonts w:hint="eastAsia" w:ascii="仿宋_GB2312" w:eastAsia="仿宋_GB2312"/>
          <w:b w:val="0"/>
          <w:bCs w:val="0"/>
          <w:color w:val="auto"/>
          <w:sz w:val="32"/>
          <w:szCs w:val="32"/>
          <w:highlight w:val="none"/>
          <w:lang w:val="en-US" w:eastAsia="zh-CN"/>
        </w:rPr>
        <w:t>2</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社会保障和就业（类）</w:t>
      </w:r>
      <w:r>
        <w:rPr>
          <w:rStyle w:val="14"/>
          <w:rFonts w:hint="eastAsia" w:ascii="仿宋" w:hAnsi="仿宋" w:eastAsia="仿宋"/>
          <w:b w:val="0"/>
          <w:bCs w:val="0"/>
          <w:color w:val="000000"/>
          <w:sz w:val="32"/>
          <w:szCs w:val="32"/>
        </w:rPr>
        <w:t>行政事业单位养老支出</w:t>
      </w:r>
      <w:r>
        <w:rPr>
          <w:rFonts w:hint="eastAsia" w:ascii="仿宋_GB2312" w:eastAsia="仿宋_GB2312"/>
          <w:b w:val="0"/>
          <w:bCs w:val="0"/>
          <w:color w:val="000000"/>
          <w:sz w:val="32"/>
          <w:szCs w:val="32"/>
        </w:rPr>
        <w:t>（款）</w:t>
      </w:r>
      <w:r>
        <w:rPr>
          <w:rStyle w:val="14"/>
          <w:rFonts w:hint="eastAsia" w:ascii="仿宋" w:hAnsi="仿宋" w:eastAsia="仿宋"/>
          <w:b w:val="0"/>
          <w:bCs w:val="0"/>
          <w:color w:val="000000"/>
          <w:sz w:val="32"/>
          <w:szCs w:val="32"/>
        </w:rPr>
        <w:t>机关事业单位基本养老保险缴费支出</w:t>
      </w:r>
      <w:r>
        <w:rPr>
          <w:rFonts w:hint="eastAsia" w:ascii="仿宋_GB2312" w:eastAsia="仿宋_GB2312"/>
          <w:b w:val="0"/>
          <w:bCs w:val="0"/>
          <w:color w:val="000000"/>
          <w:sz w:val="32"/>
          <w:szCs w:val="32"/>
        </w:rPr>
        <w:t>（项）：指基本养老保险支出。</w:t>
      </w:r>
    </w:p>
    <w:p>
      <w:pPr>
        <w:ind w:firstLine="640" w:firstLineChars="200"/>
        <w:rPr>
          <w:rFonts w:hint="eastAsia" w:ascii="仿宋_GB2312" w:eastAsia="仿宋"/>
          <w:b w:val="0"/>
          <w:bCs w:val="0"/>
          <w:color w:val="000000"/>
          <w:sz w:val="32"/>
          <w:szCs w:val="32"/>
        </w:rPr>
      </w:pPr>
      <w:r>
        <w:rPr>
          <w:rFonts w:hint="eastAsia" w:ascii="仿宋_GB2312" w:eastAsia="仿宋_GB2312"/>
          <w:b w:val="0"/>
          <w:bCs w:val="0"/>
          <w:color w:val="000000"/>
          <w:sz w:val="32"/>
          <w:szCs w:val="32"/>
          <w:lang w:val="en-US" w:eastAsia="zh-CN"/>
        </w:rPr>
        <w:t>3</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卫生健康支出（类）公共卫生（款）妇幼保健机构（项）：指单位基本运行费；</w:t>
      </w:r>
      <w:r>
        <w:rPr>
          <w:rStyle w:val="14"/>
          <w:rFonts w:hint="eastAsia" w:ascii="仿宋" w:hAnsi="仿宋" w:eastAsia="仿宋"/>
          <w:b w:val="0"/>
          <w:bCs w:val="0"/>
          <w:color w:val="000000"/>
          <w:sz w:val="32"/>
          <w:szCs w:val="32"/>
        </w:rPr>
        <w:t>基本公共卫生服务（项）：指免费孕前优生健康检查、妇幼卫生监测、农村妇女两癌筛查项目；重大公共卫生服务（项）：指艾滋病防治；行政事业单位医疗（款）事业单位医疗（项）：指单位医疗保险支出。</w:t>
      </w:r>
    </w:p>
    <w:p>
      <w:pPr>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6</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住房保障（类）住房改革（款）住房公积金（项）：指住房公积金。</w:t>
      </w:r>
    </w:p>
    <w:p>
      <w:pPr>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7</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2"/>
        <w:spacing w:line="560"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rPr>
        <w:t>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53" w:name="_Toc15396618"/>
      <w:r>
        <w:rPr>
          <w:rFonts w:hint="eastAsia" w:ascii="宋体" w:hAnsi="宋体" w:eastAsia="宋体" w:cs="宋体"/>
          <w:color w:val="auto"/>
          <w:kern w:val="0"/>
          <w:sz w:val="32"/>
          <w:szCs w:val="32"/>
          <w:highlight w:val="none"/>
          <w:lang w:val="en-US" w:eastAsia="zh-CN" w:bidi="ar-SA"/>
        </w:rPr>
        <w:t>部门预算项目支出绩效自评表（2022年度）</w:t>
      </w:r>
    </w:p>
    <w:p>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bookmarkEnd w:id="65"/>
      <w:r>
        <w:rPr>
          <w:rStyle w:val="25"/>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25"/>
          <w:rFonts w:hint="eastAsia" w:ascii="仿宋" w:hAnsi="仿宋" w:eastAsia="仿宋"/>
          <w:b w:val="0"/>
          <w:bCs w:val="0"/>
          <w:color w:val="auto"/>
          <w:highlight w:val="none"/>
        </w:rPr>
        <w:t>十三、</w:t>
      </w:r>
      <w:bookmarkEnd w:id="66"/>
      <w:r>
        <w:rPr>
          <w:rStyle w:val="25"/>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NzNlNjUxNmIyMDUxNjQ0YTBmM2Y4M2NmNTFjZ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2916BA"/>
    <w:rsid w:val="10C055FF"/>
    <w:rsid w:val="118107EC"/>
    <w:rsid w:val="11DD6519"/>
    <w:rsid w:val="1434124B"/>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4D2452C"/>
    <w:rsid w:val="454C48B3"/>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1092.67</c:v>
                </c:pt>
                <c:pt idx="1">
                  <c:v>1292.67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1898.27</c:v>
                </c:pt>
                <c:pt idx="1">
                  <c:v>1898.27</c:v>
                </c:pt>
              </c:numCache>
            </c:numRef>
          </c:val>
        </c:ser>
        <c:dLbls>
          <c:showLegendKey val="0"/>
          <c:showVal val="0"/>
          <c:showCatName val="0"/>
          <c:showSerName val="0"/>
          <c:showPercent val="0"/>
          <c:showBubbleSize val="0"/>
        </c:dLbls>
        <c:gapWidth val="219"/>
        <c:overlap val="-27"/>
        <c:axId val="787336936"/>
        <c:axId val="787338904"/>
      </c:barChart>
      <c:catAx>
        <c:axId val="78733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338904"/>
        <c:crosses val="autoZero"/>
        <c:auto val="1"/>
        <c:lblAlgn val="ctr"/>
        <c:lblOffset val="100"/>
        <c:noMultiLvlLbl val="0"/>
      </c:catAx>
      <c:valAx>
        <c:axId val="787338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336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100%</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10.9267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31431667934549"/>
                  <c:y val="-0.257278927560365"/>
                </c:manualLayout>
              </c:layout>
              <c:tx>
                <c:rich>
                  <a:bodyPr rot="0" spcFirstLastPara="1" vertOverflow="ellipsis" vert="horz" wrap="square" lIns="38100" tIns="19050" rIns="38100" bIns="19050" anchor="ctr" anchorCtr="1">
                    <a:noAutofit/>
                  </a:bodyPr>
                  <a:lstStyle/>
                  <a:p>
                    <a:fld id="{08c0bf43-2da3-4c6a-b7f5-e8ae53937b0f}" type="VALUE">
                      <a:t>[VALUE]</a:t>
                    </a:fld>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4223452925596"/>
                      <c:h val="0.140289120206723"/>
                    </c:manualLayout>
                  </c15:layout>
                </c:ext>
              </c:extLst>
            </c:dLbl>
            <c:dLbl>
              <c:idx val="1"/>
              <c:layout>
                <c:manualLayout>
                  <c:x val="0.0023878246547156"/>
                  <c:y val="0.035979748328379"/>
                </c:manualLayout>
              </c:layout>
              <c:tx>
                <c:rich>
                  <a:bodyPr rot="0" spcFirstLastPara="1" vertOverflow="ellipsis" vert="horz" wrap="square" lIns="38100" tIns="19050" rIns="38100" bIns="19050" anchor="ctr" anchorCtr="1"/>
                  <a:lstStyle/>
                  <a:p>
                    <a:fld id="{e1ad3e8b-b6e3-429d-8949-408202bde787}" type="VALUE">
                      <a:t>[VALUE]</a:t>
                    </a:fld>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1809.32</c:v>
                </c:pt>
                <c:pt idx="1">
                  <c:v>88.94</c:v>
                </c:pt>
              </c:numCache>
            </c:numRef>
          </c:val>
        </c:ser>
        <c:ser>
          <c:idx val="1"/>
          <c:order val="1"/>
          <c:tx>
            <c:strRef>
              <c:f>Sheet1!$C$1</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Sheet1!$C$2:$C$3</c:f>
              <c:numCache>
                <c:formatCode>General</c:formatCode>
                <c:ptCount val="2"/>
                <c:pt idx="0">
                  <c:v>72.23</c:v>
                </c:pt>
                <c:pt idx="1">
                  <c:v>27.77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1092.67</c:v>
                </c:pt>
                <c:pt idx="1">
                  <c:v>1292.67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1898.27</c:v>
                </c:pt>
                <c:pt idx="1">
                  <c:v>1898.27</c:v>
                </c:pt>
              </c:numCache>
            </c:numRef>
          </c:val>
        </c:ser>
        <c:dLbls>
          <c:showLegendKey val="0"/>
          <c:showVal val="0"/>
          <c:showCatName val="0"/>
          <c:showSerName val="0"/>
          <c:showPercent val="0"/>
          <c:showBubbleSize val="0"/>
        </c:dLbls>
        <c:gapWidth val="219"/>
        <c:overlap val="-27"/>
        <c:axId val="787336936"/>
        <c:axId val="787338904"/>
      </c:barChart>
      <c:catAx>
        <c:axId val="78733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338904"/>
        <c:crosses val="autoZero"/>
        <c:auto val="1"/>
        <c:lblAlgn val="ctr"/>
        <c:lblOffset val="100"/>
        <c:noMultiLvlLbl val="0"/>
      </c:catAx>
      <c:valAx>
        <c:axId val="787338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336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1292.67</c:v>
                </c:pt>
                <c:pt idx="1">
                  <c:v>1898.27</c:v>
                </c:pt>
              </c:numCache>
            </c:numRef>
          </c:val>
        </c:ser>
        <c:dLbls>
          <c:showLegendKey val="0"/>
          <c:showVal val="0"/>
          <c:showCatName val="0"/>
          <c:showSerName val="0"/>
          <c:showPercent val="0"/>
          <c:showBubbleSize val="0"/>
        </c:dLbls>
        <c:gapWidth val="219"/>
        <c:overlap val="-27"/>
        <c:axId val="787336936"/>
        <c:axId val="787338904"/>
      </c:barChart>
      <c:catAx>
        <c:axId val="78733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338904"/>
        <c:crosses val="autoZero"/>
        <c:auto val="1"/>
        <c:lblAlgn val="ctr"/>
        <c:lblOffset val="100"/>
        <c:noMultiLvlLbl val="0"/>
      </c:catAx>
      <c:valAx>
        <c:axId val="787338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336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0851169736187"/>
          <c:y val="0.0241691842900302"/>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1039244943888"/>
          <c:y val="0.149432404540764"/>
          <c:w val="0.409763741607907"/>
          <c:h val="0.702476292630604"/>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7332005973121"/>
                  <c:y val="0.0241691842900302"/>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baseline="0"/>
                      <a:t>5.55%</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74216027874564"/>
                  <c:y val="0.0080563947633434"/>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baseline="0"/>
                      <a:t>90.48%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48432055749129"/>
                  <c:y val="0.00805639476334338"/>
                </c:manualLayout>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3.97%</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105.43</c:v>
                </c:pt>
                <c:pt idx="1">
                  <c:v>1717.54</c:v>
                </c:pt>
                <c:pt idx="2">
                  <c:v>75.3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145086087090065"/>
          <c:y val="0.930340069720387"/>
          <c:w val="0.733677192789926"/>
          <c:h val="0.0679763065870543"/>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650132434384781"/>
                  <c:y val="-0.0990712074303406"/>
                </c:manualLayout>
              </c:layout>
              <c:tx>
                <c:rich>
                  <a:bodyPr rot="0" spcFirstLastPara="1" vertOverflow="clip" vert="horz" wrap="square" lIns="38100" tIns="19050" rIns="38100" bIns="19050" anchor="ctr" anchorCtr="1"/>
                  <a:lstStyle/>
                  <a:p>
                    <a:fld id="{f9fcbbb7-075a-4f0e-b7ed-289eb0f3736a}" type="CATEGORYNAME">
                      <a:t>[CATEGORY NAME]</a:t>
                    </a:fld>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tx>
                <c:rich>
                  <a:bodyPr rot="0" spcFirstLastPara="1" vertOverflow="clip" vert="horz" wrap="square" lIns="38100" tIns="19050" rIns="38100" bIns="19050" anchor="ctr" anchorCtr="1"/>
                  <a:lstStyle/>
                  <a:p>
                    <a:fld id="{7b14349e-acc7-403b-9051-324daa7d9bca}" type="CATEGORYNAME">
                      <a:t>[CATEGORY NAME]</a:t>
                    </a:fld>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c:v>
                </c:pt>
                <c:pt idx="1">
                  <c:v>公务接待费</c:v>
                </c:pt>
              </c:strCache>
            </c:strRef>
          </c:cat>
          <c:val>
            <c:numRef>
              <c:f>Sheet1!$B$2:$B$3</c:f>
              <c:numCache>
                <c:formatCode>General</c:formatCode>
                <c:ptCount val="2"/>
                <c:pt idx="0">
                  <c:v>4.5</c:v>
                </c:pt>
                <c:pt idx="1">
                  <c:v>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41</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2023-10-10T08:27:09Z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4EAF82C738844EB091EFF3A0D6A690CA_13</vt:lpwstr>
  </property>
</Properties>
</file>