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38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4998809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jc w:val="center"/>
        <w:textAlignment w:val="auto"/>
        <w:rPr>
          <w:rFonts w:hint="eastAsia" w:ascii="方正小标宋简体" w:hAnsi="楷体" w:eastAsia="方正小标宋简体"/>
          <w:bCs/>
          <w:w w:val="90"/>
          <w:sz w:val="44"/>
          <w:szCs w:val="44"/>
          <w:lang w:val="en-US" w:eastAsia="zh-CN"/>
        </w:rPr>
      </w:pPr>
    </w:p>
    <w:p w14:paraId="2C6520E1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jc w:val="center"/>
        <w:textAlignment w:val="auto"/>
        <w:rPr>
          <w:rFonts w:hint="eastAsia" w:ascii="方正小标宋简体" w:hAnsi="楷体" w:eastAsia="方正小标宋简体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楷体" w:eastAsia="方正小标宋简体"/>
          <w:bCs/>
          <w:w w:val="90"/>
          <w:sz w:val="44"/>
          <w:szCs w:val="44"/>
          <w:lang w:val="en-US" w:eastAsia="zh-CN"/>
        </w:rPr>
        <w:t>开江县2023年油茶低效林改造项目实施方案</w:t>
      </w:r>
    </w:p>
    <w:p w14:paraId="0EBDEF41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120" w:after="240" w:line="540" w:lineRule="exact"/>
        <w:jc w:val="center"/>
        <w:textAlignment w:val="auto"/>
        <w:rPr>
          <w:rFonts w:ascii="方正小标宋简体" w:hAnsi="黑体" w:eastAsia="方正小标宋简体"/>
          <w:b w:val="0"/>
          <w:sz w:val="36"/>
          <w:szCs w:val="36"/>
        </w:rPr>
      </w:pPr>
      <w:bookmarkStart w:id="0" w:name="_Toc415598249"/>
      <w:bookmarkStart w:id="1" w:name="_Toc415132790"/>
      <w:bookmarkStart w:id="2" w:name="_Toc396156641"/>
      <w:bookmarkStart w:id="3" w:name="_Toc415132227"/>
      <w:bookmarkStart w:id="4" w:name="_Toc396156863"/>
      <w:bookmarkStart w:id="5" w:name="_Toc490036736"/>
      <w:bookmarkStart w:id="6" w:name="_Toc362344698"/>
      <w:bookmarkStart w:id="7" w:name="_Toc396156962"/>
      <w:r>
        <w:rPr>
          <w:rFonts w:hint="eastAsia" w:ascii="方正小标宋简体" w:hAnsi="黑体" w:eastAsia="方正小标宋简体"/>
          <w:b w:val="0"/>
          <w:sz w:val="36"/>
          <w:szCs w:val="36"/>
        </w:rPr>
        <w:t>第一章  项目概况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2204AF6D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8" w:name="_Toc490036737"/>
      <w:bookmarkStart w:id="9" w:name="_Toc415132791"/>
      <w:bookmarkStart w:id="10" w:name="_Toc415598250"/>
      <w:r>
        <w:rPr>
          <w:rFonts w:ascii="黑体" w:hAnsi="黑体" w:eastAsia="黑体"/>
          <w:b w:val="0"/>
          <w:sz w:val="32"/>
          <w:szCs w:val="32"/>
        </w:rPr>
        <w:t>一、</w:t>
      </w: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项目</w:t>
      </w:r>
      <w:r>
        <w:rPr>
          <w:rFonts w:ascii="黑体" w:hAnsi="黑体" w:eastAsia="黑体"/>
          <w:b w:val="0"/>
          <w:sz w:val="32"/>
          <w:szCs w:val="32"/>
        </w:rPr>
        <w:t>名称</w:t>
      </w:r>
      <w:bookmarkEnd w:id="8"/>
      <w:bookmarkEnd w:id="9"/>
      <w:bookmarkEnd w:id="10"/>
    </w:p>
    <w:p w14:paraId="5DB19CCC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490036740"/>
      <w:bookmarkStart w:id="12" w:name="_Toc415132794"/>
      <w:bookmarkStart w:id="13" w:name="_Toc41559825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开江县2023年油茶低效林改造项目</w:t>
      </w:r>
    </w:p>
    <w:p w14:paraId="1EE17A17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项目</w:t>
      </w:r>
      <w:bookmarkEnd w:id="11"/>
      <w:bookmarkEnd w:id="12"/>
      <w:bookmarkEnd w:id="13"/>
      <w:r>
        <w:rPr>
          <w:rFonts w:hint="eastAsia" w:ascii="黑体" w:hAnsi="黑体" w:eastAsia="黑体"/>
          <w:b w:val="0"/>
          <w:sz w:val="32"/>
          <w:szCs w:val="32"/>
        </w:rPr>
        <w:t>主管部门</w:t>
      </w:r>
    </w:p>
    <w:p w14:paraId="18CA7434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0" w:firstLineChars="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开江县林业局</w:t>
      </w:r>
    </w:p>
    <w:p w14:paraId="43B7D8AF"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实施主体</w:t>
      </w:r>
    </w:p>
    <w:p w14:paraId="0B3AE42A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由县林业局在县域内遴选符合油茶低效林改造的经营主体，待本方案审定后开展遴选工作。（油茶低效林评判标准：1.连续 3 年产量较同类立地条件林分的平均水平低 30%以上。2.林木或品种退化，产品类型和质量已不适应市场需求。）</w:t>
      </w:r>
    </w:p>
    <w:p w14:paraId="55953529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四、</w:t>
      </w:r>
      <w:bookmarkStart w:id="14" w:name="_Toc415132795"/>
      <w:bookmarkStart w:id="15" w:name="_Toc490036741"/>
      <w:bookmarkStart w:id="16" w:name="_Toc415598254"/>
      <w:r>
        <w:rPr>
          <w:rFonts w:ascii="黑体" w:hAnsi="黑体" w:eastAsia="黑体"/>
          <w:b w:val="0"/>
          <w:sz w:val="32"/>
          <w:szCs w:val="32"/>
        </w:rPr>
        <w:t>建设任务</w:t>
      </w:r>
      <w:bookmarkEnd w:id="14"/>
      <w:bookmarkEnd w:id="15"/>
      <w:bookmarkEnd w:id="16"/>
    </w:p>
    <w:p w14:paraId="0AF140E7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改造油茶低效林0.1万亩</w:t>
      </w:r>
    </w:p>
    <w:p w14:paraId="3F45F304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五、资金来源</w:t>
      </w:r>
    </w:p>
    <w:p w14:paraId="7B1827D4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2023年省级财政林业草原专项资金60万元</w:t>
      </w:r>
    </w:p>
    <w:p w14:paraId="19CB447C">
      <w:pPr>
        <w:pStyle w:val="4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hint="eastAsia" w:ascii="黑体" w:hAns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32"/>
          <w:lang w:val="en-US" w:eastAsia="zh-CN"/>
        </w:rPr>
        <w:t>奖补兑现</w:t>
      </w:r>
    </w:p>
    <w:p w14:paraId="79C88ED7">
      <w:pPr>
        <w:numPr>
          <w:ilvl w:val="0"/>
          <w:numId w:val="0"/>
        </w:numPr>
        <w:ind w:firstLine="42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由县林业局会同相关部门验收合格后，按照每亩600元/亩标准兑现奖补资金。</w:t>
      </w:r>
    </w:p>
    <w:p w14:paraId="0664AAA3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17" w:name="_Toc415598255"/>
      <w:bookmarkStart w:id="18" w:name="_Toc415132796"/>
      <w:bookmarkStart w:id="19" w:name="_Toc490036742"/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七</w:t>
      </w:r>
      <w:r>
        <w:rPr>
          <w:rFonts w:ascii="黑体" w:hAnsi="黑体" w:eastAsia="黑体"/>
          <w:b w:val="0"/>
          <w:sz w:val="32"/>
          <w:szCs w:val="32"/>
        </w:rPr>
        <w:t>、项目建设期限</w:t>
      </w:r>
      <w:bookmarkEnd w:id="17"/>
      <w:bookmarkEnd w:id="18"/>
      <w:bookmarkEnd w:id="19"/>
    </w:p>
    <w:p w14:paraId="268E9C2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2025年4月至2026年3月</w:t>
      </w:r>
      <w:bookmarkStart w:id="20" w:name="_Toc371674995"/>
      <w:bookmarkStart w:id="21" w:name="_Toc371673836"/>
      <w:bookmarkStart w:id="22" w:name="_Toc371673953"/>
      <w:bookmarkStart w:id="23" w:name="_Toc371674726"/>
      <w:bookmarkStart w:id="24" w:name="_Toc371674862"/>
      <w:bookmarkStart w:id="25" w:name="_Toc415132801"/>
      <w:bookmarkStart w:id="26" w:name="_Toc371674944"/>
      <w:bookmarkStart w:id="27" w:name="_Toc396156643"/>
      <w:bookmarkStart w:id="28" w:name="_Toc415598260"/>
      <w:bookmarkStart w:id="29" w:name="_Toc371676669"/>
      <w:bookmarkStart w:id="30" w:name="_Toc371674088"/>
      <w:bookmarkStart w:id="31" w:name="_Toc415132229"/>
      <w:bookmarkStart w:id="32" w:name="_Toc371674149"/>
      <w:bookmarkStart w:id="33" w:name="_Toc396156865"/>
      <w:bookmarkStart w:id="34" w:name="_Toc490036747"/>
      <w:bookmarkStart w:id="35" w:name="_Toc396156964"/>
      <w:bookmarkStart w:id="36" w:name="_Toc371674528"/>
      <w:bookmarkStart w:id="37" w:name="_Toc490036750"/>
      <w:bookmarkStart w:id="38" w:name="_Toc396156644"/>
      <w:bookmarkStart w:id="39" w:name="_Toc396156965"/>
      <w:bookmarkStart w:id="40" w:name="_Toc396156866"/>
      <w:bookmarkStart w:id="41" w:name="_Toc415132804"/>
      <w:bookmarkStart w:id="42" w:name="_Toc362344700"/>
      <w:bookmarkStart w:id="43" w:name="_Toc415132230"/>
      <w:bookmarkStart w:id="44" w:name="_Toc415598263"/>
    </w:p>
    <w:p w14:paraId="433F69D5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jc w:val="center"/>
        <w:textAlignment w:val="auto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二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  设计依据及原则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Start w:id="45" w:name="_Toc371676670"/>
    </w:p>
    <w:p w14:paraId="42E6BEFC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46" w:name="_Toc415132802"/>
      <w:bookmarkStart w:id="47" w:name="_Toc490036748"/>
      <w:bookmarkStart w:id="48" w:name="_Toc415598261"/>
      <w:r>
        <w:rPr>
          <w:rFonts w:hint="eastAsia" w:ascii="黑体" w:hAnsi="黑体" w:eastAsia="黑体"/>
          <w:b w:val="0"/>
          <w:sz w:val="32"/>
          <w:szCs w:val="32"/>
        </w:rPr>
        <w:t>一、项目设计</w:t>
      </w:r>
      <w:r>
        <w:rPr>
          <w:rFonts w:ascii="黑体" w:hAnsi="黑体" w:eastAsia="黑体"/>
          <w:b w:val="0"/>
          <w:sz w:val="32"/>
          <w:szCs w:val="32"/>
        </w:rPr>
        <w:t>依据</w:t>
      </w:r>
      <w:bookmarkEnd w:id="45"/>
      <w:bookmarkEnd w:id="46"/>
      <w:bookmarkEnd w:id="47"/>
      <w:bookmarkEnd w:id="48"/>
    </w:p>
    <w:p w14:paraId="619C04C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9" w:name="_Toc338060005"/>
      <w:bookmarkStart w:id="50" w:name="_Toc338060119"/>
      <w:bookmarkStart w:id="51" w:name="_Toc287190342"/>
      <w:bookmarkStart w:id="52" w:name="_Toc337846232"/>
      <w:bookmarkStart w:id="53" w:name="_Toc37167667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（一）《四川省财政厅 四川省林业和草原局关于下达2023年省级财政林业草原专项资金预算（第三批）的通知》（川财资环〔2023〕102号）；</w:t>
      </w:r>
    </w:p>
    <w:p w14:paraId="2138053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（二）《造林作业设计规程》（GB/T15776-2023）；</w:t>
      </w:r>
    </w:p>
    <w:p w14:paraId="269F8C2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（三）《低效林改造技术规程》（LY/T1690-2017）；</w:t>
      </w:r>
    </w:p>
    <w:p w14:paraId="790EBC8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（四）《四川省森林资源规划设计调查技术细则》（2013年）;</w:t>
      </w:r>
    </w:p>
    <w:p w14:paraId="56AAB57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（五）《四川省林木种子质量分级》（DB51/T706-2007）；</w:t>
      </w:r>
    </w:p>
    <w:p w14:paraId="6A56E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（六）《四川主要造林树种苗木质量分级》（DB51/T705-2007）；</w:t>
      </w:r>
    </w:p>
    <w:p w14:paraId="5BB9D1B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（七）《建设工程工程量清单计价规范》（GB50500-2013）；</w:t>
      </w:r>
    </w:p>
    <w:p w14:paraId="0FCBC4B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（八）2020年《四川省建设工程工程量清单计价定额》。</w:t>
      </w:r>
    </w:p>
    <w:p w14:paraId="1CB95FA0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bookmarkStart w:id="54" w:name="_Toc490036749"/>
      <w:bookmarkStart w:id="55" w:name="_Toc415598262"/>
      <w:bookmarkStart w:id="56" w:name="_Toc415132803"/>
      <w:r>
        <w:rPr>
          <w:rFonts w:hint="eastAsia" w:ascii="黑体" w:hAnsi="黑体" w:eastAsia="黑体"/>
          <w:b w:val="0"/>
          <w:sz w:val="32"/>
          <w:szCs w:val="32"/>
        </w:rPr>
        <w:t>二、项目设计</w:t>
      </w:r>
      <w:r>
        <w:rPr>
          <w:rFonts w:ascii="黑体" w:hAnsi="黑体" w:eastAsia="黑体"/>
          <w:b w:val="0"/>
          <w:sz w:val="32"/>
          <w:szCs w:val="32"/>
        </w:rPr>
        <w:t>原则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692DCA1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（一）统筹规划，合理布局，整体推进，集中成片。</w:t>
      </w:r>
    </w:p>
    <w:p w14:paraId="19F7602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（二）推广新科技成果，提高工程建设成效。</w:t>
      </w:r>
    </w:p>
    <w:p w14:paraId="41816F6F">
      <w:pPr>
        <w:numPr>
          <w:ilvl w:val="0"/>
          <w:numId w:val="0"/>
        </w:numPr>
        <w:ind w:firstLine="640" w:firstLineChars="200"/>
        <w:jc w:val="center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（三）坚持以质量效益为中心，技术经济相统一的原则。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三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</w:t>
      </w:r>
      <w:r>
        <w:rPr>
          <w:rFonts w:ascii="方正小标宋简体" w:hAnsi="黑体" w:eastAsia="方正小标宋简体"/>
          <w:b w:val="0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建设任务与内容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A0CD5D9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bookmarkStart w:id="57" w:name="_Toc415132805"/>
      <w:bookmarkStart w:id="58" w:name="_Toc415598264"/>
      <w:bookmarkStart w:id="59" w:name="_Toc490036751"/>
      <w:r>
        <w:rPr>
          <w:rFonts w:hint="eastAsia" w:ascii="黑体" w:hAnsi="黑体" w:eastAsia="黑体"/>
          <w:b w:val="0"/>
          <w:sz w:val="32"/>
          <w:szCs w:val="32"/>
        </w:rPr>
        <w:t>一、</w:t>
      </w:r>
      <w:bookmarkEnd w:id="57"/>
      <w:bookmarkEnd w:id="58"/>
      <w:bookmarkEnd w:id="59"/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建设任务</w:t>
      </w:r>
    </w:p>
    <w:p w14:paraId="5EC391E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0" w:name="_Toc490036753"/>
      <w:bookmarkStart w:id="61" w:name="_Toc490036756"/>
      <w:bookmarkStart w:id="62" w:name="_Toc415598268"/>
      <w:bookmarkStart w:id="63" w:name="_Toc41513280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改造油茶低效林0.1万亩</w:t>
      </w:r>
    </w:p>
    <w:p w14:paraId="25F6002C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二、项目建设布局</w:t>
      </w:r>
      <w:bookmarkEnd w:id="60"/>
    </w:p>
    <w:p w14:paraId="0B6604D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统筹规划、合理布局、整村推进、集中连片的原则。根据四川省人民政府办公厅《关于印发坚决制止耕地“非农化”行为任务分工的通知》（川办函〔2020〕70号）文件精神，造林严禁占用耕地，将造林任务规划至林地。具有油茶产业发展基础，为充分发挥油茶基地的生产潜力，提高基地稳定性和效益水平。</w:t>
      </w:r>
      <w:bookmarkStart w:id="64" w:name="_Toc490036754"/>
      <w:bookmarkStart w:id="65" w:name="_Toc415598267"/>
    </w:p>
    <w:p w14:paraId="0DC6172D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40" w:firstLineChars="200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三、项目实施主体的确定</w:t>
      </w:r>
      <w:bookmarkEnd w:id="64"/>
      <w:bookmarkEnd w:id="65"/>
    </w:p>
    <w:p w14:paraId="390A8E70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由县林业局在县域内遴选符合油茶低效林改造的经营主体，待本方案审定后开展遴选工作。（油茶低效林评判标准：1.连续 3 年产量较同类立地条件林分的平均水平低 30%以上。2.林木或品种退化，产品类型和质量已不适应市场需求。）</w:t>
      </w:r>
    </w:p>
    <w:p w14:paraId="1FF47902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sz w:val="32"/>
          <w:szCs w:val="32"/>
        </w:rPr>
        <w:t>四、项目技术措施</w:t>
      </w:r>
      <w:bookmarkEnd w:id="61"/>
      <w:bookmarkEnd w:id="62"/>
      <w:bookmarkEnd w:id="63"/>
      <w:bookmarkStart w:id="66" w:name="_Toc415598273"/>
      <w:bookmarkStart w:id="67" w:name="_Toc455733237"/>
      <w:bookmarkStart w:id="68" w:name="_Toc415132813"/>
    </w:p>
    <w:p w14:paraId="7E1830B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1.时间：油茶基地补植补造时间在春、冬季。</w:t>
      </w:r>
    </w:p>
    <w:p w14:paraId="49E16F0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2．苗木来源、品种和规格：为保障本项目所用种苗100%使用油茶良种造林，施工单位需与四川省油茶保障性苗圃依法采购，签订购销协议，明确品种、数量、规格等内容。</w:t>
      </w:r>
    </w:p>
    <w:p w14:paraId="6FA65B7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油茶为2年生合格嫁接苗，充分木质化，苗木地径≥0.3厘米，苗木高≥25厘米。补植补造栽植密度为8株/亩。</w:t>
      </w:r>
    </w:p>
    <w:p w14:paraId="3FA178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3.栽植技术：苗正根舒，分层复土，压实不反山。苗木补植：春季萌芽展叶后检查成活情况，对死亡苗木及时补植。</w:t>
      </w:r>
    </w:p>
    <w:p w14:paraId="0825C03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4.土壤管理：油茶补植后，做好松土除草。每次深翻扩穴可结合施入有机肥进行。</w:t>
      </w:r>
    </w:p>
    <w:p w14:paraId="071EF47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5.水肥管理：栽植前施好底肥，油茶生长次年需要进行追肥管理。雨前施肥。以后每年施肥2次，每次增加适当的肥力，春秋进行。</w:t>
      </w:r>
    </w:p>
    <w:p w14:paraId="37703A5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修枝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修剪对目标树生长有影响的枝条。</w:t>
      </w:r>
    </w:p>
    <w:p w14:paraId="5BF853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7.清林、除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：去除病老油茶树，清除杂草、藤蔓、灌木及高大乔木，改善林内通透条件。采用机械作业的基地可把杂草、杂灌埋入土壤中。</w:t>
      </w:r>
    </w:p>
    <w:p w14:paraId="79F2911B"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after="0" w:line="540" w:lineRule="exact"/>
        <w:ind w:firstLine="656" w:firstLineChars="205"/>
        <w:jc w:val="left"/>
        <w:textAlignment w:val="auto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五、项目建设进度</w:t>
      </w:r>
      <w:bookmarkEnd w:id="66"/>
      <w:bookmarkEnd w:id="67"/>
      <w:bookmarkEnd w:id="68"/>
    </w:p>
    <w:p w14:paraId="4C44FD9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项目建设作业工序进度安排如下：</w:t>
      </w:r>
    </w:p>
    <w:p w14:paraId="6D0574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69" w:name="_Toc455733238"/>
      <w:bookmarkStart w:id="70" w:name="_Toc35405771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（一）建设期限</w:t>
      </w:r>
      <w:bookmarkEnd w:id="69"/>
      <w:bookmarkEnd w:id="70"/>
    </w:p>
    <w:p w14:paraId="4594318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项目建设周期为1年，即2025年4月至2026年3月。</w:t>
      </w:r>
    </w:p>
    <w:p w14:paraId="110EF1E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71" w:name="_Toc455733239"/>
      <w:bookmarkStart w:id="72" w:name="_Toc3540577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（二）项目实施进度安排</w:t>
      </w:r>
      <w:bookmarkEnd w:id="71"/>
      <w:bookmarkEnd w:id="72"/>
      <w:bookmarkStart w:id="73" w:name="_Toc289189895"/>
    </w:p>
    <w:p w14:paraId="532BAF2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1．2025年4月</w:t>
      </w:r>
    </w:p>
    <w:p w14:paraId="53A3D6E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外业勘测落实项目实施区域并进行规划设计。</w:t>
      </w:r>
    </w:p>
    <w:p w14:paraId="57D167B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2．2025年5月</w:t>
      </w:r>
    </w:p>
    <w:bookmarkEnd w:id="73"/>
    <w:p w14:paraId="63C50C1F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编制项目实施方案报送县人民政府批复。</w:t>
      </w:r>
    </w:p>
    <w:p w14:paraId="41E9044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74" w:name="_Toc28918989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3．2025年6月至2026年3月</w:t>
      </w:r>
    </w:p>
    <w:p w14:paraId="0F604AD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完成种苗栽植、工程验收及资金结算。</w:t>
      </w:r>
    </w:p>
    <w:bookmarkEnd w:id="74"/>
    <w:p w14:paraId="25BB395A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jc w:val="center"/>
        <w:textAlignment w:val="auto"/>
        <w:rPr>
          <w:rFonts w:hint="eastAsia" w:ascii="方正小标宋简体" w:hAnsi="黑体" w:eastAsia="方正小标宋简体"/>
          <w:b w:val="0"/>
          <w:sz w:val="36"/>
          <w:szCs w:val="36"/>
        </w:rPr>
      </w:pPr>
      <w:bookmarkStart w:id="75" w:name="_Toc415132814"/>
      <w:bookmarkStart w:id="76" w:name="_Toc362344701"/>
      <w:bookmarkStart w:id="77" w:name="_Toc490036761"/>
      <w:bookmarkStart w:id="78" w:name="_Toc415132234"/>
      <w:bookmarkStart w:id="79" w:name="_Toc415598274"/>
      <w:bookmarkStart w:id="80" w:name="_Toc396156869"/>
      <w:bookmarkStart w:id="81" w:name="_Toc396156968"/>
      <w:bookmarkStart w:id="82" w:name="_Toc396156647"/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四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</w:t>
      </w:r>
      <w:r>
        <w:rPr>
          <w:rFonts w:ascii="方正小标宋简体" w:hAnsi="黑体" w:eastAsia="方正小标宋简体"/>
          <w:b w:val="0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投资测算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Start w:id="83" w:name="_Toc415132815"/>
      <w:bookmarkStart w:id="84" w:name="_Toc490036762"/>
      <w:bookmarkStart w:id="85" w:name="_Toc415598275"/>
    </w:p>
    <w:p w14:paraId="0A74C0DB">
      <w:pPr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/>
        <w:jc w:val="both"/>
        <w:textAlignment w:val="auto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一、建设标准</w:t>
      </w:r>
      <w:bookmarkEnd w:id="83"/>
      <w:bookmarkEnd w:id="84"/>
      <w:bookmarkEnd w:id="85"/>
    </w:p>
    <w:p w14:paraId="7CC6CA9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（一）技术经济指标</w:t>
      </w:r>
    </w:p>
    <w:p w14:paraId="568BEF1F">
      <w:pPr>
        <w:numPr>
          <w:ilvl w:val="0"/>
          <w:numId w:val="0"/>
        </w:numPr>
        <w:ind w:firstLine="640" w:firstLineChars="200"/>
        <w:rPr>
          <w:rFonts w:hint="eastAsia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根据《林业基本建设工程概算编制方法》，以2015年《四川省建设工程工程量清单计价定额》为基础，参考现行市场价格和当地劳动力水平，编制主要建设内容投资测算指标。</w:t>
      </w:r>
    </w:p>
    <w:tbl>
      <w:tblPr>
        <w:tblStyle w:val="9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869"/>
        <w:gridCol w:w="1607"/>
        <w:gridCol w:w="1280"/>
        <w:gridCol w:w="660"/>
        <w:gridCol w:w="1406"/>
      </w:tblGrid>
      <w:tr w14:paraId="7317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52B6BD"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bookmarkStart w:id="86" w:name="RANGE!A1:F22"/>
            <w:r>
              <w:rPr>
                <w:rFonts w:hint="eastAsia" w:ascii="黑体" w:hAnsi="黑体" w:eastAsia="黑体"/>
                <w:sz w:val="32"/>
                <w:szCs w:val="32"/>
              </w:rPr>
              <w:t>开江县202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改造油茶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基地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建设</w:t>
            </w:r>
            <w:r>
              <w:rPr>
                <w:rFonts w:ascii="黑体" w:hAnsi="黑体" w:eastAsia="黑体"/>
                <w:sz w:val="32"/>
                <w:szCs w:val="32"/>
              </w:rPr>
              <w:t>项目主要技术经济指标表</w:t>
            </w:r>
            <w:bookmarkEnd w:id="86"/>
          </w:p>
          <w:p w14:paraId="307EE179">
            <w:pPr>
              <w:widowControl/>
              <w:spacing w:line="480" w:lineRule="exact"/>
              <w:ind w:firstLine="44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2"/>
                <w:szCs w:val="22"/>
              </w:rPr>
              <w:t>表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</w:tr>
      <w:tr w14:paraId="30C5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565" w:type="dxa"/>
            <w:vMerge w:val="restart"/>
            <w:tcBorders>
              <w:top w:val="single" w:color="auto" w:sz="4" w:space="0"/>
            </w:tcBorders>
            <w:vAlign w:val="center"/>
          </w:tcPr>
          <w:p w14:paraId="0D09C09A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序号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</w:tcBorders>
            <w:vAlign w:val="center"/>
          </w:tcPr>
          <w:p w14:paraId="4642C951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项 目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</w:tcBorders>
            <w:vAlign w:val="center"/>
          </w:tcPr>
          <w:p w14:paraId="1E6A6A5E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规格、型号</w:t>
            </w:r>
          </w:p>
          <w:p w14:paraId="26C01A3E">
            <w:pPr>
              <w:widowControl/>
              <w:spacing w:line="300" w:lineRule="exact"/>
              <w:ind w:firstLine="33" w:firstLineChars="13"/>
              <w:jc w:val="center"/>
              <w:rPr>
                <w:rFonts w:hint="eastAsia" w:ascii="仿宋_GB2312" w:eastAsia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/>
                <w:kern w:val="0"/>
                <w:sz w:val="26"/>
                <w:szCs w:val="26"/>
              </w:rPr>
              <w:t>结构</w:t>
            </w:r>
            <w:r>
              <w:rPr>
                <w:rFonts w:hint="eastAsia" w:ascii="仿宋_GB2312"/>
                <w:ker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</w:tcBorders>
            <w:vAlign w:val="center"/>
          </w:tcPr>
          <w:p w14:paraId="3E98126D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单价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</w:tcBorders>
            <w:vAlign w:val="center"/>
          </w:tcPr>
          <w:p w14:paraId="353E1B55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工程量</w:t>
            </w:r>
          </w:p>
        </w:tc>
      </w:tr>
      <w:tr w14:paraId="50D0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565" w:type="dxa"/>
            <w:vMerge w:val="continue"/>
            <w:shd w:val="clear" w:color="auto" w:fill="auto"/>
            <w:noWrap/>
            <w:vAlign w:val="center"/>
          </w:tcPr>
          <w:p w14:paraId="7AA8D950">
            <w:pPr>
              <w:widowControl/>
              <w:spacing w:line="300" w:lineRule="exact"/>
              <w:ind w:firstLine="34" w:firstLineChars="13"/>
              <w:jc w:val="center"/>
              <w:rPr>
                <w:b/>
                <w:kern w:val="0"/>
                <w:sz w:val="26"/>
                <w:szCs w:val="26"/>
              </w:rPr>
            </w:pPr>
          </w:p>
        </w:tc>
        <w:tc>
          <w:tcPr>
            <w:tcW w:w="1971" w:type="dxa"/>
            <w:vMerge w:val="continue"/>
            <w:shd w:val="clear" w:color="auto" w:fill="auto"/>
            <w:noWrap/>
            <w:vAlign w:val="center"/>
          </w:tcPr>
          <w:p w14:paraId="0CBB786A">
            <w:pPr>
              <w:widowControl/>
              <w:spacing w:line="300" w:lineRule="exact"/>
              <w:ind w:firstLine="31" w:firstLineChars="13"/>
              <w:jc w:val="center"/>
              <w:rPr>
                <w:rFonts w:ascii="仿宋_GB2312"/>
                <w:b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shd w:val="clear" w:color="auto" w:fill="auto"/>
            <w:vAlign w:val="center"/>
          </w:tcPr>
          <w:p w14:paraId="2AF6AB07">
            <w:pPr>
              <w:widowControl/>
              <w:spacing w:line="300" w:lineRule="exact"/>
              <w:ind w:firstLine="31" w:firstLineChars="13"/>
              <w:jc w:val="center"/>
              <w:rPr>
                <w:rFonts w:ascii="仿宋_GB2312"/>
                <w:b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center"/>
          </w:tcPr>
          <w:p w14:paraId="6BBD42C2">
            <w:pPr>
              <w:widowControl/>
              <w:spacing w:line="300" w:lineRule="exact"/>
              <w:ind w:firstLine="26" w:firstLineChars="13"/>
              <w:jc w:val="center"/>
              <w:rPr>
                <w:rFonts w:ascii="仿宋_GB2312"/>
                <w:b/>
                <w:kern w:val="0"/>
                <w:sz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73D64F2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单位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8CA7724">
            <w:pPr>
              <w:widowControl/>
              <w:spacing w:line="300" w:lineRule="exact"/>
              <w:ind w:firstLine="33" w:firstLineChars="13"/>
              <w:jc w:val="center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数量</w:t>
            </w:r>
          </w:p>
        </w:tc>
      </w:tr>
      <w:tr w14:paraId="7569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223F75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EA16350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油茶种苗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32872A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2年生嫁接苗</w:t>
            </w:r>
          </w:p>
          <w:p w14:paraId="3C03CBC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8株/亩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7595AE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6元/株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F81DA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万株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251A9B7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0.8</w:t>
            </w:r>
          </w:p>
        </w:tc>
      </w:tr>
      <w:tr w14:paraId="5F81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5B1F739F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8F8A409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肥料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13CA5B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复合肥50kg/亩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ECA1D0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4元/kg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FF473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kg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E2A54C6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50000</w:t>
            </w:r>
          </w:p>
        </w:tc>
      </w:tr>
      <w:tr w14:paraId="2E04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37CD0202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DF3FE89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整地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9D3BE0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1FEE4D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A66AD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B1EF3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1000</w:t>
            </w:r>
          </w:p>
        </w:tc>
      </w:tr>
      <w:tr w14:paraId="1042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2F270E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7BD9058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栽植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5534C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D6A3CB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C905A7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F83E07E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1000</w:t>
            </w:r>
          </w:p>
        </w:tc>
      </w:tr>
      <w:tr w14:paraId="2510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A9ABF55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00D7FDB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修枝、施肥、管护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FC257C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F801A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A313D6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56C994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2000</w:t>
            </w:r>
          </w:p>
        </w:tc>
      </w:tr>
      <w:tr w14:paraId="7910F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BB56D18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6F8AB94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清林、除灌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B2532D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3个工日/亩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117713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150元/工日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680CF5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工日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00A66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3000</w:t>
            </w:r>
          </w:p>
        </w:tc>
      </w:tr>
    </w:tbl>
    <w:p w14:paraId="2CE1A6A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（二）每亩单价测算</w:t>
      </w:r>
    </w:p>
    <w:p w14:paraId="27379A2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油茶低效林改造每亩投资1298元。其中种苗费48元，肥料费用200元，整地费用150元，栽植费用150元，修枝、施肥、管护费用300元，清林、除灌费用450元。</w:t>
      </w:r>
    </w:p>
    <w:p w14:paraId="1390B174">
      <w:pPr>
        <w:spacing w:line="600" w:lineRule="exact"/>
        <w:ind w:left="0" w:leftChars="0" w:firstLine="0" w:firstLineChars="0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开江县202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油茶低效林改造</w:t>
      </w:r>
      <w:r>
        <w:rPr>
          <w:rFonts w:ascii="黑体" w:hAnsi="黑体" w:eastAsia="黑体"/>
          <w:sz w:val="32"/>
          <w:szCs w:val="32"/>
        </w:rPr>
        <w:t>每亩</w:t>
      </w:r>
      <w:r>
        <w:rPr>
          <w:rFonts w:hint="eastAsia" w:ascii="黑体" w:hAnsi="黑体" w:eastAsia="黑体"/>
          <w:sz w:val="32"/>
          <w:szCs w:val="32"/>
        </w:rPr>
        <w:t>成本预算表</w:t>
      </w:r>
    </w:p>
    <w:p w14:paraId="26EDA6B3">
      <w:pPr>
        <w:spacing w:line="300" w:lineRule="exact"/>
        <w:ind w:left="0" w:leftChars="0" w:firstLine="0" w:firstLineChars="0"/>
        <w:rPr>
          <w:sz w:val="22"/>
          <w:szCs w:val="22"/>
        </w:rPr>
      </w:pPr>
      <w:r>
        <w:rPr>
          <w:sz w:val="22"/>
          <w:szCs w:val="22"/>
        </w:rPr>
        <w:t>表</w:t>
      </w:r>
      <w:r>
        <w:rPr>
          <w:rFonts w:hint="eastAsia"/>
          <w:sz w:val="22"/>
          <w:szCs w:val="22"/>
        </w:rPr>
        <w:t>2</w:t>
      </w:r>
    </w:p>
    <w:tbl>
      <w:tblPr>
        <w:tblStyle w:val="9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89"/>
        <w:gridCol w:w="1134"/>
        <w:gridCol w:w="1375"/>
        <w:gridCol w:w="2050"/>
        <w:gridCol w:w="2529"/>
      </w:tblGrid>
      <w:tr w14:paraId="4396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683" w:type="dxa"/>
            <w:vAlign w:val="center"/>
          </w:tcPr>
          <w:p w14:paraId="59BF518F">
            <w:pPr>
              <w:ind w:firstLine="0" w:firstLineChars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289" w:type="dxa"/>
            <w:vAlign w:val="center"/>
          </w:tcPr>
          <w:p w14:paraId="357CB520">
            <w:pPr>
              <w:spacing w:line="360" w:lineRule="exact"/>
              <w:ind w:firstLine="0" w:firstLineChars="0"/>
              <w:jc w:val="center"/>
              <w:rPr>
                <w:rFonts w:ascii="仿宋_GB2312" w:hAnsi="仿宋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/>
                <w:color w:val="000000"/>
                <w:sz w:val="26"/>
                <w:szCs w:val="26"/>
              </w:rPr>
              <w:t>项目</w:t>
            </w:r>
          </w:p>
        </w:tc>
        <w:tc>
          <w:tcPr>
            <w:tcW w:w="1134" w:type="dxa"/>
            <w:vAlign w:val="center"/>
          </w:tcPr>
          <w:p w14:paraId="2001CDB4">
            <w:pPr>
              <w:spacing w:line="360" w:lineRule="exact"/>
              <w:ind w:firstLine="39" w:firstLineChars="1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  <w:szCs w:val="26"/>
              </w:rPr>
              <w:t>量</w:t>
            </w:r>
          </w:p>
        </w:tc>
        <w:tc>
          <w:tcPr>
            <w:tcW w:w="1375" w:type="dxa"/>
            <w:vAlign w:val="center"/>
          </w:tcPr>
          <w:p w14:paraId="170A5A57">
            <w:pPr>
              <w:spacing w:line="360" w:lineRule="exact"/>
              <w:ind w:firstLine="39" w:firstLineChars="15"/>
              <w:jc w:val="center"/>
              <w:rPr>
                <w:rFonts w:hint="eastAsia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单价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/>
                <w:sz w:val="26"/>
                <w:szCs w:val="26"/>
              </w:rPr>
              <w:t>元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050" w:type="dxa"/>
            <w:vAlign w:val="center"/>
          </w:tcPr>
          <w:p w14:paraId="576B9FF2">
            <w:pPr>
              <w:spacing w:line="360" w:lineRule="exact"/>
              <w:ind w:firstLine="39" w:firstLineChars="15"/>
              <w:jc w:val="center"/>
              <w:rPr>
                <w:rFonts w:hint="eastAsia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每亩金额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/>
                <w:sz w:val="26"/>
                <w:szCs w:val="26"/>
              </w:rPr>
              <w:t>元</w:t>
            </w:r>
            <w:r>
              <w:rPr>
                <w:rFonts w:hint="eastAsia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2529" w:type="dxa"/>
            <w:vAlign w:val="center"/>
          </w:tcPr>
          <w:p w14:paraId="378FD9E0">
            <w:pPr>
              <w:spacing w:line="360" w:lineRule="exact"/>
              <w:ind w:firstLine="39" w:firstLineChars="15"/>
              <w:jc w:val="center"/>
              <w:rPr>
                <w:rFonts w:ascii="仿宋_GB2312" w:hAnsi="仿宋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"/>
                <w:color w:val="000000"/>
                <w:sz w:val="26"/>
                <w:szCs w:val="26"/>
              </w:rPr>
              <w:t>备注</w:t>
            </w:r>
          </w:p>
        </w:tc>
      </w:tr>
      <w:tr w14:paraId="302F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83" w:type="dxa"/>
            <w:vAlign w:val="center"/>
          </w:tcPr>
          <w:p w14:paraId="72A4FF43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89" w:type="dxa"/>
            <w:vAlign w:val="center"/>
          </w:tcPr>
          <w:p w14:paraId="10801BEF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油茶种苗</w:t>
            </w:r>
          </w:p>
        </w:tc>
        <w:tc>
          <w:tcPr>
            <w:tcW w:w="1134" w:type="dxa"/>
            <w:vAlign w:val="center"/>
          </w:tcPr>
          <w:p w14:paraId="456D9421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8株</w:t>
            </w:r>
          </w:p>
        </w:tc>
        <w:tc>
          <w:tcPr>
            <w:tcW w:w="1375" w:type="dxa"/>
            <w:vAlign w:val="center"/>
          </w:tcPr>
          <w:p w14:paraId="69887F10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50" w:type="dxa"/>
            <w:vAlign w:val="center"/>
          </w:tcPr>
          <w:p w14:paraId="45E50DA7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529" w:type="dxa"/>
            <w:vAlign w:val="center"/>
          </w:tcPr>
          <w:p w14:paraId="6E13C817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2437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683" w:type="dxa"/>
            <w:vAlign w:val="center"/>
          </w:tcPr>
          <w:p w14:paraId="2EEF4918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bookmarkStart w:id="87" w:name="_Toc396156871"/>
            <w:bookmarkStart w:id="88" w:name="_Toc396156970"/>
            <w:bookmarkStart w:id="89" w:name="_Toc362344703"/>
            <w:bookmarkStart w:id="90" w:name="_Toc396156649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89" w:type="dxa"/>
            <w:vAlign w:val="center"/>
          </w:tcPr>
          <w:p w14:paraId="15F95336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肥料</w:t>
            </w:r>
          </w:p>
        </w:tc>
        <w:tc>
          <w:tcPr>
            <w:tcW w:w="1134" w:type="dxa"/>
            <w:vAlign w:val="center"/>
          </w:tcPr>
          <w:p w14:paraId="6EE6B698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50kg</w:t>
            </w:r>
          </w:p>
        </w:tc>
        <w:tc>
          <w:tcPr>
            <w:tcW w:w="1375" w:type="dxa"/>
            <w:vAlign w:val="center"/>
          </w:tcPr>
          <w:p w14:paraId="6DF95A9F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50" w:type="dxa"/>
            <w:vAlign w:val="center"/>
          </w:tcPr>
          <w:p w14:paraId="43C0211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200</w:t>
            </w:r>
          </w:p>
        </w:tc>
        <w:tc>
          <w:tcPr>
            <w:tcW w:w="2529" w:type="dxa"/>
            <w:vAlign w:val="center"/>
          </w:tcPr>
          <w:p w14:paraId="61279FB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复合肥</w:t>
            </w:r>
          </w:p>
        </w:tc>
      </w:tr>
      <w:tr w14:paraId="11FC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jc w:val="center"/>
        </w:trPr>
        <w:tc>
          <w:tcPr>
            <w:tcW w:w="683" w:type="dxa"/>
            <w:vAlign w:val="center"/>
          </w:tcPr>
          <w:p w14:paraId="4D4DE4AD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89" w:type="dxa"/>
            <w:vAlign w:val="center"/>
          </w:tcPr>
          <w:p w14:paraId="5945FFAD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整地用工</w:t>
            </w:r>
          </w:p>
        </w:tc>
        <w:tc>
          <w:tcPr>
            <w:tcW w:w="1134" w:type="dxa"/>
            <w:vAlign w:val="center"/>
          </w:tcPr>
          <w:p w14:paraId="611BFC48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</w:t>
            </w:r>
          </w:p>
        </w:tc>
        <w:tc>
          <w:tcPr>
            <w:tcW w:w="1375" w:type="dxa"/>
            <w:vAlign w:val="center"/>
          </w:tcPr>
          <w:p w14:paraId="340DF7E9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7B688D9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529" w:type="dxa"/>
            <w:vAlign w:val="center"/>
          </w:tcPr>
          <w:p w14:paraId="73075E3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4DE8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683" w:type="dxa"/>
            <w:vAlign w:val="center"/>
          </w:tcPr>
          <w:p w14:paraId="20DF658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89" w:type="dxa"/>
            <w:vAlign w:val="center"/>
          </w:tcPr>
          <w:p w14:paraId="284FDDCA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栽植</w:t>
            </w:r>
          </w:p>
        </w:tc>
        <w:tc>
          <w:tcPr>
            <w:tcW w:w="1134" w:type="dxa"/>
            <w:vAlign w:val="center"/>
          </w:tcPr>
          <w:p w14:paraId="4EB81EC6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1个工日</w:t>
            </w:r>
          </w:p>
        </w:tc>
        <w:tc>
          <w:tcPr>
            <w:tcW w:w="1375" w:type="dxa"/>
            <w:vAlign w:val="center"/>
          </w:tcPr>
          <w:p w14:paraId="3A48E52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67F8ECC4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529" w:type="dxa"/>
            <w:vAlign w:val="center"/>
          </w:tcPr>
          <w:p w14:paraId="039C4D2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2826E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683" w:type="dxa"/>
            <w:vAlign w:val="center"/>
          </w:tcPr>
          <w:p w14:paraId="12008992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89" w:type="dxa"/>
            <w:vAlign w:val="center"/>
          </w:tcPr>
          <w:p w14:paraId="5DD2FFF7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修枝、施肥、管护用工</w:t>
            </w:r>
          </w:p>
        </w:tc>
        <w:tc>
          <w:tcPr>
            <w:tcW w:w="1134" w:type="dxa"/>
            <w:vAlign w:val="center"/>
          </w:tcPr>
          <w:p w14:paraId="79F38FF6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2个工日</w:t>
            </w:r>
          </w:p>
        </w:tc>
        <w:tc>
          <w:tcPr>
            <w:tcW w:w="1375" w:type="dxa"/>
            <w:vAlign w:val="center"/>
          </w:tcPr>
          <w:p w14:paraId="1AE5AF1E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7CD8B3ED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2529" w:type="dxa"/>
            <w:vAlign w:val="center"/>
          </w:tcPr>
          <w:p w14:paraId="745805C5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860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jc w:val="center"/>
        </w:trPr>
        <w:tc>
          <w:tcPr>
            <w:tcW w:w="683" w:type="dxa"/>
            <w:vAlign w:val="center"/>
          </w:tcPr>
          <w:p w14:paraId="28D668D4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89" w:type="dxa"/>
            <w:vAlign w:val="center"/>
          </w:tcPr>
          <w:p w14:paraId="29B432AE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清林、除灌用工</w:t>
            </w:r>
          </w:p>
        </w:tc>
        <w:tc>
          <w:tcPr>
            <w:tcW w:w="1134" w:type="dxa"/>
            <w:vAlign w:val="center"/>
          </w:tcPr>
          <w:p w14:paraId="355AFE43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3个工日</w:t>
            </w:r>
          </w:p>
        </w:tc>
        <w:tc>
          <w:tcPr>
            <w:tcW w:w="1375" w:type="dxa"/>
            <w:vAlign w:val="center"/>
          </w:tcPr>
          <w:p w14:paraId="33B38B65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2050" w:type="dxa"/>
            <w:vAlign w:val="center"/>
          </w:tcPr>
          <w:p w14:paraId="498E84DB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2529" w:type="dxa"/>
            <w:vAlign w:val="center"/>
          </w:tcPr>
          <w:p w14:paraId="6A065966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335B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4481" w:type="dxa"/>
            <w:gridSpan w:val="4"/>
            <w:vAlign w:val="center"/>
          </w:tcPr>
          <w:p w14:paraId="60EBB6DD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050" w:type="dxa"/>
            <w:vAlign w:val="center"/>
          </w:tcPr>
          <w:p w14:paraId="125882CA">
            <w:pPr>
              <w:widowControl/>
              <w:spacing w:line="300" w:lineRule="exact"/>
              <w:ind w:firstLine="31" w:firstLineChars="13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1298</w:t>
            </w:r>
          </w:p>
        </w:tc>
        <w:tc>
          <w:tcPr>
            <w:tcW w:w="2529" w:type="dxa"/>
            <w:vAlign w:val="center"/>
          </w:tcPr>
          <w:p w14:paraId="2694DAEF">
            <w:pPr>
              <w:widowControl/>
              <w:spacing w:line="300" w:lineRule="exact"/>
              <w:ind w:firstLine="31" w:firstLineChars="13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bookmarkEnd w:id="87"/>
      <w:bookmarkEnd w:id="88"/>
      <w:bookmarkEnd w:id="89"/>
      <w:bookmarkEnd w:id="90"/>
    </w:tbl>
    <w:p w14:paraId="30045526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91" w:name="_Toc415598278"/>
      <w:bookmarkStart w:id="92" w:name="_Toc490036764"/>
      <w:bookmarkStart w:id="93" w:name="_Toc415132818"/>
      <w:r>
        <w:rPr>
          <w:rFonts w:hint="eastAsia" w:ascii="黑体" w:hAnsi="黑体" w:eastAsia="黑体"/>
          <w:b w:val="0"/>
          <w:sz w:val="32"/>
          <w:szCs w:val="32"/>
        </w:rPr>
        <w:t>二、投资</w:t>
      </w:r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概</w:t>
      </w:r>
      <w:r>
        <w:rPr>
          <w:rFonts w:hint="eastAsia" w:ascii="黑体" w:hAnsi="黑体" w:eastAsia="黑体"/>
          <w:b w:val="0"/>
          <w:sz w:val="32"/>
          <w:szCs w:val="32"/>
        </w:rPr>
        <w:t>算</w:t>
      </w:r>
      <w:bookmarkEnd w:id="91"/>
      <w:bookmarkEnd w:id="92"/>
      <w:bookmarkEnd w:id="93"/>
    </w:p>
    <w:p w14:paraId="020967BD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经测算，开江县2023年油茶低效林改造项目共需投资129.8万元。</w:t>
      </w:r>
    </w:p>
    <w:p w14:paraId="493CED53">
      <w:pPr>
        <w:pStyle w:val="4"/>
        <w:spacing w:before="0" w:after="0" w:line="600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94" w:name="_Toc415598279"/>
      <w:bookmarkStart w:id="95" w:name="_Toc455733247"/>
      <w:bookmarkStart w:id="96" w:name="_Toc415132819"/>
      <w:r>
        <w:rPr>
          <w:rFonts w:hint="eastAsia" w:ascii="黑体" w:hAnsi="黑体" w:eastAsia="黑体"/>
          <w:b w:val="0"/>
          <w:sz w:val="32"/>
          <w:szCs w:val="32"/>
        </w:rPr>
        <w:t>三、资金筹措</w:t>
      </w:r>
      <w:bookmarkEnd w:id="94"/>
      <w:bookmarkEnd w:id="95"/>
      <w:bookmarkEnd w:id="96"/>
    </w:p>
    <w:p w14:paraId="75BDDE7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开江县2023年油茶低效林改造项目共需投资129.8万元。其中：省级财政改革资金60万元，占总投资的46.2%；实施业主自筹资金69.8万元，占总投资的53.8%。</w:t>
      </w:r>
    </w:p>
    <w:p w14:paraId="14A8740C">
      <w:pPr>
        <w:numPr>
          <w:ilvl w:val="0"/>
          <w:numId w:val="4"/>
        </w:numPr>
        <w:jc w:val="center"/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</w:pPr>
      <w:r>
        <w:rPr>
          <w:rFonts w:ascii="方正小标宋简体" w:hAnsi="黑体" w:eastAsia="方正小标宋简体"/>
          <w:b w:val="0"/>
          <w:sz w:val="36"/>
          <w:szCs w:val="36"/>
        </w:rPr>
        <w:t xml:space="preserve"> 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验收标准及兑现</w:t>
      </w:r>
    </w:p>
    <w:p w14:paraId="07EE811D">
      <w:pPr>
        <w:numPr>
          <w:ilvl w:val="0"/>
          <w:numId w:val="5"/>
        </w:numPr>
        <w:ind w:firstLine="640" w:firstLineChars="200"/>
        <w:jc w:val="both"/>
        <w:rPr>
          <w:rFonts w:hint="eastAsia" w:ascii="黑体" w:hAnsi="黑体" w:eastAsia="黑体" w:cstheme="minorBidi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44"/>
          <w:sz w:val="32"/>
          <w:szCs w:val="32"/>
          <w:lang w:val="en-US" w:eastAsia="zh-CN" w:bidi="ar-SA"/>
        </w:rPr>
        <w:t>验收标准</w:t>
      </w:r>
    </w:p>
    <w:p w14:paraId="0A0EE69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1.数量指标。改造油茶低效林0.1万亩。</w:t>
      </w:r>
    </w:p>
    <w:p w14:paraId="2345CF0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质量指标。项目验收合格率达95%以上，油茶林每亩74株，株行距不低于3*3米，油茶种苗良种率不低于95%，施肥每亩不低于50kg，验收时通过现场实地测绘面积及查看相关票据、影像资料等。清林除灌以油茶植株为中心，半径应达到50 - 60厘米左右，验收时可以通过抽样测量来检查范围是否达标。整地松土深度在10 - 15厘米，通过挖掘检查部分样点的深度来判断是否合格。要求土壤疏松，无大块板结土壤，并且除草要彻底，林内基本无杂草，特别是不能有与油茶幼树争肥、争水、争光的恶性杂草。</w:t>
      </w:r>
    </w:p>
    <w:p w14:paraId="79EE6A5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3.时效指标。力争2026年3月底完成项目建设。</w:t>
      </w:r>
    </w:p>
    <w:p w14:paraId="39DEB693">
      <w:pPr>
        <w:pStyle w:val="4"/>
        <w:numPr>
          <w:ilvl w:val="0"/>
          <w:numId w:val="5"/>
        </w:numPr>
        <w:spacing w:before="0" w:after="0" w:line="600" w:lineRule="exact"/>
        <w:ind w:left="0" w:leftChars="0" w:firstLine="640" w:firstLineChars="200"/>
        <w:jc w:val="left"/>
        <w:rPr>
          <w:rFonts w:hint="eastAsia" w:ascii="黑体" w:hAnsi="黑体" w:eastAsia="黑体"/>
          <w:b w:val="0"/>
          <w:sz w:val="32"/>
          <w:szCs w:val="32"/>
          <w:lang w:eastAsia="zh-CN"/>
        </w:rPr>
      </w:pPr>
      <w:bookmarkStart w:id="97" w:name="_Toc415132824"/>
      <w:bookmarkStart w:id="98" w:name="_Toc396156875"/>
      <w:bookmarkStart w:id="99" w:name="_Toc362344707"/>
      <w:bookmarkStart w:id="100" w:name="_Toc396156653"/>
      <w:bookmarkStart w:id="101" w:name="_Toc415132240"/>
      <w:bookmarkStart w:id="102" w:name="_Toc415598284"/>
      <w:bookmarkStart w:id="103" w:name="_Toc396156974"/>
      <w:bookmarkStart w:id="104" w:name="_Toc490036771"/>
      <w:r>
        <w:rPr>
          <w:rFonts w:hint="eastAsia" w:ascii="黑体" w:hAnsi="黑体" w:eastAsia="黑体"/>
          <w:b w:val="0"/>
          <w:sz w:val="32"/>
          <w:szCs w:val="32"/>
          <w:lang w:eastAsia="zh-CN"/>
        </w:rPr>
        <w:t>奖补兑现</w:t>
      </w:r>
    </w:p>
    <w:p w14:paraId="6DFC4258"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由县林业局会同相关部门验收合格后，按照每亩600元/亩标准兑现奖补资金。</w:t>
      </w:r>
    </w:p>
    <w:p w14:paraId="72962BE7">
      <w:pPr>
        <w:ind w:left="0" w:leftChars="0" w:firstLine="0" w:firstLineChars="0"/>
        <w:jc w:val="center"/>
        <w:rPr>
          <w:rFonts w:ascii="方正小标宋简体" w:hAnsi="黑体" w:eastAsia="方正小标宋简体"/>
          <w:b w:val="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六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章</w:t>
      </w:r>
      <w:r>
        <w:rPr>
          <w:rFonts w:ascii="方正小标宋简体" w:hAnsi="黑体" w:eastAsia="方正小标宋简体"/>
          <w:b w:val="0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</w:rPr>
        <w:t>效益分析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7DB2063B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105" w:name="_Toc490036772"/>
      <w:bookmarkStart w:id="106" w:name="_Toc415598285"/>
      <w:bookmarkStart w:id="107" w:name="_Toc323118631"/>
      <w:bookmarkStart w:id="108" w:name="_Toc325386011"/>
      <w:bookmarkStart w:id="109" w:name="_Toc415132825"/>
      <w:bookmarkStart w:id="110" w:name="_Toc325381469"/>
      <w:bookmarkStart w:id="111" w:name="_Toc325381738"/>
      <w:r>
        <w:rPr>
          <w:rFonts w:ascii="黑体" w:hAnsi="黑体" w:eastAsia="黑体"/>
          <w:b w:val="0"/>
          <w:sz w:val="32"/>
          <w:szCs w:val="32"/>
        </w:rPr>
        <w:t>一、经济效益分析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721FF0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12" w:name="_Toc415132826"/>
      <w:bookmarkStart w:id="113" w:name="_Toc415598286"/>
      <w:bookmarkStart w:id="114" w:name="_Toc325386012"/>
      <w:bookmarkStart w:id="115" w:name="_Toc49003677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效益分析是依据规划设计的指标，结合现行市场价格和县域经济状况进行测算，此项目只算产果效益达400余万元，其他后续加工产品未计算其中。油茶基地1000亩，改造后每亩产果可达0.8吨，可年产油茶果800吨，按目前市场价0.5万元/吨计算，果原料年产值400余万元。</w:t>
      </w:r>
    </w:p>
    <w:p w14:paraId="2DD56967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二、社会效益分析</w:t>
      </w:r>
      <w:bookmarkEnd w:id="112"/>
      <w:bookmarkEnd w:id="113"/>
      <w:bookmarkEnd w:id="114"/>
      <w:bookmarkEnd w:id="115"/>
    </w:p>
    <w:p w14:paraId="5453F18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16" w:name="_Toc32311863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项目的实施，在提高油茶的生产经营水平、管理水平、示范推广等方面将起到良好的带动作用。同时在项目区发展林下经济扩大农户的收益，加快林业产业的发展，</w:t>
      </w:r>
      <w:bookmarkStart w:id="117" w:name="_Toc20855777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优化农业产业结构，带动群众发展林业产业致富。土地承包期内经营权由实施业主管理，土地承包期外由林农管理。</w:t>
      </w:r>
    </w:p>
    <w:bookmarkEnd w:id="117"/>
    <w:p w14:paraId="4E9A7363">
      <w:pPr>
        <w:pStyle w:val="4"/>
        <w:spacing w:before="0" w:after="0" w:line="576" w:lineRule="exact"/>
        <w:ind w:firstLine="656" w:firstLineChars="205"/>
        <w:jc w:val="left"/>
        <w:rPr>
          <w:rFonts w:ascii="黑体" w:hAnsi="黑体" w:eastAsia="黑体"/>
          <w:b w:val="0"/>
          <w:sz w:val="32"/>
          <w:szCs w:val="32"/>
        </w:rPr>
      </w:pPr>
      <w:bookmarkStart w:id="118" w:name="_Toc415598287"/>
      <w:bookmarkStart w:id="119" w:name="_Toc325381470"/>
      <w:bookmarkStart w:id="120" w:name="_Toc325381739"/>
      <w:bookmarkStart w:id="121" w:name="_Toc490036774"/>
      <w:bookmarkStart w:id="122" w:name="_Toc325386013"/>
      <w:bookmarkStart w:id="123" w:name="_Toc415132827"/>
      <w:r>
        <w:rPr>
          <w:rFonts w:ascii="黑体" w:hAnsi="黑体" w:eastAsia="黑体"/>
          <w:b w:val="0"/>
          <w:sz w:val="32"/>
          <w:szCs w:val="32"/>
        </w:rPr>
        <w:t>三、生态效益分析</w:t>
      </w:r>
      <w:bookmarkEnd w:id="116"/>
      <w:bookmarkEnd w:id="118"/>
      <w:bookmarkEnd w:id="119"/>
      <w:bookmarkEnd w:id="120"/>
      <w:bookmarkEnd w:id="121"/>
      <w:bookmarkEnd w:id="122"/>
      <w:bookmarkEnd w:id="123"/>
    </w:p>
    <w:p w14:paraId="75E02FC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属生态和林业产业建设范畴。油茶林在我县是特色经济林，也是良好的生态绿化林。能够使我县的森林覆盖率稳定在46.5%以上，确保森林生态系统稳定发挥调节气候、保持水土、蓄洪防旱、防风固沙和美化环境等多功能效益。</w:t>
      </w:r>
    </w:p>
    <w:p w14:paraId="2F2E3E30">
      <w:pPr>
        <w:pStyle w:val="4"/>
        <w:numPr>
          <w:ilvl w:val="0"/>
          <w:numId w:val="0"/>
        </w:numPr>
        <w:spacing w:before="120" w:after="240" w:line="576" w:lineRule="exact"/>
        <w:jc w:val="center"/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第七章</w:t>
      </w:r>
      <w:r>
        <w:rPr>
          <w:rFonts w:hint="eastAsia" w:ascii="方正小标宋简体" w:hAnsi="黑体" w:eastAsia="方正小标宋简体"/>
          <w:b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b w:val="0"/>
          <w:sz w:val="36"/>
          <w:szCs w:val="36"/>
          <w:lang w:eastAsia="zh-CN"/>
        </w:rPr>
        <w:t>保障措施</w:t>
      </w:r>
    </w:p>
    <w:p w14:paraId="66FC8DF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（一）加强组织领导。县林业局成立工作专班，统筹推进油茶低效林改造项目，用好林长制考核、绩效考评、重点督查等“指挥棒”，统筹调配各种资源，全面加强组织发动，高质量完成工作任务。</w:t>
      </w:r>
    </w:p>
    <w:p w14:paraId="2B93D9D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统筹资金投入。认真落实国家、省、市油茶生产激励政策，统筹用好各级林业发展资金，优先倾斜支持油茶生产；积极引导金融机构加大油茶产业信贷投放力度，构建财政资金、金融信贷、社会资本共同发力的油茶产业投入新格局。</w:t>
      </w:r>
    </w:p>
    <w:p w14:paraId="096BA4D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强化用地保障。充分认识油茶的生态功能，用好用足国家关于油茶生产用地保障政策，统筹做好油茶生产用地储备。对油茶低效林改造中涉及的林木采伐事项，要依法依规优先支持，加快办理审批手续。优先利用低效林改造、采伐迹地、火烧迹地、松材线虫病疫木改造、电力线路走廊树种矮化改造、防火林带建设等种植油茶，积极推广“油茶+N”混交造林、复合经营模式，拓展油茶造林空间。</w:t>
      </w:r>
    </w:p>
    <w:p w14:paraId="6E2AC926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（四）优化技术服务。县林业主管部门要坚持以提单产、优品质为油茶产业发展导向，持续开展油茶技术服务指导工作，协调解决油茶生产遇到的问题。</w:t>
      </w:r>
    </w:p>
    <w:p w14:paraId="6EB0B673">
      <w:pPr>
        <w:ind w:firstLine="0" w:firstLineChars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124" w:name="_GoBack"/>
      <w:bookmarkEnd w:id="124"/>
    </w:p>
    <w:p w14:paraId="6C6670C7">
      <w:pPr>
        <w:pStyle w:val="3"/>
        <w:jc w:val="both"/>
        <w:rPr>
          <w:rFonts w:hint="eastAsia"/>
          <w:lang w:val="en-US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BE4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7EEA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7EEA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5D06A"/>
    <w:multiLevelType w:val="singleLevel"/>
    <w:tmpl w:val="8EE5D06A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F2590F7"/>
    <w:multiLevelType w:val="singleLevel"/>
    <w:tmpl w:val="0F2590F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A55B33"/>
    <w:multiLevelType w:val="singleLevel"/>
    <w:tmpl w:val="21A55B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A17693"/>
    <w:multiLevelType w:val="singleLevel"/>
    <w:tmpl w:val="49A176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DF5979E"/>
    <w:multiLevelType w:val="singleLevel"/>
    <w:tmpl w:val="4DF597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0506A"/>
    <w:rsid w:val="0237659A"/>
    <w:rsid w:val="039C3694"/>
    <w:rsid w:val="03BE7AAE"/>
    <w:rsid w:val="05AB5E10"/>
    <w:rsid w:val="07786277"/>
    <w:rsid w:val="07E92F4D"/>
    <w:rsid w:val="0D63594E"/>
    <w:rsid w:val="16DE7CE2"/>
    <w:rsid w:val="19AF5A77"/>
    <w:rsid w:val="1E3D5BAC"/>
    <w:rsid w:val="1E592455"/>
    <w:rsid w:val="251E5F01"/>
    <w:rsid w:val="2A2A61BA"/>
    <w:rsid w:val="30D836AE"/>
    <w:rsid w:val="33F151B2"/>
    <w:rsid w:val="34806E53"/>
    <w:rsid w:val="34B61F58"/>
    <w:rsid w:val="37C0506A"/>
    <w:rsid w:val="3C5E715D"/>
    <w:rsid w:val="42CD63F1"/>
    <w:rsid w:val="4DF571F5"/>
    <w:rsid w:val="5B046CCA"/>
    <w:rsid w:val="5C5679F9"/>
    <w:rsid w:val="6690166E"/>
    <w:rsid w:val="6A6B466F"/>
    <w:rsid w:val="6E963C85"/>
    <w:rsid w:val="70216506"/>
    <w:rsid w:val="74387CB8"/>
    <w:rsid w:val="7E9B156F"/>
    <w:rsid w:val="7ED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/>
      <w:autoSpaceDN/>
      <w:spacing w:before="340" w:after="330" w:line="578" w:lineRule="atLeast"/>
      <w:ind w:firstLine="0" w:firstLineChars="0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5">
    <w:name w:val="Body Text"/>
    <w:basedOn w:val="1"/>
    <w:qFormat/>
    <w:uiPriority w:val="0"/>
    <w:pPr>
      <w:spacing w:before="62" w:beforeLines="20" w:after="120" w:afterLines="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paragraph" w:customStyle="1" w:styleId="11">
    <w:name w:val="Body Text First Indent 2"/>
    <w:basedOn w:val="12"/>
    <w:qFormat/>
    <w:uiPriority w:val="0"/>
    <w:pPr>
      <w:ind w:firstLine="420" w:firstLineChars="200"/>
    </w:pPr>
  </w:style>
  <w:style w:type="paragraph" w:customStyle="1" w:styleId="12">
    <w:name w:val="Body Text Indent"/>
    <w:basedOn w:val="1"/>
    <w:qFormat/>
    <w:uiPriority w:val="0"/>
    <w:pPr>
      <w:spacing w:line="580" w:lineRule="exact"/>
      <w:ind w:firstLine="645"/>
    </w:pPr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4343</Words>
  <Characters>4729</Characters>
  <Lines>0</Lines>
  <Paragraphs>0</Paragraphs>
  <TotalTime>1122</TotalTime>
  <ScaleCrop>false</ScaleCrop>
  <LinksUpToDate>false</LinksUpToDate>
  <CharactersWithSpaces>4820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2025-07-14T01:24:00Z</dcterms:created>
  <dc:creator>886</dc:creator>
  <cp:lastModifiedBy>Administrator</cp:lastModifiedBy>
  <cp:lastPrinted>2025-07-22T08:08:00Z</cp:lastPrinted>
  <dcterms:modified xsi:type="dcterms:W3CDTF">2025-07-23T03:49:36Z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86880042A8A54037ACCC7A1E683BB261_13</vt:lpwstr>
  </property>
  <property fmtid="{D5CDD505-2E9C-101B-9397-08002B2CF9AE}" pid="4" name="KSOTemplateDocerSaveRecord">
    <vt:lpwstr>eyJoZGlkIjoiMzMxMWZlYTQ5NTA1MzYyOWIzN2ZkZDk1ZGMwN2RlYTMiLCJ1c2VySWQiOiI0MTMwODcxOTMifQ==</vt:lpwstr>
  </property>
</Properties>
</file>