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193"/>
      <w:bookmarkStart w:id="2" w:name="_Toc15378441"/>
      <w:bookmarkStart w:id="3" w:name="_Toc15377425"/>
      <w:bookmarkStart w:id="4" w:name="_Toc15396597"/>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开江县医疗保障局</w:t>
      </w: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编制说明</w:t>
      </w:r>
    </w:p>
    <w:p>
      <w:pPr>
        <w:spacing w:line="600" w:lineRule="exact"/>
        <w:jc w:val="center"/>
        <w:outlineLvl w:val="0"/>
        <w:rPr>
          <w:rFonts w:ascii="Times New Roman" w:hAnsi="Times New Roman" w:eastAsia="方正小标宋简体"/>
          <w:color w:val="auto"/>
          <w:sz w:val="72"/>
          <w:szCs w:val="72"/>
          <w:highlight w:val="none"/>
        </w:rPr>
      </w:pPr>
    </w:p>
    <w:p>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8442"/>
      <w:bookmarkStart w:id="9" w:name="_Toc15377194"/>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开江县医疗保障局</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rPr>
          <w:rFonts w:ascii="Times New Roman" w:hAnsi="Times New Roman"/>
          <w:color w:val="auto"/>
          <w:highlight w:val="none"/>
        </w:rPr>
      </w:pPr>
    </w:p>
    <w:p>
      <w:pPr>
        <w:pStyle w:val="13"/>
        <w:tabs>
          <w:tab w:val="right" w:pos="8306"/>
          <w:tab w:val="clear" w:pos="8296"/>
        </w:tabs>
      </w:pPr>
      <w:r>
        <w:fldChar w:fldCharType="begin"/>
      </w:r>
      <w:r>
        <w:instrText xml:space="preserve">TOC \o "1-3" \h \u </w:instrText>
      </w:r>
      <w:r>
        <w:fldChar w:fldCharType="separate"/>
      </w:r>
      <w:r>
        <w:fldChar w:fldCharType="begin"/>
      </w:r>
      <w:r>
        <w:instrText xml:space="preserve"> HYPERLINK \l _Toc538996001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_Toc538996001 \h </w:instrText>
      </w:r>
      <w:r>
        <w:fldChar w:fldCharType="separate"/>
      </w:r>
      <w:r>
        <w:t>- 3 -</w:t>
      </w:r>
      <w:r>
        <w:fldChar w:fldCharType="end"/>
      </w:r>
      <w:r>
        <w:fldChar w:fldCharType="end"/>
      </w:r>
    </w:p>
    <w:p>
      <w:pPr>
        <w:pStyle w:val="15"/>
        <w:tabs>
          <w:tab w:val="right" w:pos="8306"/>
          <w:tab w:val="clear" w:pos="8296"/>
        </w:tabs>
      </w:pPr>
      <w:r>
        <w:fldChar w:fldCharType="begin"/>
      </w:r>
      <w:r>
        <w:instrText xml:space="preserve"> HYPERLINK \l _Toc1158405706 </w:instrText>
      </w:r>
      <w:r>
        <w:fldChar w:fldCharType="separate"/>
      </w:r>
      <w:r>
        <w:rPr>
          <w:rFonts w:hint="eastAsia" w:ascii="Times New Roman" w:hAnsi="Times New Roman" w:eastAsia="黑体"/>
          <w:highlight w:val="none"/>
          <w:lang w:eastAsia="zh-CN"/>
        </w:rPr>
        <w:t>一、部门职责</w:t>
      </w:r>
      <w:r>
        <w:tab/>
      </w:r>
      <w:r>
        <w:fldChar w:fldCharType="begin"/>
      </w:r>
      <w:r>
        <w:instrText xml:space="preserve"> PAGEREF _Toc1158405706 \h </w:instrText>
      </w:r>
      <w:r>
        <w:fldChar w:fldCharType="separate"/>
      </w:r>
      <w:r>
        <w:t>- 3 -</w:t>
      </w:r>
      <w:r>
        <w:fldChar w:fldCharType="end"/>
      </w:r>
      <w:r>
        <w:fldChar w:fldCharType="end"/>
      </w:r>
    </w:p>
    <w:p>
      <w:pPr>
        <w:pStyle w:val="15"/>
        <w:tabs>
          <w:tab w:val="right" w:pos="8306"/>
          <w:tab w:val="clear" w:pos="8296"/>
        </w:tabs>
      </w:pPr>
      <w:r>
        <w:fldChar w:fldCharType="begin"/>
      </w:r>
      <w:r>
        <w:instrText xml:space="preserve"> HYPERLINK \l _Toc1017564613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_Toc1017564613 \h </w:instrText>
      </w:r>
      <w:r>
        <w:fldChar w:fldCharType="separate"/>
      </w:r>
      <w:r>
        <w:t>- 3 -</w:t>
      </w:r>
      <w:r>
        <w:fldChar w:fldCharType="end"/>
      </w:r>
      <w:r>
        <w:fldChar w:fldCharType="end"/>
      </w:r>
    </w:p>
    <w:p>
      <w:pPr>
        <w:pStyle w:val="13"/>
        <w:tabs>
          <w:tab w:val="right" w:pos="8306"/>
          <w:tab w:val="clear" w:pos="8296"/>
        </w:tabs>
      </w:pPr>
      <w:r>
        <w:fldChar w:fldCharType="begin"/>
      </w:r>
      <w:r>
        <w:instrText xml:space="preserve"> HYPERLINK \l _Toc1048924165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_Toc1048924165 \h </w:instrText>
      </w:r>
      <w:r>
        <w:fldChar w:fldCharType="separate"/>
      </w:r>
      <w:r>
        <w:t>- 4 -</w:t>
      </w:r>
      <w:r>
        <w:fldChar w:fldCharType="end"/>
      </w:r>
      <w:r>
        <w:fldChar w:fldCharType="end"/>
      </w:r>
    </w:p>
    <w:p>
      <w:pPr>
        <w:pStyle w:val="15"/>
        <w:tabs>
          <w:tab w:val="right" w:pos="8306"/>
          <w:tab w:val="clear" w:pos="8296"/>
        </w:tabs>
      </w:pPr>
      <w:r>
        <w:fldChar w:fldCharType="begin"/>
      </w:r>
      <w:r>
        <w:instrText xml:space="preserve"> HYPERLINK \l _Toc432772888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_Toc432772888 \h </w:instrText>
      </w:r>
      <w:r>
        <w:fldChar w:fldCharType="separate"/>
      </w:r>
      <w:r>
        <w:t>- 4 -</w:t>
      </w:r>
      <w:r>
        <w:fldChar w:fldCharType="end"/>
      </w:r>
      <w:r>
        <w:fldChar w:fldCharType="end"/>
      </w:r>
    </w:p>
    <w:p>
      <w:pPr>
        <w:pStyle w:val="15"/>
        <w:tabs>
          <w:tab w:val="right" w:pos="8306"/>
          <w:tab w:val="clear" w:pos="8296"/>
        </w:tabs>
      </w:pPr>
      <w:r>
        <w:fldChar w:fldCharType="begin"/>
      </w:r>
      <w:r>
        <w:instrText xml:space="preserve"> HYPERLINK \l _Toc1469198517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_Toc1469198517 \h </w:instrText>
      </w:r>
      <w:r>
        <w:fldChar w:fldCharType="separate"/>
      </w:r>
      <w:r>
        <w:t>- 4 -</w:t>
      </w:r>
      <w:r>
        <w:fldChar w:fldCharType="end"/>
      </w:r>
      <w:r>
        <w:fldChar w:fldCharType="end"/>
      </w:r>
    </w:p>
    <w:p>
      <w:pPr>
        <w:pStyle w:val="15"/>
        <w:tabs>
          <w:tab w:val="right" w:pos="8306"/>
          <w:tab w:val="clear" w:pos="8296"/>
        </w:tabs>
      </w:pPr>
      <w:r>
        <w:fldChar w:fldCharType="begin"/>
      </w:r>
      <w:r>
        <w:instrText xml:space="preserve"> HYPERLINK \l _Toc1497892222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_Toc1497892222 \h </w:instrText>
      </w:r>
      <w:r>
        <w:fldChar w:fldCharType="separate"/>
      </w:r>
      <w:r>
        <w:t>- 5 -</w:t>
      </w:r>
      <w:r>
        <w:fldChar w:fldCharType="end"/>
      </w:r>
      <w:r>
        <w:fldChar w:fldCharType="end"/>
      </w:r>
    </w:p>
    <w:p>
      <w:pPr>
        <w:pStyle w:val="15"/>
        <w:tabs>
          <w:tab w:val="right" w:pos="8306"/>
          <w:tab w:val="clear" w:pos="8296"/>
        </w:tabs>
      </w:pPr>
      <w:r>
        <w:fldChar w:fldCharType="begin"/>
      </w:r>
      <w:r>
        <w:instrText xml:space="preserve"> HYPERLINK \l _Toc1867594786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_Toc1867594786 \h </w:instrText>
      </w:r>
      <w:r>
        <w:fldChar w:fldCharType="separate"/>
      </w:r>
      <w:r>
        <w:t>- 6 -</w:t>
      </w:r>
      <w:r>
        <w:fldChar w:fldCharType="end"/>
      </w:r>
      <w:r>
        <w:fldChar w:fldCharType="end"/>
      </w:r>
    </w:p>
    <w:p>
      <w:pPr>
        <w:pStyle w:val="15"/>
        <w:tabs>
          <w:tab w:val="right" w:pos="8306"/>
          <w:tab w:val="clear" w:pos="8296"/>
        </w:tabs>
      </w:pPr>
      <w:r>
        <w:fldChar w:fldCharType="begin"/>
      </w:r>
      <w:r>
        <w:instrText xml:space="preserve"> HYPERLINK \l _Toc1709253116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_Toc1709253116 \h </w:instrText>
      </w:r>
      <w:r>
        <w:fldChar w:fldCharType="separate"/>
      </w:r>
      <w:r>
        <w:t>- 7 -</w:t>
      </w:r>
      <w:r>
        <w:fldChar w:fldCharType="end"/>
      </w:r>
      <w:r>
        <w:fldChar w:fldCharType="end"/>
      </w:r>
    </w:p>
    <w:p>
      <w:pPr>
        <w:pStyle w:val="15"/>
        <w:tabs>
          <w:tab w:val="right" w:pos="8306"/>
          <w:tab w:val="clear" w:pos="8296"/>
        </w:tabs>
      </w:pPr>
      <w:r>
        <w:fldChar w:fldCharType="begin"/>
      </w:r>
      <w:r>
        <w:instrText xml:space="preserve"> HYPERLINK \l _Toc105426637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_Toc105426637 \h </w:instrText>
      </w:r>
      <w:r>
        <w:fldChar w:fldCharType="separate"/>
      </w:r>
      <w:r>
        <w:t>- 10 -</w:t>
      </w:r>
      <w:r>
        <w:fldChar w:fldCharType="end"/>
      </w:r>
      <w:r>
        <w:fldChar w:fldCharType="end"/>
      </w:r>
    </w:p>
    <w:p>
      <w:pPr>
        <w:pStyle w:val="15"/>
        <w:tabs>
          <w:tab w:val="right" w:pos="8306"/>
          <w:tab w:val="clear" w:pos="8296"/>
        </w:tabs>
      </w:pPr>
      <w:r>
        <w:fldChar w:fldCharType="begin"/>
      </w:r>
      <w:r>
        <w:instrText xml:space="preserve"> HYPERLINK \l _Toc1756850502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_Toc1756850502 \h </w:instrText>
      </w:r>
      <w:r>
        <w:fldChar w:fldCharType="separate"/>
      </w:r>
      <w:r>
        <w:t>- 10 -</w:t>
      </w:r>
      <w:r>
        <w:fldChar w:fldCharType="end"/>
      </w:r>
      <w:r>
        <w:fldChar w:fldCharType="end"/>
      </w:r>
    </w:p>
    <w:p>
      <w:pPr>
        <w:pStyle w:val="9"/>
        <w:tabs>
          <w:tab w:val="right" w:pos="8306"/>
          <w:tab w:val="clear" w:pos="8296"/>
        </w:tabs>
      </w:pPr>
    </w:p>
    <w:p>
      <w:pPr>
        <w:pStyle w:val="15"/>
        <w:tabs>
          <w:tab w:val="right" w:pos="8306"/>
          <w:tab w:val="clear" w:pos="8296"/>
        </w:tabs>
      </w:pPr>
      <w:r>
        <w:fldChar w:fldCharType="begin"/>
      </w:r>
      <w:r>
        <w:instrText xml:space="preserve"> HYPERLINK \l _Toc1876211907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_Toc1876211907 \h </w:instrText>
      </w:r>
      <w:r>
        <w:fldChar w:fldCharType="separate"/>
      </w:r>
      <w:r>
        <w:t>- 11 -</w:t>
      </w:r>
      <w:r>
        <w:fldChar w:fldCharType="end"/>
      </w:r>
      <w:r>
        <w:fldChar w:fldCharType="end"/>
      </w:r>
    </w:p>
    <w:p>
      <w:pPr>
        <w:pStyle w:val="15"/>
        <w:tabs>
          <w:tab w:val="right" w:pos="8306"/>
          <w:tab w:val="clear" w:pos="8296"/>
        </w:tabs>
      </w:pPr>
      <w:r>
        <w:fldChar w:fldCharType="begin"/>
      </w:r>
      <w:r>
        <w:instrText xml:space="preserve"> HYPERLINK \l _Toc757905023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_Toc757905023 \h </w:instrText>
      </w:r>
      <w:r>
        <w:fldChar w:fldCharType="separate"/>
      </w:r>
      <w:r>
        <w:t>- 11 -</w:t>
      </w:r>
      <w:r>
        <w:fldChar w:fldCharType="end"/>
      </w:r>
      <w:r>
        <w:fldChar w:fldCharType="end"/>
      </w:r>
    </w:p>
    <w:p>
      <w:pPr>
        <w:pStyle w:val="15"/>
        <w:tabs>
          <w:tab w:val="right" w:pos="8306"/>
          <w:tab w:val="clear" w:pos="8296"/>
        </w:tabs>
      </w:pPr>
      <w:r>
        <w:fldChar w:fldCharType="begin"/>
      </w:r>
      <w:r>
        <w:instrText xml:space="preserve"> HYPERLINK \l _Toc169924841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_Toc169924841 \h </w:instrText>
      </w:r>
      <w:r>
        <w:fldChar w:fldCharType="separate"/>
      </w:r>
      <w:r>
        <w:t>- 11 -</w:t>
      </w:r>
      <w:r>
        <w:fldChar w:fldCharType="end"/>
      </w:r>
      <w:r>
        <w:fldChar w:fldCharType="end"/>
      </w:r>
    </w:p>
    <w:p>
      <w:pPr>
        <w:pStyle w:val="9"/>
        <w:tabs>
          <w:tab w:val="right" w:pos="8306"/>
          <w:tab w:val="clear" w:pos="8296"/>
        </w:tabs>
      </w:pPr>
    </w:p>
    <w:p>
      <w:pPr>
        <w:pStyle w:val="13"/>
        <w:tabs>
          <w:tab w:val="right" w:pos="8306"/>
          <w:tab w:val="clear" w:pos="8296"/>
        </w:tabs>
      </w:pPr>
      <w:r>
        <w:fldChar w:fldCharType="begin"/>
      </w:r>
      <w:r>
        <w:instrText xml:space="preserve"> HYPERLINK \l _Toc1894125327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_Toc1894125327 \h </w:instrText>
      </w:r>
      <w:r>
        <w:fldChar w:fldCharType="separate"/>
      </w:r>
      <w:r>
        <w:t>- 13 -</w:t>
      </w:r>
      <w:r>
        <w:fldChar w:fldCharType="end"/>
      </w:r>
      <w:r>
        <w:fldChar w:fldCharType="end"/>
      </w:r>
    </w:p>
    <w:p>
      <w:pPr>
        <w:pStyle w:val="13"/>
        <w:tabs>
          <w:tab w:val="right" w:pos="8306"/>
          <w:tab w:val="clear" w:pos="8296"/>
        </w:tabs>
      </w:pPr>
      <w:r>
        <w:fldChar w:fldCharType="begin"/>
      </w:r>
      <w:r>
        <w:instrText xml:space="preserve"> HYPERLINK \l _Toc929265422 </w:instrText>
      </w:r>
      <w:r>
        <w:fldChar w:fldCharType="separate"/>
      </w:r>
      <w:r>
        <w:rPr>
          <w:rFonts w:hint="eastAsia" w:ascii="Times New Roman" w:hAnsi="Times New Roman" w:eastAsia="黑体" w:cs="黑体"/>
          <w:szCs w:val="32"/>
          <w:highlight w:val="none"/>
        </w:rPr>
        <w:t>附件</w:t>
      </w:r>
      <w:r>
        <w:rPr>
          <w:rFonts w:hint="eastAsia" w:ascii="Times New Roman" w:hAnsi="Times New Roman" w:eastAsia="黑体" w:cs="黑体"/>
          <w:szCs w:val="32"/>
          <w:highlight w:val="none"/>
          <w:lang w:val="en-US" w:eastAsia="zh-CN"/>
        </w:rPr>
        <w:t>1</w:t>
      </w:r>
      <w:r>
        <w:tab/>
      </w:r>
      <w:r>
        <w:fldChar w:fldCharType="begin"/>
      </w:r>
      <w:r>
        <w:instrText xml:space="preserve"> PAGEREF _Toc929265422 \h </w:instrText>
      </w:r>
      <w:r>
        <w:fldChar w:fldCharType="separate"/>
      </w:r>
      <w:r>
        <w:t>- 16 -</w:t>
      </w:r>
      <w:r>
        <w:fldChar w:fldCharType="end"/>
      </w:r>
      <w: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b/>
          <w:bCs/>
          <w:color w:val="auto"/>
          <w:sz w:val="32"/>
          <w:szCs w:val="32"/>
          <w:highlight w:val="none"/>
          <w:lang w:eastAsia="zh-CN"/>
        </w:rPr>
      </w:pPr>
      <w:r>
        <w:fldChar w:fldCharType="end"/>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bookmarkStart w:id="14" w:name="_Toc53899600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bookmarkEnd w:id="14"/>
    </w:p>
    <w:p>
      <w:pPr>
        <w:widowControl/>
        <w:jc w:val="left"/>
        <w:rPr>
          <w:rFonts w:ascii="Times New Roman" w:hAnsi="Times New Roman" w:eastAsia="黑体"/>
          <w:color w:val="auto"/>
          <w:sz w:val="32"/>
          <w:szCs w:val="32"/>
          <w:highlight w:val="none"/>
        </w:rPr>
      </w:pPr>
    </w:p>
    <w:p>
      <w:pPr>
        <w:pStyle w:val="4"/>
        <w:rPr>
          <w:rFonts w:hint="eastAsia" w:ascii="Times New Roman" w:hAnsi="Times New Roman" w:eastAsia="黑体"/>
          <w:b w:val="0"/>
          <w:color w:val="auto"/>
          <w:highlight w:val="none"/>
          <w:lang w:eastAsia="zh-CN"/>
        </w:rPr>
      </w:pPr>
      <w:bookmarkStart w:id="15" w:name="_Toc1158405706"/>
      <w:r>
        <w:rPr>
          <w:rFonts w:hint="eastAsia" w:ascii="Times New Roman" w:hAnsi="Times New Roman" w:eastAsia="黑体"/>
          <w:b w:val="0"/>
          <w:color w:val="auto"/>
          <w:highlight w:val="none"/>
          <w:lang w:eastAsia="zh-CN"/>
        </w:rPr>
        <w:t>一、部门职责</w:t>
      </w:r>
      <w:bookmarkEnd w:id="15"/>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sz w:val="32"/>
          <w:szCs w:val="32"/>
        </w:rPr>
        <w:t>1、</w:t>
      </w:r>
      <w:r>
        <w:rPr>
          <w:rFonts w:hint="eastAsia" w:ascii="仿宋" w:hAnsi="仿宋" w:eastAsia="仿宋" w:cs="宋体"/>
          <w:sz w:val="32"/>
          <w:szCs w:val="32"/>
        </w:rPr>
        <w:t>贯彻执行国家、省、市基本医疗保险工作的方针、法律、法规及政策；组织我县医疗保险、生育保险、医疗救助的政策制定、实施</w:t>
      </w:r>
      <w:r>
        <w:rPr>
          <w:rFonts w:hint="eastAsia" w:ascii="仿宋" w:hAnsi="仿宋" w:eastAsia="仿宋" w:cs="宋体"/>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2、组织医疗保险、生育保险、医疗救助的监督检查，打击欺诈骗保行动。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3、组织医疗保障筹资和待遇落实</w:t>
      </w:r>
      <w:r>
        <w:rPr>
          <w:rFonts w:hint="eastAsia" w:ascii="仿宋" w:hAnsi="仿宋" w:eastAsia="仿宋" w:cs="宋体"/>
          <w:sz w:val="32"/>
          <w:szCs w:val="32"/>
          <w:lang w:eastAsia="zh-CN"/>
        </w:rPr>
        <w:t>，</w:t>
      </w:r>
      <w:r>
        <w:rPr>
          <w:rFonts w:hint="eastAsia" w:ascii="仿宋" w:hAnsi="仿宋" w:eastAsia="仿宋" w:cs="宋体"/>
          <w:sz w:val="32"/>
          <w:szCs w:val="32"/>
        </w:rPr>
        <w:t>负责基本医疗保险定点医疗机构、定点零售药店监督管理工作。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2"/>
        <w:rPr>
          <w:rFonts w:hint="eastAsia" w:ascii="仿宋" w:hAnsi="仿宋" w:eastAsia="仿宋" w:cs="宋体"/>
          <w:sz w:val="32"/>
          <w:szCs w:val="32"/>
        </w:rPr>
      </w:pPr>
      <w:bookmarkStart w:id="16" w:name="_Toc19697"/>
      <w:bookmarkStart w:id="17" w:name="_Toc187577107"/>
      <w:r>
        <w:rPr>
          <w:rFonts w:hint="eastAsia" w:ascii="仿宋" w:hAnsi="仿宋" w:eastAsia="仿宋" w:cs="宋体"/>
          <w:sz w:val="32"/>
          <w:szCs w:val="32"/>
        </w:rPr>
        <w:t>4、推进医疗保障基金支付方式改革。</w:t>
      </w:r>
      <w:bookmarkEnd w:id="16"/>
      <w:bookmarkEnd w:id="17"/>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5、组织建立医疗服务项目、设施价格确定、调整机制，负责药品、医用耗材采购政策的监督落实。</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6、推进医疗保障经办管理，公共服务体系建设。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7、实施全县医疗保障信息化系统建设。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bCs/>
          <w:color w:val="auto"/>
          <w:sz w:val="32"/>
          <w:szCs w:val="32"/>
          <w:highlight w:val="none"/>
        </w:rPr>
      </w:pPr>
      <w:r>
        <w:rPr>
          <w:rFonts w:hint="eastAsia" w:ascii="仿宋" w:hAnsi="仿宋" w:eastAsia="仿宋" w:cs="宋体"/>
          <w:sz w:val="32"/>
          <w:szCs w:val="32"/>
          <w:lang w:val="en-US" w:eastAsia="zh-CN"/>
        </w:rPr>
        <w:t>8、县委、县政府交办的其他事项</w:t>
      </w:r>
    </w:p>
    <w:p>
      <w:pPr>
        <w:pStyle w:val="4"/>
        <w:rPr>
          <w:rStyle w:val="29"/>
          <w:rFonts w:hint="eastAsia" w:ascii="Times New Roman" w:hAnsi="Times New Roman" w:eastAsia="黑体"/>
          <w:b w:val="0"/>
          <w:bCs w:val="0"/>
          <w:color w:val="auto"/>
          <w:highlight w:val="none"/>
          <w:lang w:eastAsia="zh-CN"/>
        </w:rPr>
      </w:pPr>
    </w:p>
    <w:p>
      <w:pPr>
        <w:pStyle w:val="4"/>
        <w:rPr>
          <w:rStyle w:val="29"/>
          <w:rFonts w:ascii="Times New Roman" w:hAnsi="Times New Roman"/>
          <w:b w:val="0"/>
          <w:bCs w:val="0"/>
          <w:color w:val="auto"/>
          <w:highlight w:val="none"/>
        </w:rPr>
      </w:pPr>
      <w:bookmarkStart w:id="18" w:name="_Toc15396601"/>
      <w:bookmarkStart w:id="19" w:name="_Toc15377200"/>
      <w:bookmarkStart w:id="20" w:name="_Toc1017564613"/>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8"/>
      <w:bookmarkEnd w:id="19"/>
      <w:bookmarkEnd w:id="20"/>
    </w:p>
    <w:p>
      <w:pPr>
        <w:snapToGrid w:val="0"/>
        <w:spacing w:line="520" w:lineRule="exact"/>
        <w:ind w:firstLine="640" w:firstLineChars="200"/>
        <w:rPr>
          <w:rFonts w:hint="eastAsia" w:ascii="仿宋" w:hAnsi="仿宋" w:eastAsia="仿宋"/>
          <w:sz w:val="32"/>
          <w:szCs w:val="32"/>
        </w:rPr>
      </w:pPr>
      <w:r>
        <w:rPr>
          <w:rFonts w:hint="eastAsia" w:ascii="仿宋" w:hAnsi="仿宋" w:eastAsia="仿宋" w:cs="宋体"/>
          <w:sz w:val="32"/>
          <w:szCs w:val="32"/>
        </w:rPr>
        <w:t>开江县</w:t>
      </w:r>
      <w:r>
        <w:rPr>
          <w:rFonts w:hint="eastAsia" w:ascii="仿宋" w:hAnsi="仿宋" w:eastAsia="仿宋" w:cs="宋体"/>
          <w:sz w:val="32"/>
          <w:szCs w:val="32"/>
          <w:lang w:eastAsia="zh-CN"/>
        </w:rPr>
        <w:t>医疗保障</w:t>
      </w:r>
      <w:r>
        <w:rPr>
          <w:rFonts w:hint="eastAsia" w:ascii="仿宋" w:hAnsi="仿宋" w:eastAsia="仿宋" w:cs="宋体"/>
          <w:sz w:val="32"/>
          <w:szCs w:val="32"/>
        </w:rPr>
        <w:t>局成立于20</w:t>
      </w:r>
      <w:r>
        <w:rPr>
          <w:rFonts w:hint="eastAsia" w:ascii="仿宋" w:hAnsi="仿宋" w:eastAsia="仿宋" w:cs="宋体"/>
          <w:sz w:val="32"/>
          <w:szCs w:val="32"/>
          <w:lang w:val="en-US" w:eastAsia="zh-CN"/>
        </w:rPr>
        <w:t>19</w:t>
      </w:r>
      <w:r>
        <w:rPr>
          <w:rFonts w:hint="eastAsia" w:ascii="仿宋" w:hAnsi="仿宋" w:eastAsia="仿宋" w:cs="宋体"/>
          <w:sz w:val="32"/>
          <w:szCs w:val="32"/>
        </w:rPr>
        <w:t>年</w:t>
      </w:r>
      <w:r>
        <w:rPr>
          <w:rFonts w:hint="eastAsia" w:ascii="仿宋" w:hAnsi="仿宋" w:eastAsia="仿宋" w:cs="宋体"/>
          <w:sz w:val="32"/>
          <w:szCs w:val="32"/>
          <w:lang w:val="en-US" w:eastAsia="zh-CN"/>
        </w:rPr>
        <w:t>3</w:t>
      </w:r>
      <w:r>
        <w:rPr>
          <w:rFonts w:hint="eastAsia" w:ascii="仿宋" w:hAnsi="仿宋" w:eastAsia="仿宋" w:cs="宋体"/>
          <w:sz w:val="32"/>
          <w:szCs w:val="32"/>
        </w:rPr>
        <w:t>月，是</w:t>
      </w:r>
      <w:r>
        <w:rPr>
          <w:rFonts w:hint="eastAsia" w:ascii="仿宋" w:hAnsi="仿宋" w:eastAsia="仿宋" w:cs="宋体"/>
          <w:sz w:val="32"/>
          <w:szCs w:val="32"/>
          <w:lang w:eastAsia="zh-CN"/>
        </w:rPr>
        <w:t>正科级行政</w:t>
      </w:r>
      <w:r>
        <w:rPr>
          <w:rFonts w:hint="eastAsia" w:ascii="仿宋" w:hAnsi="仿宋" w:eastAsia="仿宋" w:cs="宋体"/>
          <w:sz w:val="32"/>
          <w:szCs w:val="32"/>
        </w:rPr>
        <w:t>单位，是有独立法人的县属一级预算单位。</w:t>
      </w:r>
      <w:r>
        <w:rPr>
          <w:rFonts w:hint="eastAsia" w:ascii="仿宋" w:hAnsi="仿宋" w:eastAsia="仿宋"/>
          <w:sz w:val="32"/>
          <w:szCs w:val="32"/>
        </w:rPr>
        <w:t>开江县医疗</w:t>
      </w:r>
      <w:r>
        <w:rPr>
          <w:rFonts w:hint="eastAsia" w:ascii="仿宋" w:hAnsi="仿宋" w:eastAsia="仿宋"/>
          <w:sz w:val="32"/>
          <w:szCs w:val="32"/>
          <w:lang w:eastAsia="zh-CN"/>
        </w:rPr>
        <w:t>保障局</w:t>
      </w:r>
      <w:r>
        <w:rPr>
          <w:rFonts w:hint="eastAsia" w:ascii="仿宋" w:hAnsi="仿宋" w:eastAsia="仿宋"/>
          <w:sz w:val="32"/>
          <w:szCs w:val="32"/>
        </w:rPr>
        <w:t>编制人数</w:t>
      </w:r>
      <w:r>
        <w:rPr>
          <w:rFonts w:hint="eastAsia" w:ascii="仿宋" w:hAnsi="仿宋" w:eastAsia="仿宋"/>
          <w:sz w:val="32"/>
          <w:szCs w:val="32"/>
          <w:lang w:val="en-US" w:eastAsia="zh-CN"/>
        </w:rPr>
        <w:t>8</w:t>
      </w:r>
      <w:r>
        <w:rPr>
          <w:rFonts w:hint="eastAsia" w:ascii="仿宋" w:hAnsi="仿宋" w:eastAsia="仿宋"/>
          <w:sz w:val="32"/>
          <w:szCs w:val="32"/>
        </w:rPr>
        <w:t>人。</w:t>
      </w:r>
    </w:p>
    <w:p>
      <w:pPr>
        <w:pStyle w:val="3"/>
        <w:jc w:val="center"/>
        <w:rPr>
          <w:rFonts w:hint="eastAsia" w:ascii="Times New Roman" w:hAnsi="Times New Roman" w:eastAsia="方正小标宋简体" w:cs="方正小标宋简体"/>
          <w:b w:val="0"/>
          <w:color w:val="auto"/>
          <w:highlight w:val="none"/>
        </w:rPr>
      </w:pPr>
      <w:bookmarkStart w:id="21" w:name="_Toc15377204"/>
      <w:bookmarkStart w:id="22" w:name="_Toc15396602"/>
      <w:bookmarkStart w:id="23" w:name="_Toc1048924165"/>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1"/>
      <w:bookmarkEnd w:id="22"/>
      <w:bookmarkEnd w:id="2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432772888"/>
      <w:bookmarkStart w:id="25" w:name="_Toc15396603"/>
      <w:bookmarkStart w:id="26"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w:t>
      </w:r>
      <w:r>
        <w:rPr>
          <w:rFonts w:hint="eastAsia" w:ascii="仿宋" w:hAnsi="仿宋" w:eastAsia="仿宋" w:cs="宋体"/>
          <w:sz w:val="32"/>
          <w:szCs w:val="32"/>
          <w:lang w:val="en-US" w:eastAsia="zh-CN"/>
        </w:rPr>
        <w:t>减少</w:t>
      </w:r>
      <w:r>
        <w:rPr>
          <w:rFonts w:hint="eastAsia" w:ascii="仿宋" w:hAnsi="仿宋" w:eastAsia="仿宋" w:cs="宋体"/>
          <w:sz w:val="32"/>
          <w:szCs w:val="32"/>
          <w:lang w:eastAsia="zh-CN"/>
        </w:rPr>
        <w:t>收入</w:t>
      </w:r>
      <w:r>
        <w:rPr>
          <w:rFonts w:hint="eastAsia" w:ascii="仿宋" w:hAnsi="仿宋" w:eastAsia="仿宋" w:cs="宋体"/>
          <w:sz w:val="32"/>
          <w:szCs w:val="32"/>
          <w:lang w:val="en-US" w:eastAsia="zh-CN"/>
        </w:rPr>
        <w:t>56.18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减少19.31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w:t>
      </w:r>
      <w:r>
        <w:rPr>
          <w:rFonts w:hint="eastAsia" w:ascii="仿宋" w:hAnsi="仿宋" w:eastAsia="仿宋" w:cs="宋体"/>
          <w:sz w:val="32"/>
          <w:szCs w:val="32"/>
          <w:lang w:val="en-US" w:eastAsia="zh-CN"/>
        </w:rPr>
        <w:t>024年初调走一名职工，7月调走一名职工，导致2024年度人员经费及公用经费减少。同时单位项目经费减少。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13"/>
        <w:rPr>
          <w:rFonts w:hint="eastAsia" w:eastAsia="仿宋_GB2312"/>
          <w:lang w:eastAsia="zh-CN"/>
        </w:rPr>
      </w:pPr>
      <w:r>
        <w:rPr>
          <w:rFonts w:hint="eastAsia" w:eastAsia="仿宋_GB2312"/>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469198517"/>
      <w:bookmarkStart w:id="28" w:name="_Toc15377206"/>
      <w:bookmarkStart w:id="29" w:name="_Toc15396604"/>
      <w:r>
        <w:rPr>
          <w:rFonts w:hint="eastAsia" w:ascii="Times New Roman" w:hAnsi="Times New Roman" w:eastAsia="黑体"/>
          <w:color w:val="auto"/>
          <w:sz w:val="32"/>
          <w:szCs w:val="32"/>
          <w:highlight w:val="none"/>
          <w:lang w:eastAsia="zh-CN"/>
        </w:rPr>
        <w:t>二、收入决算情况说明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553489898"/>
      <w:bookmarkStart w:id="31" w:name="_Toc7171"/>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bookmarkEnd w:id="31"/>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13"/>
        <w:rPr>
          <w:rFonts w:hint="eastAsia"/>
          <w:lang w:eastAsia="zh-CN"/>
        </w:rPr>
      </w:pPr>
      <w:r>
        <w:rPr>
          <w:rFonts w:hint="eastAsia"/>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2" w:name="_Toc15396605"/>
      <w:bookmarkStart w:id="33" w:name="_Toc15377207"/>
      <w:bookmarkStart w:id="34" w:name="_Toc1497892222"/>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1857716737"/>
      <w:bookmarkStart w:id="36" w:name="_Toc5880"/>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127.59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54.36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107.13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bookmarkEnd w:id="36"/>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13"/>
        <w:rPr>
          <w:rFonts w:hint="eastAsia"/>
          <w:lang w:eastAsia="zh-CN"/>
        </w:rPr>
      </w:pPr>
      <w:r>
        <w:rPr>
          <w:rFonts w:hint="eastAsia"/>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37" w:name="_Toc15377208"/>
      <w:bookmarkStart w:id="38" w:name="_Toc1867594786"/>
      <w:bookmarkStart w:id="3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7"/>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56.18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w:t>
      </w:r>
      <w:r>
        <w:rPr>
          <w:rFonts w:hint="eastAsia" w:ascii="仿宋" w:hAnsi="仿宋" w:eastAsia="仿宋" w:cs="宋体"/>
          <w:sz w:val="32"/>
          <w:szCs w:val="32"/>
          <w:lang w:val="en-US" w:eastAsia="zh-CN"/>
        </w:rPr>
        <w:t>024年初调走一名职工，7月调走一名职工，导致2024年度人员经费及公用经费减少。同时单位项目经费减少。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13"/>
        <w:rPr>
          <w:rFonts w:hint="eastAsia"/>
          <w:lang w:val="en-US" w:eastAsia="zh-CN"/>
        </w:rPr>
      </w:pPr>
      <w:r>
        <w:rPr>
          <w:rFonts w:hint="eastAsia"/>
          <w:lang w:val="en-US"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40" w:name="_Toc15377209"/>
      <w:bookmarkStart w:id="41" w:name="_Toc15396607"/>
      <w:bookmarkStart w:id="42" w:name="_Toc170925311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40"/>
      <w:bookmarkEnd w:id="41"/>
      <w:bookmarkEnd w:id="4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0"/>
      <w:bookmarkStart w:id="44" w:name="_Toc807898357"/>
      <w:r>
        <w:rPr>
          <w:rFonts w:hint="eastAsia" w:ascii="Times New Roman" w:hAnsi="Times New Roman" w:eastAsia="楷体_GB2312" w:cs="楷体_GB2312"/>
          <w:b/>
          <w:color w:val="auto"/>
          <w:sz w:val="32"/>
          <w:szCs w:val="32"/>
          <w:highlight w:val="none"/>
        </w:rPr>
        <w:t>（一）一般公共预算财政拨款支出决算总体情况</w:t>
      </w:r>
      <w:bookmarkEnd w:id="43"/>
      <w:bookmarkEnd w:id="44"/>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56.18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w:t>
      </w:r>
      <w:r>
        <w:rPr>
          <w:rFonts w:hint="eastAsia" w:ascii="仿宋" w:hAnsi="仿宋" w:eastAsia="仿宋" w:cs="宋体"/>
          <w:sz w:val="32"/>
          <w:szCs w:val="32"/>
          <w:lang w:val="en-US" w:eastAsia="zh-CN"/>
        </w:rPr>
        <w:t>024年初调走一名职工，7月调走一名职工，导致2024年度人员经费及公用经费减少。同时单位项目经费减少。其中基本支出减少4.78万元，项目支出减少51.4万元。</w:t>
      </w:r>
    </w:p>
    <w:p>
      <w:pPr>
        <w:spacing w:line="600" w:lineRule="exact"/>
        <w:ind w:firstLine="640"/>
        <w:rPr>
          <w:rFonts w:ascii="仿宋" w:hAnsi="仿宋" w:eastAsia="仿宋"/>
          <w:b/>
          <w:color w:val="auto"/>
          <w:sz w:val="32"/>
          <w:szCs w:val="32"/>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13"/>
        <w:rPr>
          <w:rFonts w:hint="eastAsia"/>
          <w:lang w:val="en-US" w:eastAsia="zh-CN"/>
        </w:rPr>
      </w:pPr>
      <w:r>
        <w:rPr>
          <w:rFonts w:hint="eastAsia"/>
          <w:lang w:val="en-US"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1"/>
      <w:bookmarkStart w:id="46" w:name="_Toc2073627971"/>
      <w:r>
        <w:rPr>
          <w:rFonts w:hint="eastAsia" w:ascii="Times New Roman" w:hAnsi="Times New Roman" w:eastAsia="楷体_GB2312" w:cs="楷体_GB2312"/>
          <w:b/>
          <w:color w:val="auto"/>
          <w:sz w:val="32"/>
          <w:szCs w:val="32"/>
          <w:highlight w:val="none"/>
        </w:rPr>
        <w:t>（二）一般公共预算财政拨款支出决算结构情况</w:t>
      </w:r>
      <w:bookmarkEnd w:id="45"/>
      <w:bookmarkEnd w:id="46"/>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234.72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13.85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210.6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3"/>
        <w:rPr>
          <w:rFonts w:hint="eastAsia"/>
          <w:lang w:val="en-US" w:eastAsia="zh-CN"/>
        </w:rPr>
      </w:pPr>
      <w:r>
        <w:rPr>
          <w:rFonts w:hint="eastAsia"/>
          <w:lang w:val="en-US"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2"/>
      <w:bookmarkStart w:id="48" w:name="_Toc1401718379"/>
      <w:r>
        <w:rPr>
          <w:rFonts w:hint="eastAsia" w:ascii="Times New Roman" w:hAnsi="Times New Roman" w:eastAsia="楷体_GB2312" w:cs="楷体_GB2312"/>
          <w:b/>
          <w:color w:val="auto"/>
          <w:sz w:val="32"/>
          <w:szCs w:val="32"/>
          <w:highlight w:val="none"/>
        </w:rPr>
        <w:t>（三）一般公共预算财政拨款支出决算具体情况</w:t>
      </w:r>
      <w:bookmarkEnd w:id="47"/>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78460"/>
      <w:bookmarkStart w:id="50" w:name="_Toc15377213"/>
      <w:bookmarkStart w:id="51"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234.72万元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9"/>
      <w:bookmarkEnd w:id="50"/>
      <w:bookmarkEnd w:id="51"/>
    </w:p>
    <w:p>
      <w:pPr>
        <w:spacing w:line="600" w:lineRule="exact"/>
        <w:ind w:firstLine="643" w:firstLineChars="200"/>
        <w:rPr>
          <w:rFonts w:hint="eastAsia" w:ascii="仿宋" w:hAnsi="仿宋" w:eastAsia="仿宋"/>
          <w:b/>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支出</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13.85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103.75</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的主要原因是</w:t>
      </w:r>
      <w:r>
        <w:rPr>
          <w:rStyle w:val="18"/>
          <w:rFonts w:hint="eastAsia" w:ascii="仿宋" w:hAnsi="仿宋" w:eastAsia="仿宋"/>
          <w:b w:val="0"/>
          <w:bCs/>
          <w:color w:val="auto"/>
          <w:sz w:val="32"/>
          <w:szCs w:val="32"/>
          <w:highlight w:val="none"/>
          <w:lang w:val="en-US" w:eastAsia="zh-CN"/>
        </w:rPr>
        <w:t>2024年进行社保基数调整，对2023年和2024年社保进行补缴</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lang w:val="en-US" w:eastAsia="zh-CN"/>
        </w:rPr>
        <w:t>支出</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210.6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18.02</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val="en-US" w:eastAsia="zh-CN"/>
        </w:rPr>
        <w:t>小于</w:t>
      </w:r>
      <w:r>
        <w:rPr>
          <w:rStyle w:val="18"/>
          <w:rFonts w:hint="eastAsia" w:ascii="仿宋" w:hAnsi="仿宋" w:eastAsia="仿宋"/>
          <w:b w:val="0"/>
          <w:bCs/>
          <w:color w:val="auto"/>
          <w:sz w:val="32"/>
          <w:szCs w:val="32"/>
          <w:highlight w:val="none"/>
        </w:rPr>
        <w:t>预算数的主要原因是</w:t>
      </w:r>
      <w:r>
        <w:rPr>
          <w:rStyle w:val="18"/>
          <w:rFonts w:hint="eastAsia" w:ascii="仿宋" w:hAnsi="仿宋" w:eastAsia="仿宋"/>
          <w:b w:val="0"/>
          <w:bCs/>
          <w:color w:val="auto"/>
          <w:sz w:val="32"/>
          <w:szCs w:val="32"/>
          <w:highlight w:val="none"/>
          <w:lang w:val="en-US" w:eastAsia="zh-CN"/>
        </w:rPr>
        <w:t>年初预算编制，预算社会保险基金2024年医疗救助县级配套资金776.41万元，决算时社会保险基金项目不纳入部门决算。同时，“大数据+医保”平台采购</w:t>
      </w:r>
      <w:r>
        <w:rPr>
          <w:rStyle w:val="18"/>
          <w:rFonts w:hint="eastAsia" w:ascii="仿宋" w:hAnsi="仿宋" w:eastAsia="仿宋"/>
          <w:b w:val="0"/>
          <w:bCs/>
          <w:color w:val="auto"/>
          <w:sz w:val="32"/>
          <w:szCs w:val="32"/>
          <w:highlight w:val="none"/>
          <w:lang w:eastAsia="zh-CN"/>
        </w:rPr>
        <w:t>项目年初预算</w:t>
      </w:r>
      <w:r>
        <w:rPr>
          <w:rStyle w:val="18"/>
          <w:rFonts w:hint="eastAsia" w:ascii="仿宋" w:hAnsi="仿宋" w:eastAsia="仿宋"/>
          <w:b w:val="0"/>
          <w:bCs/>
          <w:color w:val="auto"/>
          <w:sz w:val="32"/>
          <w:szCs w:val="32"/>
          <w:highlight w:val="none"/>
          <w:lang w:val="en-US" w:eastAsia="zh-CN"/>
        </w:rPr>
        <w:t>170万元，决算只完成9.33万元。</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仿宋" w:hAnsi="仿宋" w:eastAsia="仿宋"/>
          <w:b/>
          <w:bCs/>
          <w:color w:val="auto"/>
          <w:sz w:val="32"/>
          <w:szCs w:val="32"/>
          <w:highlight w:val="none"/>
          <w:lang w:val="en-US" w:eastAsia="zh-CN"/>
        </w:rPr>
        <w:t>住房保障支出：</w:t>
      </w:r>
      <w:r>
        <w:rPr>
          <w:rStyle w:val="18"/>
          <w:rFonts w:hint="eastAsia" w:ascii="仿宋" w:hAnsi="仿宋" w:eastAsia="仿宋" w:cstheme="minorBidi"/>
          <w:b w:val="0"/>
          <w:bCs/>
          <w:color w:val="auto"/>
          <w:sz w:val="32"/>
          <w:szCs w:val="32"/>
          <w:highlight w:val="none"/>
          <w:lang w:val="en-US" w:eastAsia="zh-CN"/>
        </w:rPr>
        <w:t>支出决算10.27万元，完成预算108.22%，决算数大于预算数的主要原因是</w:t>
      </w:r>
      <w:r>
        <w:rPr>
          <w:rStyle w:val="18"/>
          <w:rFonts w:hint="eastAsia" w:ascii="仿宋" w:hAnsi="仿宋" w:eastAsia="仿宋"/>
          <w:b w:val="0"/>
          <w:bCs/>
          <w:color w:val="auto"/>
          <w:sz w:val="32"/>
          <w:szCs w:val="32"/>
          <w:highlight w:val="none"/>
          <w:lang w:val="en-US" w:eastAsia="zh-CN"/>
        </w:rPr>
        <w:t>2024年进行住房公积金基数调整，对2023年和2024年住房公积金进行补缴</w:t>
      </w:r>
      <w:r>
        <w:rPr>
          <w:rStyle w:val="18"/>
          <w:rFonts w:hint="eastAsia" w:ascii="仿宋" w:hAnsi="仿宋" w:eastAsia="仿宋"/>
          <w:b w:val="0"/>
          <w:bCs/>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52" w:name="_Toc15377214"/>
      <w:bookmarkStart w:id="53" w:name="_Toc105426637"/>
      <w:bookmarkStart w:id="54"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2"/>
      <w:bookmarkEnd w:id="53"/>
      <w:bookmarkEnd w:id="54"/>
      <w:r>
        <w:rPr>
          <w:rStyle w:val="29"/>
          <w:rFonts w:ascii="Times New Roman" w:hAnsi="Times New Roman"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132.36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119.21</w:t>
      </w:r>
      <w:r>
        <w:rPr>
          <w:rFonts w:hint="eastAsia" w:ascii="仿宋" w:hAnsi="仿宋" w:eastAsia="仿宋"/>
          <w:color w:val="auto"/>
          <w:sz w:val="32"/>
          <w:szCs w:val="32"/>
          <w:highlight w:val="none"/>
        </w:rPr>
        <w:t>万元，主要包括：基本工资、津贴补贴、奖金、机关事业单位基本养老保险缴费、其他社会保障缴费、奖励金、住房公积金。</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8.38</w:t>
      </w:r>
      <w:r>
        <w:rPr>
          <w:rFonts w:hint="eastAsia" w:ascii="仿宋" w:hAnsi="仿宋" w:eastAsia="仿宋"/>
          <w:color w:val="auto"/>
          <w:sz w:val="32"/>
          <w:szCs w:val="32"/>
          <w:highlight w:val="none"/>
        </w:rPr>
        <w:t>万元，主要包括：办公费、印刷费、邮电费、差旅费、培训费、公务接待费、劳务费、委托业务费、工会经费、福利费、其他交通费。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55" w:name="_Toc15377215"/>
      <w:bookmarkStart w:id="56" w:name="_Toc15396609"/>
      <w:bookmarkStart w:id="57" w:name="_Toc1756850502"/>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55"/>
      <w:bookmarkEnd w:id="56"/>
      <w:bookmarkEnd w:id="5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013016688"/>
      <w:bookmarkStart w:id="5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8"/>
      <w:bookmarkEnd w:id="5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本年度无三公经费支出。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17"/>
      <w:bookmarkStart w:id="61" w:name="_Toc1820292678"/>
      <w:r>
        <w:rPr>
          <w:rFonts w:hint="eastAsia" w:ascii="Times New Roman" w:hAnsi="Times New Roman" w:eastAsia="楷体_GB2312" w:cs="楷体_GB2312"/>
          <w:b/>
          <w:color w:val="auto"/>
          <w:sz w:val="32"/>
          <w:szCs w:val="32"/>
          <w:highlight w:val="none"/>
        </w:rPr>
        <w:t>（二）“三公”经费财政拨款支出决算具体情况说明</w:t>
      </w:r>
      <w:bookmarkEnd w:id="60"/>
      <w:bookmarkEnd w:id="6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2" w:name="_Toc15396610"/>
      <w:bookmarkStart w:id="63" w:name="_Toc15377218"/>
    </w:p>
    <w:p>
      <w:pPr>
        <w:spacing w:line="600" w:lineRule="exact"/>
        <w:ind w:firstLine="640"/>
        <w:outlineLvl w:val="1"/>
        <w:rPr>
          <w:rStyle w:val="29"/>
          <w:rFonts w:ascii="Times New Roman" w:hAnsi="Times New Roman" w:eastAsia="黑体"/>
          <w:color w:val="auto"/>
          <w:highlight w:val="none"/>
        </w:rPr>
      </w:pPr>
      <w:bookmarkStart w:id="64" w:name="_Toc1876211907"/>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62"/>
      <w:bookmarkEnd w:id="63"/>
      <w:bookmarkEnd w:id="6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65" w:name="_Toc757905023"/>
      <w:bookmarkStart w:id="66" w:name="_Toc15396611"/>
      <w:bookmarkStart w:id="6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65"/>
      <w:bookmarkEnd w:id="66"/>
      <w:bookmarkEnd w:id="6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68" w:name="_Toc15377221"/>
      <w:bookmarkStart w:id="69" w:name="_Toc169924841"/>
      <w:bookmarkStart w:id="70"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68"/>
      <w:bookmarkEnd w:id="69"/>
      <w:bookmarkEnd w:id="7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264105747"/>
      <w:bookmarkStart w:id="72" w:name="_Toc15377222"/>
      <w:r>
        <w:rPr>
          <w:rFonts w:hint="eastAsia" w:ascii="Times New Roman" w:hAnsi="Times New Roman" w:eastAsia="楷体_GB2312" w:cs="楷体_GB2312"/>
          <w:b/>
          <w:color w:val="auto"/>
          <w:sz w:val="32"/>
          <w:szCs w:val="32"/>
          <w:highlight w:val="none"/>
        </w:rPr>
        <w:t>（一）机关运行经费支出情况</w:t>
      </w:r>
      <w:bookmarkEnd w:id="71"/>
      <w:bookmarkEnd w:id="72"/>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default" w:ascii="仿宋_GB2312" w:hAnsi="仿宋_GB2312" w:eastAsia="仿宋_GB2312" w:cs="仿宋_GB2312"/>
          <w:sz w:val="32"/>
          <w:szCs w:val="32"/>
          <w:lang w:val="en-US"/>
        </w:rPr>
        <w:t>8.38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default" w:eastAsia="仿宋_GB2312" w:cs="仿宋_GB2312"/>
          <w:color w:val="auto"/>
          <w:kern w:val="2"/>
          <w:sz w:val="32"/>
          <w:szCs w:val="32"/>
          <w:highlight w:val="none"/>
          <w:lang w:val="en-US" w:eastAsia="zh-CN" w:bidi="ar-SA"/>
        </w:rPr>
        <w:t>9.25</w:t>
      </w:r>
      <w:r>
        <w:rPr>
          <w:rFonts w:hint="eastAsia" w:ascii="Times New Roman" w:hAnsi="Times New Roman" w:eastAsia="仿宋_GB2312" w:cs="仿宋_GB2312"/>
          <w:color w:val="auto"/>
          <w:kern w:val="2"/>
          <w:sz w:val="32"/>
          <w:szCs w:val="32"/>
          <w:highlight w:val="none"/>
          <w:lang w:val="en-US" w:eastAsia="zh-CN" w:bidi="ar-SA"/>
        </w:rPr>
        <w:t>万元，下降</w:t>
      </w:r>
      <w:r>
        <w:rPr>
          <w:rFonts w:hint="default" w:eastAsia="仿宋_GB2312" w:cs="仿宋_GB2312"/>
          <w:color w:val="auto"/>
          <w:kern w:val="2"/>
          <w:sz w:val="32"/>
          <w:szCs w:val="32"/>
          <w:highlight w:val="none"/>
          <w:lang w:val="en-US" w:eastAsia="zh-CN" w:bidi="ar-SA"/>
        </w:rPr>
        <w:t>52.47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交通补贴3.24万元计入其他工资福利支出以及24年减少两名职工导致公用经费预算减少。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517026978"/>
      <w:bookmarkStart w:id="74" w:name="_Toc15377223"/>
      <w:r>
        <w:rPr>
          <w:rFonts w:hint="eastAsia" w:ascii="Times New Roman" w:hAnsi="Times New Roman" w:eastAsia="楷体_GB2312" w:cs="楷体_GB2312"/>
          <w:b/>
          <w:color w:val="auto"/>
          <w:sz w:val="32"/>
          <w:szCs w:val="32"/>
          <w:highlight w:val="none"/>
        </w:rPr>
        <w:t>（二）政府采购支出情况</w:t>
      </w:r>
      <w:bookmarkEnd w:id="73"/>
      <w:bookmarkEnd w:id="7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2024年度，采购支出总额</w:t>
      </w:r>
      <w:r>
        <w:rPr>
          <w:rFonts w:hint="default" w:ascii="仿宋_GB2312" w:hAnsi="仿宋_GB2312" w:eastAsia="仿宋_GB2312" w:cs="仿宋_GB2312"/>
          <w:sz w:val="32"/>
          <w:szCs w:val="32"/>
          <w:lang w:val="en-US"/>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default" w:ascii="仿宋_GB2312" w:hAnsi="仿宋_GB2312" w:eastAsia="仿宋_GB2312" w:cs="仿宋_GB2312"/>
          <w:sz w:val="32"/>
          <w:szCs w:val="32"/>
          <w:lang w:val="en-US"/>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5" w:name="_Toc1224385312"/>
      <w:bookmarkStart w:id="76" w:name="_Toc15377224"/>
      <w:r>
        <w:rPr>
          <w:rFonts w:hint="eastAsia" w:ascii="Times New Roman" w:hAnsi="Times New Roman" w:eastAsia="楷体_GB2312" w:cs="楷体_GB2312"/>
          <w:b/>
          <w:color w:val="auto"/>
          <w:sz w:val="32"/>
          <w:szCs w:val="32"/>
          <w:highlight w:val="none"/>
        </w:rPr>
        <w:t>（三）国有资产占有使用情况</w:t>
      </w:r>
      <w:bookmarkEnd w:id="75"/>
      <w:bookmarkEnd w:id="76"/>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7" w:name="_Toc1704745089"/>
      <w:r>
        <w:rPr>
          <w:rFonts w:hint="eastAsia" w:ascii="Times New Roman" w:hAnsi="Times New Roman" w:eastAsia="楷体_GB2312" w:cs="楷体_GB2312"/>
          <w:b/>
          <w:color w:val="auto"/>
          <w:sz w:val="32"/>
          <w:szCs w:val="32"/>
          <w:highlight w:val="none"/>
        </w:rPr>
        <w:t>（四）预算绩效管理情况</w:t>
      </w:r>
      <w:bookmarkEnd w:id="7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w:t>
      </w:r>
      <w:r>
        <w:rPr>
          <w:rFonts w:hint="eastAsia" w:eastAsia="仿宋_GB2312" w:cs="仿宋_GB2312"/>
          <w:color w:val="auto"/>
          <w:kern w:val="2"/>
          <w:sz w:val="32"/>
          <w:szCs w:val="32"/>
          <w:highlight w:val="none"/>
          <w:lang w:val="en-US" w:eastAsia="zh-CN" w:bidi="ar-SA"/>
        </w:rPr>
        <w:t>医疗服务和能力提升</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开江县医疗保障局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92.13</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8" w:name="_Toc15396613"/>
      <w:bookmarkStart w:id="79"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0" w:name="_Toc1894125327"/>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8"/>
      <w:bookmarkEnd w:id="79"/>
      <w:bookmarkEnd w:id="80"/>
    </w:p>
    <w:p>
      <w:pPr>
        <w:spacing w:line="600" w:lineRule="exact"/>
        <w:jc w:val="left"/>
        <w:rPr>
          <w:rFonts w:ascii="Times New Roman" w:hAnsi="Times New Roman"/>
          <w:b/>
          <w:color w:val="auto"/>
          <w:sz w:val="44"/>
          <w:szCs w:val="44"/>
          <w:highlight w:val="none"/>
        </w:rPr>
      </w:pPr>
    </w:p>
    <w:p>
      <w:pPr>
        <w:pStyle w:val="26"/>
        <w:spacing w:line="560" w:lineRule="exact"/>
        <w:ind w:firstLine="640" w:firstLineChars="200"/>
        <w:outlineLvl w:val="1"/>
        <w:rPr>
          <w:rFonts w:ascii="仿宋_GB2312" w:eastAsia="仿宋_GB2312"/>
          <w:color w:val="auto"/>
          <w:sz w:val="32"/>
          <w:szCs w:val="32"/>
          <w:highlight w:val="none"/>
        </w:rPr>
      </w:pPr>
      <w:bookmarkStart w:id="81" w:name="_Toc246627685"/>
      <w:bookmarkStart w:id="82" w:name="_Toc27757"/>
      <w:bookmarkStart w:id="83"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1"/>
      <w:bookmarkEnd w:id="82"/>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人力资源和社会保障管理事务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其他人力资源和社会保障管理事务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除行政运行、一般行政管理事务等项目以外的其他用于人力资源和社会保障管理事务方面的支出。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医疗卫生与计划生育（类）</w:t>
      </w:r>
      <w:r>
        <w:rPr>
          <w:rFonts w:hint="eastAsia" w:ascii="仿宋_GB2312" w:eastAsia="仿宋_GB2312"/>
          <w:color w:val="auto"/>
          <w:sz w:val="32"/>
          <w:szCs w:val="32"/>
          <w:highlight w:val="none"/>
          <w:lang w:eastAsia="zh-CN"/>
        </w:rPr>
        <w:t>医疗保障事务管理</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行政单位的基本支出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机关服务（项）指行政单位提供后勤服务的各类后勤服务中心、医务室等附属事业单位的支出。信息化建设（项）指医疗保障部门用于信息化建设、开发、运行维护和数据分析等方面支出。医疗保障政策管理（项）指医疗保障待遇管理、医药服务管理、医药价格和招标采购管理、医疗保障基金监管等支出。医疗保障经办事务（项）指医保基金核算、精算、参保登记、权益记录、转移接续等医疗保障经办支出。其他医疗保障管理事务支出（项）指除上述项目以外的其他用于医疗保障管理事务方面的支出。</w:t>
      </w:r>
    </w:p>
    <w:p>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为单位职工缴纳住房公积金支出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8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85" w:name="_Toc929265422"/>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85"/>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（一）机构组成。</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开江县医疗保障局内设办公室、基金监督股、医药服务股</w:t>
      </w:r>
      <w:r>
        <w:rPr>
          <w:rFonts w:hint="eastAsia" w:ascii="Times New Roman" w:eastAsia="仿宋_GB2312" w:cs="Times New Roman"/>
          <w:kern w:val="2"/>
          <w:sz w:val="32"/>
          <w:szCs w:val="32"/>
          <w:u w:val="none"/>
          <w:lang w:val="zh-CN" w:eastAsia="zh-CN" w:bidi="ar"/>
        </w:rPr>
        <w:t>。</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（二）机构职能。</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开江县医疗保障局是县政府工作部门之一。其主要职责是：1.组织我县医疗保险、生育保险、医疗救助的政策制定、实施。2.组织医疗保险、生育保险、医疗救助的监督检查，进一步推进打击欺诈骗保专项行动。3.组织医疗保障筹资和待遇落实。4.推进医疗保障基金支付方式改革。5.组织建立医疗服务项目设施价格确定、调整机制，负责药品、医用耗材采购政策的监督落实。6.推进医疗保障经办管理，公共服务体系建设。7.实施全县医疗保障信息化系统建设。8.广泛宣传医疗保障政策。9.县委、</w:t>
      </w:r>
      <w:r>
        <w:rPr>
          <w:rFonts w:hint="eastAsia" w:ascii="Times New Roman" w:eastAsia="仿宋_GB2312" w:cs="Times New Roman"/>
          <w:kern w:val="2"/>
          <w:sz w:val="32"/>
          <w:szCs w:val="32"/>
          <w:u w:val="none"/>
          <w:lang w:val="zh-CN" w:eastAsia="zh-CN" w:bidi="ar"/>
        </w:rPr>
        <w:t>县</w:t>
      </w:r>
      <w:r>
        <w:rPr>
          <w:rFonts w:hint="eastAsia" w:ascii="Times New Roman" w:hAnsi="Times New Roman" w:eastAsia="仿宋_GB2312" w:cs="Times New Roman"/>
          <w:kern w:val="2"/>
          <w:sz w:val="32"/>
          <w:szCs w:val="32"/>
          <w:u w:val="none"/>
          <w:lang w:val="zh-CN" w:eastAsia="zh-CN" w:bidi="ar"/>
        </w:rPr>
        <w:t>政府交办的其他事项。</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（三）人员概况。</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截至2024年末，核定编制8人，在职职工实有人数7人。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二、部门资金收支情况</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（一）收入情况。</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2024年财政资金预算收入1191.6万元，其中财政列支的社会保险基金-2024年医疗救助资金776.41万元，年终结转结余251.9万元。</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2024年决算表收入234.72万元。</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（二）支出情况。</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2024年财政资金预算支出1191.6万元，其中财政列支的社会保险基金-2024年医疗救助资金776.41万元，年终结转结余251.9万元。</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2024年决算表支出234.72万元。</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（三）结余分配和结转结余情况。</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2024年决算报表年初结转结余0万元。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三、部门预算绩效分析</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（一）部门预算总体绩效分析。</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1.履职效能。年终完成经办体系建设履职效果、监督检查履职效果、待遇保障履职效果目标数量3个，年初目标设置总数3个，得分15分。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预算管理。部门严格按要求编制年初部门预算，部门统筹无自有收入，支出执行进度较好，部门整体年终预算结余399.49万元，其中年初预算“大数据+医保”平台采购项目资金指标170万元，24年实际支出9.33万元，结余160.67万元，以及年初预算城乡医疗救助县级补助资金776.41万元，24年实际支出医疗救助县级补助资金547.5万元，结余228.91万元。部门严控“三公”经费、会议、培训、差旅、办节办展、办公设备购置、信息网络及软件购置更新、课题经费等8项一般性支出情况，得分19.33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3.财务管理。部门已制定内部财务管理制度等制度机制，部门合理设置财务工作岗位，明确职责权限，并严格实行不相容岗位分离，部门资金使用符合相关财务管理制度规定，得分10分。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4.资产管理。部门无闲置资产，所有固定资产全部纳入资产信息系统管理，人均资产变化率、资产利用率好，得分9分。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5.采购管理。部门严格执行政府采购促进中小企业发展相关管理办法，2024年医保局未进行政府采购，得分3分。</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（二）部门预算项目绩效分析。</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常年项目绩效分析。该类项目总数14个，涉及预算总金额131.29万元，1—12月预算执行总体进度为100%，其中：预算结余率大于10%的项目共计0个。</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阶段（一次性）项目绩效分析。该类项目总数5个，涉及预算总金额1060.31万元，1—12月预算执行总体进度为90.72%，其中：预算结余率大于10%的项目共计1个，系医疗服务和能力提升项目，年初预算81.9万元，调整后预算数147万元，24年财政支付数78.81万元。</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项目决策。部门预算项目设立按规定履行评估论证、申报程序。部门预算项目绩效目标与计划期内的任务量、预算安排的资金量相匹配，绩效目标设置科学合理、规范完整、量化细化、预算匹配。部门预算项目在规定时间完成项目入库，得分8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2.项目执行。部门预算项目实际列支内容与绩效目标设置方向相符，部门预算项目采取对应调整措施，部门预算项目预算执行完成了4个预算项目，剩余1个预算项目还在执行中，得分11分。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3.目标实现。部门预算项目绩效目标数量5个，年终完成4个，已完成预期指标值的数量指标中偏离度在30%内的指标个数有4个，已完成预期指标值的数量指标个数4个，部门预算项目绩效目标效益指标实施效果，得分8.8分。</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4.绩效结果运用得分8分。</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（三）重点领域绩效分析。</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开江县医疗保障局2024年度不涉及国有资本、行政事业性国有资产、债券资金、政府采购和政府购买服务等重点领域的。</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（四）绩效结果应用情况。</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按要求在开江县政府门户网站公开了我单位部门预算支出绩效自评报告，接受公众监督。规定时间内向财政部门反馈应用绩效结果报告。</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我单位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2024年我单位继续认真贯彻</w:t>
      </w:r>
      <w:bookmarkStart w:id="100" w:name="_GoBack"/>
      <w:bookmarkEnd w:id="100"/>
      <w:r>
        <w:rPr>
          <w:rFonts w:hint="eastAsia" w:ascii="Times New Roman" w:hAnsi="Times New Roman" w:eastAsia="仿宋_GB2312" w:cs="Times New Roman"/>
          <w:kern w:val="2"/>
          <w:sz w:val="32"/>
          <w:szCs w:val="32"/>
          <w:u w:val="none"/>
          <w:lang w:val="zh-CN" w:eastAsia="zh-CN" w:bidi="ar"/>
        </w:rPr>
        <w:t>中央八项</w:t>
      </w:r>
      <w:r>
        <w:rPr>
          <w:rFonts w:hint="eastAsia" w:ascii="Times New Roman" w:eastAsia="仿宋_GB2312" w:cs="Times New Roman"/>
          <w:kern w:val="2"/>
          <w:sz w:val="32"/>
          <w:szCs w:val="32"/>
          <w:u w:val="none"/>
          <w:lang w:val="zh-CN" w:eastAsia="zh-CN" w:bidi="ar"/>
        </w:rPr>
        <w:t>规定精神</w:t>
      </w:r>
      <w:r>
        <w:rPr>
          <w:rFonts w:hint="eastAsia" w:ascii="Times New Roman" w:hAnsi="Times New Roman" w:eastAsia="仿宋_GB2312" w:cs="Times New Roman"/>
          <w:kern w:val="2"/>
          <w:sz w:val="32"/>
          <w:szCs w:val="32"/>
          <w:u w:val="none"/>
          <w:lang w:val="zh-CN" w:eastAsia="zh-CN" w:bidi="ar"/>
        </w:rPr>
        <w:t>、省委</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省政府十项规定及《党政机关厉行节约反对浪费条例》，加强“三公”经费和会议费、培训费管理，使其支出得到有效控制。</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四、评价结论及建议</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（一）评价结论。</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认真做好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w:t>
      </w:r>
      <w:r>
        <w:rPr>
          <w:rFonts w:hint="eastAsia" w:ascii="Times New Roman" w:hAnsi="Times New Roman" w:eastAsia="仿宋_GB2312" w:cs="Times New Roman"/>
          <w:kern w:val="2"/>
          <w:sz w:val="32"/>
          <w:szCs w:val="32"/>
          <w:u w:val="none"/>
          <w:lang w:val="zh-CN" w:eastAsia="zh-CN" w:bidi="ar"/>
        </w:rPr>
        <w:br w:type="textWrapping"/>
      </w:r>
      <w:r>
        <w:rPr>
          <w:rFonts w:hint="eastAsia" w:ascii="Times New Roman" w:hAnsi="Times New Roman" w:eastAsia="仿宋_GB2312" w:cs="Times New Roman"/>
          <w:kern w:val="2"/>
          <w:sz w:val="32"/>
          <w:szCs w:val="32"/>
          <w:u w:val="none"/>
          <w:lang w:val="zh-CN" w:eastAsia="zh-CN" w:bidi="ar"/>
        </w:rPr>
        <w:t>　　全年基本支出保证了部门的正常运行和日常工作的正常开展。全年项目支出基本达到预期绩效目标。全年整体绩效目标基本完成。部门预算绩效自评得分92.13分。</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（二）存在问题。</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1.个别项目，财政未及时支付资金。</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2.对绩效评价内容、流程不熟悉。</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kern w:val="2"/>
          <w:sz w:val="32"/>
          <w:szCs w:val="32"/>
          <w:u w:val="none"/>
          <w:lang w:val="zh-CN" w:eastAsia="zh-CN" w:bidi="ar"/>
        </w:rPr>
      </w:pPr>
      <w:r>
        <w:rPr>
          <w:rFonts w:hint="eastAsia" w:ascii="楷体_GB2312" w:hAnsi="楷体_GB2312" w:eastAsia="楷体_GB2312" w:cs="楷体_GB2312"/>
          <w:b/>
          <w:bCs/>
          <w:kern w:val="2"/>
          <w:sz w:val="32"/>
          <w:szCs w:val="32"/>
          <w:u w:val="none"/>
          <w:lang w:val="zh-CN" w:eastAsia="zh-CN" w:bidi="ar"/>
        </w:rPr>
        <w:t>（三）改进建议。</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1.及时与财政沟通，确保项目资金到位。</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2.建议财政组织业务培训，提高业务水平和能力。</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p>
    <w:p>
      <w:pPr>
        <w:widowControl/>
        <w:spacing w:line="578" w:lineRule="exact"/>
        <w:jc w:val="center"/>
        <w:textAlignment w:val="center"/>
        <w:rPr>
          <w:rFonts w:eastAsia="方正小标宋简体"/>
          <w:color w:val="000000"/>
          <w:kern w:val="0"/>
          <w:sz w:val="44"/>
          <w:szCs w:val="44"/>
          <w:lang w:bidi="ar"/>
        </w:rPr>
      </w:pPr>
      <w:r>
        <w:rPr>
          <w:rFonts w:eastAsia="方正小标宋简体"/>
          <w:color w:val="000000"/>
          <w:kern w:val="0"/>
          <w:sz w:val="44"/>
          <w:szCs w:val="44"/>
          <w:lang w:bidi="ar"/>
        </w:rPr>
        <w:t>部门预算项目支出绩效</w:t>
      </w:r>
      <w:r>
        <w:rPr>
          <w:rFonts w:hint="eastAsia" w:eastAsia="方正小标宋简体"/>
          <w:color w:val="000000"/>
          <w:kern w:val="0"/>
          <w:sz w:val="44"/>
          <w:szCs w:val="44"/>
          <w:lang w:bidi="ar"/>
        </w:rPr>
        <w:t>自评</w:t>
      </w:r>
      <w:r>
        <w:rPr>
          <w:rFonts w:eastAsia="方正小标宋简体"/>
          <w:color w:val="000000"/>
          <w:kern w:val="0"/>
          <w:sz w:val="44"/>
          <w:szCs w:val="44"/>
          <w:lang w:bidi="ar"/>
        </w:rPr>
        <w:t>表</w:t>
      </w:r>
    </w:p>
    <w:p>
      <w:pPr>
        <w:widowControl/>
        <w:spacing w:line="578" w:lineRule="exact"/>
        <w:jc w:val="center"/>
        <w:textAlignment w:val="center"/>
        <w:rPr>
          <w:rFonts w:eastAsia="方正小标宋简体"/>
          <w:color w:val="000000"/>
          <w:kern w:val="0"/>
          <w:szCs w:val="32"/>
          <w:lang w:bidi="ar"/>
        </w:rPr>
      </w:pPr>
      <w:r>
        <w:rPr>
          <w:rFonts w:eastAsia="方正小标宋简体"/>
          <w:color w:val="000000"/>
          <w:kern w:val="0"/>
          <w:szCs w:val="32"/>
          <w:lang w:bidi="ar"/>
        </w:rPr>
        <w:t>（2024年度）</w:t>
      </w:r>
    </w:p>
    <w:p>
      <w:pPr>
        <w:pStyle w:val="2"/>
        <w:spacing w:before="0" w:after="0" w:line="578" w:lineRule="exact"/>
        <w:ind w:firstLine="640" w:firstLineChars="200"/>
        <w:rPr>
          <w:rFonts w:ascii="Times New Roman" w:hAnsi="Times New Roman" w:eastAsia="仿宋_GB2312"/>
          <w:b w:val="0"/>
          <w:color w:val="000000"/>
          <w:kern w:val="0"/>
          <w:sz w:val="32"/>
          <w:szCs w:val="32"/>
          <w:shd w:val="clear" w:color="auto" w:fill="FFFFFF"/>
        </w:rPr>
      </w:pPr>
    </w:p>
    <w:p>
      <w:pPr>
        <w:pStyle w:val="2"/>
        <w:spacing w:before="0" w:after="0" w:line="578" w:lineRule="exact"/>
        <w:ind w:firstLine="482" w:firstLineChars="200"/>
      </w:pPr>
    </w:p>
    <w:tbl>
      <w:tblPr>
        <w:tblStyle w:val="1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653"/>
        <w:gridCol w:w="853"/>
        <w:gridCol w:w="1145"/>
        <w:gridCol w:w="445"/>
        <w:gridCol w:w="518"/>
        <w:gridCol w:w="445"/>
        <w:gridCol w:w="954"/>
        <w:gridCol w:w="513"/>
        <w:gridCol w:w="1038"/>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6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51172322T000007299749-达州市开江县医疗保障局“大数据+医保”平台采购项目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开江县医疗保障局本级</w:t>
            </w:r>
          </w:p>
        </w:tc>
        <w:tc>
          <w:tcPr>
            <w:tcW w:w="9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持续推进</w:t>
            </w:r>
            <w:r>
              <w:rPr>
                <w:rFonts w:ascii="宋体" w:hAnsi="宋体" w:eastAsia="宋体" w:cs="宋体"/>
                <w:i w:val="0"/>
                <w:iCs w:val="0"/>
                <w:color w:val="000000"/>
                <w:kern w:val="0"/>
                <w:sz w:val="18"/>
                <w:szCs w:val="18"/>
                <w:u w:val="none"/>
                <w:lang w:val="en-US" w:eastAsia="zh-CN" w:bidi="ar"/>
              </w:rPr>
              <w:t>“大数据+医保”平台采购项目</w:t>
            </w:r>
            <w:r>
              <w:rPr>
                <w:rFonts w:hint="eastAsia" w:ascii="宋体" w:hAnsi="宋体" w:eastAsia="宋体" w:cs="宋体"/>
                <w:i w:val="0"/>
                <w:iCs w:val="0"/>
                <w:color w:val="000000"/>
                <w:kern w:val="0"/>
                <w:sz w:val="18"/>
                <w:szCs w:val="18"/>
                <w:u w:val="none"/>
                <w:lang w:val="en-US" w:eastAsia="zh-CN" w:bidi="ar"/>
              </w:rPr>
              <w:t>资金支付工作。</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2024年支付项目资金9.33万元。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r>
              <w:rPr>
                <w:rFonts w:ascii="宋体" w:hAnsi="宋体" w:eastAsia="宋体" w:cs="宋体"/>
                <w:i w:val="0"/>
                <w:iCs w:val="0"/>
                <w:color w:val="000000"/>
                <w:kern w:val="0"/>
                <w:sz w:val="18"/>
                <w:szCs w:val="18"/>
                <w:u w:val="none"/>
                <w:lang w:val="en-US" w:eastAsia="zh-CN" w:bidi="ar"/>
              </w:rPr>
              <w:t>“大数据+医保”平台采购项目</w:t>
            </w:r>
            <w:r>
              <w:rPr>
                <w:rFonts w:hint="eastAsia" w:ascii="宋体" w:hAnsi="宋体" w:eastAsia="宋体" w:cs="宋体"/>
                <w:i w:val="0"/>
                <w:iCs w:val="0"/>
                <w:color w:val="000000"/>
                <w:kern w:val="0"/>
                <w:sz w:val="18"/>
                <w:szCs w:val="18"/>
                <w:u w:val="none"/>
                <w:lang w:val="en-US" w:eastAsia="zh-CN" w:bidi="ar"/>
              </w:rPr>
              <w:t>，同财政沟通，争取项目资金。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iCs/>
                <w:color w:val="000000"/>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项目超支额</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sz w:val="18"/>
                <w:szCs w:val="18"/>
                <w:u w:val="none"/>
                <w:lang w:val="en-US" w:eastAsia="zh-CN"/>
              </w:rPr>
              <w:t>0万元</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自评100分。财政24年下达项目指标9.33万元，本单位全额支付9.33万元给收款方。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财政未下达完项目预算所有指标。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同财政加强沟通，争取项目资金。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51172323T000009017753-全县政府性投资建设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开江县医疗保障局本级</w:t>
            </w:r>
          </w:p>
        </w:tc>
        <w:tc>
          <w:tcPr>
            <w:tcW w:w="9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10万元用于</w:t>
            </w:r>
            <w:r>
              <w:rPr>
                <w:rFonts w:hint="eastAsia" w:ascii="宋体" w:hAnsi="宋体" w:eastAsia="宋体" w:cs="宋体"/>
                <w:i w:val="0"/>
                <w:iCs w:val="0"/>
                <w:color w:val="000000"/>
                <w:sz w:val="18"/>
                <w:szCs w:val="18"/>
                <w:u w:val="none"/>
              </w:rPr>
              <w:t>1</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政策宣传、参保宣传2.打击欺诈骗保</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3.信息化建设。医保网络维护、设备维护</w:t>
            </w:r>
            <w:r>
              <w:rPr>
                <w:rFonts w:hint="eastAsia" w:ascii="宋体" w:hAnsi="宋体" w:eastAsia="宋体" w:cs="宋体"/>
                <w:i w:val="0"/>
                <w:iCs w:val="0"/>
                <w:color w:val="000000"/>
                <w:sz w:val="18"/>
                <w:szCs w:val="18"/>
                <w:u w:val="none"/>
                <w:lang w:val="en-US" w:eastAsia="zh-CN"/>
              </w:rPr>
              <w:t>等方面。</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24年支付10万元。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10万元用于打击欺诈骗保。通过下乡督查两定机构、交叉检查、飞行检查等方式追回医保基金。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监督检查医药机构次数</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支付完成时间</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12月</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追回定点医疗机构违规资金</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大于50万元</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经济成本指标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项目超支额</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0万元</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自评100分。本项目10万元主要用于打击欺诈骗保工作开展。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51172324T000011024346-保基本民生-卫生健康支出-城乡医疗救助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开江县医疗保障局本级</w:t>
            </w:r>
          </w:p>
        </w:tc>
        <w:tc>
          <w:tcPr>
            <w:tcW w:w="9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w:t>
            </w:r>
            <w:r>
              <w:rPr>
                <w:rFonts w:hint="eastAsia" w:ascii="宋体" w:hAnsi="宋体" w:eastAsia="宋体" w:cs="宋体"/>
                <w:i w:val="0"/>
                <w:iCs w:val="0"/>
                <w:color w:val="000000"/>
                <w:kern w:val="0"/>
                <w:sz w:val="18"/>
                <w:szCs w:val="18"/>
                <w:u w:val="none"/>
                <w:lang w:val="en-US" w:eastAsia="zh-CN" w:bidi="ar"/>
              </w:rPr>
              <w:t>年初预算</w:t>
            </w:r>
            <w:r>
              <w:rPr>
                <w:rFonts w:ascii="宋体" w:hAnsi="宋体" w:eastAsia="宋体" w:cs="宋体"/>
                <w:i w:val="0"/>
                <w:iCs w:val="0"/>
                <w:color w:val="000000"/>
                <w:kern w:val="0"/>
                <w:sz w:val="18"/>
                <w:szCs w:val="18"/>
                <w:u w:val="none"/>
                <w:lang w:val="en-US" w:eastAsia="zh-CN" w:bidi="ar"/>
              </w:rPr>
              <w:t>县级配套资金</w:t>
            </w:r>
            <w:r>
              <w:rPr>
                <w:rFonts w:hint="eastAsia" w:ascii="宋体" w:hAnsi="宋体" w:eastAsia="宋体" w:cs="宋体"/>
                <w:i w:val="0"/>
                <w:iCs w:val="0"/>
                <w:color w:val="000000"/>
                <w:kern w:val="0"/>
                <w:sz w:val="18"/>
                <w:szCs w:val="18"/>
                <w:u w:val="none"/>
                <w:lang w:val="en-US" w:eastAsia="zh-CN" w:bidi="ar"/>
              </w:rPr>
              <w:t>776.41</w:t>
            </w:r>
            <w:r>
              <w:rPr>
                <w:rFonts w:ascii="宋体" w:hAnsi="宋体" w:eastAsia="宋体" w:cs="宋体"/>
                <w:i w:val="0"/>
                <w:iCs w:val="0"/>
                <w:color w:val="000000"/>
                <w:kern w:val="0"/>
                <w:sz w:val="18"/>
                <w:szCs w:val="18"/>
                <w:u w:val="none"/>
                <w:lang w:val="en-US" w:eastAsia="zh-CN" w:bidi="ar"/>
              </w:rPr>
              <w:t>万元，让救助对象能及时得到救助，减轻家庭负担。</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2024年城乡医疗救助县级补助资金为547.5万元，已全额上解给达州市财政局。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年初根据市本级测算的数字，财政预算24年城乡医疗救助县级补助资金为776.41万元。后通过达州市医保局正式下达2024年城乡医疗救助收支预算文件，确定开江县2024年城乡医疗救助县级补助资金为547.5万元。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776.41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547.50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776.41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547.50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大于6万人次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救助覆盖率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救助时间段</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12月</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减轻救助对象经济负担，让有更多的获得感</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好</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自评100分。全额上解当年县级补助资金到达州市财政局。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医疗救助为市级统筹基金，由市本级每年根据参保人数及筹资比例确定县级补助资金。年初无法准确预算当年所需资金。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根据上一年支付的项目资金，按一定增长比例预算本年项目所需指标。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51172324T000011235250-专项业务类——专项经费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开江县医疗保障局本级</w:t>
            </w:r>
          </w:p>
        </w:tc>
        <w:tc>
          <w:tcPr>
            <w:tcW w:w="9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2024年用32万元资金来完成1.打击欺诈骗保专项治理,医疗保障领域突出问题治理。2.通过网络改造和维护，让网络畅通平台流畅，为老百姓提供便捷高效的医保服务。3.向上争取资金，保障民生事业的健康发展。</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本年支付8.99万元项目资金。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政策宣传、参保宣传。通过推送短信宣传居民参保、与电视台等单位合作宣传参保、印刷宣传资料等。2.打击欺诈骗保。通过下乡督查两定机构、交叉检查、飞行检查等方式追回医保基金。3.信息化建设。医保网络维护、设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监督检查医疗机构家数</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监督检查医药机构家数</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大于228户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网络安装维护</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监督检查两定机构检查率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网络在线率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拒付不合理和违规费用，维护基金安全；老百姓享受高新便捷网络服务。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好</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医疗保障工作满意度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自评100分。8.99万元用于打击欺诈骗保、医保网络维护等方面。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财政未全额下达预算指标。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加强与财政的沟通，争取资金。</w:t>
            </w:r>
          </w:p>
        </w:tc>
      </w:tr>
    </w:tbl>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86" w:name="_Toc15396618"/>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83"/>
      <w:bookmarkEnd w:id="86"/>
      <w:bookmarkStart w:id="87"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8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8" w:name="_Toc15396620"/>
      <w:r>
        <w:rPr>
          <w:rFonts w:hint="eastAsia" w:ascii="Times New Roman" w:hAnsi="Times New Roman" w:eastAsia="仿宋_GB2312" w:cs="仿宋_GB2312"/>
          <w:color w:val="auto"/>
          <w:sz w:val="32"/>
          <w:szCs w:val="32"/>
          <w:highlight w:val="none"/>
        </w:rPr>
        <w:t>二、收入决算表</w:t>
      </w:r>
      <w:bookmarkEnd w:id="8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15396621"/>
      <w:r>
        <w:rPr>
          <w:rFonts w:hint="eastAsia" w:ascii="Times New Roman" w:hAnsi="Times New Roman" w:eastAsia="仿宋_GB2312" w:cs="仿宋_GB2312"/>
          <w:color w:val="auto"/>
          <w:sz w:val="32"/>
          <w:szCs w:val="32"/>
          <w:highlight w:val="none"/>
        </w:rPr>
        <w:t>三、支出决算表</w:t>
      </w:r>
      <w:bookmarkEnd w:id="8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15396622"/>
      <w:r>
        <w:rPr>
          <w:rFonts w:hint="eastAsia" w:ascii="Times New Roman" w:hAnsi="Times New Roman" w:eastAsia="仿宋_GB2312" w:cs="仿宋_GB2312"/>
          <w:color w:val="auto"/>
          <w:sz w:val="32"/>
          <w:szCs w:val="32"/>
          <w:highlight w:val="none"/>
        </w:rPr>
        <w:t>四、财政拨款收入支出决算总表</w:t>
      </w:r>
      <w:bookmarkEnd w:id="9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1" w:name="_Toc15396623"/>
      <w:r>
        <w:rPr>
          <w:rFonts w:hint="eastAsia" w:ascii="Times New Roman" w:hAnsi="Times New Roman" w:eastAsia="仿宋_GB2312" w:cs="仿宋_GB2312"/>
          <w:color w:val="auto"/>
          <w:sz w:val="32"/>
          <w:szCs w:val="32"/>
          <w:highlight w:val="none"/>
        </w:rPr>
        <w:t>五、财政拨款支出决算明细表</w:t>
      </w:r>
      <w:bookmarkEnd w:id="91"/>
      <w:bookmarkStart w:id="92"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9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3" w:name="_Toc15396625"/>
      <w:r>
        <w:rPr>
          <w:rFonts w:hint="eastAsia" w:ascii="Times New Roman" w:hAnsi="Times New Roman" w:eastAsia="仿宋_GB2312" w:cs="仿宋_GB2312"/>
          <w:color w:val="auto"/>
          <w:sz w:val="32"/>
          <w:szCs w:val="32"/>
          <w:highlight w:val="none"/>
        </w:rPr>
        <w:t>七、一般公共预算财政拨款支出决算明细表</w:t>
      </w:r>
      <w:bookmarkEnd w:id="9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4" w:name="_Toc15396626"/>
      <w:r>
        <w:rPr>
          <w:rFonts w:hint="eastAsia" w:ascii="Times New Roman" w:hAnsi="Times New Roman" w:eastAsia="仿宋_GB2312" w:cs="仿宋_GB2312"/>
          <w:color w:val="auto"/>
          <w:sz w:val="32"/>
          <w:szCs w:val="32"/>
          <w:highlight w:val="none"/>
        </w:rPr>
        <w:t>八、一般公共预算财政拨款基本支出决算表</w:t>
      </w:r>
      <w:bookmarkEnd w:id="9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5" w:name="_Toc15396627"/>
      <w:r>
        <w:rPr>
          <w:rFonts w:hint="eastAsia" w:ascii="Times New Roman" w:hAnsi="Times New Roman" w:eastAsia="仿宋_GB2312" w:cs="仿宋_GB2312"/>
          <w:color w:val="auto"/>
          <w:sz w:val="32"/>
          <w:szCs w:val="32"/>
          <w:highlight w:val="none"/>
        </w:rPr>
        <w:t>九、一般公共预算财政拨款项目支出决算表</w:t>
      </w:r>
      <w:bookmarkEnd w:id="9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6" w:name="_Toc15396628"/>
      <w:r>
        <w:rPr>
          <w:rFonts w:hint="eastAsia" w:ascii="Times New Roman" w:hAnsi="Times New Roman" w:eastAsia="仿宋_GB2312" w:cs="仿宋_GB2312"/>
          <w:color w:val="auto"/>
          <w:sz w:val="32"/>
          <w:szCs w:val="32"/>
          <w:highlight w:val="none"/>
        </w:rPr>
        <w:t>十、</w:t>
      </w:r>
      <w:bookmarkEnd w:id="96"/>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7" w:name="_Toc15396629"/>
      <w:r>
        <w:rPr>
          <w:rFonts w:hint="eastAsia" w:ascii="Times New Roman" w:hAnsi="Times New Roman" w:eastAsia="仿宋_GB2312" w:cs="仿宋_GB2312"/>
          <w:color w:val="auto"/>
          <w:sz w:val="32"/>
          <w:szCs w:val="32"/>
          <w:highlight w:val="none"/>
        </w:rPr>
        <w:t>十一、</w:t>
      </w:r>
      <w:bookmarkEnd w:id="9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8" w:name="_Toc15396630"/>
      <w:r>
        <w:rPr>
          <w:rFonts w:hint="eastAsia" w:ascii="Times New Roman" w:hAnsi="Times New Roman" w:eastAsia="仿宋_GB2312" w:cs="仿宋_GB2312"/>
          <w:color w:val="auto"/>
          <w:sz w:val="32"/>
          <w:szCs w:val="32"/>
          <w:highlight w:val="none"/>
        </w:rPr>
        <w:t>十二、</w:t>
      </w:r>
      <w:bookmarkEnd w:id="9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99" w:name="_Toc15396631"/>
      <w:r>
        <w:rPr>
          <w:rFonts w:hint="eastAsia" w:ascii="Times New Roman" w:hAnsi="Times New Roman" w:eastAsia="仿宋_GB2312" w:cs="仿宋_GB2312"/>
          <w:color w:val="auto"/>
          <w:sz w:val="32"/>
          <w:szCs w:val="32"/>
          <w:highlight w:val="none"/>
        </w:rPr>
        <w:t>十三、</w:t>
      </w:r>
      <w:bookmarkEnd w:id="9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zRlYTI2MjJmODJkOWY4NTczZWRmNjgxY2E5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700"/>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1059"/>
    <w:rsid w:val="11694EBD"/>
    <w:rsid w:val="11772AA4"/>
    <w:rsid w:val="118107EC"/>
    <w:rsid w:val="12E24EE2"/>
    <w:rsid w:val="13B8C6F0"/>
    <w:rsid w:val="13D50BC4"/>
    <w:rsid w:val="14B17F78"/>
    <w:rsid w:val="15761F97"/>
    <w:rsid w:val="165E0673"/>
    <w:rsid w:val="16B831D5"/>
    <w:rsid w:val="16BB723D"/>
    <w:rsid w:val="17DF1935"/>
    <w:rsid w:val="17E50567"/>
    <w:rsid w:val="186504BB"/>
    <w:rsid w:val="19A445FC"/>
    <w:rsid w:val="1A2B654F"/>
    <w:rsid w:val="1AE23F10"/>
    <w:rsid w:val="1BE8440E"/>
    <w:rsid w:val="1BF78BEC"/>
    <w:rsid w:val="1CC6347C"/>
    <w:rsid w:val="1D155CEE"/>
    <w:rsid w:val="1D1638FE"/>
    <w:rsid w:val="1DFF1AE5"/>
    <w:rsid w:val="1E312DEB"/>
    <w:rsid w:val="1E740ACF"/>
    <w:rsid w:val="1E7F6864"/>
    <w:rsid w:val="1EDF5DA7"/>
    <w:rsid w:val="1F884654"/>
    <w:rsid w:val="1FBF968E"/>
    <w:rsid w:val="1FED838A"/>
    <w:rsid w:val="1FF35744"/>
    <w:rsid w:val="1FF6BC77"/>
    <w:rsid w:val="217B7A8F"/>
    <w:rsid w:val="2186353C"/>
    <w:rsid w:val="23860B96"/>
    <w:rsid w:val="240371BF"/>
    <w:rsid w:val="244F3473"/>
    <w:rsid w:val="24C97D99"/>
    <w:rsid w:val="25A718F0"/>
    <w:rsid w:val="25BB59F6"/>
    <w:rsid w:val="260F557C"/>
    <w:rsid w:val="26970054"/>
    <w:rsid w:val="281408E2"/>
    <w:rsid w:val="29FD04D3"/>
    <w:rsid w:val="2AB625AF"/>
    <w:rsid w:val="2BFF7BC6"/>
    <w:rsid w:val="2C8A61B5"/>
    <w:rsid w:val="2DF04E50"/>
    <w:rsid w:val="2DFFF2A1"/>
    <w:rsid w:val="2E586DFA"/>
    <w:rsid w:val="2F040D46"/>
    <w:rsid w:val="2F3D29A1"/>
    <w:rsid w:val="2F6B035B"/>
    <w:rsid w:val="2FAE5751"/>
    <w:rsid w:val="2FB1A395"/>
    <w:rsid w:val="2FD9A7D8"/>
    <w:rsid w:val="2FDBF714"/>
    <w:rsid w:val="2FFB4D46"/>
    <w:rsid w:val="30AB6865"/>
    <w:rsid w:val="319F7F4E"/>
    <w:rsid w:val="32BD1EF1"/>
    <w:rsid w:val="3304709D"/>
    <w:rsid w:val="33A773CB"/>
    <w:rsid w:val="33CF9C77"/>
    <w:rsid w:val="349D6851"/>
    <w:rsid w:val="35FF7194"/>
    <w:rsid w:val="366F453D"/>
    <w:rsid w:val="36AA5135"/>
    <w:rsid w:val="36BE0DA7"/>
    <w:rsid w:val="36FCE7FC"/>
    <w:rsid w:val="376B6AA6"/>
    <w:rsid w:val="376D39B2"/>
    <w:rsid w:val="37E16F03"/>
    <w:rsid w:val="37F53A3B"/>
    <w:rsid w:val="37FDE6F0"/>
    <w:rsid w:val="389B6C89"/>
    <w:rsid w:val="38D469F0"/>
    <w:rsid w:val="39627CCD"/>
    <w:rsid w:val="397BAF1F"/>
    <w:rsid w:val="39F9AAB8"/>
    <w:rsid w:val="3AB79AF3"/>
    <w:rsid w:val="3AE834C0"/>
    <w:rsid w:val="3B7EF35A"/>
    <w:rsid w:val="3B9FDB6C"/>
    <w:rsid w:val="3BDDE5D3"/>
    <w:rsid w:val="3BF5BC2F"/>
    <w:rsid w:val="3CB955D6"/>
    <w:rsid w:val="3CEBA265"/>
    <w:rsid w:val="3D98207C"/>
    <w:rsid w:val="3DEE7CF3"/>
    <w:rsid w:val="3DEE8D00"/>
    <w:rsid w:val="3E740A63"/>
    <w:rsid w:val="3E78745D"/>
    <w:rsid w:val="3EDF4E16"/>
    <w:rsid w:val="3EE17838"/>
    <w:rsid w:val="3EFF9DD3"/>
    <w:rsid w:val="3F55381A"/>
    <w:rsid w:val="3F7F7599"/>
    <w:rsid w:val="3F9B4F49"/>
    <w:rsid w:val="3FE7ADF5"/>
    <w:rsid w:val="3FF4CAE0"/>
    <w:rsid w:val="3FF7B227"/>
    <w:rsid w:val="41306BEE"/>
    <w:rsid w:val="44E268DA"/>
    <w:rsid w:val="450D13D7"/>
    <w:rsid w:val="45506656"/>
    <w:rsid w:val="477E6231"/>
    <w:rsid w:val="486A6C7A"/>
    <w:rsid w:val="4A627F82"/>
    <w:rsid w:val="4B0E749A"/>
    <w:rsid w:val="4B2477C4"/>
    <w:rsid w:val="4B4F25DA"/>
    <w:rsid w:val="4BE068DB"/>
    <w:rsid w:val="4BF8B40F"/>
    <w:rsid w:val="4D577224"/>
    <w:rsid w:val="4DBF1CEB"/>
    <w:rsid w:val="4DEB45C9"/>
    <w:rsid w:val="4DF0007C"/>
    <w:rsid w:val="4EAB630A"/>
    <w:rsid w:val="4EBB58EC"/>
    <w:rsid w:val="4ECE2238"/>
    <w:rsid w:val="4F833267"/>
    <w:rsid w:val="4FE9BD67"/>
    <w:rsid w:val="4FFB052F"/>
    <w:rsid w:val="519F7BA4"/>
    <w:rsid w:val="532B06E6"/>
    <w:rsid w:val="534D3630"/>
    <w:rsid w:val="537E6D0A"/>
    <w:rsid w:val="53F74C96"/>
    <w:rsid w:val="55170BA8"/>
    <w:rsid w:val="553218C9"/>
    <w:rsid w:val="567E1AA5"/>
    <w:rsid w:val="56E47B74"/>
    <w:rsid w:val="56FC50D1"/>
    <w:rsid w:val="57175D52"/>
    <w:rsid w:val="57BD3DD4"/>
    <w:rsid w:val="57FF05E0"/>
    <w:rsid w:val="5AF92295"/>
    <w:rsid w:val="5B250254"/>
    <w:rsid w:val="5BDD79E6"/>
    <w:rsid w:val="5BF561CA"/>
    <w:rsid w:val="5BFF5DFC"/>
    <w:rsid w:val="5CD71FC4"/>
    <w:rsid w:val="5D1F11B5"/>
    <w:rsid w:val="5D687544"/>
    <w:rsid w:val="5D695134"/>
    <w:rsid w:val="5DAE1B18"/>
    <w:rsid w:val="5DE7D9E5"/>
    <w:rsid w:val="5EB7CC52"/>
    <w:rsid w:val="5EC24ED2"/>
    <w:rsid w:val="5ECEC941"/>
    <w:rsid w:val="5F3E68F4"/>
    <w:rsid w:val="5FBF9FF3"/>
    <w:rsid w:val="5FCD4E2C"/>
    <w:rsid w:val="5FD75DB2"/>
    <w:rsid w:val="5FEF394A"/>
    <w:rsid w:val="5FF652FB"/>
    <w:rsid w:val="5FF67715"/>
    <w:rsid w:val="62BF3928"/>
    <w:rsid w:val="63894479"/>
    <w:rsid w:val="63B3701E"/>
    <w:rsid w:val="647F5392"/>
    <w:rsid w:val="64802F55"/>
    <w:rsid w:val="65270ABE"/>
    <w:rsid w:val="65E66580"/>
    <w:rsid w:val="664B1D71"/>
    <w:rsid w:val="664B4E8E"/>
    <w:rsid w:val="66FF3073"/>
    <w:rsid w:val="67277B67"/>
    <w:rsid w:val="675FCE1E"/>
    <w:rsid w:val="67717495"/>
    <w:rsid w:val="67AA3209"/>
    <w:rsid w:val="67ABEA8E"/>
    <w:rsid w:val="697EF142"/>
    <w:rsid w:val="698D0931"/>
    <w:rsid w:val="6A7FE5F3"/>
    <w:rsid w:val="6B053271"/>
    <w:rsid w:val="6B7E05CC"/>
    <w:rsid w:val="6BDD78B3"/>
    <w:rsid w:val="6C4A05C8"/>
    <w:rsid w:val="6C8742B8"/>
    <w:rsid w:val="6D3E66FD"/>
    <w:rsid w:val="6DBF5E93"/>
    <w:rsid w:val="6DE21847"/>
    <w:rsid w:val="6DFF077E"/>
    <w:rsid w:val="6E714EF0"/>
    <w:rsid w:val="6E7E3605"/>
    <w:rsid w:val="6E7FDCC7"/>
    <w:rsid w:val="6ED6A62E"/>
    <w:rsid w:val="6EE00B15"/>
    <w:rsid w:val="6F6FB3EB"/>
    <w:rsid w:val="6F8731EA"/>
    <w:rsid w:val="6FCE6052"/>
    <w:rsid w:val="6FD57C00"/>
    <w:rsid w:val="6FEDD1D1"/>
    <w:rsid w:val="6FEFFFD8"/>
    <w:rsid w:val="6FF5CC65"/>
    <w:rsid w:val="6FFB47EC"/>
    <w:rsid w:val="6FFF034A"/>
    <w:rsid w:val="6FFF4678"/>
    <w:rsid w:val="70484440"/>
    <w:rsid w:val="712A28F1"/>
    <w:rsid w:val="715C0E4B"/>
    <w:rsid w:val="71992E7C"/>
    <w:rsid w:val="72233669"/>
    <w:rsid w:val="72734D90"/>
    <w:rsid w:val="73160E6D"/>
    <w:rsid w:val="7332FE48"/>
    <w:rsid w:val="73AB61DA"/>
    <w:rsid w:val="73AD73D5"/>
    <w:rsid w:val="73B6EB34"/>
    <w:rsid w:val="73DF20A5"/>
    <w:rsid w:val="73FA497D"/>
    <w:rsid w:val="744731E5"/>
    <w:rsid w:val="745D2E3B"/>
    <w:rsid w:val="74BBD01D"/>
    <w:rsid w:val="74ED5379"/>
    <w:rsid w:val="757F792A"/>
    <w:rsid w:val="75DEEEC2"/>
    <w:rsid w:val="75E32345"/>
    <w:rsid w:val="766F7D43"/>
    <w:rsid w:val="76E3355F"/>
    <w:rsid w:val="76FF5125"/>
    <w:rsid w:val="776F6FFA"/>
    <w:rsid w:val="778769C8"/>
    <w:rsid w:val="77A75DCA"/>
    <w:rsid w:val="77DC22F5"/>
    <w:rsid w:val="77EAA865"/>
    <w:rsid w:val="77F5B270"/>
    <w:rsid w:val="77F72C69"/>
    <w:rsid w:val="77FEB3A3"/>
    <w:rsid w:val="783E271A"/>
    <w:rsid w:val="78616DE9"/>
    <w:rsid w:val="78E875D7"/>
    <w:rsid w:val="79086DAD"/>
    <w:rsid w:val="7967778A"/>
    <w:rsid w:val="79D7FD79"/>
    <w:rsid w:val="79EE5BA4"/>
    <w:rsid w:val="7A894339"/>
    <w:rsid w:val="7A9943B4"/>
    <w:rsid w:val="7AD284E8"/>
    <w:rsid w:val="7AFF7572"/>
    <w:rsid w:val="7B6C7DFB"/>
    <w:rsid w:val="7B7EEFE8"/>
    <w:rsid w:val="7BBFBED0"/>
    <w:rsid w:val="7BC3E394"/>
    <w:rsid w:val="7BEFDF95"/>
    <w:rsid w:val="7BF36BAC"/>
    <w:rsid w:val="7BFBCD6C"/>
    <w:rsid w:val="7C1F3737"/>
    <w:rsid w:val="7CBFC87B"/>
    <w:rsid w:val="7CFE0F48"/>
    <w:rsid w:val="7D272ABC"/>
    <w:rsid w:val="7D7EC23E"/>
    <w:rsid w:val="7D7F7F6A"/>
    <w:rsid w:val="7E8ADEBF"/>
    <w:rsid w:val="7EEF11D3"/>
    <w:rsid w:val="7EFE4840"/>
    <w:rsid w:val="7F0971A6"/>
    <w:rsid w:val="7F1D62E7"/>
    <w:rsid w:val="7F3F679B"/>
    <w:rsid w:val="7F4FC4EF"/>
    <w:rsid w:val="7F5E4D54"/>
    <w:rsid w:val="7F6E0135"/>
    <w:rsid w:val="7F77A143"/>
    <w:rsid w:val="7F79F205"/>
    <w:rsid w:val="7F7F3F7C"/>
    <w:rsid w:val="7F7F67FE"/>
    <w:rsid w:val="7F896538"/>
    <w:rsid w:val="7FA30C79"/>
    <w:rsid w:val="7FA3C566"/>
    <w:rsid w:val="7FA79C44"/>
    <w:rsid w:val="7FAF8ABF"/>
    <w:rsid w:val="7FB7269E"/>
    <w:rsid w:val="7FB9922A"/>
    <w:rsid w:val="7FBE556E"/>
    <w:rsid w:val="7FBF23EF"/>
    <w:rsid w:val="7FBFC217"/>
    <w:rsid w:val="7FC96657"/>
    <w:rsid w:val="7FC9D73D"/>
    <w:rsid w:val="7FDA9588"/>
    <w:rsid w:val="7FDD2A82"/>
    <w:rsid w:val="7FDF220F"/>
    <w:rsid w:val="7FEDC5F7"/>
    <w:rsid w:val="7FEDD9DE"/>
    <w:rsid w:val="7FF5890D"/>
    <w:rsid w:val="7FF93490"/>
    <w:rsid w:val="7FFFF42C"/>
    <w:rsid w:val="97FD6143"/>
    <w:rsid w:val="99FF2014"/>
    <w:rsid w:val="9D5CABCF"/>
    <w:rsid w:val="9FB74DF3"/>
    <w:rsid w:val="A6DD0D7F"/>
    <w:rsid w:val="ACFF4FBB"/>
    <w:rsid w:val="ADC6F725"/>
    <w:rsid w:val="ADCEBD20"/>
    <w:rsid w:val="AFA7B480"/>
    <w:rsid w:val="B1755CEE"/>
    <w:rsid w:val="B3FBC505"/>
    <w:rsid w:val="B6EFC9F1"/>
    <w:rsid w:val="B7CF06AB"/>
    <w:rsid w:val="B7CFA926"/>
    <w:rsid w:val="B7F51039"/>
    <w:rsid w:val="B7F8786B"/>
    <w:rsid w:val="BABB6AA1"/>
    <w:rsid w:val="BB2F4199"/>
    <w:rsid w:val="BBFDBE27"/>
    <w:rsid w:val="BCFFB442"/>
    <w:rsid w:val="BD079C78"/>
    <w:rsid w:val="BD573C8A"/>
    <w:rsid w:val="BD733540"/>
    <w:rsid w:val="BF3735D5"/>
    <w:rsid w:val="BF7F09AC"/>
    <w:rsid w:val="BFBB927D"/>
    <w:rsid w:val="BFD08891"/>
    <w:rsid w:val="BFD475C3"/>
    <w:rsid w:val="BFDE5EA6"/>
    <w:rsid w:val="BFDF3DB5"/>
    <w:rsid w:val="BFFF5367"/>
    <w:rsid w:val="C7F28285"/>
    <w:rsid w:val="CB752982"/>
    <w:rsid w:val="CBFDB4C8"/>
    <w:rsid w:val="CCFFFB1D"/>
    <w:rsid w:val="CDFDFA89"/>
    <w:rsid w:val="CF6FC6F3"/>
    <w:rsid w:val="CFD3D3D7"/>
    <w:rsid w:val="CFDF1009"/>
    <w:rsid w:val="CFFFFE6E"/>
    <w:rsid w:val="D7D7B16A"/>
    <w:rsid w:val="D7F4D9C4"/>
    <w:rsid w:val="D8D6DB89"/>
    <w:rsid w:val="DAFE33ED"/>
    <w:rsid w:val="DB6F4CAB"/>
    <w:rsid w:val="DB777682"/>
    <w:rsid w:val="DD1FB521"/>
    <w:rsid w:val="DD9F38C9"/>
    <w:rsid w:val="DDFF487A"/>
    <w:rsid w:val="DDFF5E2C"/>
    <w:rsid w:val="DEFBFEAE"/>
    <w:rsid w:val="DF1F3B80"/>
    <w:rsid w:val="DF6F9789"/>
    <w:rsid w:val="DFD5CBC9"/>
    <w:rsid w:val="DFE974AD"/>
    <w:rsid w:val="DFE9BE81"/>
    <w:rsid w:val="DFFFA9E8"/>
    <w:rsid w:val="E37F2441"/>
    <w:rsid w:val="E5F4E9DC"/>
    <w:rsid w:val="E70FE695"/>
    <w:rsid w:val="E7F69F74"/>
    <w:rsid w:val="EB2E368B"/>
    <w:rsid w:val="EBF3A03C"/>
    <w:rsid w:val="ECFED1BC"/>
    <w:rsid w:val="ED1D69BB"/>
    <w:rsid w:val="ED7FD312"/>
    <w:rsid w:val="EDD9E4F2"/>
    <w:rsid w:val="EE3B99D3"/>
    <w:rsid w:val="EF2E1AC6"/>
    <w:rsid w:val="EF53993F"/>
    <w:rsid w:val="EF6FD633"/>
    <w:rsid w:val="EF9FA947"/>
    <w:rsid w:val="EFBFB2F4"/>
    <w:rsid w:val="EFBFFA21"/>
    <w:rsid w:val="EFFFEA55"/>
    <w:rsid w:val="F2BEBCB8"/>
    <w:rsid w:val="F36FB518"/>
    <w:rsid w:val="F3DE1A04"/>
    <w:rsid w:val="F3F722E5"/>
    <w:rsid w:val="F4FBCD07"/>
    <w:rsid w:val="F79BE42F"/>
    <w:rsid w:val="F7B704F9"/>
    <w:rsid w:val="F7FF37C6"/>
    <w:rsid w:val="FA5F1E70"/>
    <w:rsid w:val="FA5FDB97"/>
    <w:rsid w:val="FADB0090"/>
    <w:rsid w:val="FAFF4B67"/>
    <w:rsid w:val="FB7F486A"/>
    <w:rsid w:val="FBA3F7C7"/>
    <w:rsid w:val="FBF30EE7"/>
    <w:rsid w:val="FBFF5B2E"/>
    <w:rsid w:val="FBFF81DD"/>
    <w:rsid w:val="FCEFA736"/>
    <w:rsid w:val="FD27C7D1"/>
    <w:rsid w:val="FD6E8BCB"/>
    <w:rsid w:val="FD7FFE2B"/>
    <w:rsid w:val="FDCF2F70"/>
    <w:rsid w:val="FDDDE146"/>
    <w:rsid w:val="FDEE196B"/>
    <w:rsid w:val="FDFE6575"/>
    <w:rsid w:val="FDFFF529"/>
    <w:rsid w:val="FE0EFBE2"/>
    <w:rsid w:val="FEDFDDC2"/>
    <w:rsid w:val="FEED32F6"/>
    <w:rsid w:val="FEF781DD"/>
    <w:rsid w:val="FF0D54FB"/>
    <w:rsid w:val="FF1D0611"/>
    <w:rsid w:val="FF3F7E3F"/>
    <w:rsid w:val="FFAFF562"/>
    <w:rsid w:val="FFBA12D7"/>
    <w:rsid w:val="FFCBD314"/>
    <w:rsid w:val="FFDFF91C"/>
    <w:rsid w:val="FFDFFAEE"/>
    <w:rsid w:val="FFEF6777"/>
    <w:rsid w:val="FFF6B1EC"/>
    <w:rsid w:val="FFF9B57B"/>
    <w:rsid w:val="FFF9D9DD"/>
    <w:rsid w:val="FFFB314A"/>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290.9</c:v>
                </c:pt>
                <c:pt idx="1">
                  <c:v>234.72</c:v>
                </c:pt>
              </c:numCache>
            </c:numRef>
          </c:val>
        </c:ser>
        <c:dLbls>
          <c:showLegendKey val="0"/>
          <c:showVal val="0"/>
          <c:showCatName val="0"/>
          <c:showSerName val="0"/>
          <c:showPercent val="0"/>
          <c:showBubbleSize val="0"/>
        </c:dLbls>
        <c:gapWidth val="246"/>
        <c:overlap val="-28"/>
        <c:axId val="691762227"/>
        <c:axId val="334074969"/>
      </c:barChart>
      <c:catAx>
        <c:axId val="6917622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074969"/>
        <c:crosses val="autoZero"/>
        <c:auto val="1"/>
        <c:lblAlgn val="ctr"/>
        <c:lblOffset val="100"/>
        <c:noMultiLvlLbl val="0"/>
      </c:catAx>
      <c:valAx>
        <c:axId val="3340749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7622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2024</c:v>
                </c:pt>
              </c:numCache>
            </c:numRef>
          </c:cat>
          <c:val>
            <c:numRef>
              <c:f>Sheet1!$B$2</c:f>
              <c:numCache>
                <c:formatCode>General</c:formatCode>
                <c:ptCount val="1"/>
                <c:pt idx="0">
                  <c:v>234.72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127.59</c:v>
                </c:pt>
                <c:pt idx="1">
                  <c:v>107.13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290.9</c:v>
                </c:pt>
                <c:pt idx="1">
                  <c:v>234.72</c:v>
                </c:pt>
              </c:numCache>
            </c:numRef>
          </c:val>
        </c:ser>
        <c:dLbls>
          <c:showLegendKey val="0"/>
          <c:showVal val="0"/>
          <c:showCatName val="0"/>
          <c:showSerName val="0"/>
          <c:showPercent val="0"/>
          <c:showBubbleSize val="0"/>
        </c:dLbls>
        <c:gapWidth val="246"/>
        <c:overlap val="-28"/>
        <c:axId val="783072034"/>
        <c:axId val="895818082"/>
      </c:barChart>
      <c:catAx>
        <c:axId val="7830720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818082"/>
        <c:crosses val="autoZero"/>
        <c:auto val="1"/>
        <c:lblAlgn val="ctr"/>
        <c:lblOffset val="100"/>
        <c:noMultiLvlLbl val="0"/>
      </c:catAx>
      <c:valAx>
        <c:axId val="89581808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0720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132.37</c:v>
                </c:pt>
                <c:pt idx="1">
                  <c:v>127.59</c:v>
                </c:pt>
              </c:numCache>
            </c:numRef>
          </c:val>
        </c:ser>
        <c:ser>
          <c:idx val="1"/>
          <c:order val="1"/>
          <c:tx>
            <c:strRef>
              <c:f>Sheet1!$C$1</c:f>
              <c:strCache>
                <c:ptCount val="1"/>
                <c:pt idx="0">
                  <c:v>项目支出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158.53</c:v>
                </c:pt>
                <c:pt idx="1">
                  <c:v>107.13</c:v>
                </c:pt>
              </c:numCache>
            </c:numRef>
          </c:val>
        </c:ser>
        <c:dLbls>
          <c:showLegendKey val="0"/>
          <c:showVal val="1"/>
          <c:showCatName val="0"/>
          <c:showSerName val="0"/>
          <c:showPercent val="0"/>
          <c:showBubbleSize val="0"/>
        </c:dLbls>
        <c:gapWidth val="246"/>
        <c:overlap val="-28"/>
        <c:axId val="468718962"/>
        <c:axId val="478334187"/>
      </c:barChart>
      <c:catAx>
        <c:axId val="4687189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334187"/>
        <c:crosses val="autoZero"/>
        <c:auto val="1"/>
        <c:lblAlgn val="ctr"/>
        <c:lblOffset val="100"/>
        <c:noMultiLvlLbl val="0"/>
      </c:catAx>
      <c:valAx>
        <c:axId val="47833418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7189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0.00%</c:formatCode>
                <c:ptCount val="3"/>
                <c:pt idx="0">
                  <c:v>0.059</c:v>
                </c:pt>
                <c:pt idx="1">
                  <c:v>0.8972</c:v>
                </c:pt>
                <c:pt idx="2">
                  <c:v>0.0438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1299</Words>
  <Characters>7410</Characters>
  <Lines>61</Lines>
  <Paragraphs>17</Paragraphs>
  <TotalTime>68</TotalTime>
  <ScaleCrop>false</ScaleCrop>
  <LinksUpToDate>false</LinksUpToDate>
  <CharactersWithSpaces>8692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Administrator</cp:lastModifiedBy>
  <cp:lastPrinted>2025-10-22T11:16:00Z</cp:lastPrinted>
  <dcterms:modified xsi:type="dcterms:W3CDTF">2025-11-26T02:54:22Z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