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4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2100"/>
        <w:gridCol w:w="3120"/>
        <w:gridCol w:w="5805"/>
        <w:gridCol w:w="2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trPr>
        <w:tc>
          <w:tcPr>
            <w:tcW w:w="907" w:type="dxa"/>
            <w:noWrap w:val="0"/>
            <w:vAlign w:val="center"/>
          </w:tcPr>
          <w:p>
            <w:pPr>
              <w:widowControl/>
              <w:jc w:val="center"/>
              <w:rPr>
                <w:rFonts w:hint="default" w:ascii="宋体" w:hAnsi="宋体" w:eastAsia="宋体" w:cs="宋体"/>
                <w:bCs/>
                <w:snapToGrid w:val="0"/>
                <w:kern w:val="0"/>
                <w:sz w:val="28"/>
                <w:szCs w:val="28"/>
                <w:highlight w:val="none"/>
                <w:lang w:val="en-US" w:eastAsia="zh-CN"/>
              </w:rPr>
            </w:pPr>
            <w:bookmarkStart w:id="0" w:name="_GoBack"/>
            <w:r>
              <w:rPr>
                <w:rFonts w:hint="eastAsia" w:ascii="宋体" w:hAnsi="宋体" w:eastAsia="宋体" w:cs="宋体"/>
                <w:bCs/>
                <w:snapToGrid w:val="0"/>
                <w:kern w:val="0"/>
                <w:sz w:val="28"/>
                <w:szCs w:val="28"/>
                <w:highlight w:val="none"/>
                <w:lang w:val="en-US" w:eastAsia="zh-CN"/>
              </w:rPr>
              <w:t>序号</w:t>
            </w:r>
          </w:p>
        </w:tc>
        <w:tc>
          <w:tcPr>
            <w:tcW w:w="2100" w:type="dxa"/>
            <w:noWrap w:val="0"/>
            <w:vAlign w:val="center"/>
          </w:tcPr>
          <w:p>
            <w:pPr>
              <w:widowControl/>
              <w:jc w:val="center"/>
              <w:rPr>
                <w:rFonts w:hint="default" w:ascii="宋体" w:hAnsi="宋体" w:eastAsia="宋体" w:cs="宋体"/>
                <w:bCs/>
                <w:snapToGrid w:val="0"/>
                <w:kern w:val="0"/>
                <w:sz w:val="28"/>
                <w:szCs w:val="28"/>
                <w:highlight w:val="none"/>
                <w:lang w:val="en-US" w:eastAsia="zh-CN"/>
              </w:rPr>
            </w:pPr>
            <w:r>
              <w:rPr>
                <w:rFonts w:hint="eastAsia" w:ascii="宋体" w:hAnsi="宋体" w:cs="宋体"/>
                <w:bCs/>
                <w:snapToGrid w:val="0"/>
                <w:kern w:val="0"/>
                <w:sz w:val="28"/>
                <w:szCs w:val="28"/>
                <w:highlight w:val="none"/>
                <w:lang w:val="en-US" w:eastAsia="zh-CN"/>
              </w:rPr>
              <w:t>行政检查主体</w:t>
            </w:r>
          </w:p>
        </w:tc>
        <w:tc>
          <w:tcPr>
            <w:tcW w:w="3120" w:type="dxa"/>
            <w:noWrap w:val="0"/>
            <w:vAlign w:val="center"/>
          </w:tcPr>
          <w:p>
            <w:pPr>
              <w:widowControl/>
              <w:jc w:val="center"/>
              <w:rPr>
                <w:rFonts w:hint="eastAsia" w:ascii="宋体" w:hAnsi="宋体" w:eastAsia="宋体" w:cs="宋体"/>
                <w:bCs/>
                <w:snapToGrid w:val="0"/>
                <w:kern w:val="0"/>
                <w:sz w:val="28"/>
                <w:szCs w:val="28"/>
                <w:highlight w:val="none"/>
                <w:lang w:val="en-US" w:eastAsia="zh-CN"/>
              </w:rPr>
            </w:pPr>
            <w:r>
              <w:rPr>
                <w:rFonts w:hint="eastAsia" w:ascii="宋体" w:hAnsi="宋体" w:cs="宋体"/>
                <w:bCs/>
                <w:snapToGrid w:val="0"/>
                <w:kern w:val="0"/>
                <w:sz w:val="28"/>
                <w:szCs w:val="28"/>
                <w:highlight w:val="none"/>
                <w:lang w:val="en-US" w:eastAsia="zh-CN"/>
              </w:rPr>
              <w:t>涉企</w:t>
            </w:r>
            <w:r>
              <w:rPr>
                <w:rFonts w:hint="eastAsia" w:ascii="宋体" w:hAnsi="宋体" w:eastAsia="宋体" w:cs="宋体"/>
                <w:bCs/>
                <w:snapToGrid w:val="0"/>
                <w:kern w:val="0"/>
                <w:sz w:val="28"/>
                <w:szCs w:val="28"/>
                <w:highlight w:val="none"/>
                <w:lang w:val="en-US" w:eastAsia="zh-CN"/>
              </w:rPr>
              <w:t>行政检查</w:t>
            </w:r>
            <w:r>
              <w:rPr>
                <w:rFonts w:hint="eastAsia" w:ascii="宋体" w:hAnsi="宋体" w:cs="宋体"/>
                <w:bCs/>
                <w:snapToGrid w:val="0"/>
                <w:kern w:val="0"/>
                <w:sz w:val="28"/>
                <w:szCs w:val="28"/>
                <w:highlight w:val="none"/>
                <w:lang w:val="en-US" w:eastAsia="zh-CN"/>
              </w:rPr>
              <w:t>权力</w:t>
            </w:r>
            <w:r>
              <w:rPr>
                <w:rFonts w:hint="eastAsia" w:ascii="宋体" w:hAnsi="宋体" w:eastAsia="宋体" w:cs="宋体"/>
                <w:bCs/>
                <w:snapToGrid w:val="0"/>
                <w:kern w:val="0"/>
                <w:sz w:val="28"/>
                <w:szCs w:val="28"/>
                <w:highlight w:val="none"/>
                <w:lang w:val="en-US" w:eastAsia="zh-CN"/>
              </w:rPr>
              <w:t>名称</w:t>
            </w:r>
          </w:p>
        </w:tc>
        <w:tc>
          <w:tcPr>
            <w:tcW w:w="5805" w:type="dxa"/>
            <w:noWrap w:val="0"/>
            <w:vAlign w:val="center"/>
          </w:tcPr>
          <w:p>
            <w:pPr>
              <w:widowControl/>
              <w:jc w:val="center"/>
              <w:rPr>
                <w:rFonts w:hint="default" w:ascii="宋体" w:hAnsi="宋体" w:eastAsia="宋体" w:cs="宋体"/>
                <w:bCs/>
                <w:snapToGrid w:val="0"/>
                <w:kern w:val="0"/>
                <w:sz w:val="28"/>
                <w:szCs w:val="28"/>
                <w:highlight w:val="none"/>
                <w:lang w:val="en-US" w:eastAsia="zh-CN"/>
              </w:rPr>
            </w:pPr>
            <w:r>
              <w:rPr>
                <w:rFonts w:hint="eastAsia" w:ascii="宋体" w:hAnsi="宋体" w:cs="宋体"/>
                <w:bCs/>
                <w:snapToGrid w:val="0"/>
                <w:kern w:val="0"/>
                <w:sz w:val="28"/>
                <w:szCs w:val="28"/>
                <w:highlight w:val="none"/>
                <w:lang w:val="en-US" w:eastAsia="zh-CN"/>
              </w:rPr>
              <w:t>设定依据</w:t>
            </w:r>
          </w:p>
        </w:tc>
        <w:tc>
          <w:tcPr>
            <w:tcW w:w="2648" w:type="dxa"/>
            <w:noWrap w:val="0"/>
            <w:vAlign w:val="center"/>
          </w:tcPr>
          <w:p>
            <w:pPr>
              <w:widowControl/>
              <w:jc w:val="center"/>
              <w:rPr>
                <w:rFonts w:hint="default" w:ascii="宋体" w:hAnsi="宋体" w:cs="宋体"/>
                <w:bCs/>
                <w:snapToGrid w:val="0"/>
                <w:kern w:val="0"/>
                <w:sz w:val="28"/>
                <w:szCs w:val="28"/>
                <w:highlight w:val="none"/>
                <w:lang w:val="en-US" w:eastAsia="zh-CN"/>
              </w:rPr>
            </w:pPr>
            <w:r>
              <w:rPr>
                <w:rFonts w:hint="eastAsia" w:ascii="宋体" w:hAnsi="宋体" w:cs="宋体"/>
                <w:bCs/>
                <w:snapToGrid w:val="0"/>
                <w:kern w:val="0"/>
                <w:sz w:val="28"/>
                <w:szCs w:val="2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0" w:hRule="atLeast"/>
        </w:trPr>
        <w:tc>
          <w:tcPr>
            <w:tcW w:w="907" w:type="dxa"/>
            <w:noWrap w:val="0"/>
            <w:vAlign w:val="center"/>
          </w:tcPr>
          <w:p>
            <w:pPr>
              <w:widowControl/>
              <w:jc w:val="center"/>
              <w:rPr>
                <w:rFonts w:hint="default" w:ascii="Times New Roman" w:hAnsi="Times New Roman" w:eastAsia="宋体" w:cs="Times New Roman"/>
                <w:bCs/>
                <w:snapToGrid w:val="0"/>
                <w:kern w:val="0"/>
                <w:sz w:val="22"/>
                <w:szCs w:val="22"/>
                <w:highlight w:val="none"/>
                <w:lang w:val="en-US" w:eastAsia="zh-CN"/>
              </w:rPr>
            </w:pPr>
            <w:r>
              <w:rPr>
                <w:rFonts w:hint="default" w:ascii="Times New Roman" w:hAnsi="Times New Roman" w:cs="Times New Roman"/>
                <w:bCs/>
                <w:snapToGrid w:val="0"/>
                <w:kern w:val="0"/>
                <w:sz w:val="22"/>
                <w:szCs w:val="22"/>
                <w:highlight w:val="none"/>
                <w:lang w:val="en-US" w:eastAsia="zh-CN"/>
              </w:rPr>
              <w:t>1</w:t>
            </w:r>
          </w:p>
        </w:tc>
        <w:tc>
          <w:tcPr>
            <w:tcW w:w="2100" w:type="dxa"/>
            <w:noWrap w:val="0"/>
            <w:vAlign w:val="center"/>
          </w:tcPr>
          <w:p>
            <w:pPr>
              <w:widowControl/>
              <w:jc w:val="center"/>
              <w:rPr>
                <w:rFonts w:hint="default" w:ascii="Times New Roman" w:hAnsi="Times New Roman" w:eastAsia="宋体" w:cs="Times New Roman"/>
                <w:bCs/>
                <w:snapToGrid w:val="0"/>
                <w:kern w:val="0"/>
                <w:sz w:val="22"/>
                <w:szCs w:val="22"/>
                <w:highlight w:val="none"/>
                <w:lang w:val="en-US" w:eastAsia="zh-CN"/>
              </w:rPr>
            </w:pPr>
            <w:r>
              <w:rPr>
                <w:rFonts w:hint="default" w:ascii="Times New Roman" w:hAnsi="Times New Roman" w:cs="Times New Roman"/>
                <w:bCs/>
                <w:snapToGrid w:val="0"/>
                <w:kern w:val="0"/>
                <w:sz w:val="22"/>
                <w:szCs w:val="22"/>
                <w:highlight w:val="none"/>
                <w:lang w:val="en-US" w:eastAsia="zh-CN"/>
              </w:rPr>
              <w:t>开江县</w:t>
            </w:r>
            <w:r>
              <w:rPr>
                <w:rFonts w:hint="eastAsia" w:ascii="Times New Roman" w:hAnsi="Times New Roman" w:cs="Times New Roman"/>
                <w:bCs/>
                <w:snapToGrid w:val="0"/>
                <w:kern w:val="0"/>
                <w:sz w:val="22"/>
                <w:szCs w:val="22"/>
                <w:highlight w:val="none"/>
                <w:lang w:val="en-US" w:eastAsia="zh-CN"/>
              </w:rPr>
              <w:t>广福</w:t>
            </w:r>
            <w:r>
              <w:rPr>
                <w:rFonts w:hint="default" w:ascii="Times New Roman" w:hAnsi="Times New Roman" w:cs="Times New Roman"/>
                <w:bCs/>
                <w:snapToGrid w:val="0"/>
                <w:kern w:val="0"/>
                <w:sz w:val="22"/>
                <w:szCs w:val="22"/>
                <w:highlight w:val="none"/>
                <w:lang w:val="en-US" w:eastAsia="zh-CN"/>
              </w:rPr>
              <w:t>镇人民政府</w:t>
            </w:r>
          </w:p>
        </w:tc>
        <w:tc>
          <w:tcPr>
            <w:tcW w:w="3120"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对房屋和市政工程施工扬尘的监督检查</w:t>
            </w:r>
          </w:p>
        </w:tc>
        <w:tc>
          <w:tcPr>
            <w:tcW w:w="5805"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《中华人民共和国大气污染防治法》第二十九条  生态环境主管部门及其环境执法机构和其他负有大气环境保护监督管理职责的部门，有权通过现场检查监测、自动监测、遥感监测、远红外摄像等方式，对排放大气污染物的企业事业单位和其他生产经营者进行监督检查。被检查者应当如实反映情况，提供必要的资料。实施检查的部门、机构及其工作人员应当为被检查者保守商业秘密。                                                                                                      《中华人民共和国大气污染防治法》第六十八条  地方各级人民政府应当加强对建设施工和运输的管理，保持道路清洁，控制料堆和渣土堆放，扩大绿地、水面、湿地和地面铺装面积，防治扬尘污染。住房城乡建设、市容环境卫生、交通运输、国土资源等有关部门，应当根据本级人民政府确定的职责，做好扬尘污染防治工作。</w:t>
            </w:r>
          </w:p>
        </w:tc>
        <w:tc>
          <w:tcPr>
            <w:tcW w:w="2648"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907" w:type="dxa"/>
            <w:shd w:val="clear" w:color="auto" w:fill="auto"/>
            <w:noWrap w:val="0"/>
            <w:vAlign w:val="center"/>
          </w:tcPr>
          <w:p>
            <w:pPr>
              <w:jc w:val="center"/>
              <w:rPr>
                <w:rFonts w:hint="default" w:ascii="Times New Roman" w:hAnsi="Times New Roman" w:eastAsia="宋体" w:cs="Times New Roman"/>
                <w:kern w:val="2"/>
                <w:sz w:val="21"/>
                <w:szCs w:val="24"/>
                <w:highlight w:val="none"/>
                <w:vertAlign w:val="baseline"/>
                <w:lang w:val="en-US" w:eastAsia="zh-CN" w:bidi="ar-SA"/>
              </w:rPr>
            </w:pPr>
            <w:r>
              <w:rPr>
                <w:rFonts w:hint="eastAsia" w:ascii="Times New Roman" w:hAnsi="Times New Roman" w:cs="Times New Roman"/>
                <w:kern w:val="2"/>
                <w:sz w:val="21"/>
                <w:szCs w:val="24"/>
                <w:highlight w:val="none"/>
                <w:vertAlign w:val="baseline"/>
                <w:lang w:val="en-US" w:eastAsia="zh-CN" w:bidi="ar-SA"/>
              </w:rPr>
              <w:t>2</w:t>
            </w:r>
          </w:p>
        </w:tc>
        <w:tc>
          <w:tcPr>
            <w:tcW w:w="2100" w:type="dxa"/>
            <w:shd w:val="clear" w:color="auto" w:fill="auto"/>
            <w:noWrap w:val="0"/>
            <w:vAlign w:val="center"/>
          </w:tcPr>
          <w:p>
            <w:pPr>
              <w:jc w:val="center"/>
              <w:rPr>
                <w:rFonts w:hint="default" w:ascii="Times New Roman" w:hAnsi="Times New Roman" w:eastAsia="宋体" w:cs="Times New Roman"/>
                <w:kern w:val="2"/>
                <w:sz w:val="21"/>
                <w:szCs w:val="24"/>
                <w:highlight w:val="none"/>
                <w:vertAlign w:val="baseline"/>
                <w:lang w:val="en-US" w:eastAsia="zh-CN" w:bidi="ar-SA"/>
              </w:rPr>
            </w:pPr>
            <w:r>
              <w:rPr>
                <w:rFonts w:hint="default" w:ascii="Times New Roman" w:hAnsi="Times New Roman" w:cs="Times New Roman"/>
                <w:bCs/>
                <w:snapToGrid w:val="0"/>
                <w:kern w:val="0"/>
                <w:sz w:val="22"/>
                <w:szCs w:val="22"/>
                <w:highlight w:val="none"/>
                <w:lang w:val="en-US" w:eastAsia="zh-CN"/>
              </w:rPr>
              <w:t>开江县</w:t>
            </w:r>
            <w:r>
              <w:rPr>
                <w:rFonts w:hint="eastAsia" w:ascii="Times New Roman" w:hAnsi="Times New Roman" w:cs="Times New Roman"/>
                <w:bCs/>
                <w:snapToGrid w:val="0"/>
                <w:kern w:val="0"/>
                <w:sz w:val="22"/>
                <w:szCs w:val="22"/>
                <w:highlight w:val="none"/>
                <w:lang w:val="en-US" w:eastAsia="zh-CN"/>
              </w:rPr>
              <w:t>广福</w:t>
            </w:r>
            <w:r>
              <w:rPr>
                <w:rFonts w:hint="default" w:ascii="Times New Roman" w:hAnsi="Times New Roman" w:cs="Times New Roman"/>
                <w:bCs/>
                <w:snapToGrid w:val="0"/>
                <w:kern w:val="0"/>
                <w:sz w:val="22"/>
                <w:szCs w:val="22"/>
                <w:highlight w:val="none"/>
                <w:lang w:val="en-US" w:eastAsia="zh-CN"/>
              </w:rPr>
              <w:t>镇人民政府</w:t>
            </w:r>
          </w:p>
        </w:tc>
        <w:tc>
          <w:tcPr>
            <w:tcW w:w="3120"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森林防火检查</w:t>
            </w:r>
          </w:p>
        </w:tc>
        <w:tc>
          <w:tcPr>
            <w:tcW w:w="5805"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000000"/>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highlight w:val="none"/>
                <w:u w:val="none"/>
                <w:lang w:val="en-US" w:eastAsia="zh-CN" w:bidi="ar"/>
              </w:rPr>
              <w:t>《森林防火条例》第二十四条</w:t>
            </w:r>
            <w:r>
              <w:rPr>
                <w:rStyle w:val="8"/>
                <w:rFonts w:hint="default" w:ascii="Times New Roman" w:hAnsi="Times New Roman" w:eastAsia="宋体" w:cs="Times New Roman"/>
                <w:sz w:val="21"/>
                <w:szCs w:val="21"/>
                <w:highlight w:val="none"/>
                <w:lang w:val="en-US" w:eastAsia="zh-CN" w:bidi="ar"/>
              </w:rPr>
              <w:t xml:space="preserve">  </w:t>
            </w:r>
            <w:r>
              <w:rPr>
                <w:rFonts w:hint="default" w:ascii="Times New Roman" w:hAnsi="Times New Roman" w:eastAsia="宋体" w:cs="Times New Roman"/>
                <w:i w:val="0"/>
                <w:iCs w:val="0"/>
                <w:color w:val="000000"/>
                <w:kern w:val="0"/>
                <w:sz w:val="21"/>
                <w:szCs w:val="21"/>
                <w:highlight w:val="none"/>
                <w:u w:val="none"/>
                <w:lang w:val="en-US" w:eastAsia="zh-CN" w:bidi="ar"/>
              </w:rPr>
              <w:t>县级以上人民政府森林防火指挥机构，应当组织有关部门对森林防火区内有关单位的森林防火组织建设、森林防火责任制落实、森林防火设施建设等情况进行检查；对检查中发现的森林火灾隐患，县级以上地方人民政府林业主管部门应当及时向有关单位下达森林火灾隐患整改通知书，责令限期整改，消除隐患。被检查单位应当积极配合，不得阻挠、妨碍检查活动。</w:t>
            </w:r>
          </w:p>
        </w:tc>
        <w:tc>
          <w:tcPr>
            <w:tcW w:w="2648"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5" w:hRule="atLeast"/>
        </w:trPr>
        <w:tc>
          <w:tcPr>
            <w:tcW w:w="907" w:type="dxa"/>
            <w:shd w:val="clear" w:color="auto" w:fill="auto"/>
            <w:noWrap w:val="0"/>
            <w:vAlign w:val="center"/>
          </w:tcPr>
          <w:p>
            <w:pPr>
              <w:jc w:val="center"/>
              <w:rPr>
                <w:rFonts w:hint="default" w:ascii="Times New Roman" w:hAnsi="Times New Roman" w:eastAsia="宋体" w:cs="Times New Roman"/>
                <w:kern w:val="2"/>
                <w:sz w:val="21"/>
                <w:szCs w:val="24"/>
                <w:highlight w:val="none"/>
                <w:vertAlign w:val="baseline"/>
                <w:lang w:val="en-US" w:eastAsia="zh-CN" w:bidi="ar-SA"/>
              </w:rPr>
            </w:pPr>
            <w:r>
              <w:rPr>
                <w:rFonts w:hint="eastAsia" w:ascii="Times New Roman" w:hAnsi="Times New Roman" w:cs="Times New Roman"/>
                <w:highlight w:val="none"/>
                <w:vertAlign w:val="baseline"/>
                <w:lang w:val="en-US" w:eastAsia="zh-CN"/>
              </w:rPr>
              <w:t>3</w:t>
            </w:r>
          </w:p>
        </w:tc>
        <w:tc>
          <w:tcPr>
            <w:tcW w:w="2100" w:type="dxa"/>
            <w:shd w:val="clear" w:color="auto" w:fill="auto"/>
            <w:noWrap w:val="0"/>
            <w:vAlign w:val="center"/>
          </w:tcPr>
          <w:p>
            <w:pPr>
              <w:jc w:val="center"/>
              <w:rPr>
                <w:rFonts w:hint="default" w:ascii="Times New Roman" w:hAnsi="Times New Roman" w:eastAsia="宋体" w:cs="Times New Roman"/>
                <w:kern w:val="2"/>
                <w:sz w:val="21"/>
                <w:szCs w:val="24"/>
                <w:highlight w:val="none"/>
                <w:vertAlign w:val="baseline"/>
                <w:lang w:val="en-US" w:eastAsia="zh-CN" w:bidi="ar-SA"/>
              </w:rPr>
            </w:pPr>
            <w:r>
              <w:rPr>
                <w:rFonts w:hint="default" w:ascii="Times New Roman" w:hAnsi="Times New Roman" w:cs="Times New Roman"/>
                <w:bCs/>
                <w:snapToGrid w:val="0"/>
                <w:kern w:val="0"/>
                <w:sz w:val="22"/>
                <w:szCs w:val="22"/>
                <w:highlight w:val="none"/>
                <w:lang w:val="en-US" w:eastAsia="zh-CN"/>
              </w:rPr>
              <w:t>开江县</w:t>
            </w:r>
            <w:r>
              <w:rPr>
                <w:rFonts w:hint="eastAsia" w:ascii="Times New Roman" w:hAnsi="Times New Roman" w:cs="Times New Roman"/>
                <w:bCs/>
                <w:snapToGrid w:val="0"/>
                <w:kern w:val="0"/>
                <w:sz w:val="22"/>
                <w:szCs w:val="22"/>
                <w:highlight w:val="none"/>
                <w:lang w:val="en-US" w:eastAsia="zh-CN"/>
              </w:rPr>
              <w:t>广福</w:t>
            </w:r>
            <w:r>
              <w:rPr>
                <w:rFonts w:hint="default" w:ascii="Times New Roman" w:hAnsi="Times New Roman" w:cs="Times New Roman"/>
                <w:bCs/>
                <w:snapToGrid w:val="0"/>
                <w:kern w:val="0"/>
                <w:sz w:val="22"/>
                <w:szCs w:val="22"/>
                <w:highlight w:val="none"/>
                <w:lang w:val="en-US" w:eastAsia="zh-CN"/>
              </w:rPr>
              <w:t>镇人民政府</w:t>
            </w:r>
          </w:p>
        </w:tc>
        <w:tc>
          <w:tcPr>
            <w:tcW w:w="3120"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对农产品质量安全的监督检查(不含监督抽查）</w:t>
            </w:r>
          </w:p>
        </w:tc>
        <w:tc>
          <w:tcPr>
            <w:tcW w:w="5805"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1.《国务院关于加强食品等产品安全监督管理的特别规定》第十五条  农业、卫生、质检、商务、工商、药品等监督管理部门履行各自产品安全监督管理职责，有下列职权：（一）进入生产经营场所实施现场检查；（二）查阅、复制、查封、扣押有关合同、票据、账簿以及其他有关资料；（三）查封、扣押不符合法定要求的产品，违法使用的原料、辅料、添加剂、农业投入品以及用于违法生产的工具、设备；（四）查封存在危害人体健康和生命安全重大隐患的生产经营场所。                                                                                                2.《四川省〈中华人民共和国农产品质量安全法〉实施办法》第三十三条  县级以上地方人民政府农业行政主管部门在农产品质量安全监督检查中，依法行使下列职权：（一）农产品产地环境发生重大变化的，组织检测机构进行现场抽查；对农产品生产、包装、经营及仓储场所进行现场检查；（二）向当事人和其他有关人员调查了解农产品质量安全的有关情况；查阅、复制涉及生产、经营活动的记录、档案、票据、账簿、协议、证明等有关资料；（三）对国家禁止使用的农业投入品和不符合农产品质量安全标准的农产品依法予以查封、扣押。</w:t>
            </w:r>
          </w:p>
        </w:tc>
        <w:tc>
          <w:tcPr>
            <w:tcW w:w="2648"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907" w:type="dxa"/>
            <w:noWrap w:val="0"/>
            <w:vAlign w:val="center"/>
          </w:tcPr>
          <w:p>
            <w:pPr>
              <w:jc w:val="center"/>
              <w:rPr>
                <w:rFonts w:hint="default"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4</w:t>
            </w:r>
          </w:p>
        </w:tc>
        <w:tc>
          <w:tcPr>
            <w:tcW w:w="2100" w:type="dxa"/>
            <w:noWrap w:val="0"/>
            <w:vAlign w:val="center"/>
          </w:tcPr>
          <w:p>
            <w:pPr>
              <w:jc w:val="center"/>
              <w:rPr>
                <w:rFonts w:hint="default" w:ascii="Times New Roman" w:hAnsi="Times New Roman" w:cs="Times New Roman"/>
                <w:bCs/>
                <w:snapToGrid w:val="0"/>
                <w:kern w:val="0"/>
                <w:sz w:val="22"/>
                <w:szCs w:val="22"/>
                <w:highlight w:val="none"/>
                <w:lang w:val="en-US" w:eastAsia="zh-CN"/>
              </w:rPr>
            </w:pPr>
            <w:r>
              <w:rPr>
                <w:rFonts w:hint="default" w:ascii="Times New Roman" w:hAnsi="Times New Roman" w:cs="Times New Roman"/>
                <w:bCs/>
                <w:snapToGrid w:val="0"/>
                <w:kern w:val="0"/>
                <w:sz w:val="22"/>
                <w:szCs w:val="22"/>
                <w:highlight w:val="none"/>
                <w:lang w:val="en-US" w:eastAsia="zh-CN"/>
              </w:rPr>
              <w:t>开江县</w:t>
            </w:r>
            <w:r>
              <w:rPr>
                <w:rFonts w:hint="eastAsia" w:ascii="Times New Roman" w:hAnsi="Times New Roman" w:cs="Times New Roman"/>
                <w:bCs/>
                <w:snapToGrid w:val="0"/>
                <w:kern w:val="0"/>
                <w:sz w:val="22"/>
                <w:szCs w:val="22"/>
                <w:highlight w:val="none"/>
                <w:lang w:val="en-US" w:eastAsia="zh-CN"/>
              </w:rPr>
              <w:t>广福</w:t>
            </w:r>
            <w:r>
              <w:rPr>
                <w:rFonts w:hint="default" w:ascii="Times New Roman" w:hAnsi="Times New Roman" w:cs="Times New Roman"/>
                <w:bCs/>
                <w:snapToGrid w:val="0"/>
                <w:kern w:val="0"/>
                <w:sz w:val="22"/>
                <w:szCs w:val="22"/>
                <w:highlight w:val="none"/>
                <w:lang w:val="en-US" w:eastAsia="zh-CN"/>
              </w:rPr>
              <w:t>镇人民政府</w:t>
            </w:r>
          </w:p>
        </w:tc>
        <w:tc>
          <w:tcPr>
            <w:tcW w:w="3120"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对宗教活动场所内的文物保护单位的行政检查</w:t>
            </w:r>
          </w:p>
        </w:tc>
        <w:tc>
          <w:tcPr>
            <w:tcW w:w="5805"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《四川省〈中华人民共和国文物保护法〉实施办法》第二十条  宗教活动场所内的文物保护单位，由管理使用该场所的宗教组织负责依法对其进行修缮、保养和安全管理，并接受文物行政主管部门的监督检查。</w:t>
            </w:r>
          </w:p>
        </w:tc>
        <w:tc>
          <w:tcPr>
            <w:tcW w:w="2648"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trPr>
        <w:tc>
          <w:tcPr>
            <w:tcW w:w="907" w:type="dxa"/>
            <w:tcBorders>
              <w:bottom w:val="single" w:color="auto" w:sz="4" w:space="0"/>
            </w:tcBorders>
            <w:noWrap w:val="0"/>
            <w:vAlign w:val="center"/>
          </w:tcPr>
          <w:p>
            <w:pPr>
              <w:jc w:val="center"/>
              <w:rPr>
                <w:rFonts w:hint="default"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5</w:t>
            </w:r>
          </w:p>
        </w:tc>
        <w:tc>
          <w:tcPr>
            <w:tcW w:w="2100" w:type="dxa"/>
            <w:noWrap w:val="0"/>
            <w:vAlign w:val="center"/>
          </w:tcPr>
          <w:p>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bCs/>
                <w:snapToGrid w:val="0"/>
                <w:kern w:val="0"/>
                <w:sz w:val="22"/>
                <w:szCs w:val="22"/>
                <w:highlight w:val="none"/>
                <w:lang w:val="en-US" w:eastAsia="zh-CN"/>
              </w:rPr>
              <w:t>开江县</w:t>
            </w:r>
            <w:r>
              <w:rPr>
                <w:rFonts w:hint="eastAsia" w:ascii="Times New Roman" w:hAnsi="Times New Roman" w:cs="Times New Roman"/>
                <w:bCs/>
                <w:snapToGrid w:val="0"/>
                <w:kern w:val="0"/>
                <w:sz w:val="22"/>
                <w:szCs w:val="22"/>
                <w:highlight w:val="none"/>
                <w:lang w:val="en-US" w:eastAsia="zh-CN"/>
              </w:rPr>
              <w:t>广福</w:t>
            </w:r>
            <w:r>
              <w:rPr>
                <w:rFonts w:hint="default" w:ascii="Times New Roman" w:hAnsi="Times New Roman" w:cs="Times New Roman"/>
                <w:bCs/>
                <w:snapToGrid w:val="0"/>
                <w:kern w:val="0"/>
                <w:sz w:val="22"/>
                <w:szCs w:val="22"/>
                <w:highlight w:val="none"/>
                <w:lang w:val="en-US" w:eastAsia="zh-CN"/>
              </w:rPr>
              <w:t>镇人民政府</w:t>
            </w:r>
          </w:p>
        </w:tc>
        <w:tc>
          <w:tcPr>
            <w:tcW w:w="3120" w:type="dxa"/>
            <w:tcBorders>
              <w:bottom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对违反土地管理法律、法规的监督检查</w:t>
            </w:r>
          </w:p>
        </w:tc>
        <w:tc>
          <w:tcPr>
            <w:tcW w:w="5805"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1.《中华人民共和国土地管理法》第六十七条  县级以上人民政府土地行政主管部门对违反土地管理法律、法规的行为进行监督检查。2.《</w:t>
            </w:r>
            <w:r>
              <w:rPr>
                <w:rFonts w:hint="default" w:ascii="Times New Roman" w:hAnsi="Times New Roman" w:eastAsia="宋体" w:cs="Times New Roman"/>
                <w:i w:val="0"/>
                <w:iCs w:val="0"/>
                <w:color w:val="000000"/>
                <w:kern w:val="0"/>
                <w:sz w:val="21"/>
                <w:szCs w:val="21"/>
                <w:highlight w:val="none"/>
                <w:u w:val="none"/>
                <w:lang w:val="en-US" w:eastAsia="zh-CN" w:bidi="ar"/>
              </w:rPr>
              <w:t>四川省＜中华人民共和</w:t>
            </w:r>
            <w:r>
              <w:rPr>
                <w:rFonts w:hint="eastAsia" w:ascii="Times New Roman" w:hAnsi="Times New Roman" w:cs="Times New Roman"/>
                <w:i w:val="0"/>
                <w:iCs w:val="0"/>
                <w:color w:val="000000"/>
                <w:kern w:val="0"/>
                <w:sz w:val="21"/>
                <w:szCs w:val="21"/>
                <w:highlight w:val="none"/>
                <w:u w:val="none"/>
                <w:lang w:val="en-US" w:eastAsia="zh-CN" w:bidi="ar"/>
              </w:rPr>
              <w:t>国</w:t>
            </w:r>
            <w:r>
              <w:rPr>
                <w:rFonts w:hint="default" w:ascii="Times New Roman" w:hAnsi="Times New Roman" w:eastAsia="宋体" w:cs="Times New Roman"/>
                <w:i w:val="0"/>
                <w:iCs w:val="0"/>
                <w:color w:val="000000"/>
                <w:kern w:val="0"/>
                <w:sz w:val="21"/>
                <w:szCs w:val="21"/>
                <w:highlight w:val="none"/>
                <w:u w:val="none"/>
                <w:lang w:val="en-US" w:eastAsia="zh-CN" w:bidi="ar"/>
              </w:rPr>
              <w:t>土地管理法＞实施办法》</w:t>
            </w:r>
            <w:r>
              <w:rPr>
                <w:rFonts w:hint="default" w:ascii="Times New Roman" w:hAnsi="Times New Roman" w:eastAsia="宋体" w:cs="Times New Roman"/>
                <w:i w:val="0"/>
                <w:iCs w:val="0"/>
                <w:color w:val="000000"/>
                <w:kern w:val="0"/>
                <w:sz w:val="21"/>
                <w:szCs w:val="21"/>
                <w:highlight w:val="none"/>
                <w:u w:val="none"/>
                <w:lang w:val="en-US" w:eastAsia="zh-CN" w:bidi="ar"/>
              </w:rPr>
              <w:t>第五十四条第一款  全省依法实行土地管理监督检查制度。土地监督检查遵循依法、及时、准确的原则。</w:t>
            </w:r>
          </w:p>
        </w:tc>
        <w:tc>
          <w:tcPr>
            <w:tcW w:w="2648"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trPr>
        <w:tc>
          <w:tcPr>
            <w:tcW w:w="9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6</w:t>
            </w:r>
          </w:p>
        </w:tc>
        <w:tc>
          <w:tcPr>
            <w:tcW w:w="2100" w:type="dxa"/>
            <w:tcBorders>
              <w:left w:val="single" w:color="auto" w:sz="4" w:space="0"/>
              <w:right w:val="single" w:color="auto" w:sz="4" w:space="0"/>
            </w:tcBorders>
            <w:noWrap w:val="0"/>
            <w:vAlign w:val="center"/>
          </w:tcPr>
          <w:p>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bCs/>
                <w:snapToGrid w:val="0"/>
                <w:kern w:val="0"/>
                <w:sz w:val="22"/>
                <w:szCs w:val="22"/>
                <w:highlight w:val="none"/>
                <w:lang w:val="en-US" w:eastAsia="zh-CN"/>
              </w:rPr>
              <w:t>开江县</w:t>
            </w:r>
            <w:r>
              <w:rPr>
                <w:rFonts w:hint="eastAsia" w:ascii="Times New Roman" w:hAnsi="Times New Roman" w:cs="Times New Roman"/>
                <w:bCs/>
                <w:snapToGrid w:val="0"/>
                <w:kern w:val="0"/>
                <w:sz w:val="22"/>
                <w:szCs w:val="22"/>
                <w:highlight w:val="none"/>
                <w:lang w:val="en-US" w:eastAsia="zh-CN"/>
              </w:rPr>
              <w:t>广福</w:t>
            </w:r>
            <w:r>
              <w:rPr>
                <w:rFonts w:hint="default" w:ascii="Times New Roman" w:hAnsi="Times New Roman" w:cs="Times New Roman"/>
                <w:bCs/>
                <w:snapToGrid w:val="0"/>
                <w:kern w:val="0"/>
                <w:sz w:val="22"/>
                <w:szCs w:val="22"/>
                <w:highlight w:val="none"/>
                <w:lang w:val="en-US" w:eastAsia="zh-CN"/>
              </w:rPr>
              <w:t>镇人民政府</w:t>
            </w:r>
          </w:p>
        </w:tc>
        <w:tc>
          <w:tcPr>
            <w:tcW w:w="31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对营业性演出的行政检查</w:t>
            </w:r>
          </w:p>
        </w:tc>
        <w:tc>
          <w:tcPr>
            <w:tcW w:w="5805" w:type="dxa"/>
            <w:tcBorders>
              <w:left w:val="single" w:color="auto" w:sz="4"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《营业性演出管理条例》第五条第二款  县级以上地方人民政府文化主管部门负责本行政区域内营业性演出的监督管理工作。县级以上地方人民政府公安部门、工商行政管理部门在各自职责范围内，负责本行政区域内营业性演出的监督管理工作。第三十三条  文化主管部门应当加强对营业性演出的监督管理。演出所在地县级人民政府文化主管部门对外国的或者香港特别行政区、澳门特别行政区、台湾地区的文艺表演团体、个人参加的营业性演出和临时搭建舞台、看台的营业性演出，应当进行实地检查；对其他营业性演出，应当进行实地抽样检查。</w:t>
            </w:r>
          </w:p>
        </w:tc>
        <w:tc>
          <w:tcPr>
            <w:tcW w:w="2648" w:type="dxa"/>
            <w:tcBorders>
              <w:left w:val="single" w:color="auto" w:sz="4"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trPr>
        <w:tc>
          <w:tcPr>
            <w:tcW w:w="9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7</w:t>
            </w:r>
          </w:p>
        </w:tc>
        <w:tc>
          <w:tcPr>
            <w:tcW w:w="2100" w:type="dxa"/>
            <w:tcBorders>
              <w:left w:val="single" w:color="auto" w:sz="4" w:space="0"/>
              <w:right w:val="single" w:color="auto" w:sz="4" w:space="0"/>
            </w:tcBorders>
            <w:noWrap w:val="0"/>
            <w:vAlign w:val="center"/>
          </w:tcPr>
          <w:p>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bCs/>
                <w:snapToGrid w:val="0"/>
                <w:kern w:val="0"/>
                <w:sz w:val="22"/>
                <w:szCs w:val="22"/>
                <w:highlight w:val="none"/>
                <w:lang w:val="en-US" w:eastAsia="zh-CN"/>
              </w:rPr>
              <w:t>开江县</w:t>
            </w:r>
            <w:r>
              <w:rPr>
                <w:rFonts w:hint="eastAsia" w:ascii="Times New Roman" w:hAnsi="Times New Roman" w:cs="Times New Roman"/>
                <w:bCs/>
                <w:snapToGrid w:val="0"/>
                <w:kern w:val="0"/>
                <w:sz w:val="22"/>
                <w:szCs w:val="22"/>
                <w:highlight w:val="none"/>
                <w:lang w:val="en-US" w:eastAsia="zh-CN"/>
              </w:rPr>
              <w:t>广福</w:t>
            </w:r>
            <w:r>
              <w:rPr>
                <w:rFonts w:hint="default" w:ascii="Times New Roman" w:hAnsi="Times New Roman" w:cs="Times New Roman"/>
                <w:bCs/>
                <w:snapToGrid w:val="0"/>
                <w:kern w:val="0"/>
                <w:sz w:val="22"/>
                <w:szCs w:val="22"/>
                <w:highlight w:val="none"/>
                <w:lang w:val="en-US" w:eastAsia="zh-CN"/>
              </w:rPr>
              <w:t>镇人民政府</w:t>
            </w:r>
          </w:p>
        </w:tc>
        <w:tc>
          <w:tcPr>
            <w:tcW w:w="31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监督检查其他有防汛抗洪任务的部门和单位做好本行业和本单位防汛工作的情况</w:t>
            </w:r>
          </w:p>
        </w:tc>
        <w:tc>
          <w:tcPr>
            <w:tcW w:w="5805" w:type="dxa"/>
            <w:tcBorders>
              <w:left w:val="single" w:color="auto" w:sz="4"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四川省〈中华人民共和国防洪法〉实施办法</w:t>
            </w:r>
            <w:r>
              <w:rPr>
                <w:rFonts w:hint="default" w:ascii="Times New Roman" w:hAnsi="Times New Roman" w:eastAsia="宋体" w:cs="Times New Roman"/>
                <w:i w:val="0"/>
                <w:iCs w:val="0"/>
                <w:color w:val="000000"/>
                <w:kern w:val="0"/>
                <w:sz w:val="21"/>
                <w:szCs w:val="21"/>
                <w:highlight w:val="none"/>
                <w:u w:val="none"/>
                <w:lang w:val="en-US" w:eastAsia="zh-CN" w:bidi="ar"/>
              </w:rPr>
              <w:t>》第十四条  各级防汛指挥机构的组成部门和单位应当按照各自的职责分工承担相应的防汛任务。其他有防汛抗洪任务的部门和单位，应当负责做好本行业和本单位的防汛工作，并接受当地防汛指挥机构的统一指挥、监督和检查。</w:t>
            </w:r>
          </w:p>
        </w:tc>
        <w:tc>
          <w:tcPr>
            <w:tcW w:w="2648" w:type="dxa"/>
            <w:tcBorders>
              <w:left w:val="single" w:color="auto" w:sz="4"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trPr>
        <w:tc>
          <w:tcPr>
            <w:tcW w:w="9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8</w:t>
            </w:r>
          </w:p>
        </w:tc>
        <w:tc>
          <w:tcPr>
            <w:tcW w:w="2100" w:type="dxa"/>
            <w:tcBorders>
              <w:left w:val="single" w:color="auto" w:sz="4" w:space="0"/>
              <w:right w:val="single" w:color="auto" w:sz="4" w:space="0"/>
            </w:tcBorders>
            <w:noWrap w:val="0"/>
            <w:vAlign w:val="center"/>
          </w:tcPr>
          <w:p>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bCs/>
                <w:snapToGrid w:val="0"/>
                <w:kern w:val="0"/>
                <w:sz w:val="22"/>
                <w:szCs w:val="22"/>
                <w:highlight w:val="none"/>
                <w:lang w:val="en-US" w:eastAsia="zh-CN"/>
              </w:rPr>
              <w:t>开江县</w:t>
            </w:r>
            <w:r>
              <w:rPr>
                <w:rFonts w:hint="eastAsia" w:ascii="Times New Roman" w:hAnsi="Times New Roman" w:cs="Times New Roman"/>
                <w:bCs/>
                <w:snapToGrid w:val="0"/>
                <w:kern w:val="0"/>
                <w:sz w:val="22"/>
                <w:szCs w:val="22"/>
                <w:highlight w:val="none"/>
                <w:lang w:val="en-US" w:eastAsia="zh-CN"/>
              </w:rPr>
              <w:t>广福</w:t>
            </w:r>
            <w:r>
              <w:rPr>
                <w:rFonts w:hint="default" w:ascii="Times New Roman" w:hAnsi="Times New Roman" w:cs="Times New Roman"/>
                <w:bCs/>
                <w:snapToGrid w:val="0"/>
                <w:kern w:val="0"/>
                <w:sz w:val="22"/>
                <w:szCs w:val="22"/>
                <w:highlight w:val="none"/>
                <w:lang w:val="en-US" w:eastAsia="zh-CN"/>
              </w:rPr>
              <w:t>镇人民政府</w:t>
            </w:r>
          </w:p>
        </w:tc>
        <w:tc>
          <w:tcPr>
            <w:tcW w:w="31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对供水单位的取水、供水和用水情况进行监督检查</w:t>
            </w:r>
          </w:p>
        </w:tc>
        <w:tc>
          <w:tcPr>
            <w:tcW w:w="5805" w:type="dxa"/>
            <w:tcBorders>
              <w:left w:val="single" w:color="auto" w:sz="4"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fldChar w:fldCharType="begin"/>
            </w:r>
            <w:r>
              <w:rPr>
                <w:rFonts w:hint="default" w:ascii="Times New Roman" w:hAnsi="Times New Roman" w:eastAsia="宋体" w:cs="Times New Roman"/>
                <w:i w:val="0"/>
                <w:iCs w:val="0"/>
                <w:color w:val="000000"/>
                <w:kern w:val="0"/>
                <w:sz w:val="21"/>
                <w:szCs w:val="21"/>
                <w:highlight w:val="none"/>
                <w:u w:val="none"/>
                <w:lang w:val="en-US" w:eastAsia="zh-CN" w:bidi="ar"/>
              </w:rPr>
              <w:instrText xml:space="preserve"> HYPERLINK "http://www.sc.gov.cn/10462/zcwjk/zcwjk.shtml?title=%E5%9B%9B%E5%B7%9D%E7%9C%81&lt;%E4%B8%AD%E5%8D%8E%E4%BA%BA%E6%B0%91%E5%85%B1%E5%92%8C%E5%9B%BD%E6%B0%B4%E6%B3%95&gt;%E5%AE%9E%E6%96%BD%E5%8A%9E%E6%B3%95" \o "http://www.sc.gov.cn/10462/zcwjk/zcwjk.shtml?title=%E5%9B%9B%E5%B7%9D%E7%9C%81&lt;%E4%B8%AD%E5%8D%8E%E4%BA%BA%E6%B0%91%E5%85%B1%E5%92%8C%E5%9B%BD%E6%B0%B4%E6%B3%95&gt;%E5%AE%9E%E6%96%BD%E5%8A%9E%E6%B3%95" </w:instrText>
            </w:r>
            <w:r>
              <w:rPr>
                <w:rFonts w:hint="default" w:ascii="Times New Roman" w:hAnsi="Times New Roman" w:eastAsia="宋体" w:cs="Times New Roman"/>
                <w:i w:val="0"/>
                <w:iCs w:val="0"/>
                <w:color w:val="000000"/>
                <w:kern w:val="0"/>
                <w:sz w:val="21"/>
                <w:szCs w:val="21"/>
                <w:highlight w:val="none"/>
                <w:u w:val="none"/>
                <w:lang w:val="en-US" w:eastAsia="zh-CN" w:bidi="ar"/>
              </w:rPr>
              <w:fldChar w:fldCharType="separate"/>
            </w:r>
            <w:r>
              <w:rPr>
                <w:rFonts w:hint="default" w:ascii="Times New Roman" w:hAnsi="Times New Roman" w:eastAsia="宋体" w:cs="Times New Roman"/>
                <w:i w:val="0"/>
                <w:iCs w:val="0"/>
                <w:color w:val="000000"/>
                <w:kern w:val="0"/>
                <w:sz w:val="21"/>
                <w:szCs w:val="21"/>
                <w:highlight w:val="none"/>
                <w:u w:val="none"/>
                <w:lang w:val="en-US" w:eastAsia="zh-CN" w:bidi="ar"/>
              </w:rPr>
              <w:t>《四川省&lt;中华人民共和国水法&gt;实施办法》第三十二条第二款  县级以上水行政主管部门和有关主管部门在各自的职责范围内对供用水单位的取水、供水和用水情况进行监督检查。供用水单位应当对供水管网定期进行普查和检测,建立技术档案,制定节水技术改造计划,降低管网漏失率。</w:t>
            </w:r>
            <w:r>
              <w:rPr>
                <w:rFonts w:hint="default" w:ascii="Times New Roman" w:hAnsi="Times New Roman" w:eastAsia="宋体" w:cs="Times New Roman"/>
                <w:i w:val="0"/>
                <w:iCs w:val="0"/>
                <w:color w:val="000000"/>
                <w:kern w:val="0"/>
                <w:sz w:val="21"/>
                <w:szCs w:val="21"/>
                <w:highlight w:val="none"/>
                <w:u w:val="none"/>
                <w:lang w:val="en-US" w:eastAsia="zh-CN" w:bidi="ar"/>
              </w:rPr>
              <w:fldChar w:fldCharType="end"/>
            </w:r>
          </w:p>
        </w:tc>
        <w:tc>
          <w:tcPr>
            <w:tcW w:w="2648" w:type="dxa"/>
            <w:tcBorders>
              <w:left w:val="single" w:color="auto" w:sz="4"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9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9</w:t>
            </w:r>
          </w:p>
        </w:tc>
        <w:tc>
          <w:tcPr>
            <w:tcW w:w="2100" w:type="dxa"/>
            <w:tcBorders>
              <w:left w:val="single" w:color="auto" w:sz="4" w:space="0"/>
              <w:right w:val="single" w:color="auto" w:sz="4" w:space="0"/>
            </w:tcBorders>
            <w:noWrap w:val="0"/>
            <w:vAlign w:val="center"/>
          </w:tcPr>
          <w:p>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bCs/>
                <w:snapToGrid w:val="0"/>
                <w:kern w:val="0"/>
                <w:sz w:val="22"/>
                <w:szCs w:val="22"/>
                <w:highlight w:val="none"/>
                <w:lang w:val="en-US" w:eastAsia="zh-CN"/>
              </w:rPr>
              <w:t>开江县</w:t>
            </w:r>
            <w:r>
              <w:rPr>
                <w:rFonts w:hint="eastAsia" w:ascii="Times New Roman" w:hAnsi="Times New Roman" w:cs="Times New Roman"/>
                <w:bCs/>
                <w:snapToGrid w:val="0"/>
                <w:kern w:val="0"/>
                <w:sz w:val="22"/>
                <w:szCs w:val="22"/>
                <w:highlight w:val="none"/>
                <w:lang w:val="en-US" w:eastAsia="zh-CN"/>
              </w:rPr>
              <w:t>广福</w:t>
            </w:r>
            <w:r>
              <w:rPr>
                <w:rFonts w:hint="default" w:ascii="Times New Roman" w:hAnsi="Times New Roman" w:cs="Times New Roman"/>
                <w:bCs/>
                <w:snapToGrid w:val="0"/>
                <w:kern w:val="0"/>
                <w:sz w:val="22"/>
                <w:szCs w:val="22"/>
                <w:highlight w:val="none"/>
                <w:lang w:val="en-US" w:eastAsia="zh-CN"/>
              </w:rPr>
              <w:t>镇人民政府</w:t>
            </w:r>
          </w:p>
        </w:tc>
        <w:tc>
          <w:tcPr>
            <w:tcW w:w="31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对环境保护隐患的检查</w:t>
            </w:r>
          </w:p>
        </w:tc>
        <w:tc>
          <w:tcPr>
            <w:tcW w:w="5805" w:type="dxa"/>
            <w:tcBorders>
              <w:left w:val="single" w:color="auto" w:sz="4" w:space="0"/>
              <w:right w:val="single" w:color="auto" w:sz="4" w:space="0"/>
            </w:tcBorders>
            <w:shd w:val="clear" w:color="auto" w:fill="auto"/>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1.《四川省环境保护条例》第三条第四款乡（镇）人民政府、街道办事处应当在县级人民政府相关行政主管部门的指导下做好本辖区的环境保护工作，加强环境保护</w:t>
            </w:r>
            <w:r>
              <w:rPr>
                <w:rFonts w:hint="default" w:ascii="Times New Roman" w:hAnsi="Times New Roman" w:eastAsia="宋体" w:cs="Times New Roman"/>
                <w:i w:val="0"/>
                <w:iCs w:val="0"/>
                <w:color w:val="000000"/>
                <w:kern w:val="0"/>
                <w:sz w:val="21"/>
                <w:szCs w:val="21"/>
                <w:highlight w:val="none"/>
                <w:u w:val="none"/>
                <w:lang w:val="en-US" w:eastAsia="zh-CN" w:bidi="ar"/>
              </w:rPr>
              <w:t>法制宣传</w:t>
            </w:r>
            <w:r>
              <w:rPr>
                <w:rFonts w:hint="default" w:ascii="Times New Roman" w:hAnsi="Times New Roman" w:eastAsia="宋体" w:cs="Times New Roman"/>
                <w:i w:val="0"/>
                <w:iCs w:val="0"/>
                <w:color w:val="000000"/>
                <w:kern w:val="0"/>
                <w:sz w:val="21"/>
                <w:szCs w:val="21"/>
                <w:highlight w:val="none"/>
                <w:u w:val="none"/>
                <w:lang w:val="en-US" w:eastAsia="zh-CN" w:bidi="ar"/>
              </w:rPr>
              <w:t>和隐患排查，发现存在环境问题的，应当及时向环境保护等有关部门报告。鼓励通过购买基层公共服务、设置环保公益岗位等形式加强环境保护工作。</w:t>
            </w:r>
          </w:p>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四川省&lt;中华人民共和国大气污染防治法&gt;实施办法》第三条第三款乡（镇）人民政府、街道办事处应当在县级人民政府相关行政主管部门的指导下做好本辖区的大气环境保护工作，加强大气环境隐患排查，发现存在大气污染问题的，应当及时向负有大气污染防治监督管理职责的有关部门报告。</w:t>
            </w:r>
          </w:p>
        </w:tc>
        <w:tc>
          <w:tcPr>
            <w:tcW w:w="2648" w:type="dxa"/>
            <w:tcBorders>
              <w:left w:val="single" w:color="auto" w:sz="4" w:space="0"/>
              <w:right w:val="single" w:color="auto" w:sz="4" w:space="0"/>
            </w:tcBorders>
            <w:shd w:val="clear" w:color="auto" w:fill="auto"/>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trPr>
        <w:tc>
          <w:tcPr>
            <w:tcW w:w="907" w:type="dxa"/>
            <w:noWrap w:val="0"/>
            <w:vAlign w:val="center"/>
          </w:tcPr>
          <w:p>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1</w:t>
            </w:r>
            <w:r>
              <w:rPr>
                <w:rFonts w:hint="eastAsia" w:ascii="Times New Roman" w:hAnsi="Times New Roman" w:cs="Times New Roman"/>
                <w:highlight w:val="none"/>
                <w:vertAlign w:val="baseline"/>
                <w:lang w:val="en-US" w:eastAsia="zh-CN"/>
              </w:rPr>
              <w:t>0</w:t>
            </w:r>
          </w:p>
        </w:tc>
        <w:tc>
          <w:tcPr>
            <w:tcW w:w="2100" w:type="dxa"/>
            <w:noWrap w:val="0"/>
            <w:vAlign w:val="center"/>
          </w:tcPr>
          <w:p>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bCs/>
                <w:snapToGrid w:val="0"/>
                <w:kern w:val="0"/>
                <w:sz w:val="22"/>
                <w:szCs w:val="22"/>
                <w:highlight w:val="none"/>
                <w:lang w:val="en-US" w:eastAsia="zh-CN"/>
              </w:rPr>
              <w:t>开江县</w:t>
            </w:r>
            <w:r>
              <w:rPr>
                <w:rFonts w:hint="eastAsia" w:ascii="Times New Roman" w:hAnsi="Times New Roman" w:cs="Times New Roman"/>
                <w:bCs/>
                <w:snapToGrid w:val="0"/>
                <w:kern w:val="0"/>
                <w:sz w:val="22"/>
                <w:szCs w:val="22"/>
                <w:highlight w:val="none"/>
                <w:lang w:val="en-US" w:eastAsia="zh-CN"/>
              </w:rPr>
              <w:t>广福</w:t>
            </w:r>
            <w:r>
              <w:rPr>
                <w:rFonts w:hint="default" w:ascii="Times New Roman" w:hAnsi="Times New Roman" w:cs="Times New Roman"/>
                <w:bCs/>
                <w:snapToGrid w:val="0"/>
                <w:kern w:val="0"/>
                <w:sz w:val="22"/>
                <w:szCs w:val="22"/>
                <w:highlight w:val="none"/>
                <w:lang w:val="en-US" w:eastAsia="zh-CN"/>
              </w:rPr>
              <w:t>镇人民政府</w:t>
            </w:r>
          </w:p>
        </w:tc>
        <w:tc>
          <w:tcPr>
            <w:tcW w:w="3120"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对生产经营单位安全生产状况的监督检查</w:t>
            </w:r>
          </w:p>
        </w:tc>
        <w:tc>
          <w:tcPr>
            <w:tcW w:w="5805" w:type="dxa"/>
            <w:shd w:val="clear" w:color="auto" w:fill="auto"/>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中华人民共和国安全生产法》第八条第三款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四川省安全生产条例》第十一条乡（镇）人民政府、街道办事处应当配备必要的人员具体从事安全生产监督管理工作，并根据本条例分级管理的原则对本行政区域内的乡镇、街道企业和个体工商户的安全生产实施监督检查：（一）宣传、贯彻国家安全生产法律、法规和方针、政策；（二）执行和督促落实上级政府和有关部门作出的安全生产决定；（三）对行政区域内的公共设施安全隐患组织排查，提出整治意见，并协助落实；（四）对安全生产违法行为进行纠正；紧急情况下，可以责令生产经营单位暂停作业；（五）按本条例规定接受县级安全生产监督管理部门委托按简易程序实施行政处罚；（六）对重大安全生产违法行为和重大隐患及时向上级政府及有关部门报告；（七）协助上级政府和安全生产监督管理部门处置发生在本行政区域内的生产安全事故。</w:t>
            </w:r>
          </w:p>
        </w:tc>
        <w:tc>
          <w:tcPr>
            <w:tcW w:w="2648" w:type="dxa"/>
            <w:shd w:val="clear" w:color="auto" w:fill="auto"/>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trPr>
        <w:tc>
          <w:tcPr>
            <w:tcW w:w="907" w:type="dxa"/>
            <w:noWrap w:val="0"/>
            <w:vAlign w:val="center"/>
          </w:tcPr>
          <w:p>
            <w:pPr>
              <w:jc w:val="center"/>
              <w:rPr>
                <w:rFonts w:hint="default"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11</w:t>
            </w:r>
          </w:p>
        </w:tc>
        <w:tc>
          <w:tcPr>
            <w:tcW w:w="2100" w:type="dxa"/>
            <w:noWrap w:val="0"/>
            <w:vAlign w:val="center"/>
          </w:tcPr>
          <w:p>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bCs/>
                <w:snapToGrid w:val="0"/>
                <w:kern w:val="0"/>
                <w:sz w:val="22"/>
                <w:szCs w:val="22"/>
                <w:highlight w:val="none"/>
                <w:lang w:val="en-US" w:eastAsia="zh-CN"/>
              </w:rPr>
              <w:t>开江县</w:t>
            </w:r>
            <w:r>
              <w:rPr>
                <w:rFonts w:hint="eastAsia" w:ascii="Times New Roman" w:hAnsi="Times New Roman" w:cs="Times New Roman"/>
                <w:bCs/>
                <w:snapToGrid w:val="0"/>
                <w:kern w:val="0"/>
                <w:sz w:val="22"/>
                <w:szCs w:val="22"/>
                <w:highlight w:val="none"/>
                <w:lang w:val="en-US" w:eastAsia="zh-CN"/>
              </w:rPr>
              <w:t>广福</w:t>
            </w:r>
            <w:r>
              <w:rPr>
                <w:rFonts w:hint="default" w:ascii="Times New Roman" w:hAnsi="Times New Roman" w:cs="Times New Roman"/>
                <w:bCs/>
                <w:snapToGrid w:val="0"/>
                <w:kern w:val="0"/>
                <w:sz w:val="22"/>
                <w:szCs w:val="22"/>
                <w:highlight w:val="none"/>
                <w:lang w:val="en-US" w:eastAsia="zh-CN"/>
              </w:rPr>
              <w:t>镇人民政府</w:t>
            </w:r>
          </w:p>
        </w:tc>
        <w:tc>
          <w:tcPr>
            <w:tcW w:w="3120"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对食品安全的监督检查</w:t>
            </w:r>
          </w:p>
        </w:tc>
        <w:tc>
          <w:tcPr>
            <w:tcW w:w="5805" w:type="dxa"/>
            <w:shd w:val="clear" w:color="auto" w:fill="auto"/>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四川省食品小作坊、小经营店及摊贩管理条例》第三十二条乡（镇）人民政府、街道办事处应当按照食品安全属地管理原则，设立食品安全协管员或者信息员，建立健全食品安全监管网络，加强日常巡查，指导食品小作坊、小经营店及摊贩履行食品安全责任，及时制止食品安全违法行为，报告食品监督行政部门并协助处理。村（居）民委员会应当协助乡（镇）人民政府、街道办事处开展食品安全监督检查，及时报告食品安全违法情况。</w:t>
            </w:r>
          </w:p>
        </w:tc>
        <w:tc>
          <w:tcPr>
            <w:tcW w:w="2648" w:type="dxa"/>
            <w:shd w:val="clear" w:color="auto" w:fill="auto"/>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907" w:type="dxa"/>
            <w:noWrap w:val="0"/>
            <w:vAlign w:val="center"/>
          </w:tcPr>
          <w:p>
            <w:pPr>
              <w:jc w:val="center"/>
              <w:rPr>
                <w:rFonts w:hint="default"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12</w:t>
            </w:r>
          </w:p>
        </w:tc>
        <w:tc>
          <w:tcPr>
            <w:tcW w:w="2100" w:type="dxa"/>
            <w:noWrap w:val="0"/>
            <w:vAlign w:val="center"/>
          </w:tcPr>
          <w:p>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bCs/>
                <w:snapToGrid w:val="0"/>
                <w:kern w:val="0"/>
                <w:sz w:val="22"/>
                <w:szCs w:val="22"/>
                <w:highlight w:val="none"/>
                <w:lang w:val="en-US" w:eastAsia="zh-CN"/>
              </w:rPr>
              <w:t>开江县</w:t>
            </w:r>
            <w:r>
              <w:rPr>
                <w:rFonts w:hint="eastAsia" w:ascii="Times New Roman" w:hAnsi="Times New Roman" w:cs="Times New Roman"/>
                <w:bCs/>
                <w:snapToGrid w:val="0"/>
                <w:kern w:val="0"/>
                <w:sz w:val="22"/>
                <w:szCs w:val="22"/>
                <w:highlight w:val="none"/>
                <w:lang w:val="en-US" w:eastAsia="zh-CN"/>
              </w:rPr>
              <w:t>广福</w:t>
            </w:r>
            <w:r>
              <w:rPr>
                <w:rFonts w:hint="default" w:ascii="Times New Roman" w:hAnsi="Times New Roman" w:cs="Times New Roman"/>
                <w:bCs/>
                <w:snapToGrid w:val="0"/>
                <w:kern w:val="0"/>
                <w:sz w:val="22"/>
                <w:szCs w:val="22"/>
                <w:highlight w:val="none"/>
                <w:lang w:val="en-US" w:eastAsia="zh-CN"/>
              </w:rPr>
              <w:t>镇人民政府</w:t>
            </w:r>
          </w:p>
        </w:tc>
        <w:tc>
          <w:tcPr>
            <w:tcW w:w="3120"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配合开展电信设施建设和保护工作的监督检查</w:t>
            </w:r>
          </w:p>
        </w:tc>
        <w:tc>
          <w:tcPr>
            <w:tcW w:w="5805" w:type="dxa"/>
            <w:shd w:val="clear" w:color="auto" w:fill="auto"/>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四川省电信设施建设和保护条例》第三十三条乡（镇）人民政府、街道办事处、村（居）民委员会应当配合省电信管理机构对电信设施建设和保护工作开展监督检查，指导、督促有关单位和个人履行电信设施建设和保护义务。</w:t>
            </w:r>
          </w:p>
        </w:tc>
        <w:tc>
          <w:tcPr>
            <w:tcW w:w="2648" w:type="dxa"/>
            <w:shd w:val="clear" w:color="auto" w:fill="auto"/>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907" w:type="dxa"/>
            <w:noWrap w:val="0"/>
            <w:vAlign w:val="center"/>
          </w:tcPr>
          <w:p>
            <w:pPr>
              <w:jc w:val="center"/>
              <w:rPr>
                <w:rFonts w:hint="default"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13</w:t>
            </w:r>
          </w:p>
        </w:tc>
        <w:tc>
          <w:tcPr>
            <w:tcW w:w="2100" w:type="dxa"/>
            <w:noWrap w:val="0"/>
            <w:vAlign w:val="center"/>
          </w:tcPr>
          <w:p>
            <w:pPr>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bCs/>
                <w:snapToGrid w:val="0"/>
                <w:kern w:val="0"/>
                <w:sz w:val="22"/>
                <w:szCs w:val="22"/>
                <w:highlight w:val="none"/>
                <w:lang w:val="en-US" w:eastAsia="zh-CN"/>
              </w:rPr>
              <w:t>开江县</w:t>
            </w:r>
            <w:r>
              <w:rPr>
                <w:rFonts w:hint="eastAsia" w:ascii="Times New Roman" w:hAnsi="Times New Roman" w:cs="Times New Roman"/>
                <w:bCs/>
                <w:snapToGrid w:val="0"/>
                <w:kern w:val="0"/>
                <w:sz w:val="22"/>
                <w:szCs w:val="22"/>
                <w:highlight w:val="none"/>
                <w:lang w:val="en-US" w:eastAsia="zh-CN"/>
              </w:rPr>
              <w:t>广福</w:t>
            </w:r>
            <w:r>
              <w:rPr>
                <w:rFonts w:hint="default" w:ascii="Times New Roman" w:hAnsi="Times New Roman" w:cs="Times New Roman"/>
                <w:bCs/>
                <w:snapToGrid w:val="0"/>
                <w:kern w:val="0"/>
                <w:sz w:val="22"/>
                <w:szCs w:val="22"/>
                <w:highlight w:val="none"/>
                <w:lang w:val="en-US" w:eastAsia="zh-CN"/>
              </w:rPr>
              <w:t>镇人民政府</w:t>
            </w:r>
          </w:p>
        </w:tc>
        <w:tc>
          <w:tcPr>
            <w:tcW w:w="3120" w:type="dxa"/>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对消防安全的检查</w:t>
            </w:r>
          </w:p>
        </w:tc>
        <w:tc>
          <w:tcPr>
            <w:tcW w:w="5805" w:type="dxa"/>
            <w:shd w:val="clear" w:color="auto" w:fill="auto"/>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1.《中华人民共和国消防法》第三十条地方各级人民政府应当加强对农村消防工作的领导，采取措施加强公共消防设施建设，组织建立和督促落实消防安全责任制。</w:t>
            </w:r>
          </w:p>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《中华人民共和国消防法》第三十一条在农业收获季节、森林和草原防火期间、重大节假日期间以及火灾多发季节，地方各级人民政府应当组织开展有针对性的消防宣传教育，采取防火措施，进行消防安全检查。</w:t>
            </w:r>
          </w:p>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中华人民共和国消防法》第三十二条乡镇人民政府、城市街道办事处应当指导、支持和帮助村民委员会、居民委员会开展群众性的消防工作。村民委员会、居民委员会应当确定消防安全管理人，组织制定防火安全公约，进行防火安全检查。</w:t>
            </w:r>
          </w:p>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四川省消防条例》第九条乡镇人民政府、城市街道办事处履行下列职责：（一）执行消防法律法规，落实消防安全责任制，定期督促检查；（二）组织开展经常性的消防宣传教育，提高公民的消防安全意识；（三）组织消防安全检查，督促整改火灾隐患；（四）组织、指导、督促村（居）民委员会和辖区单位开展消防工作；（五）根据需要建立多种形式的消防组织，增强火灾预防、扑救和应急救援能力；（六）辖区发生火灾事故时，组织协调灭火救援，做好相应工作；（七）上级人民政府交办的其他消防工作。</w:t>
            </w:r>
          </w:p>
        </w:tc>
        <w:tc>
          <w:tcPr>
            <w:tcW w:w="2648" w:type="dxa"/>
            <w:shd w:val="clear" w:color="auto" w:fill="auto"/>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p>
        </w:tc>
      </w:tr>
      <w:bookmarkEnd w:id="0"/>
    </w:tbl>
    <w:p>
      <w:pPr>
        <w:jc w:val="left"/>
        <w:rPr>
          <w:sz w:val="18"/>
          <w:szCs w:val="21"/>
        </w:rPr>
      </w:pPr>
    </w:p>
    <w:sectPr>
      <w:head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kinsoku/>
      <w:wordWrap/>
      <w:overflowPunct/>
      <w:topLinePunct w:val="0"/>
      <w:autoSpaceDE/>
      <w:bidi w:val="0"/>
      <w:adjustRightInd/>
      <w:snapToGrid/>
      <w:spacing w:line="578" w:lineRule="exact"/>
      <w:jc w:val="center"/>
      <w:textAlignment w:val="auto"/>
      <w:rPr>
        <w:rFonts w:hint="default"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开江县广福镇人民政府涉企行政检查事项清单</w:t>
    </w:r>
  </w:p>
  <w:p>
    <w:pPr>
      <w:pStyle w:val="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332E20"/>
    <w:rsid w:val="0BBA6DAD"/>
    <w:rsid w:val="112D3C2C"/>
    <w:rsid w:val="17D35E89"/>
    <w:rsid w:val="19B80257"/>
    <w:rsid w:val="20DD0192"/>
    <w:rsid w:val="24013373"/>
    <w:rsid w:val="26D20FF7"/>
    <w:rsid w:val="271D04C4"/>
    <w:rsid w:val="27D35027"/>
    <w:rsid w:val="28577A06"/>
    <w:rsid w:val="287F6F5C"/>
    <w:rsid w:val="2AA42CAA"/>
    <w:rsid w:val="2D712401"/>
    <w:rsid w:val="3BDC22A4"/>
    <w:rsid w:val="3CF03B2D"/>
    <w:rsid w:val="3F9D7F9C"/>
    <w:rsid w:val="432E58E3"/>
    <w:rsid w:val="4A3E672A"/>
    <w:rsid w:val="4BAC5E87"/>
    <w:rsid w:val="50552715"/>
    <w:rsid w:val="538A6632"/>
    <w:rsid w:val="55C41A96"/>
    <w:rsid w:val="5D5757D7"/>
    <w:rsid w:val="60575AEE"/>
    <w:rsid w:val="63554566"/>
    <w:rsid w:val="6C332E20"/>
    <w:rsid w:val="73D83687"/>
    <w:rsid w:val="74D6619C"/>
    <w:rsid w:val="7A8306A7"/>
    <w:rsid w:val="7FD12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Salutation"/>
    <w:basedOn w:val="1"/>
    <w:next w:val="1"/>
    <w:unhideWhenUsed/>
    <w:qFormat/>
    <w:uiPriority w:val="99"/>
    <w:rPr>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font51"/>
    <w:basedOn w:val="7"/>
    <w:qFormat/>
    <w:uiPriority w:val="0"/>
    <w:rPr>
      <w:rFonts w:hint="default" w:ascii="Times New Roman" w:hAnsi="Times New Roman" w:cs="Times New Roman"/>
      <w:color w:val="000000"/>
      <w:sz w:val="22"/>
      <w:szCs w:val="22"/>
      <w:u w:val="none"/>
    </w:rPr>
  </w:style>
  <w:style w:type="character" w:customStyle="1" w:styleId="9">
    <w:name w:val="font121"/>
    <w:basedOn w:val="7"/>
    <w:qFormat/>
    <w:uiPriority w:val="0"/>
    <w:rPr>
      <w:rFonts w:hint="default" w:ascii="Times New Roman" w:hAnsi="Times New Roman" w:cs="Times New Roman"/>
      <w:color w:val="000000"/>
      <w:sz w:val="20"/>
      <w:szCs w:val="20"/>
      <w:u w:val="none"/>
    </w:rPr>
  </w:style>
  <w:style w:type="character" w:customStyle="1" w:styleId="10">
    <w:name w:val="font161"/>
    <w:basedOn w:val="7"/>
    <w:qFormat/>
    <w:uiPriority w:val="0"/>
    <w:rPr>
      <w:rFonts w:hint="eastAsia" w:ascii="方正仿宋简体" w:hAnsi="方正仿宋简体" w:eastAsia="方正仿宋简体" w:cs="方正仿宋简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9342</Words>
  <Characters>9513</Characters>
  <Lines>0</Lines>
  <Paragraphs>0</Paragraphs>
  <TotalTime>26</TotalTime>
  <ScaleCrop>false</ScaleCrop>
  <LinksUpToDate>false</LinksUpToDate>
  <CharactersWithSpaces>11563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2025-07-18T04:15:00Z</dcterms:created>
  <dc:creator>WPS_1550887837</dc:creator>
  <cp:lastModifiedBy>局外人</cp:lastModifiedBy>
  <cp:lastPrinted>2025-07-23T09:26:00Z</cp:lastPrinted>
  <dcterms:modified xsi:type="dcterms:W3CDTF">2025-07-28T08:22:55Z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8452C49961A64F8AA93095DB36EAC894_11</vt:lpwstr>
  </property>
  <property fmtid="{D5CDD505-2E9C-101B-9397-08002B2CF9AE}" pid="4" name="KSOTemplateDocerSaveRecord">
    <vt:lpwstr>eyJoZGlkIjoiNzI0YTliOTU2NTI2N2ZmM2NiNzMzMjM4MWUwMTYwYTAiLCJ1c2VySWQiOiI3NDgzNDk4ODgifQ==</vt:lpwstr>
  </property>
</Properties>
</file>