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27538">
      <w:pPr>
        <w:spacing w:before="143" w:line="218" w:lineRule="auto"/>
        <w:jc w:val="left"/>
        <w:rPr>
          <w:rFonts w:hint="eastAsia" w:ascii="黑体" w:hAnsi="黑体" w:eastAsia="黑体" w:cs="黑体"/>
          <w:b/>
          <w:bCs/>
          <w:spacing w:val="-5"/>
          <w:sz w:val="32"/>
          <w:szCs w:val="32"/>
          <w:lang w:val="en-US" w:eastAsia="zh-CN"/>
        </w:rPr>
      </w:pPr>
      <w:r>
        <w:rPr>
          <w:rFonts w:hint="eastAsia" w:ascii="黑体" w:hAnsi="黑体" w:eastAsia="黑体" w:cs="黑体"/>
          <w:b/>
          <w:bCs/>
          <w:spacing w:val="-5"/>
          <w:sz w:val="32"/>
          <w:szCs w:val="32"/>
          <w:lang w:eastAsia="zh-CN"/>
        </w:rPr>
        <w:t>附件</w:t>
      </w:r>
      <w:r>
        <w:rPr>
          <w:rFonts w:hint="eastAsia" w:ascii="黑体" w:hAnsi="黑体" w:eastAsia="黑体" w:cs="黑体"/>
          <w:b/>
          <w:bCs/>
          <w:spacing w:val="-5"/>
          <w:sz w:val="32"/>
          <w:szCs w:val="32"/>
          <w:lang w:val="en-US" w:eastAsia="zh-CN"/>
        </w:rPr>
        <w:t>1</w:t>
      </w:r>
    </w:p>
    <w:p w14:paraId="15F47B53">
      <w:pPr>
        <w:spacing w:before="143" w:line="218" w:lineRule="auto"/>
        <w:jc w:val="center"/>
        <w:rPr>
          <w:rFonts w:hint="eastAsia" w:ascii="宋体" w:hAnsi="宋体" w:eastAsia="宋体" w:cs="宋体"/>
          <w:b/>
          <w:bCs/>
          <w:spacing w:val="-5"/>
          <w:sz w:val="44"/>
          <w:szCs w:val="44"/>
          <w:lang w:eastAsia="zh-CN"/>
        </w:rPr>
      </w:pPr>
      <w:r>
        <w:rPr>
          <w:rFonts w:hint="eastAsia" w:ascii="宋体" w:hAnsi="宋体" w:eastAsia="宋体" w:cs="宋体"/>
          <w:b/>
          <w:bCs/>
          <w:spacing w:val="-5"/>
          <w:sz w:val="44"/>
          <w:szCs w:val="44"/>
        </w:rPr>
        <w:t>开江县</w:t>
      </w:r>
      <w:r>
        <w:rPr>
          <w:rFonts w:hint="eastAsia" w:ascii="宋体" w:hAnsi="宋体" w:eastAsia="宋体" w:cs="宋体"/>
          <w:b/>
          <w:bCs/>
          <w:spacing w:val="-5"/>
          <w:sz w:val="44"/>
          <w:szCs w:val="44"/>
          <w:lang w:val="en-US" w:eastAsia="zh-CN"/>
        </w:rPr>
        <w:t>农业农村局</w:t>
      </w:r>
    </w:p>
    <w:p w14:paraId="339D721A">
      <w:pPr>
        <w:spacing w:before="143" w:line="218" w:lineRule="auto"/>
        <w:jc w:val="center"/>
        <w:rPr>
          <w:rFonts w:ascii="宋体" w:hAnsi="宋体" w:eastAsia="宋体" w:cs="宋体"/>
          <w:sz w:val="44"/>
          <w:szCs w:val="44"/>
        </w:rPr>
      </w:pPr>
      <w:r>
        <w:rPr>
          <w:rFonts w:ascii="宋体" w:hAnsi="宋体" w:eastAsia="宋体" w:cs="宋体"/>
          <w:b/>
          <w:bCs/>
          <w:spacing w:val="-5"/>
          <w:sz w:val="44"/>
          <w:szCs w:val="44"/>
        </w:rPr>
        <w:t>部门预算绩效评价报告</w:t>
      </w:r>
    </w:p>
    <w:p w14:paraId="0F38FDF9">
      <w:pPr>
        <w:spacing w:line="322" w:lineRule="auto"/>
        <w:rPr>
          <w:rFonts w:ascii="Arial"/>
          <w:sz w:val="21"/>
        </w:rPr>
      </w:pPr>
    </w:p>
    <w:p w14:paraId="2000211B">
      <w:pPr>
        <w:spacing w:before="107" w:line="222" w:lineRule="auto"/>
        <w:ind w:left="644"/>
        <w:outlineLvl w:val="0"/>
        <w:rPr>
          <w:rFonts w:hint="eastAsia" w:ascii="黑体" w:hAnsi="黑体" w:eastAsia="黑体" w:cs="黑体"/>
          <w:sz w:val="33"/>
          <w:szCs w:val="33"/>
          <w:lang w:eastAsia="zh-CN"/>
        </w:rPr>
      </w:pPr>
      <w:r>
        <w:rPr>
          <w:rFonts w:ascii="黑体" w:hAnsi="黑体" w:eastAsia="黑体" w:cs="黑体"/>
          <w:b/>
          <w:bCs/>
          <w:spacing w:val="15"/>
          <w:sz w:val="33"/>
          <w:szCs w:val="33"/>
        </w:rPr>
        <w:t>一、部门</w:t>
      </w:r>
      <w:r>
        <w:rPr>
          <w:rFonts w:hint="eastAsia" w:ascii="黑体" w:hAnsi="黑体" w:eastAsia="黑体" w:cs="黑体"/>
          <w:b/>
          <w:bCs/>
          <w:spacing w:val="15"/>
          <w:sz w:val="33"/>
          <w:szCs w:val="33"/>
          <w:lang w:eastAsia="zh-CN"/>
        </w:rPr>
        <w:t>（</w:t>
      </w:r>
      <w:r>
        <w:rPr>
          <w:rFonts w:ascii="黑体" w:hAnsi="黑体" w:eastAsia="黑体" w:cs="黑体"/>
          <w:b/>
          <w:bCs/>
          <w:spacing w:val="15"/>
          <w:sz w:val="33"/>
          <w:szCs w:val="33"/>
        </w:rPr>
        <w:t>单位</w:t>
      </w:r>
      <w:r>
        <w:rPr>
          <w:rFonts w:hint="eastAsia" w:ascii="黑体" w:hAnsi="黑体" w:eastAsia="黑体" w:cs="黑体"/>
          <w:b/>
          <w:bCs/>
          <w:spacing w:val="15"/>
          <w:sz w:val="33"/>
          <w:szCs w:val="33"/>
          <w:lang w:eastAsia="zh-CN"/>
        </w:rPr>
        <w:t>）</w:t>
      </w:r>
      <w:r>
        <w:rPr>
          <w:rFonts w:ascii="黑体" w:hAnsi="黑体" w:eastAsia="黑体" w:cs="黑体"/>
          <w:b/>
          <w:bCs/>
          <w:spacing w:val="15"/>
          <w:sz w:val="33"/>
          <w:szCs w:val="33"/>
        </w:rPr>
        <w:t>基本情况</w:t>
      </w:r>
    </w:p>
    <w:p w14:paraId="09D8B210">
      <w:pPr>
        <w:pStyle w:val="2"/>
        <w:keepNext w:val="0"/>
        <w:keepLines w:val="0"/>
        <w:pageBreakBefore w:val="0"/>
        <w:widowControl/>
        <w:kinsoku w:val="0"/>
        <w:wordWrap/>
        <w:overflowPunct/>
        <w:topLinePunct w:val="0"/>
        <w:autoSpaceDE w:val="0"/>
        <w:autoSpaceDN w:val="0"/>
        <w:bidi w:val="0"/>
        <w:adjustRightInd w:val="0"/>
        <w:snapToGrid w:val="0"/>
        <w:spacing w:before="203" w:line="578" w:lineRule="exact"/>
        <w:ind w:right="5" w:firstLine="675" w:firstLineChars="200"/>
        <w:jc w:val="both"/>
        <w:textAlignment w:val="baseline"/>
        <w:rPr>
          <w:rFonts w:ascii="楷体" w:hAnsi="楷体" w:eastAsia="楷体" w:cs="楷体"/>
          <w:sz w:val="22"/>
          <w:szCs w:val="22"/>
        </w:rPr>
      </w:pPr>
      <w:r>
        <w:rPr>
          <w:rFonts w:hint="eastAsia" w:ascii="楷体" w:hAnsi="楷体" w:eastAsia="楷体" w:cs="楷体"/>
          <w:b/>
          <w:bCs/>
          <w:spacing w:val="3"/>
          <w:lang w:eastAsia="zh-CN"/>
        </w:rPr>
        <w:t>（一）</w:t>
      </w:r>
      <w:r>
        <w:rPr>
          <w:rFonts w:ascii="楷体" w:hAnsi="楷体" w:eastAsia="楷体" w:cs="楷体"/>
          <w:b/>
          <w:bCs/>
          <w:spacing w:val="3"/>
        </w:rPr>
        <w:t>机构组成</w:t>
      </w:r>
    </w:p>
    <w:p w14:paraId="51C59C73">
      <w:pPr>
        <w:pStyle w:val="2"/>
        <w:keepNext w:val="0"/>
        <w:keepLines w:val="0"/>
        <w:pageBreakBefore w:val="0"/>
        <w:widowControl/>
        <w:kinsoku w:val="0"/>
        <w:wordWrap/>
        <w:overflowPunct/>
        <w:topLinePunct w:val="0"/>
        <w:autoSpaceDE w:val="0"/>
        <w:autoSpaceDN w:val="0"/>
        <w:bidi w:val="0"/>
        <w:adjustRightInd w:val="0"/>
        <w:snapToGrid w:val="0"/>
        <w:spacing w:before="74" w:line="578" w:lineRule="exact"/>
        <w:ind w:left="9" w:right="20" w:firstLine="630"/>
        <w:jc w:val="both"/>
        <w:textAlignment w:val="baseline"/>
        <w:rPr>
          <w:rFonts w:hint="eastAsia"/>
          <w:spacing w:val="12"/>
          <w:sz w:val="32"/>
          <w:szCs w:val="32"/>
          <w:lang w:eastAsia="zh-CN"/>
        </w:rPr>
      </w:pPr>
      <w:r>
        <w:rPr>
          <w:rFonts w:hint="eastAsia" w:ascii="仿宋_GB2312" w:hAnsi="仿宋_GB2312" w:eastAsia="仿宋_GB2312" w:cs="仿宋_GB2312"/>
          <w:spacing w:val="12"/>
          <w:sz w:val="32"/>
          <w:szCs w:val="32"/>
          <w:lang w:val="en-US" w:eastAsia="zh-CN"/>
        </w:rPr>
        <w:t>开江县农业农村局内设</w:t>
      </w:r>
      <w:r>
        <w:rPr>
          <w:rFonts w:hint="eastAsia" w:ascii="仿宋_GB2312" w:hAnsi="仿宋_GB2312" w:eastAsia="仿宋_GB2312" w:cs="仿宋_GB2312"/>
          <w:sz w:val="32"/>
          <w:szCs w:val="32"/>
          <w:lang w:val="en-US" w:eastAsia="zh-CN"/>
        </w:rPr>
        <w:t>12个</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分别为</w:t>
      </w:r>
      <w:r>
        <w:rPr>
          <w:rFonts w:hint="eastAsia" w:ascii="仿宋_GB2312" w:hAnsi="仿宋_GB2312" w:eastAsia="仿宋_GB2312" w:cs="仿宋_GB2312"/>
          <w:spacing w:val="12"/>
          <w:sz w:val="32"/>
          <w:szCs w:val="32"/>
          <w:lang w:eastAsia="zh-CN"/>
        </w:rPr>
        <w:t>办公室（信访办）、政策法规股（行政审批股）、农村改革与乡村建设股、农村合作经济服务指导股、产业发展与科技宣传股、农产品加工与市场信息股、种植业与农药肥料股</w:t>
      </w:r>
      <w:r>
        <w:rPr>
          <w:rFonts w:hint="eastAsia" w:ascii="仿宋_GB2312" w:hAnsi="仿宋_GB2312" w:eastAsia="仿宋_GB2312" w:cs="仿宋_GB2312"/>
          <w:spacing w:val="12"/>
          <w:sz w:val="32"/>
          <w:szCs w:val="32"/>
          <w:lang w:val="en-US" w:eastAsia="zh-CN"/>
        </w:rPr>
        <w:t>、</w:t>
      </w:r>
      <w:r>
        <w:rPr>
          <w:rFonts w:hint="eastAsia" w:ascii="仿宋_GB2312" w:hAnsi="仿宋_GB2312" w:eastAsia="仿宋_GB2312" w:cs="仿宋_GB2312"/>
          <w:spacing w:val="12"/>
          <w:sz w:val="32"/>
          <w:szCs w:val="32"/>
          <w:lang w:eastAsia="zh-CN"/>
        </w:rPr>
        <w:t>畜牧和渔业管理股、农业机械化与农田建设股、计划投资财务股、人事股、机关党委（党建办）。</w:t>
      </w:r>
    </w:p>
    <w:p w14:paraId="5B2C8EA2">
      <w:pPr>
        <w:pStyle w:val="2"/>
        <w:keepNext w:val="0"/>
        <w:keepLines w:val="0"/>
        <w:pageBreakBefore w:val="0"/>
        <w:widowControl/>
        <w:kinsoku w:val="0"/>
        <w:wordWrap/>
        <w:overflowPunct/>
        <w:topLinePunct w:val="0"/>
        <w:autoSpaceDE w:val="0"/>
        <w:autoSpaceDN w:val="0"/>
        <w:bidi w:val="0"/>
        <w:adjustRightInd w:val="0"/>
        <w:snapToGrid w:val="0"/>
        <w:spacing w:before="209" w:line="578" w:lineRule="exact"/>
        <w:ind w:left="814"/>
        <w:textAlignment w:val="baseline"/>
      </w:pPr>
      <w:r>
        <w:rPr>
          <w:rFonts w:hint="eastAsia" w:ascii="楷体" w:hAnsi="楷体" w:eastAsia="楷体" w:cs="楷体"/>
          <w:b/>
          <w:bCs/>
          <w:spacing w:val="10"/>
          <w:lang w:eastAsia="zh-CN"/>
        </w:rPr>
        <w:t>（二）</w:t>
      </w:r>
      <w:r>
        <w:rPr>
          <w:rFonts w:ascii="楷体" w:hAnsi="楷体" w:eastAsia="楷体" w:cs="楷体"/>
          <w:b/>
          <w:bCs/>
          <w:spacing w:val="10"/>
        </w:rPr>
        <w:t>机构职能</w:t>
      </w:r>
    </w:p>
    <w:p w14:paraId="0B3AD9B8">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w:t>
      </w:r>
      <w:r>
        <w:rPr>
          <w:rFonts w:hint="eastAsia" w:ascii="仿宋_GB2312" w:hAnsi="仿宋_GB2312" w:eastAsia="仿宋_GB2312" w:cs="仿宋_GB2312"/>
          <w:b w:val="0"/>
          <w:bCs w:val="0"/>
          <w:spacing w:val="12"/>
          <w:sz w:val="32"/>
          <w:szCs w:val="32"/>
        </w:rPr>
        <w:t>统筹研究和组织实施全县“三农”工作的发展战略、中长期规划、重大政策。组织起草“三农”有关规范性</w:t>
      </w:r>
      <w:r>
        <w:rPr>
          <w:rFonts w:hint="eastAsia" w:ascii="仿宋_GB2312" w:hAnsi="仿宋_GB2312" w:eastAsia="仿宋_GB2312" w:cs="仿宋_GB2312"/>
          <w:b w:val="0"/>
          <w:bCs w:val="0"/>
          <w:spacing w:val="12"/>
          <w:sz w:val="32"/>
          <w:szCs w:val="32"/>
          <w:lang w:val="en-US" w:eastAsia="zh-CN"/>
        </w:rPr>
        <w:t>文件。</w:t>
      </w:r>
      <w:r>
        <w:rPr>
          <w:rFonts w:hint="eastAsia" w:ascii="仿宋_GB2312" w:hAnsi="仿宋_GB2312" w:eastAsia="仿宋_GB2312" w:cs="仿宋_GB2312"/>
          <w:b w:val="0"/>
          <w:bCs w:val="0"/>
          <w:spacing w:val="12"/>
          <w:sz w:val="32"/>
          <w:szCs w:val="32"/>
        </w:rPr>
        <w:t>贯彻执行国家有关种植业、畜牧业、渔业、农业机械化等农业领域工作的</w:t>
      </w:r>
      <w:r>
        <w:rPr>
          <w:rFonts w:hint="eastAsia" w:ascii="仿宋_GB2312" w:hAnsi="仿宋_GB2312" w:eastAsia="仿宋_GB2312" w:cs="仿宋_GB2312"/>
          <w:b w:val="0"/>
          <w:bCs w:val="0"/>
          <w:spacing w:val="12"/>
          <w:sz w:val="32"/>
          <w:szCs w:val="32"/>
          <w:lang w:eastAsia="zh-CN"/>
        </w:rPr>
        <w:t>法律法规</w:t>
      </w:r>
      <w:r>
        <w:rPr>
          <w:rFonts w:hint="eastAsia" w:ascii="仿宋_GB2312" w:hAnsi="仿宋_GB2312" w:eastAsia="仿宋_GB2312" w:cs="仿宋_GB2312"/>
          <w:b w:val="0"/>
          <w:bCs w:val="0"/>
          <w:spacing w:val="12"/>
          <w:sz w:val="32"/>
          <w:szCs w:val="32"/>
        </w:rPr>
        <w:t>、政策以及县委、县政府关于“三农”方面的决策部署。参与涉农的财税、价格、收储、金融保险、进出口等政策制定。</w:t>
      </w:r>
    </w:p>
    <w:p w14:paraId="6D04FCE2">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2.</w:t>
      </w:r>
      <w:r>
        <w:rPr>
          <w:rFonts w:hint="eastAsia" w:ascii="仿宋_GB2312" w:hAnsi="仿宋_GB2312" w:eastAsia="仿宋_GB2312" w:cs="仿宋_GB2312"/>
          <w:b w:val="0"/>
          <w:bCs w:val="0"/>
          <w:spacing w:val="12"/>
          <w:sz w:val="32"/>
          <w:szCs w:val="32"/>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14:paraId="7284B54C">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3.</w:t>
      </w:r>
      <w:r>
        <w:rPr>
          <w:rFonts w:hint="eastAsia" w:ascii="仿宋_GB2312" w:hAnsi="仿宋_GB2312" w:eastAsia="仿宋_GB2312" w:cs="仿宋_GB2312"/>
          <w:b w:val="0"/>
          <w:bCs w:val="0"/>
          <w:spacing w:val="12"/>
          <w:sz w:val="32"/>
          <w:szCs w:val="32"/>
        </w:rPr>
        <w:t>拟订深化全县农村经济体制改革和巩固完善农村基本经营制度的政策措施。负责农民承包地、农村宅基地管理和改革有关工作。负责农村集体产权制度改革，指导农村集体经济组织发展、集体资产和财务管理工作。拟订农业产业化经营的发展规划与政策并组织实施，指导农民合作经济</w:t>
      </w:r>
      <w:r>
        <w:rPr>
          <w:rFonts w:hint="eastAsia" w:ascii="仿宋_GB2312" w:hAnsi="仿宋_GB2312" w:eastAsia="仿宋_GB2312" w:cs="仿宋_GB2312"/>
          <w:b w:val="0"/>
          <w:bCs w:val="0"/>
          <w:spacing w:val="12"/>
          <w:sz w:val="32"/>
          <w:szCs w:val="32"/>
          <w:lang w:val="en-US" w:eastAsia="zh-CN"/>
        </w:rPr>
        <w:t>组织、</w:t>
      </w:r>
      <w:r>
        <w:rPr>
          <w:rFonts w:hint="eastAsia" w:ascii="仿宋_GB2312" w:hAnsi="仿宋_GB2312" w:eastAsia="仿宋_GB2312" w:cs="仿宋_GB2312"/>
          <w:b w:val="0"/>
          <w:bCs w:val="0"/>
          <w:spacing w:val="12"/>
          <w:sz w:val="32"/>
          <w:szCs w:val="32"/>
        </w:rPr>
        <w:t>农业社会化服务体系、新型农业经营主体建设与发展。</w:t>
      </w:r>
      <w:r>
        <w:rPr>
          <w:rFonts w:hint="eastAsia" w:ascii="仿宋_GB2312" w:hAnsi="仿宋_GB2312" w:eastAsia="仿宋_GB2312" w:cs="仿宋_GB2312"/>
          <w:b w:val="0"/>
          <w:bCs w:val="0"/>
          <w:spacing w:val="12"/>
          <w:sz w:val="32"/>
          <w:szCs w:val="32"/>
          <w:lang w:val="en-US" w:eastAsia="zh-CN"/>
        </w:rPr>
        <w:t>指导、</w:t>
      </w:r>
      <w:r>
        <w:rPr>
          <w:rFonts w:hint="eastAsia" w:ascii="仿宋_GB2312" w:hAnsi="仿宋_GB2312" w:eastAsia="仿宋_GB2312" w:cs="仿宋_GB2312"/>
          <w:b w:val="0"/>
          <w:bCs w:val="0"/>
          <w:spacing w:val="12"/>
          <w:sz w:val="32"/>
          <w:szCs w:val="32"/>
        </w:rPr>
        <w:t>监督减轻农民负担工作。</w:t>
      </w:r>
    </w:p>
    <w:p w14:paraId="3C289442">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4.</w:t>
      </w:r>
      <w:r>
        <w:rPr>
          <w:rFonts w:hint="eastAsia" w:ascii="仿宋_GB2312" w:hAnsi="仿宋_GB2312" w:eastAsia="仿宋_GB2312" w:cs="仿宋_GB2312"/>
          <w:b w:val="0"/>
          <w:bCs w:val="0"/>
          <w:spacing w:val="12"/>
          <w:sz w:val="32"/>
          <w:szCs w:val="32"/>
        </w:rPr>
        <w:t>指导全县乡村特色产业、农产品加工业、休闲农业和乡村企业发展工作。指导特色农产品优势区建设和管理</w:t>
      </w:r>
      <w:r>
        <w:rPr>
          <w:rFonts w:hint="eastAsia" w:ascii="仿宋_GB2312" w:hAnsi="仿宋_GB2312" w:eastAsia="仿宋_GB2312" w:cs="仿宋_GB2312"/>
          <w:b w:val="0"/>
          <w:bCs w:val="0"/>
          <w:spacing w:val="12"/>
          <w:sz w:val="32"/>
          <w:szCs w:val="32"/>
          <w:lang w:val="en-US" w:eastAsia="zh-CN"/>
        </w:rPr>
        <w:t>工作，</w:t>
      </w:r>
      <w:r>
        <w:rPr>
          <w:rFonts w:hint="eastAsia" w:ascii="仿宋_GB2312" w:hAnsi="仿宋_GB2312" w:eastAsia="仿宋_GB2312" w:cs="仿宋_GB2312"/>
          <w:b w:val="0"/>
          <w:bCs w:val="0"/>
          <w:spacing w:val="12"/>
          <w:sz w:val="32"/>
          <w:szCs w:val="32"/>
        </w:rPr>
        <w:t>组织拟订并实施现代农业园区的政策与规划。负责现代农业园区培育、申报、评定、评审等工作。提出促进大宗农产品流通政策和主要农产品进口建议，研究制定大宗农产品市场体系建设与发展规划。培育、保护和发展农产品品牌，组织协调并实施“菜篮子”工程有关工作。负责农业信息体系建设，推动数字农业发展。发布农业农村经济信息，监测分析农业农村经济运行。承担农业统计工作。</w:t>
      </w:r>
    </w:p>
    <w:p w14:paraId="45329D42">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5.</w:t>
      </w:r>
      <w:r>
        <w:rPr>
          <w:rFonts w:hint="eastAsia" w:ascii="仿宋_GB2312" w:hAnsi="仿宋_GB2312" w:eastAsia="仿宋_GB2312" w:cs="仿宋_GB2312"/>
          <w:b w:val="0"/>
          <w:bCs w:val="0"/>
          <w:spacing w:val="12"/>
          <w:sz w:val="32"/>
          <w:szCs w:val="32"/>
        </w:rPr>
        <w:t>负责全县种植业、畜牧业、渔业、农业机械化等农业各产业的监督管理。指导粮食等农产品生产。指导粮食生产功能区和重要农产品生产保护区建设和管理工作。组织构建现代农业产业体系、生产体系、经营体系，指导农业标准</w:t>
      </w:r>
      <w:r>
        <w:rPr>
          <w:rFonts w:hint="eastAsia" w:ascii="仿宋_GB2312" w:hAnsi="仿宋_GB2312" w:eastAsia="仿宋_GB2312" w:cs="仿宋_GB2312"/>
          <w:b w:val="0"/>
          <w:bCs w:val="0"/>
          <w:spacing w:val="12"/>
          <w:sz w:val="32"/>
          <w:szCs w:val="32"/>
          <w:lang w:val="en-US" w:eastAsia="zh-CN"/>
        </w:rPr>
        <w:t>化，</w:t>
      </w:r>
      <w:r>
        <w:rPr>
          <w:rFonts w:hint="eastAsia" w:ascii="仿宋_GB2312" w:hAnsi="仿宋_GB2312" w:eastAsia="仿宋_GB2312" w:cs="仿宋_GB2312"/>
          <w:b w:val="0"/>
          <w:bCs w:val="0"/>
          <w:spacing w:val="12"/>
          <w:sz w:val="32"/>
          <w:szCs w:val="32"/>
        </w:rPr>
        <w:t>规模化生产。落实促进粮油、畜禽、水产等主要农产品生产发展的相关政策措施，引导农业产业结构调整和产品品质改善，促进农业绿色发展。负责渔政、网具监督管理。</w:t>
      </w:r>
    </w:p>
    <w:p w14:paraId="27F30F9B">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6.</w:t>
      </w:r>
      <w:r>
        <w:rPr>
          <w:rFonts w:hint="eastAsia" w:ascii="仿宋_GB2312" w:hAnsi="仿宋_GB2312" w:eastAsia="仿宋_GB2312" w:cs="仿宋_GB2312"/>
          <w:b w:val="0"/>
          <w:bCs w:val="0"/>
          <w:spacing w:val="12"/>
          <w:sz w:val="32"/>
          <w:szCs w:val="32"/>
        </w:rPr>
        <w:t>负责制定全县农业全产业机械化、智能化、数字化发展规划并组织实施。组织开展农业装备技术攻关和关键技术开发，引进、示范和推广农业装备新技术、新机具，指导全县农业装备基础设施的规划建设和管理工作。负责农业机械化使用安全监管工作。指导设施农业、农机库棚、机电</w:t>
      </w:r>
      <w:r>
        <w:rPr>
          <w:rFonts w:hint="eastAsia" w:ascii="仿宋_GB2312" w:hAnsi="仿宋_GB2312" w:eastAsia="仿宋_GB2312" w:cs="仿宋_GB2312"/>
          <w:b w:val="0"/>
          <w:bCs w:val="0"/>
          <w:spacing w:val="12"/>
          <w:sz w:val="32"/>
          <w:szCs w:val="32"/>
          <w:lang w:val="en-US" w:eastAsia="zh-CN"/>
        </w:rPr>
        <w:t>提灌、</w:t>
      </w:r>
      <w:r>
        <w:rPr>
          <w:rFonts w:hint="eastAsia" w:ascii="仿宋_GB2312" w:hAnsi="仿宋_GB2312" w:eastAsia="仿宋_GB2312" w:cs="仿宋_GB2312"/>
          <w:b w:val="0"/>
          <w:bCs w:val="0"/>
          <w:spacing w:val="12"/>
          <w:sz w:val="32"/>
          <w:szCs w:val="32"/>
        </w:rPr>
        <w:t>机耕道等基础设施建设。</w:t>
      </w:r>
    </w:p>
    <w:p w14:paraId="147CE84A">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7.</w:t>
      </w:r>
      <w:r>
        <w:rPr>
          <w:rFonts w:hint="eastAsia" w:ascii="仿宋_GB2312" w:hAnsi="仿宋_GB2312" w:eastAsia="仿宋_GB2312" w:cs="仿宋_GB2312"/>
          <w:b w:val="0"/>
          <w:bCs w:val="0"/>
          <w:spacing w:val="12"/>
          <w:sz w:val="32"/>
          <w:szCs w:val="32"/>
        </w:rPr>
        <w:t>负责全县农产品质量安全监督管理。组织开展农产品质量安全监测、追溯、风险评估。参与制定农产品质量安全地方标准并会同有关部门组织实施。指导农业检验检测体系建设。依法组织实施符合安全标准的农产品生产基地认定、产品认定、农产品地理标志登记保护和监督管理工作。</w:t>
      </w:r>
    </w:p>
    <w:p w14:paraId="40483416">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8.</w:t>
      </w:r>
      <w:r>
        <w:rPr>
          <w:rFonts w:hint="eastAsia" w:ascii="仿宋_GB2312" w:hAnsi="仿宋_GB2312" w:eastAsia="仿宋_GB2312" w:cs="仿宋_GB2312"/>
          <w:b w:val="0"/>
          <w:bCs w:val="0"/>
          <w:spacing w:val="12"/>
          <w:sz w:val="32"/>
          <w:szCs w:val="32"/>
        </w:rPr>
        <w:t>组织开展全县农业资源区划和资源保护工作。指导农用地、渔业水域以及农业生物物种资源的保护与管理，负责水生</w:t>
      </w:r>
      <w:r>
        <w:rPr>
          <w:rFonts w:hint="eastAsia" w:ascii="仿宋_GB2312" w:hAnsi="仿宋_GB2312" w:eastAsia="仿宋_GB2312" w:cs="仿宋_GB2312"/>
          <w:b w:val="0"/>
          <w:bCs w:val="0"/>
          <w:spacing w:val="12"/>
          <w:sz w:val="32"/>
          <w:szCs w:val="32"/>
          <w:lang w:eastAsia="zh-CN"/>
        </w:rPr>
        <w:t>野生动</w:t>
      </w:r>
      <w:r>
        <w:rPr>
          <w:rFonts w:hint="eastAsia" w:ascii="仿宋_GB2312" w:hAnsi="仿宋_GB2312" w:eastAsia="仿宋_GB2312" w:cs="仿宋_GB2312"/>
          <w:b w:val="0"/>
          <w:bCs w:val="0"/>
          <w:spacing w:val="12"/>
          <w:sz w:val="32"/>
          <w:szCs w:val="32"/>
        </w:rPr>
        <w:t>植物保护、耕地及永久基本农田质量保护</w:t>
      </w:r>
      <w:r>
        <w:rPr>
          <w:rFonts w:hint="eastAsia" w:ascii="仿宋_GB2312" w:hAnsi="仿宋_GB2312" w:eastAsia="仿宋_GB2312" w:cs="仿宋_GB2312"/>
          <w:b w:val="0"/>
          <w:bCs w:val="0"/>
          <w:spacing w:val="12"/>
          <w:sz w:val="32"/>
          <w:szCs w:val="32"/>
          <w:lang w:val="en-US" w:eastAsia="zh-CN"/>
        </w:rPr>
        <w:t>工作。</w:t>
      </w:r>
      <w:r>
        <w:rPr>
          <w:rFonts w:hint="eastAsia" w:ascii="仿宋_GB2312" w:hAnsi="仿宋_GB2312" w:eastAsia="仿宋_GB2312" w:cs="仿宋_GB2312"/>
          <w:b w:val="0"/>
          <w:bCs w:val="0"/>
          <w:spacing w:val="12"/>
          <w:sz w:val="32"/>
          <w:szCs w:val="32"/>
        </w:rPr>
        <w:t>负责农村能源建设和资源环境工作。指导农产品产地环境管理和农业清洁生产，提出划定农产品禁止生产区域的政策建议，指导设施农业、生态循环农业、节水农业发展以及农村可再生资源综合开发利用、农业生物质产业发展。</w:t>
      </w:r>
    </w:p>
    <w:p w14:paraId="16014149">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9.</w:t>
      </w:r>
      <w:r>
        <w:rPr>
          <w:rFonts w:hint="eastAsia" w:ascii="仿宋_GB2312" w:hAnsi="仿宋_GB2312" w:eastAsia="仿宋_GB2312" w:cs="仿宋_GB2312"/>
          <w:b w:val="0"/>
          <w:bCs w:val="0"/>
          <w:spacing w:val="12"/>
          <w:sz w:val="32"/>
          <w:szCs w:val="32"/>
        </w:rPr>
        <w:t>负责全县有关农业生产资料和农业投入品的监督</w:t>
      </w:r>
      <w:r>
        <w:rPr>
          <w:rFonts w:hint="eastAsia" w:ascii="仿宋_GB2312" w:hAnsi="仿宋_GB2312" w:eastAsia="仿宋_GB2312" w:cs="仿宋_GB2312"/>
          <w:b w:val="0"/>
          <w:bCs w:val="0"/>
          <w:spacing w:val="12"/>
          <w:sz w:val="32"/>
          <w:szCs w:val="32"/>
          <w:lang w:val="en-US" w:eastAsia="zh-CN"/>
        </w:rPr>
        <w:t>管理。</w:t>
      </w:r>
      <w:r>
        <w:rPr>
          <w:rFonts w:hint="eastAsia" w:ascii="仿宋_GB2312" w:hAnsi="仿宋_GB2312" w:eastAsia="仿宋_GB2312" w:cs="仿宋_GB2312"/>
          <w:b w:val="0"/>
          <w:bCs w:val="0"/>
          <w:spacing w:val="12"/>
          <w:sz w:val="32"/>
          <w:szCs w:val="32"/>
        </w:rPr>
        <w:t>组织农业生产资料市场体系建设，承担农作物种子（种苗</w:t>
      </w:r>
      <w:r>
        <w:rPr>
          <w:rFonts w:hint="eastAsia" w:ascii="仿宋_GB2312" w:hAnsi="仿宋_GB2312" w:eastAsia="仿宋_GB2312" w:cs="仿宋_GB2312"/>
          <w:b w:val="0"/>
          <w:bCs w:val="0"/>
          <w:spacing w:val="12"/>
          <w:sz w:val="32"/>
          <w:szCs w:val="32"/>
          <w:lang w:eastAsia="zh-CN"/>
        </w:rPr>
        <w:t>）、</w:t>
      </w:r>
      <w:r>
        <w:rPr>
          <w:rFonts w:hint="eastAsia" w:ascii="仿宋_GB2312" w:hAnsi="仿宋_GB2312" w:eastAsia="仿宋_GB2312" w:cs="仿宋_GB2312"/>
          <w:b w:val="0"/>
          <w:bCs w:val="0"/>
          <w:spacing w:val="12"/>
          <w:sz w:val="32"/>
          <w:szCs w:val="32"/>
        </w:rPr>
        <w:t>食用菌种、蚕种、饲料草良种、种畜禽、水产苗种、农药、兽药（渔药）、饲料、饲料添加剂等农业生产资料的监督管理职责，牵头负责“瘦肉精”监督管理工作。监督管理兽医医疗器械、肥料。监督实施有关农业生产资料地方</w:t>
      </w:r>
      <w:r>
        <w:rPr>
          <w:rFonts w:hint="eastAsia" w:ascii="仿宋_GB2312" w:hAnsi="仿宋_GB2312" w:eastAsia="仿宋_GB2312" w:cs="仿宋_GB2312"/>
          <w:b w:val="0"/>
          <w:bCs w:val="0"/>
          <w:spacing w:val="12"/>
          <w:sz w:val="32"/>
          <w:szCs w:val="32"/>
          <w:lang w:val="en-US" w:eastAsia="zh-CN"/>
        </w:rPr>
        <w:t>标准、</w:t>
      </w:r>
      <w:r>
        <w:rPr>
          <w:rFonts w:hint="eastAsia" w:ascii="仿宋_GB2312" w:hAnsi="仿宋_GB2312" w:eastAsia="仿宋_GB2312" w:cs="仿宋_GB2312"/>
          <w:b w:val="0"/>
          <w:bCs w:val="0"/>
          <w:spacing w:val="12"/>
          <w:sz w:val="32"/>
          <w:szCs w:val="32"/>
        </w:rPr>
        <w:t>兽药（渔药）残留限量和残留检测方法地方标准，会同有关部门监督实施农业生产资料国家标准。组织兽医医政、兽药（渔药）药政药检工作，负责执业兽医和畜禽屠宰行业管理。</w:t>
      </w:r>
    </w:p>
    <w:p w14:paraId="20E3AF93">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lang w:eastAsia="zh-CN"/>
        </w:rPr>
      </w:pPr>
      <w:r>
        <w:rPr>
          <w:rFonts w:hint="eastAsia" w:ascii="仿宋_GB2312" w:hAnsi="仿宋_GB2312" w:eastAsia="仿宋_GB2312" w:cs="仿宋_GB2312"/>
          <w:b w:val="0"/>
          <w:bCs w:val="0"/>
          <w:spacing w:val="12"/>
          <w:sz w:val="32"/>
          <w:szCs w:val="32"/>
          <w:lang w:val="en-US" w:eastAsia="zh-CN"/>
        </w:rPr>
        <w:t>10.</w:t>
      </w:r>
      <w:r>
        <w:rPr>
          <w:rFonts w:hint="eastAsia" w:ascii="仿宋_GB2312" w:hAnsi="仿宋_GB2312" w:eastAsia="仿宋_GB2312" w:cs="仿宋_GB2312"/>
          <w:b w:val="0"/>
          <w:bCs w:val="0"/>
          <w:spacing w:val="12"/>
          <w:sz w:val="32"/>
          <w:szCs w:val="32"/>
        </w:rPr>
        <w:t>负责全县农业防灾减灾、农作物重大病虫害防治工作。指导实施动植物防疫和检疫相关政策。指导动植物防疫检疫体系建设，组织监督管理县内动植物防疫检疫工作，发布疫情并组织扑灭。组织植物检疫性有害生物普查。牵头管理外来农业物种。监测、核查、发布农业灾情，组织种子、种苗、化肥、兽药（渔药）等农业生产救灾物资的储备和</w:t>
      </w:r>
      <w:r>
        <w:rPr>
          <w:rFonts w:hint="eastAsia" w:ascii="仿宋_GB2312" w:hAnsi="仿宋_GB2312" w:eastAsia="仿宋_GB2312" w:cs="仿宋_GB2312"/>
          <w:b w:val="0"/>
          <w:bCs w:val="0"/>
          <w:spacing w:val="12"/>
          <w:sz w:val="32"/>
          <w:szCs w:val="32"/>
          <w:lang w:eastAsia="zh-CN"/>
        </w:rPr>
        <w:t>调拨</w:t>
      </w:r>
      <w:r>
        <w:rPr>
          <w:rFonts w:hint="eastAsia" w:ascii="仿宋_GB2312" w:hAnsi="仿宋_GB2312" w:eastAsia="仿宋_GB2312" w:cs="仿宋_GB2312"/>
          <w:b w:val="0"/>
          <w:bCs w:val="0"/>
          <w:spacing w:val="12"/>
          <w:sz w:val="32"/>
          <w:szCs w:val="32"/>
          <w:lang w:val="en-US" w:eastAsia="zh-CN"/>
        </w:rPr>
        <w:t>。</w:t>
      </w:r>
      <w:r>
        <w:rPr>
          <w:rFonts w:hint="eastAsia" w:ascii="仿宋_GB2312" w:hAnsi="仿宋_GB2312" w:eastAsia="仿宋_GB2312" w:cs="仿宋_GB2312"/>
          <w:b w:val="0"/>
          <w:bCs w:val="0"/>
          <w:spacing w:val="12"/>
          <w:sz w:val="32"/>
          <w:szCs w:val="32"/>
        </w:rPr>
        <w:t>提出生产救灾资金安排建议，指导紧急</w:t>
      </w:r>
      <w:r>
        <w:rPr>
          <w:rFonts w:hint="eastAsia" w:ascii="仿宋_GB2312" w:hAnsi="仿宋_GB2312" w:eastAsia="仿宋_GB2312" w:cs="仿宋_GB2312"/>
          <w:b w:val="0"/>
          <w:bCs w:val="0"/>
          <w:spacing w:val="12"/>
          <w:sz w:val="32"/>
          <w:szCs w:val="32"/>
          <w:lang w:eastAsia="zh-CN"/>
        </w:rPr>
        <w:t>救援</w:t>
      </w:r>
      <w:r>
        <w:rPr>
          <w:rFonts w:hint="eastAsia" w:ascii="仿宋_GB2312" w:hAnsi="仿宋_GB2312" w:eastAsia="仿宋_GB2312" w:cs="仿宋_GB2312"/>
          <w:b w:val="0"/>
          <w:bCs w:val="0"/>
          <w:spacing w:val="12"/>
          <w:sz w:val="32"/>
          <w:szCs w:val="32"/>
        </w:rPr>
        <w:t>和灾后生产</w:t>
      </w:r>
      <w:r>
        <w:rPr>
          <w:rFonts w:hint="eastAsia" w:ascii="仿宋_GB2312" w:hAnsi="仿宋_GB2312" w:eastAsia="仿宋_GB2312" w:cs="仿宋_GB2312"/>
          <w:b w:val="0"/>
          <w:bCs w:val="0"/>
          <w:spacing w:val="12"/>
          <w:sz w:val="32"/>
          <w:szCs w:val="32"/>
          <w:lang w:val="en-US" w:eastAsia="zh-CN"/>
        </w:rPr>
        <w:t>恢复。</w:t>
      </w:r>
    </w:p>
    <w:p w14:paraId="6A3DE715">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11.</w:t>
      </w:r>
      <w:r>
        <w:rPr>
          <w:rFonts w:hint="eastAsia" w:ascii="仿宋_GB2312" w:hAnsi="仿宋_GB2312" w:eastAsia="仿宋_GB2312" w:cs="仿宋_GB2312"/>
          <w:b w:val="0"/>
          <w:bCs w:val="0"/>
          <w:spacing w:val="12"/>
          <w:sz w:val="32"/>
          <w:szCs w:val="32"/>
        </w:rPr>
        <w:t>负责全县农业投资管理。提出农业投资融资体制机制改革建议。编制农业投资项目建设规划，提出农业投资规模和方向、扶持农业农村发展财政项目的建议。按照规定</w:t>
      </w:r>
      <w:r>
        <w:rPr>
          <w:rFonts w:hint="eastAsia" w:ascii="仿宋_GB2312" w:hAnsi="仿宋_GB2312" w:eastAsia="仿宋_GB2312" w:cs="仿宋_GB2312"/>
          <w:b w:val="0"/>
          <w:bCs w:val="0"/>
          <w:spacing w:val="12"/>
          <w:sz w:val="32"/>
          <w:szCs w:val="32"/>
          <w:lang w:val="en-US" w:eastAsia="zh-CN"/>
        </w:rPr>
        <w:t>权限，</w:t>
      </w:r>
      <w:r>
        <w:rPr>
          <w:rFonts w:hint="eastAsia" w:ascii="仿宋_GB2312" w:hAnsi="仿宋_GB2312" w:eastAsia="仿宋_GB2312" w:cs="仿宋_GB2312"/>
          <w:b w:val="0"/>
          <w:bCs w:val="0"/>
          <w:spacing w:val="12"/>
          <w:sz w:val="32"/>
          <w:szCs w:val="32"/>
        </w:rPr>
        <w:t>负责农业投资项目资金安排和监督管理。</w:t>
      </w:r>
    </w:p>
    <w:p w14:paraId="5F6D5402">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12.</w:t>
      </w:r>
      <w:r>
        <w:rPr>
          <w:rFonts w:hint="eastAsia" w:ascii="仿宋_GB2312" w:hAnsi="仿宋_GB2312" w:eastAsia="仿宋_GB2312" w:cs="仿宋_GB2312"/>
          <w:b w:val="0"/>
          <w:bCs w:val="0"/>
          <w:spacing w:val="12"/>
          <w:sz w:val="32"/>
          <w:szCs w:val="32"/>
        </w:rPr>
        <w:t>负责全县农田建设管理。拟定农田建设发展规划，提出农田建设项目需求建议。负责全县农田建设管理、高标准农田建设和耕地质量管理。编制农业综合开发涉及农田建设项目、农田整治项目、农田水利建设项目的计划，并组织实施和管理。</w:t>
      </w:r>
    </w:p>
    <w:p w14:paraId="75E94AC9">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13.</w:t>
      </w:r>
      <w:r>
        <w:rPr>
          <w:rFonts w:hint="eastAsia" w:ascii="仿宋_GB2312" w:hAnsi="仿宋_GB2312" w:eastAsia="仿宋_GB2312" w:cs="仿宋_GB2312"/>
          <w:b w:val="0"/>
          <w:bCs w:val="0"/>
          <w:spacing w:val="12"/>
          <w:sz w:val="32"/>
          <w:szCs w:val="32"/>
        </w:rPr>
        <w:t>制定全县农业科研、农技推广的规划、计划和有关政策并组织实施。牵头推动农业科技体制改革和农业科技创新体系建设。指导农业产业技术体系和农业推广体系建设，组织农作物、水产养殖等新品种育种攻关和农业先进技术</w:t>
      </w:r>
      <w:r>
        <w:rPr>
          <w:rFonts w:hint="eastAsia" w:ascii="仿宋_GB2312" w:hAnsi="仿宋_GB2312" w:eastAsia="仿宋_GB2312" w:cs="仿宋_GB2312"/>
          <w:b w:val="0"/>
          <w:bCs w:val="0"/>
          <w:spacing w:val="12"/>
          <w:sz w:val="32"/>
          <w:szCs w:val="32"/>
          <w:lang w:val="en-US" w:eastAsia="zh-CN"/>
        </w:rPr>
        <w:t>引进、</w:t>
      </w:r>
      <w:r>
        <w:rPr>
          <w:rFonts w:hint="eastAsia" w:ascii="仿宋_GB2312" w:hAnsi="仿宋_GB2312" w:eastAsia="仿宋_GB2312" w:cs="仿宋_GB2312"/>
          <w:b w:val="0"/>
          <w:bCs w:val="0"/>
          <w:spacing w:val="12"/>
          <w:sz w:val="32"/>
          <w:szCs w:val="32"/>
        </w:rPr>
        <w:t>试验、转化、示范、推广。负责农业转基因生物安全监督管理和农业植物新品种保护。</w:t>
      </w:r>
    </w:p>
    <w:p w14:paraId="3ACC1C17">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14.</w:t>
      </w:r>
      <w:r>
        <w:rPr>
          <w:rFonts w:hint="eastAsia" w:ascii="仿宋_GB2312" w:hAnsi="仿宋_GB2312" w:eastAsia="仿宋_GB2312" w:cs="仿宋_GB2312"/>
          <w:b w:val="0"/>
          <w:bCs w:val="0"/>
          <w:spacing w:val="12"/>
          <w:sz w:val="32"/>
          <w:szCs w:val="32"/>
        </w:rPr>
        <w:t>指导全县农业农村人才工作。制定农业农村人才队伍建设规划并组织实施，指导农业教育和农业职业技能</w:t>
      </w:r>
      <w:r>
        <w:rPr>
          <w:rFonts w:hint="eastAsia" w:ascii="仿宋_GB2312" w:hAnsi="仿宋_GB2312" w:eastAsia="仿宋_GB2312" w:cs="仿宋_GB2312"/>
          <w:b w:val="0"/>
          <w:bCs w:val="0"/>
          <w:spacing w:val="12"/>
          <w:sz w:val="32"/>
          <w:szCs w:val="32"/>
          <w:lang w:val="en-US" w:eastAsia="zh-CN"/>
        </w:rPr>
        <w:t>开发，</w:t>
      </w:r>
      <w:r>
        <w:rPr>
          <w:rFonts w:hint="eastAsia" w:ascii="仿宋_GB2312" w:hAnsi="仿宋_GB2312" w:eastAsia="仿宋_GB2312" w:cs="仿宋_GB2312"/>
          <w:b w:val="0"/>
          <w:bCs w:val="0"/>
          <w:spacing w:val="12"/>
          <w:sz w:val="32"/>
          <w:szCs w:val="32"/>
        </w:rPr>
        <w:t>指导新型职业农民培育、农业科技人才培养和农村实用人才培训工作。</w:t>
      </w:r>
    </w:p>
    <w:p w14:paraId="1F674154">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15.</w:t>
      </w:r>
      <w:r>
        <w:rPr>
          <w:rFonts w:hint="eastAsia" w:ascii="仿宋_GB2312" w:hAnsi="仿宋_GB2312" w:eastAsia="仿宋_GB2312" w:cs="仿宋_GB2312"/>
          <w:b w:val="0"/>
          <w:bCs w:val="0"/>
          <w:spacing w:val="12"/>
          <w:sz w:val="32"/>
          <w:szCs w:val="32"/>
        </w:rPr>
        <w:t>牵头开展全县农业对外合作工作。组织开展农业贸易促进交流合作。组织开展农业投资促进活动，推动农业开放合作。</w:t>
      </w:r>
    </w:p>
    <w:p w14:paraId="3D760C84">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16.</w:t>
      </w:r>
      <w:r>
        <w:rPr>
          <w:rFonts w:hint="eastAsia" w:ascii="仿宋_GB2312" w:hAnsi="仿宋_GB2312" w:eastAsia="仿宋_GB2312" w:cs="仿宋_GB2312"/>
          <w:b w:val="0"/>
          <w:bCs w:val="0"/>
          <w:spacing w:val="12"/>
          <w:sz w:val="32"/>
          <w:szCs w:val="32"/>
        </w:rPr>
        <w:t>编制全县烟草</w:t>
      </w:r>
      <w:r>
        <w:rPr>
          <w:rFonts w:hint="eastAsia" w:ascii="仿宋_GB2312" w:hAnsi="仿宋_GB2312" w:eastAsia="仿宋_GB2312" w:cs="仿宋_GB2312"/>
          <w:b w:val="0"/>
          <w:bCs w:val="0"/>
          <w:spacing w:val="12"/>
          <w:sz w:val="32"/>
          <w:szCs w:val="32"/>
          <w:lang w:eastAsia="zh-CN"/>
        </w:rPr>
        <w:t>种植</w:t>
      </w:r>
      <w:r>
        <w:rPr>
          <w:rFonts w:hint="eastAsia" w:ascii="仿宋_GB2312" w:hAnsi="仿宋_GB2312" w:eastAsia="仿宋_GB2312" w:cs="仿宋_GB2312"/>
          <w:b w:val="0"/>
          <w:bCs w:val="0"/>
          <w:spacing w:val="12"/>
          <w:sz w:val="32"/>
          <w:szCs w:val="32"/>
        </w:rPr>
        <w:t>规划方案，督促检查烟叶种植方案贯彻落实。协调烟草工业、商业做好相关工作。组织实施烟草扶持项目。</w:t>
      </w:r>
    </w:p>
    <w:p w14:paraId="0F577842">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17.</w:t>
      </w:r>
      <w:r>
        <w:rPr>
          <w:rFonts w:hint="eastAsia" w:ascii="仿宋_GB2312" w:hAnsi="仿宋_GB2312" w:eastAsia="仿宋_GB2312" w:cs="仿宋_GB2312"/>
          <w:b w:val="0"/>
          <w:bCs w:val="0"/>
          <w:spacing w:val="12"/>
          <w:sz w:val="32"/>
          <w:szCs w:val="32"/>
        </w:rPr>
        <w:t>统筹协调和监督指导全县农业综合执法，负责监督指导重大案件查处工作，负责由县本级办理的涉农违法</w:t>
      </w:r>
      <w:r>
        <w:rPr>
          <w:rFonts w:hint="eastAsia" w:ascii="仿宋_GB2312" w:hAnsi="仿宋_GB2312" w:eastAsia="仿宋_GB2312" w:cs="仿宋_GB2312"/>
          <w:b w:val="0"/>
          <w:bCs w:val="0"/>
          <w:spacing w:val="12"/>
          <w:sz w:val="32"/>
          <w:szCs w:val="32"/>
          <w:lang w:val="en-US" w:eastAsia="zh-CN"/>
        </w:rPr>
        <w:t>案件。</w:t>
      </w:r>
      <w:r>
        <w:rPr>
          <w:rFonts w:hint="eastAsia" w:ascii="仿宋_GB2312" w:hAnsi="仿宋_GB2312" w:eastAsia="仿宋_GB2312" w:cs="仿宋_GB2312"/>
          <w:b w:val="0"/>
          <w:bCs w:val="0"/>
          <w:spacing w:val="12"/>
          <w:sz w:val="32"/>
          <w:szCs w:val="32"/>
        </w:rPr>
        <w:t>推进农业依法行政。</w:t>
      </w:r>
    </w:p>
    <w:p w14:paraId="72900F7A">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18.</w:t>
      </w:r>
      <w:r>
        <w:rPr>
          <w:rFonts w:hint="eastAsia" w:ascii="仿宋_GB2312" w:hAnsi="仿宋_GB2312" w:eastAsia="仿宋_GB2312" w:cs="仿宋_GB2312"/>
          <w:b w:val="0"/>
          <w:bCs w:val="0"/>
          <w:spacing w:val="12"/>
          <w:sz w:val="32"/>
          <w:szCs w:val="32"/>
        </w:rPr>
        <w:t>负责全县国有农场土地的保护、利用和管理，指导国有农场的改革与发展。</w:t>
      </w:r>
    </w:p>
    <w:p w14:paraId="3182B1A6">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19.</w:t>
      </w:r>
      <w:r>
        <w:rPr>
          <w:rFonts w:hint="eastAsia" w:ascii="仿宋_GB2312" w:hAnsi="仿宋_GB2312" w:eastAsia="仿宋_GB2312" w:cs="仿宋_GB2312"/>
          <w:b w:val="0"/>
          <w:bCs w:val="0"/>
          <w:spacing w:val="12"/>
          <w:sz w:val="32"/>
          <w:szCs w:val="32"/>
        </w:rPr>
        <w:t>依法依规负责农业安全生产和职业健康监督管理工作。负责农业机械、农（兽）药、饲料、渔业、畜禽屠宰行业安全生产和职业健康的监督管理。负责组织实施农村沼气项目的安全生产和职业健康监督管理。对农业园区的安全生产和职业健康工作实施行业监督管理。负责制定职责范围内的安全生产年度监督检查计划并组织实施。</w:t>
      </w:r>
    </w:p>
    <w:p w14:paraId="57A69F26">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lang w:val="en-US" w:eastAsia="zh-CN"/>
        </w:rPr>
        <w:t>20.</w:t>
      </w:r>
      <w:r>
        <w:rPr>
          <w:rFonts w:hint="eastAsia" w:ascii="仿宋_GB2312" w:hAnsi="仿宋_GB2312" w:eastAsia="仿宋_GB2312" w:cs="仿宋_GB2312"/>
          <w:b w:val="0"/>
          <w:bCs w:val="0"/>
          <w:spacing w:val="12"/>
          <w:sz w:val="32"/>
          <w:szCs w:val="32"/>
        </w:rPr>
        <w:t>负责职责范围内的生态环境保护、审批服务便民化等工作。</w:t>
      </w:r>
    </w:p>
    <w:p w14:paraId="2A8D1A02">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688" w:firstLineChars="200"/>
        <w:textAlignment w:val="baseline"/>
        <w:rPr>
          <w:rFonts w:hint="eastAsia" w:ascii="仿宋" w:hAnsi="仿宋" w:eastAsia="仿宋" w:cs="仿宋"/>
          <w:b w:val="0"/>
          <w:bCs w:val="0"/>
          <w:spacing w:val="12"/>
          <w:sz w:val="32"/>
          <w:szCs w:val="32"/>
        </w:rPr>
      </w:pPr>
      <w:r>
        <w:rPr>
          <w:rFonts w:hint="eastAsia" w:ascii="仿宋_GB2312" w:hAnsi="仿宋_GB2312" w:eastAsia="仿宋_GB2312" w:cs="仿宋_GB2312"/>
          <w:b w:val="0"/>
          <w:bCs w:val="0"/>
          <w:spacing w:val="12"/>
          <w:sz w:val="32"/>
          <w:szCs w:val="32"/>
          <w:lang w:val="en-US" w:eastAsia="zh-CN"/>
        </w:rPr>
        <w:t>21.</w:t>
      </w:r>
      <w:r>
        <w:rPr>
          <w:rFonts w:hint="eastAsia" w:ascii="仿宋_GB2312" w:hAnsi="仿宋_GB2312" w:eastAsia="仿宋_GB2312" w:cs="仿宋_GB2312"/>
          <w:b w:val="0"/>
          <w:bCs w:val="0"/>
          <w:spacing w:val="12"/>
          <w:sz w:val="32"/>
          <w:szCs w:val="32"/>
        </w:rPr>
        <w:t>完成县委、县政府交办的其他任务</w:t>
      </w:r>
      <w:r>
        <w:rPr>
          <w:rFonts w:hint="eastAsia" w:ascii="仿宋" w:hAnsi="仿宋" w:eastAsia="仿宋" w:cs="仿宋"/>
          <w:b w:val="0"/>
          <w:bCs w:val="0"/>
          <w:spacing w:val="12"/>
          <w:sz w:val="32"/>
          <w:szCs w:val="32"/>
        </w:rPr>
        <w:t>。</w:t>
      </w:r>
    </w:p>
    <w:p w14:paraId="45A69DCD">
      <w:pPr>
        <w:pStyle w:val="2"/>
        <w:keepNext w:val="0"/>
        <w:keepLines w:val="0"/>
        <w:pageBreakBefore w:val="0"/>
        <w:widowControl/>
        <w:kinsoku w:val="0"/>
        <w:wordWrap/>
        <w:overflowPunct/>
        <w:topLinePunct w:val="0"/>
        <w:autoSpaceDE w:val="0"/>
        <w:autoSpaceDN w:val="0"/>
        <w:bidi w:val="0"/>
        <w:adjustRightInd w:val="0"/>
        <w:snapToGrid w:val="0"/>
        <w:spacing w:before="201" w:line="578" w:lineRule="exact"/>
        <w:ind w:firstLine="814"/>
        <w:textAlignment w:val="baseline"/>
        <w:rPr>
          <w:rFonts w:ascii="楷体" w:hAnsi="楷体" w:eastAsia="楷体" w:cs="楷体"/>
        </w:rPr>
      </w:pPr>
      <w:r>
        <w:rPr>
          <w:rFonts w:hint="eastAsia" w:ascii="楷体" w:hAnsi="楷体" w:eastAsia="楷体" w:cs="楷体"/>
          <w:b/>
          <w:bCs/>
          <w:spacing w:val="12"/>
          <w:lang w:eastAsia="zh-CN"/>
        </w:rPr>
        <w:t>（三）</w:t>
      </w:r>
      <w:r>
        <w:rPr>
          <w:rFonts w:ascii="楷体" w:hAnsi="楷体" w:eastAsia="楷体" w:cs="楷体"/>
          <w:b/>
          <w:bCs/>
          <w:spacing w:val="12"/>
        </w:rPr>
        <w:t>人员概况</w:t>
      </w:r>
    </w:p>
    <w:p w14:paraId="40EEFC05">
      <w:pPr>
        <w:keepNext w:val="0"/>
        <w:keepLines w:val="0"/>
        <w:pageBreakBefore w:val="0"/>
        <w:widowControl/>
        <w:kinsoku w:val="0"/>
        <w:wordWrap/>
        <w:overflowPunct/>
        <w:topLinePunct w:val="0"/>
        <w:autoSpaceDE w:val="0"/>
        <w:autoSpaceDN w:val="0"/>
        <w:bidi w:val="0"/>
        <w:adjustRightInd w:val="0"/>
        <w:snapToGrid w:val="0"/>
        <w:spacing w:before="165" w:line="578" w:lineRule="exact"/>
        <w:ind w:firstLine="640" w:firstLineChars="200"/>
        <w:textAlignment w:val="baseline"/>
        <w:outlineLvl w:val="0"/>
        <w:rPr>
          <w:rFonts w:hint="default" w:ascii="黑体" w:hAnsi="黑体" w:eastAsia="黑体" w:cs="黑体"/>
          <w:b/>
          <w:bCs/>
          <w:spacing w:val="-13"/>
          <w:sz w:val="33"/>
          <w:szCs w:val="33"/>
          <w:lang w:val="en-US"/>
        </w:rPr>
      </w:pPr>
      <w:r>
        <w:rPr>
          <w:rFonts w:hint="default" w:ascii="仿宋_GB2312" w:hAnsi="仿宋_GB2312" w:eastAsia="仿宋_GB2312" w:cs="仿宋_GB2312"/>
          <w:sz w:val="32"/>
          <w:szCs w:val="32"/>
          <w:lang w:val="zh-CN" w:eastAsia="zh-CN"/>
        </w:rPr>
        <w:t>截至202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年末</w:t>
      </w:r>
      <w:r>
        <w:rPr>
          <w:rFonts w:hint="eastAsia" w:ascii="仿宋_GB2312" w:hAnsi="仿宋_GB2312" w:eastAsia="仿宋_GB2312" w:cs="仿宋_GB2312"/>
          <w:sz w:val="32"/>
          <w:szCs w:val="32"/>
          <w:lang w:val="zh-CN" w:eastAsia="zh-CN"/>
        </w:rPr>
        <w:t>，开江县农业农村局</w:t>
      </w:r>
      <w:r>
        <w:rPr>
          <w:rFonts w:hint="eastAsia" w:ascii="仿宋_GB2312" w:hAnsi="仿宋_GB2312" w:eastAsia="仿宋_GB2312" w:cs="仿宋_GB2312"/>
          <w:sz w:val="32"/>
          <w:szCs w:val="32"/>
          <w:lang w:val="en-US" w:eastAsia="zh-CN"/>
        </w:rPr>
        <w:t>有公务员26人，参照公务员法管理18人，事业管理人员和专业技术人员100人，机关和事业工人48人，现实有人数192人。</w:t>
      </w:r>
    </w:p>
    <w:p w14:paraId="65A9D8D2">
      <w:pPr>
        <w:keepNext w:val="0"/>
        <w:keepLines w:val="0"/>
        <w:pageBreakBefore w:val="0"/>
        <w:widowControl/>
        <w:kinsoku w:val="0"/>
        <w:wordWrap/>
        <w:overflowPunct/>
        <w:topLinePunct w:val="0"/>
        <w:autoSpaceDE w:val="0"/>
        <w:autoSpaceDN w:val="0"/>
        <w:bidi w:val="0"/>
        <w:adjustRightInd w:val="0"/>
        <w:snapToGrid w:val="0"/>
        <w:spacing w:before="165" w:line="578" w:lineRule="exact"/>
        <w:ind w:left="644"/>
        <w:textAlignment w:val="baseline"/>
        <w:outlineLvl w:val="0"/>
        <w:rPr>
          <w:rFonts w:hint="eastAsia" w:ascii="黑体" w:hAnsi="黑体" w:eastAsia="黑体" w:cs="黑体"/>
          <w:sz w:val="33"/>
          <w:szCs w:val="33"/>
          <w:lang w:eastAsia="zh-CN"/>
        </w:rPr>
      </w:pPr>
      <w:r>
        <w:rPr>
          <w:rFonts w:ascii="黑体" w:hAnsi="黑体" w:eastAsia="黑体" w:cs="黑体"/>
          <w:b/>
          <w:bCs/>
          <w:spacing w:val="-13"/>
          <w:sz w:val="33"/>
          <w:szCs w:val="33"/>
        </w:rPr>
        <w:t>二、部门资金收支情况</w:t>
      </w:r>
    </w:p>
    <w:p w14:paraId="6F4A75DB">
      <w:pPr>
        <w:pStyle w:val="2"/>
        <w:keepNext w:val="0"/>
        <w:keepLines w:val="0"/>
        <w:pageBreakBefore w:val="0"/>
        <w:widowControl/>
        <w:kinsoku w:val="0"/>
        <w:wordWrap/>
        <w:overflowPunct/>
        <w:topLinePunct w:val="0"/>
        <w:autoSpaceDE w:val="0"/>
        <w:autoSpaceDN w:val="0"/>
        <w:bidi w:val="0"/>
        <w:adjustRightInd w:val="0"/>
        <w:snapToGrid w:val="0"/>
        <w:spacing w:before="185" w:line="578" w:lineRule="exact"/>
        <w:ind w:right="5" w:firstLine="814"/>
        <w:textAlignment w:val="baseline"/>
      </w:pPr>
      <w:r>
        <w:rPr>
          <w:rFonts w:hint="eastAsia" w:ascii="楷体" w:hAnsi="楷体" w:eastAsia="楷体" w:cs="楷体"/>
          <w:b/>
          <w:bCs/>
          <w:spacing w:val="11"/>
          <w:lang w:eastAsia="zh-CN"/>
        </w:rPr>
        <w:t>（一）</w:t>
      </w:r>
      <w:r>
        <w:rPr>
          <w:rFonts w:ascii="楷体" w:hAnsi="楷体" w:eastAsia="楷体" w:cs="楷体"/>
          <w:b/>
          <w:bCs/>
          <w:spacing w:val="11"/>
        </w:rPr>
        <w:t>收入情况</w:t>
      </w:r>
    </w:p>
    <w:p w14:paraId="243B6424">
      <w:pPr>
        <w:pStyle w:val="2"/>
        <w:keepNext w:val="0"/>
        <w:keepLines w:val="0"/>
        <w:pageBreakBefore w:val="0"/>
        <w:widowControl/>
        <w:kinsoku w:val="0"/>
        <w:wordWrap/>
        <w:overflowPunct/>
        <w:topLinePunct w:val="0"/>
        <w:autoSpaceDE w:val="0"/>
        <w:autoSpaceDN w:val="0"/>
        <w:bidi w:val="0"/>
        <w:adjustRightInd w:val="0"/>
        <w:snapToGrid w:val="0"/>
        <w:spacing w:before="74" w:line="578" w:lineRule="exact"/>
        <w:ind w:left="9" w:right="20" w:firstLine="630"/>
        <w:jc w:val="both"/>
        <w:textAlignment w:val="baseline"/>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pacing w:val="12"/>
          <w:sz w:val="32"/>
          <w:szCs w:val="32"/>
          <w:lang w:val="en-US" w:eastAsia="zh-CN"/>
        </w:rPr>
        <w:t>根据预算和决算报表，</w:t>
      </w:r>
      <w:r>
        <w:rPr>
          <w:rFonts w:hint="eastAsia" w:ascii="仿宋_GB2312" w:hAnsi="仿宋_GB2312" w:eastAsia="仿宋_GB2312" w:cs="仿宋_GB2312"/>
          <w:spacing w:val="12"/>
          <w:sz w:val="32"/>
          <w:szCs w:val="32"/>
          <w:lang w:eastAsia="zh-CN"/>
        </w:rPr>
        <w:t>开江县农业农村局</w:t>
      </w:r>
      <w:r>
        <w:rPr>
          <w:rFonts w:hint="eastAsia" w:ascii="仿宋_GB2312" w:hAnsi="仿宋_GB2312" w:eastAsia="仿宋_GB2312" w:cs="仿宋_GB2312"/>
          <w:spacing w:val="12"/>
          <w:sz w:val="32"/>
          <w:szCs w:val="32"/>
          <w:lang w:val="en-US" w:eastAsia="zh-CN"/>
        </w:rPr>
        <w:t>2024年年初预算数为20518.77万元，调整预算数为25804.07万元，决算数为46322.84万元，其中年初结转结余0.00万元，收入来源均为一般公共预算财政拨款收入。</w:t>
      </w:r>
    </w:p>
    <w:p w14:paraId="0F263223">
      <w:pPr>
        <w:keepNext w:val="0"/>
        <w:keepLines w:val="0"/>
        <w:widowControl/>
        <w:suppressLineNumbers w:val="0"/>
        <w:jc w:val="both"/>
        <w:rPr>
          <w:rFonts w:hint="eastAsia" w:ascii="仿宋_GB2312" w:hAnsi="仿宋_GB2312" w:eastAsia="仿宋_GB2312" w:cs="仿宋_GB2312"/>
          <w:b/>
          <w:bCs/>
          <w:kern w:val="2"/>
          <w:sz w:val="24"/>
          <w:szCs w:val="24"/>
          <w:lang w:val="en-US" w:eastAsia="zh-CN" w:bidi="ar-SA"/>
        </w:rPr>
      </w:pPr>
    </w:p>
    <w:p w14:paraId="27A0175F">
      <w:pPr>
        <w:keepNext w:val="0"/>
        <w:keepLines w:val="0"/>
        <w:widowControl/>
        <w:suppressLineNumbers w:val="0"/>
        <w:ind w:firstLine="482" w:firstLineChars="200"/>
        <w:jc w:val="center"/>
        <w:rPr>
          <w:rFonts w:hint="eastAsia" w:ascii="仿宋_GB2312" w:hAnsi="仿宋_GB2312" w:eastAsia="仿宋_GB2312" w:cs="仿宋_GB2312"/>
          <w:snapToGrid/>
          <w:kern w:val="2"/>
          <w:sz w:val="20"/>
          <w:szCs w:val="20"/>
          <w:lang w:val="zh-CN" w:eastAsia="zh-CN"/>
        </w:rPr>
      </w:pPr>
      <w:r>
        <w:rPr>
          <w:rFonts w:hint="eastAsia" w:ascii="仿宋_GB2312" w:hAnsi="仿宋_GB2312" w:eastAsia="仿宋_GB2312" w:cs="仿宋_GB2312"/>
          <w:b/>
          <w:bCs/>
          <w:kern w:val="2"/>
          <w:sz w:val="24"/>
          <w:szCs w:val="24"/>
          <w:lang w:val="en-US" w:eastAsia="zh-CN" w:bidi="ar-SA"/>
        </w:rPr>
        <w:t>2024</w:t>
      </w:r>
      <w:r>
        <w:rPr>
          <w:rFonts w:hint="eastAsia" w:ascii="仿宋_GB2312" w:hAnsi="仿宋_GB2312" w:eastAsia="仿宋_GB2312" w:cs="仿宋_GB2312"/>
          <w:b/>
          <w:bCs/>
          <w:kern w:val="2"/>
          <w:sz w:val="24"/>
          <w:szCs w:val="24"/>
          <w:lang w:val="zh-CN" w:eastAsia="zh-CN" w:bidi="ar-SA"/>
        </w:rPr>
        <w:t>年度开江县农业农村局收入情况表</w:t>
      </w:r>
    </w:p>
    <w:p w14:paraId="28F5A6F4">
      <w:pPr>
        <w:keepNext w:val="0"/>
        <w:keepLines w:val="0"/>
        <w:widowControl/>
        <w:suppressLineNumbers w:val="0"/>
        <w:ind w:firstLine="400" w:firstLineChars="200"/>
        <w:jc w:val="right"/>
        <w:rPr>
          <w:rFonts w:hint="eastAsia" w:ascii="仿宋_GB2312" w:hAnsi="仿宋_GB2312" w:eastAsia="仿宋_GB2312" w:cs="仿宋_GB2312"/>
          <w:snapToGrid/>
          <w:kern w:val="2"/>
          <w:sz w:val="20"/>
          <w:szCs w:val="20"/>
          <w:lang w:val="en-US" w:eastAsia="zh-CN"/>
        </w:rPr>
      </w:pPr>
      <w:r>
        <w:rPr>
          <w:rFonts w:hint="eastAsia" w:ascii="仿宋_GB2312" w:hAnsi="仿宋_GB2312" w:eastAsia="仿宋_GB2312" w:cs="仿宋_GB2312"/>
          <w:snapToGrid/>
          <w:kern w:val="2"/>
          <w:sz w:val="20"/>
          <w:szCs w:val="20"/>
          <w:lang w:val="en-US" w:eastAsia="zh-CN"/>
        </w:rPr>
        <w:t>单位：万元</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3"/>
        <w:gridCol w:w="1949"/>
        <w:gridCol w:w="2100"/>
        <w:gridCol w:w="1711"/>
      </w:tblGrid>
      <w:tr w14:paraId="0044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jc w:val="center"/>
        </w:trPr>
        <w:tc>
          <w:tcPr>
            <w:tcW w:w="1818" w:type="pct"/>
            <w:tcBorders>
              <w:top w:val="single" w:color="auto" w:sz="4" w:space="0"/>
              <w:left w:val="single" w:color="auto" w:sz="4" w:space="0"/>
              <w:bottom w:val="single" w:color="auto" w:sz="4" w:space="0"/>
              <w:right w:val="single" w:color="auto" w:sz="4" w:space="0"/>
            </w:tcBorders>
            <w:noWrap/>
            <w:vAlign w:val="center"/>
          </w:tcPr>
          <w:p w14:paraId="536809F8">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类别</w:t>
            </w:r>
          </w:p>
        </w:tc>
        <w:tc>
          <w:tcPr>
            <w:tcW w:w="1076" w:type="pct"/>
            <w:tcBorders>
              <w:top w:val="single" w:color="auto" w:sz="4" w:space="0"/>
              <w:left w:val="single" w:color="auto" w:sz="4" w:space="0"/>
              <w:bottom w:val="single" w:color="auto" w:sz="4" w:space="0"/>
              <w:right w:val="single" w:color="auto" w:sz="4" w:space="0"/>
            </w:tcBorders>
            <w:noWrap/>
            <w:vAlign w:val="center"/>
          </w:tcPr>
          <w:p w14:paraId="45EBF6A1">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年初预算数</w:t>
            </w:r>
          </w:p>
        </w:tc>
        <w:tc>
          <w:tcPr>
            <w:tcW w:w="1159" w:type="pct"/>
            <w:tcBorders>
              <w:top w:val="single" w:color="auto" w:sz="4" w:space="0"/>
              <w:left w:val="single" w:color="auto" w:sz="4" w:space="0"/>
              <w:bottom w:val="single" w:color="auto" w:sz="4" w:space="0"/>
              <w:right w:val="single" w:color="auto" w:sz="4" w:space="0"/>
            </w:tcBorders>
            <w:noWrap/>
            <w:vAlign w:val="center"/>
          </w:tcPr>
          <w:p w14:paraId="33F8A914">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调整预算数</w:t>
            </w:r>
          </w:p>
        </w:tc>
        <w:tc>
          <w:tcPr>
            <w:tcW w:w="944" w:type="pct"/>
            <w:tcBorders>
              <w:top w:val="single" w:color="auto" w:sz="4" w:space="0"/>
              <w:left w:val="single" w:color="auto" w:sz="4" w:space="0"/>
              <w:bottom w:val="single" w:color="auto" w:sz="4" w:space="0"/>
              <w:right w:val="single" w:color="auto" w:sz="4" w:space="0"/>
            </w:tcBorders>
            <w:noWrap/>
            <w:vAlign w:val="center"/>
          </w:tcPr>
          <w:p w14:paraId="6586F56B">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决算数</w:t>
            </w:r>
          </w:p>
        </w:tc>
      </w:tr>
      <w:tr w14:paraId="7DD0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18" w:type="pct"/>
            <w:tcBorders>
              <w:top w:val="single" w:color="auto" w:sz="4" w:space="0"/>
              <w:left w:val="single" w:color="auto" w:sz="4" w:space="0"/>
              <w:bottom w:val="single" w:color="auto" w:sz="4" w:space="0"/>
              <w:right w:val="single" w:color="auto" w:sz="4" w:space="0"/>
            </w:tcBorders>
            <w:noWrap/>
            <w:vAlign w:val="center"/>
          </w:tcPr>
          <w:p w14:paraId="45B6E35D">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一般公共预算财政拨款</w:t>
            </w:r>
          </w:p>
        </w:tc>
        <w:tc>
          <w:tcPr>
            <w:tcW w:w="1076" w:type="pct"/>
            <w:tcBorders>
              <w:top w:val="single" w:color="auto" w:sz="4" w:space="0"/>
              <w:left w:val="single" w:color="auto" w:sz="4" w:space="0"/>
              <w:bottom w:val="single" w:color="auto" w:sz="4" w:space="0"/>
              <w:right w:val="single" w:color="auto" w:sz="4" w:space="0"/>
            </w:tcBorders>
            <w:noWrap/>
            <w:vAlign w:val="center"/>
          </w:tcPr>
          <w:p w14:paraId="64272559">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20518.77</w:t>
            </w:r>
          </w:p>
        </w:tc>
        <w:tc>
          <w:tcPr>
            <w:tcW w:w="1159" w:type="pct"/>
            <w:tcBorders>
              <w:top w:val="single" w:color="auto" w:sz="4" w:space="0"/>
              <w:left w:val="single" w:color="auto" w:sz="4" w:space="0"/>
              <w:bottom w:val="single" w:color="auto" w:sz="4" w:space="0"/>
              <w:right w:val="single" w:color="auto" w:sz="4" w:space="0"/>
            </w:tcBorders>
            <w:noWrap/>
            <w:vAlign w:val="center"/>
          </w:tcPr>
          <w:p w14:paraId="56C50E4D">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25,804.07</w:t>
            </w:r>
          </w:p>
        </w:tc>
        <w:tc>
          <w:tcPr>
            <w:tcW w:w="944" w:type="pct"/>
            <w:tcBorders>
              <w:top w:val="single" w:color="auto" w:sz="4" w:space="0"/>
              <w:left w:val="single" w:color="auto" w:sz="4" w:space="0"/>
              <w:bottom w:val="single" w:color="auto" w:sz="4" w:space="0"/>
              <w:right w:val="single" w:color="auto" w:sz="4" w:space="0"/>
            </w:tcBorders>
            <w:noWrap/>
            <w:vAlign w:val="center"/>
          </w:tcPr>
          <w:p w14:paraId="79625A1D">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46322.84</w:t>
            </w:r>
          </w:p>
        </w:tc>
      </w:tr>
      <w:tr w14:paraId="2A18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18" w:type="pct"/>
            <w:tcBorders>
              <w:top w:val="single" w:color="auto" w:sz="4" w:space="0"/>
              <w:left w:val="single" w:color="auto" w:sz="4" w:space="0"/>
              <w:bottom w:val="single" w:color="auto" w:sz="4" w:space="0"/>
              <w:right w:val="single" w:color="auto" w:sz="4" w:space="0"/>
            </w:tcBorders>
            <w:noWrap/>
            <w:vAlign w:val="center"/>
          </w:tcPr>
          <w:p w14:paraId="7057DA1D">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年初结转结余</w:t>
            </w:r>
          </w:p>
        </w:tc>
        <w:tc>
          <w:tcPr>
            <w:tcW w:w="1076" w:type="pct"/>
            <w:tcBorders>
              <w:top w:val="single" w:color="auto" w:sz="4" w:space="0"/>
              <w:left w:val="single" w:color="auto" w:sz="4" w:space="0"/>
              <w:bottom w:val="single" w:color="auto" w:sz="4" w:space="0"/>
              <w:right w:val="single" w:color="auto" w:sz="4" w:space="0"/>
            </w:tcBorders>
            <w:noWrap/>
            <w:vAlign w:val="center"/>
          </w:tcPr>
          <w:p w14:paraId="3FA32028">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w:t>
            </w:r>
          </w:p>
        </w:tc>
        <w:tc>
          <w:tcPr>
            <w:tcW w:w="1159" w:type="pct"/>
            <w:tcBorders>
              <w:top w:val="single" w:color="auto" w:sz="4" w:space="0"/>
              <w:left w:val="single" w:color="auto" w:sz="4" w:space="0"/>
              <w:bottom w:val="single" w:color="auto" w:sz="4" w:space="0"/>
              <w:right w:val="single" w:color="auto" w:sz="4" w:space="0"/>
            </w:tcBorders>
            <w:noWrap/>
            <w:vAlign w:val="center"/>
          </w:tcPr>
          <w:p w14:paraId="7CD7AF18">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eastAsia" w:ascii="仿宋_GB2312" w:hAnsi="仿宋_GB2312" w:eastAsia="仿宋_GB2312" w:cs="仿宋_GB2312"/>
                <w:snapToGrid/>
                <w:kern w:val="2"/>
                <w:sz w:val="20"/>
                <w:szCs w:val="20"/>
                <w:lang w:val="en-US" w:eastAsia="zh-CN"/>
              </w:rPr>
              <w:t>0.00</w:t>
            </w:r>
          </w:p>
        </w:tc>
        <w:tc>
          <w:tcPr>
            <w:tcW w:w="944" w:type="pct"/>
            <w:tcBorders>
              <w:top w:val="single" w:color="auto" w:sz="4" w:space="0"/>
              <w:left w:val="single" w:color="auto" w:sz="4" w:space="0"/>
              <w:bottom w:val="single" w:color="auto" w:sz="4" w:space="0"/>
              <w:right w:val="single" w:color="auto" w:sz="4" w:space="0"/>
            </w:tcBorders>
            <w:noWrap/>
            <w:vAlign w:val="center"/>
          </w:tcPr>
          <w:p w14:paraId="38BAF05E">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eastAsia" w:ascii="仿宋_GB2312" w:hAnsi="仿宋_GB2312" w:eastAsia="仿宋_GB2312" w:cs="仿宋_GB2312"/>
                <w:snapToGrid/>
                <w:kern w:val="2"/>
                <w:sz w:val="20"/>
                <w:szCs w:val="20"/>
                <w:lang w:val="en-US" w:eastAsia="zh-CN"/>
              </w:rPr>
              <w:t>0.00</w:t>
            </w:r>
          </w:p>
        </w:tc>
      </w:tr>
      <w:tr w14:paraId="222B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18" w:type="pct"/>
            <w:tcBorders>
              <w:top w:val="single" w:color="auto" w:sz="4" w:space="0"/>
              <w:left w:val="single" w:color="auto" w:sz="4" w:space="0"/>
              <w:bottom w:val="single" w:color="auto" w:sz="4" w:space="0"/>
              <w:right w:val="single" w:color="auto" w:sz="4" w:space="0"/>
            </w:tcBorders>
            <w:noWrap/>
            <w:vAlign w:val="center"/>
          </w:tcPr>
          <w:p w14:paraId="26EECC38">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合计</w:t>
            </w:r>
          </w:p>
        </w:tc>
        <w:tc>
          <w:tcPr>
            <w:tcW w:w="1076" w:type="pct"/>
            <w:tcBorders>
              <w:top w:val="single" w:color="auto" w:sz="4" w:space="0"/>
              <w:left w:val="single" w:color="auto" w:sz="4" w:space="0"/>
              <w:bottom w:val="single" w:color="auto" w:sz="4" w:space="0"/>
              <w:right w:val="single" w:color="auto" w:sz="4" w:space="0"/>
            </w:tcBorders>
            <w:noWrap/>
            <w:vAlign w:val="center"/>
          </w:tcPr>
          <w:p w14:paraId="7C85F2F6">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20518.77</w:t>
            </w:r>
          </w:p>
        </w:tc>
        <w:tc>
          <w:tcPr>
            <w:tcW w:w="1159" w:type="pct"/>
            <w:tcBorders>
              <w:top w:val="single" w:color="auto" w:sz="4" w:space="0"/>
              <w:left w:val="single" w:color="auto" w:sz="4" w:space="0"/>
              <w:bottom w:val="single" w:color="auto" w:sz="4" w:space="0"/>
              <w:right w:val="single" w:color="auto" w:sz="4" w:space="0"/>
            </w:tcBorders>
            <w:noWrap/>
            <w:vAlign w:val="center"/>
          </w:tcPr>
          <w:p w14:paraId="44358578">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25,804.07</w:t>
            </w:r>
          </w:p>
        </w:tc>
        <w:tc>
          <w:tcPr>
            <w:tcW w:w="944" w:type="pct"/>
            <w:tcBorders>
              <w:top w:val="single" w:color="auto" w:sz="4" w:space="0"/>
              <w:left w:val="single" w:color="auto" w:sz="4" w:space="0"/>
              <w:bottom w:val="single" w:color="auto" w:sz="4" w:space="0"/>
              <w:right w:val="single" w:color="auto" w:sz="4" w:space="0"/>
            </w:tcBorders>
            <w:noWrap/>
            <w:vAlign w:val="center"/>
          </w:tcPr>
          <w:p w14:paraId="086ED32E">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46322.84</w:t>
            </w:r>
          </w:p>
        </w:tc>
      </w:tr>
    </w:tbl>
    <w:p w14:paraId="3FB38741">
      <w:pPr>
        <w:pStyle w:val="2"/>
        <w:spacing w:before="180" w:line="274" w:lineRule="auto"/>
        <w:ind w:right="5"/>
        <w:rPr>
          <w:rFonts w:ascii="楷体" w:hAnsi="楷体" w:eastAsia="楷体" w:cs="楷体"/>
          <w:b/>
          <w:bCs/>
          <w:spacing w:val="11"/>
        </w:rPr>
      </w:pPr>
    </w:p>
    <w:p w14:paraId="123018A0">
      <w:pPr>
        <w:pStyle w:val="2"/>
        <w:spacing w:before="180" w:line="274" w:lineRule="auto"/>
        <w:ind w:right="5" w:firstLine="814"/>
      </w:pPr>
      <w:r>
        <w:rPr>
          <w:rFonts w:hint="eastAsia" w:ascii="楷体" w:hAnsi="楷体" w:eastAsia="楷体" w:cs="楷体"/>
          <w:b/>
          <w:bCs/>
          <w:spacing w:val="11"/>
          <w:lang w:eastAsia="zh-CN"/>
        </w:rPr>
        <w:t>（二）</w:t>
      </w:r>
      <w:r>
        <w:rPr>
          <w:rFonts w:ascii="楷体" w:hAnsi="楷体" w:eastAsia="楷体" w:cs="楷体"/>
          <w:b/>
          <w:bCs/>
          <w:spacing w:val="11"/>
        </w:rPr>
        <w:t>支出情况</w:t>
      </w:r>
    </w:p>
    <w:p w14:paraId="7C48AF3B">
      <w:pPr>
        <w:pStyle w:val="2"/>
        <w:keepNext w:val="0"/>
        <w:keepLines w:val="0"/>
        <w:pageBreakBefore w:val="0"/>
        <w:widowControl/>
        <w:kinsoku w:val="0"/>
        <w:wordWrap/>
        <w:overflowPunct/>
        <w:topLinePunct w:val="0"/>
        <w:autoSpaceDE w:val="0"/>
        <w:autoSpaceDN w:val="0"/>
        <w:bidi w:val="0"/>
        <w:adjustRightInd w:val="0"/>
        <w:snapToGrid w:val="0"/>
        <w:spacing w:before="74" w:line="578" w:lineRule="exact"/>
        <w:ind w:left="11" w:right="23" w:firstLine="629"/>
        <w:jc w:val="both"/>
        <w:textAlignment w:val="baseline"/>
        <w:rPr>
          <w:rFonts w:hint="eastAsia"/>
          <w:spacing w:val="12"/>
          <w:sz w:val="32"/>
          <w:szCs w:val="32"/>
          <w:lang w:val="en-US" w:eastAsia="zh-CN"/>
        </w:rPr>
      </w:pPr>
      <w:r>
        <w:rPr>
          <w:rFonts w:hint="eastAsia" w:ascii="仿宋_GB2312" w:hAnsi="仿宋_GB2312" w:eastAsia="仿宋_GB2312" w:cs="仿宋_GB2312"/>
          <w:spacing w:val="12"/>
          <w:sz w:val="32"/>
          <w:szCs w:val="32"/>
          <w:lang w:val="en-US" w:eastAsia="zh-CN"/>
        </w:rPr>
        <w:t>根据预算和决算报表，</w:t>
      </w:r>
      <w:r>
        <w:rPr>
          <w:rFonts w:hint="eastAsia" w:ascii="仿宋_GB2312" w:hAnsi="仿宋_GB2312" w:eastAsia="仿宋_GB2312" w:cs="仿宋_GB2312"/>
          <w:spacing w:val="12"/>
          <w:sz w:val="32"/>
          <w:szCs w:val="32"/>
          <w:lang w:eastAsia="zh-CN"/>
        </w:rPr>
        <w:t>开江县农业农村局</w:t>
      </w:r>
      <w:r>
        <w:rPr>
          <w:rFonts w:hint="eastAsia" w:ascii="仿宋_GB2312" w:hAnsi="仿宋_GB2312" w:eastAsia="仿宋_GB2312" w:cs="仿宋_GB2312"/>
          <w:spacing w:val="12"/>
          <w:sz w:val="32"/>
          <w:szCs w:val="32"/>
          <w:lang w:val="en-US" w:eastAsia="zh-CN"/>
        </w:rPr>
        <w:t>2024年年初预算数为20518.77万元，调整预算数为25804.07万元，决算数为46322.84万元，年末结转结余数为0.00万元。2024年度已批计划数46322.84万元，实际支付数46322.84万元，实际预算执行率100%。</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2266"/>
        <w:gridCol w:w="2266"/>
        <w:gridCol w:w="2264"/>
      </w:tblGrid>
      <w:tr w14:paraId="173A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38485643">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类别</w:t>
            </w:r>
          </w:p>
        </w:tc>
        <w:tc>
          <w:tcPr>
            <w:tcW w:w="1251" w:type="pct"/>
            <w:tcBorders>
              <w:top w:val="single" w:color="auto" w:sz="4" w:space="0"/>
              <w:left w:val="single" w:color="auto" w:sz="4" w:space="0"/>
              <w:bottom w:val="single" w:color="auto" w:sz="4" w:space="0"/>
              <w:right w:val="single" w:color="auto" w:sz="4" w:space="0"/>
            </w:tcBorders>
            <w:noWrap/>
            <w:vAlign w:val="center"/>
          </w:tcPr>
          <w:p w14:paraId="252DC5E7">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eastAsia="仿宋_GB2312" w:cs="仿宋_GB2312"/>
                <w:snapToGrid/>
                <w:kern w:val="2"/>
                <w:sz w:val="20"/>
                <w:szCs w:val="20"/>
                <w:lang w:val="en-US" w:eastAsia="zh-CN"/>
              </w:rPr>
              <w:t>年初预算数</w:t>
            </w:r>
          </w:p>
        </w:tc>
        <w:tc>
          <w:tcPr>
            <w:tcW w:w="1251" w:type="pct"/>
            <w:tcBorders>
              <w:top w:val="single" w:color="auto" w:sz="4" w:space="0"/>
              <w:left w:val="single" w:color="auto" w:sz="4" w:space="0"/>
              <w:bottom w:val="single" w:color="auto" w:sz="4" w:space="0"/>
              <w:right w:val="single" w:color="auto" w:sz="4" w:space="0"/>
            </w:tcBorders>
            <w:noWrap/>
            <w:vAlign w:val="center"/>
          </w:tcPr>
          <w:p w14:paraId="514BE10B">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eastAsia="仿宋_GB2312" w:cs="仿宋_GB2312"/>
                <w:snapToGrid/>
                <w:kern w:val="2"/>
                <w:sz w:val="20"/>
                <w:szCs w:val="20"/>
                <w:lang w:val="en-US" w:eastAsia="zh-CN"/>
              </w:rPr>
              <w:t>调整预算数</w:t>
            </w:r>
          </w:p>
        </w:tc>
        <w:tc>
          <w:tcPr>
            <w:tcW w:w="1250" w:type="pct"/>
            <w:tcBorders>
              <w:top w:val="single" w:color="auto" w:sz="4" w:space="0"/>
              <w:left w:val="single" w:color="auto" w:sz="4" w:space="0"/>
              <w:bottom w:val="single" w:color="auto" w:sz="4" w:space="0"/>
              <w:right w:val="single" w:color="auto" w:sz="4" w:space="0"/>
            </w:tcBorders>
            <w:noWrap/>
            <w:vAlign w:val="center"/>
          </w:tcPr>
          <w:p w14:paraId="4F5CF6DD">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eastAsia="仿宋_GB2312" w:cs="仿宋_GB2312"/>
                <w:snapToGrid/>
                <w:kern w:val="2"/>
                <w:sz w:val="20"/>
                <w:szCs w:val="20"/>
                <w:lang w:val="en-US" w:eastAsia="zh-CN"/>
              </w:rPr>
              <w:t>决算数</w:t>
            </w:r>
          </w:p>
        </w:tc>
      </w:tr>
      <w:tr w14:paraId="6739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62E12EDF">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一、基本支出</w:t>
            </w:r>
          </w:p>
        </w:tc>
        <w:tc>
          <w:tcPr>
            <w:tcW w:w="1251" w:type="pct"/>
            <w:tcBorders>
              <w:top w:val="single" w:color="auto" w:sz="4" w:space="0"/>
              <w:left w:val="single" w:color="auto" w:sz="4" w:space="0"/>
              <w:bottom w:val="single" w:color="auto" w:sz="4" w:space="0"/>
              <w:right w:val="single" w:color="auto" w:sz="4" w:space="0"/>
            </w:tcBorders>
            <w:noWrap/>
            <w:vAlign w:val="center"/>
          </w:tcPr>
          <w:p w14:paraId="2755C4FD">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2570.83</w:t>
            </w:r>
          </w:p>
        </w:tc>
        <w:tc>
          <w:tcPr>
            <w:tcW w:w="1251" w:type="pct"/>
            <w:tcBorders>
              <w:top w:val="single" w:color="auto" w:sz="4" w:space="0"/>
              <w:left w:val="single" w:color="auto" w:sz="4" w:space="0"/>
              <w:bottom w:val="single" w:color="auto" w:sz="4" w:space="0"/>
              <w:right w:val="single" w:color="auto" w:sz="4" w:space="0"/>
            </w:tcBorders>
            <w:noWrap/>
            <w:vAlign w:val="center"/>
          </w:tcPr>
          <w:p w14:paraId="01538642">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918.3</w:t>
            </w:r>
          </w:p>
        </w:tc>
        <w:tc>
          <w:tcPr>
            <w:tcW w:w="1250" w:type="pct"/>
            <w:tcBorders>
              <w:top w:val="single" w:color="auto" w:sz="4" w:space="0"/>
              <w:left w:val="single" w:color="auto" w:sz="4" w:space="0"/>
              <w:bottom w:val="single" w:color="auto" w:sz="4" w:space="0"/>
              <w:right w:val="single" w:color="auto" w:sz="4" w:space="0"/>
            </w:tcBorders>
            <w:noWrap/>
            <w:vAlign w:val="center"/>
          </w:tcPr>
          <w:p w14:paraId="1A09154D">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3489.13</w:t>
            </w:r>
          </w:p>
        </w:tc>
      </w:tr>
      <w:tr w14:paraId="248A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2AF74B99">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人员经费</w:t>
            </w:r>
          </w:p>
        </w:tc>
        <w:tc>
          <w:tcPr>
            <w:tcW w:w="1251" w:type="pct"/>
            <w:tcBorders>
              <w:top w:val="single" w:color="auto" w:sz="4" w:space="0"/>
              <w:left w:val="single" w:color="auto" w:sz="4" w:space="0"/>
              <w:bottom w:val="single" w:color="auto" w:sz="4" w:space="0"/>
              <w:right w:val="single" w:color="auto" w:sz="4" w:space="0"/>
            </w:tcBorders>
            <w:noWrap/>
            <w:vAlign w:val="center"/>
          </w:tcPr>
          <w:p w14:paraId="527871A1">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2329.90</w:t>
            </w:r>
          </w:p>
        </w:tc>
        <w:tc>
          <w:tcPr>
            <w:tcW w:w="1251" w:type="pct"/>
            <w:tcBorders>
              <w:top w:val="single" w:color="auto" w:sz="4" w:space="0"/>
              <w:left w:val="single" w:color="auto" w:sz="4" w:space="0"/>
              <w:bottom w:val="single" w:color="auto" w:sz="4" w:space="0"/>
              <w:right w:val="single" w:color="auto" w:sz="4" w:space="0"/>
            </w:tcBorders>
            <w:noWrap/>
            <w:vAlign w:val="center"/>
          </w:tcPr>
          <w:p w14:paraId="7E161CFC">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663.77</w:t>
            </w:r>
          </w:p>
        </w:tc>
        <w:tc>
          <w:tcPr>
            <w:tcW w:w="1250" w:type="pct"/>
            <w:tcBorders>
              <w:top w:val="single" w:color="auto" w:sz="4" w:space="0"/>
              <w:left w:val="single" w:color="auto" w:sz="4" w:space="0"/>
              <w:bottom w:val="single" w:color="auto" w:sz="4" w:space="0"/>
              <w:right w:val="single" w:color="auto" w:sz="4" w:space="0"/>
            </w:tcBorders>
            <w:noWrap/>
            <w:vAlign w:val="center"/>
          </w:tcPr>
          <w:p w14:paraId="4E749EF0">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2993.67</w:t>
            </w:r>
          </w:p>
        </w:tc>
      </w:tr>
      <w:tr w14:paraId="3F43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68FAF842">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公用经费</w:t>
            </w:r>
          </w:p>
        </w:tc>
        <w:tc>
          <w:tcPr>
            <w:tcW w:w="1251" w:type="pct"/>
            <w:tcBorders>
              <w:top w:val="single" w:color="auto" w:sz="4" w:space="0"/>
              <w:left w:val="single" w:color="auto" w:sz="4" w:space="0"/>
              <w:bottom w:val="single" w:color="auto" w:sz="4" w:space="0"/>
              <w:right w:val="single" w:color="auto" w:sz="4" w:space="0"/>
            </w:tcBorders>
            <w:noWrap/>
            <w:vAlign w:val="center"/>
          </w:tcPr>
          <w:p w14:paraId="13371968">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240.93</w:t>
            </w:r>
          </w:p>
        </w:tc>
        <w:tc>
          <w:tcPr>
            <w:tcW w:w="1251" w:type="pct"/>
            <w:tcBorders>
              <w:top w:val="single" w:color="auto" w:sz="4" w:space="0"/>
              <w:left w:val="single" w:color="auto" w:sz="4" w:space="0"/>
              <w:bottom w:val="single" w:color="auto" w:sz="4" w:space="0"/>
              <w:right w:val="single" w:color="auto" w:sz="4" w:space="0"/>
            </w:tcBorders>
            <w:noWrap/>
            <w:vAlign w:val="center"/>
          </w:tcPr>
          <w:p w14:paraId="3C1D2345">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254.53</w:t>
            </w:r>
          </w:p>
        </w:tc>
        <w:tc>
          <w:tcPr>
            <w:tcW w:w="1250" w:type="pct"/>
            <w:tcBorders>
              <w:top w:val="single" w:color="auto" w:sz="4" w:space="0"/>
              <w:left w:val="single" w:color="auto" w:sz="4" w:space="0"/>
              <w:bottom w:val="single" w:color="auto" w:sz="4" w:space="0"/>
              <w:right w:val="single" w:color="auto" w:sz="4" w:space="0"/>
            </w:tcBorders>
            <w:noWrap/>
            <w:vAlign w:val="center"/>
          </w:tcPr>
          <w:p w14:paraId="5AE56171">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495.46</w:t>
            </w:r>
          </w:p>
        </w:tc>
      </w:tr>
      <w:tr w14:paraId="411F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55FD6A7A">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二、项目支出</w:t>
            </w:r>
          </w:p>
        </w:tc>
        <w:tc>
          <w:tcPr>
            <w:tcW w:w="1251" w:type="pct"/>
            <w:tcBorders>
              <w:top w:val="single" w:color="auto" w:sz="4" w:space="0"/>
              <w:left w:val="single" w:color="auto" w:sz="4" w:space="0"/>
              <w:bottom w:val="single" w:color="auto" w:sz="4" w:space="0"/>
              <w:right w:val="single" w:color="auto" w:sz="4" w:space="0"/>
            </w:tcBorders>
            <w:noWrap/>
            <w:vAlign w:val="center"/>
          </w:tcPr>
          <w:p w14:paraId="6B779DA3">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17947.94</w:t>
            </w:r>
          </w:p>
        </w:tc>
        <w:tc>
          <w:tcPr>
            <w:tcW w:w="1251" w:type="pct"/>
            <w:tcBorders>
              <w:top w:val="single" w:color="auto" w:sz="4" w:space="0"/>
              <w:left w:val="single" w:color="auto" w:sz="4" w:space="0"/>
              <w:bottom w:val="single" w:color="auto" w:sz="4" w:space="0"/>
              <w:right w:val="single" w:color="auto" w:sz="4" w:space="0"/>
            </w:tcBorders>
            <w:noWrap/>
            <w:vAlign w:val="center"/>
          </w:tcPr>
          <w:p w14:paraId="436A0D90">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24885.77</w:t>
            </w:r>
          </w:p>
        </w:tc>
        <w:tc>
          <w:tcPr>
            <w:tcW w:w="1250" w:type="pct"/>
            <w:tcBorders>
              <w:top w:val="single" w:color="auto" w:sz="4" w:space="0"/>
              <w:left w:val="single" w:color="auto" w:sz="4" w:space="0"/>
              <w:bottom w:val="single" w:color="auto" w:sz="4" w:space="0"/>
              <w:right w:val="single" w:color="auto" w:sz="4" w:space="0"/>
            </w:tcBorders>
            <w:noWrap/>
            <w:vAlign w:val="center"/>
          </w:tcPr>
          <w:p w14:paraId="6F4F3736">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42833.71</w:t>
            </w:r>
          </w:p>
        </w:tc>
      </w:tr>
      <w:tr w14:paraId="2378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491A0587">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三、年末结转结余</w:t>
            </w:r>
          </w:p>
        </w:tc>
        <w:tc>
          <w:tcPr>
            <w:tcW w:w="1251" w:type="pct"/>
            <w:tcBorders>
              <w:top w:val="single" w:color="auto" w:sz="4" w:space="0"/>
              <w:left w:val="single" w:color="auto" w:sz="4" w:space="0"/>
              <w:bottom w:val="single" w:color="auto" w:sz="4" w:space="0"/>
              <w:right w:val="single" w:color="auto" w:sz="4" w:space="0"/>
            </w:tcBorders>
            <w:noWrap/>
            <w:vAlign w:val="center"/>
          </w:tcPr>
          <w:p w14:paraId="4471E324">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w:t>
            </w:r>
          </w:p>
        </w:tc>
        <w:tc>
          <w:tcPr>
            <w:tcW w:w="1251" w:type="pct"/>
            <w:tcBorders>
              <w:top w:val="single" w:color="auto" w:sz="4" w:space="0"/>
              <w:left w:val="single" w:color="auto" w:sz="4" w:space="0"/>
              <w:bottom w:val="single" w:color="auto" w:sz="4" w:space="0"/>
              <w:right w:val="single" w:color="auto" w:sz="4" w:space="0"/>
            </w:tcBorders>
            <w:noWrap/>
            <w:vAlign w:val="center"/>
          </w:tcPr>
          <w:p w14:paraId="24F0DA2E">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w:t>
            </w:r>
          </w:p>
        </w:tc>
        <w:tc>
          <w:tcPr>
            <w:tcW w:w="1250" w:type="pct"/>
            <w:tcBorders>
              <w:top w:val="single" w:color="auto" w:sz="4" w:space="0"/>
              <w:left w:val="single" w:color="auto" w:sz="4" w:space="0"/>
              <w:bottom w:val="single" w:color="auto" w:sz="4" w:space="0"/>
              <w:right w:val="single" w:color="auto" w:sz="4" w:space="0"/>
            </w:tcBorders>
            <w:noWrap/>
            <w:vAlign w:val="center"/>
          </w:tcPr>
          <w:p w14:paraId="1BE1C71D">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w:t>
            </w:r>
          </w:p>
        </w:tc>
      </w:tr>
      <w:tr w14:paraId="5AD1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7628D0E1">
            <w:pPr>
              <w:keepNext w:val="0"/>
              <w:keepLines w:val="0"/>
              <w:widowControl/>
              <w:suppressLineNumbers w:val="0"/>
              <w:ind w:firstLine="400" w:firstLineChars="200"/>
              <w:jc w:val="center"/>
              <w:rPr>
                <w:rFonts w:hint="default" w:ascii="仿宋_GB2312" w:hAnsi="仿宋_GB2312" w:eastAsia="仿宋_GB2312" w:cs="仿宋_GB2312"/>
                <w:snapToGrid/>
                <w:kern w:val="2"/>
                <w:sz w:val="20"/>
                <w:szCs w:val="20"/>
                <w:lang w:val="en-US" w:eastAsia="zh-CN"/>
              </w:rPr>
            </w:pPr>
            <w:r>
              <w:rPr>
                <w:rFonts w:hint="default" w:ascii="仿宋_GB2312" w:hAnsi="仿宋_GB2312" w:eastAsia="仿宋_GB2312" w:cs="仿宋_GB2312"/>
                <w:snapToGrid/>
                <w:kern w:val="2"/>
                <w:sz w:val="20"/>
                <w:szCs w:val="20"/>
                <w:lang w:val="en-US" w:eastAsia="zh-CN"/>
              </w:rPr>
              <w:t>合计</w:t>
            </w:r>
          </w:p>
        </w:tc>
        <w:tc>
          <w:tcPr>
            <w:tcW w:w="1251" w:type="pct"/>
            <w:tcBorders>
              <w:top w:val="single" w:color="auto" w:sz="4" w:space="0"/>
              <w:left w:val="single" w:color="auto" w:sz="4" w:space="0"/>
              <w:bottom w:val="single" w:color="auto" w:sz="4" w:space="0"/>
              <w:right w:val="single" w:color="auto" w:sz="4" w:space="0"/>
            </w:tcBorders>
            <w:noWrap/>
            <w:vAlign w:val="center"/>
          </w:tcPr>
          <w:p w14:paraId="3F8628A8">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20518.77</w:t>
            </w:r>
          </w:p>
        </w:tc>
        <w:tc>
          <w:tcPr>
            <w:tcW w:w="1251" w:type="pct"/>
            <w:tcBorders>
              <w:top w:val="single" w:color="auto" w:sz="4" w:space="0"/>
              <w:left w:val="single" w:color="auto" w:sz="4" w:space="0"/>
              <w:bottom w:val="single" w:color="auto" w:sz="4" w:space="0"/>
              <w:right w:val="single" w:color="auto" w:sz="4" w:space="0"/>
            </w:tcBorders>
            <w:noWrap/>
            <w:vAlign w:val="center"/>
          </w:tcPr>
          <w:p w14:paraId="5502883A">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default" w:ascii="仿宋_GB2312" w:hAnsi="仿宋_GB2312" w:cs="仿宋_GB2312"/>
                <w:sz w:val="20"/>
                <w:szCs w:val="20"/>
                <w:lang w:val="en-US" w:eastAsia="zh-CN"/>
              </w:rPr>
              <w:t>25804.07</w:t>
            </w:r>
          </w:p>
        </w:tc>
        <w:tc>
          <w:tcPr>
            <w:tcW w:w="1250" w:type="pct"/>
            <w:tcBorders>
              <w:top w:val="single" w:color="auto" w:sz="4" w:space="0"/>
              <w:left w:val="single" w:color="auto" w:sz="4" w:space="0"/>
              <w:bottom w:val="single" w:color="auto" w:sz="4" w:space="0"/>
              <w:right w:val="single" w:color="auto" w:sz="4" w:space="0"/>
            </w:tcBorders>
            <w:noWrap/>
            <w:vAlign w:val="center"/>
          </w:tcPr>
          <w:p w14:paraId="4DACA3F4">
            <w:pPr>
              <w:keepNext w:val="0"/>
              <w:keepLines w:val="0"/>
              <w:widowControl/>
              <w:suppressLineNumbers w:val="0"/>
              <w:ind w:firstLine="400" w:firstLineChars="200"/>
              <w:jc w:val="center"/>
              <w:rPr>
                <w:rFonts w:hint="default" w:ascii="仿宋_GB2312" w:hAnsi="仿宋_GB2312" w:cs="仿宋_GB2312"/>
                <w:sz w:val="20"/>
                <w:szCs w:val="20"/>
                <w:lang w:val="en-US" w:eastAsia="zh-CN"/>
              </w:rPr>
            </w:pPr>
            <w:r>
              <w:rPr>
                <w:rFonts w:hint="eastAsia" w:ascii="仿宋_GB2312" w:hAnsi="仿宋_GB2312" w:cs="仿宋_GB2312"/>
                <w:sz w:val="20"/>
                <w:szCs w:val="20"/>
                <w:lang w:val="en-US" w:eastAsia="zh-CN"/>
              </w:rPr>
              <w:t>46322.84</w:t>
            </w:r>
          </w:p>
        </w:tc>
      </w:tr>
    </w:tbl>
    <w:p w14:paraId="282FE05D">
      <w:pPr>
        <w:pStyle w:val="2"/>
        <w:spacing w:before="167" w:line="272" w:lineRule="auto"/>
        <w:ind w:right="4"/>
        <w:rPr>
          <w:rFonts w:ascii="楷体" w:hAnsi="楷体" w:eastAsia="楷体" w:cs="楷体"/>
          <w:b/>
          <w:bCs/>
          <w:spacing w:val="10"/>
        </w:rPr>
      </w:pPr>
    </w:p>
    <w:p w14:paraId="6CB9C99A">
      <w:pPr>
        <w:pStyle w:val="2"/>
        <w:keepNext w:val="0"/>
        <w:keepLines w:val="0"/>
        <w:pageBreakBefore w:val="0"/>
        <w:wordWrap/>
        <w:overflowPunct/>
        <w:topLinePunct w:val="0"/>
        <w:bidi w:val="0"/>
        <w:adjustRightInd w:val="0"/>
        <w:snapToGrid w:val="0"/>
        <w:spacing w:before="167" w:line="578" w:lineRule="exact"/>
        <w:ind w:right="4" w:firstLine="814"/>
      </w:pPr>
      <w:r>
        <w:rPr>
          <w:rFonts w:hint="eastAsia" w:ascii="楷体" w:hAnsi="楷体" w:eastAsia="楷体" w:cs="楷体"/>
          <w:b/>
          <w:bCs/>
          <w:spacing w:val="10"/>
          <w:lang w:eastAsia="zh-CN"/>
        </w:rPr>
        <w:t>（三）</w:t>
      </w:r>
      <w:r>
        <w:rPr>
          <w:rFonts w:ascii="楷体" w:hAnsi="楷体" w:eastAsia="楷体" w:cs="楷体"/>
          <w:b/>
          <w:bCs/>
          <w:spacing w:val="10"/>
        </w:rPr>
        <w:t>结余分配和结转结余情况</w:t>
      </w:r>
    </w:p>
    <w:p w14:paraId="0999A3CB">
      <w:pPr>
        <w:keepNext w:val="0"/>
        <w:keepLines w:val="0"/>
        <w:pageBreakBefore w:val="0"/>
        <w:wordWrap/>
        <w:overflowPunct/>
        <w:topLinePunct w:val="0"/>
        <w:bidi w:val="0"/>
        <w:adjustRightInd w:val="0"/>
        <w:snapToGrid w:val="0"/>
        <w:spacing w:before="181" w:line="578" w:lineRule="exact"/>
        <w:ind w:firstLine="688" w:firstLineChars="200"/>
        <w:outlineLvl w:val="0"/>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根据决算报表，开江县农业农村局2024年无结转结余。</w:t>
      </w:r>
    </w:p>
    <w:p w14:paraId="1640DD14">
      <w:pPr>
        <w:keepNext w:val="0"/>
        <w:keepLines w:val="0"/>
        <w:pageBreakBefore w:val="0"/>
        <w:wordWrap/>
        <w:overflowPunct/>
        <w:topLinePunct w:val="0"/>
        <w:bidi w:val="0"/>
        <w:adjustRightInd w:val="0"/>
        <w:snapToGrid w:val="0"/>
        <w:spacing w:before="181" w:line="578" w:lineRule="exact"/>
        <w:ind w:left="644"/>
        <w:outlineLvl w:val="0"/>
        <w:rPr>
          <w:rFonts w:ascii="黑体" w:hAnsi="黑体" w:eastAsia="黑体" w:cs="黑体"/>
          <w:sz w:val="33"/>
          <w:szCs w:val="33"/>
        </w:rPr>
      </w:pPr>
      <w:r>
        <w:rPr>
          <w:rFonts w:ascii="黑体" w:hAnsi="黑体" w:eastAsia="黑体" w:cs="黑体"/>
          <w:b/>
          <w:bCs/>
          <w:spacing w:val="-13"/>
          <w:sz w:val="33"/>
          <w:szCs w:val="33"/>
        </w:rPr>
        <w:t>三、部门预算绩效分析</w:t>
      </w:r>
    </w:p>
    <w:p w14:paraId="629A2CF8">
      <w:pPr>
        <w:pStyle w:val="2"/>
        <w:keepNext w:val="0"/>
        <w:keepLines w:val="0"/>
        <w:pageBreakBefore w:val="0"/>
        <w:wordWrap/>
        <w:overflowPunct/>
        <w:topLinePunct w:val="0"/>
        <w:bidi w:val="0"/>
        <w:adjustRightInd w:val="0"/>
        <w:snapToGrid w:val="0"/>
        <w:spacing w:before="104" w:line="578" w:lineRule="exact"/>
        <w:ind w:left="9" w:right="80"/>
        <w:rPr>
          <w:rFonts w:hint="eastAsia" w:eastAsia="仿宋"/>
          <w:sz w:val="32"/>
          <w:szCs w:val="32"/>
          <w:lang w:eastAsia="zh-CN"/>
        </w:rPr>
      </w:pPr>
      <w:r>
        <w:rPr>
          <w:rFonts w:hint="eastAsia" w:ascii="楷体" w:hAnsi="楷体" w:eastAsia="楷体" w:cs="楷体"/>
          <w:b/>
          <w:bCs/>
          <w:spacing w:val="-10"/>
          <w:lang w:eastAsia="zh-CN"/>
        </w:rPr>
        <w:t>（一）</w:t>
      </w:r>
      <w:r>
        <w:rPr>
          <w:rFonts w:ascii="楷体" w:hAnsi="楷体" w:eastAsia="楷体" w:cs="楷体"/>
          <w:b/>
          <w:bCs/>
          <w:spacing w:val="-10"/>
        </w:rPr>
        <w:t>部门预算总体绩效分析</w:t>
      </w:r>
    </w:p>
    <w:p w14:paraId="1C72F69B">
      <w:pPr>
        <w:pStyle w:val="2"/>
        <w:keepNext w:val="0"/>
        <w:keepLines w:val="0"/>
        <w:pageBreakBefore w:val="0"/>
        <w:wordWrap/>
        <w:overflowPunct/>
        <w:topLinePunct w:val="0"/>
        <w:bidi w:val="0"/>
        <w:adjustRightInd w:val="0"/>
        <w:snapToGrid w:val="0"/>
        <w:spacing w:before="108" w:line="578" w:lineRule="exact"/>
        <w:ind w:left="9" w:right="20" w:firstLine="630"/>
        <w:rPr>
          <w:sz w:val="32"/>
          <w:szCs w:val="32"/>
        </w:rPr>
      </w:pPr>
      <w:r>
        <w:rPr>
          <w:rFonts w:ascii="楷体" w:hAnsi="楷体" w:eastAsia="楷体" w:cs="楷体"/>
          <w:spacing w:val="-8"/>
          <w:sz w:val="32"/>
          <w:szCs w:val="32"/>
        </w:rPr>
        <w:t>1.履职效能</w:t>
      </w:r>
    </w:p>
    <w:p w14:paraId="756A55DD">
      <w:pPr>
        <w:pStyle w:val="2"/>
        <w:keepNext w:val="0"/>
        <w:keepLines w:val="0"/>
        <w:pageBreakBefore w:val="0"/>
        <w:wordWrap/>
        <w:overflowPunct/>
        <w:topLinePunct w:val="0"/>
        <w:bidi w:val="0"/>
        <w:adjustRightInd w:val="0"/>
        <w:snapToGrid w:val="0"/>
        <w:spacing w:before="78" w:line="578" w:lineRule="exact"/>
        <w:ind w:left="9" w:right="66" w:firstLine="630"/>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1）抓实三大产业，农业经济底盘更加稳固。一是高产粮油喜获丰收。全县粮食作物播种面积达到79.78万亩，预计总产31.95万吨，全县粮油实现面积、产量“双增”，理论测产小麦平均单产达300公斤以上，较去年亩增加55公斤以上，油菜单产205公斤，与去年持平；强力推进“天府粮仓·百县千片”示范创建，建设完成示范攻关方15个，通过以点带面的方式带动全县粮食单产较2023年增长3.1%；今年4月召开达州市“天府粮仓·百县千片”高产竞赛拉赛观摩会，有效提升全市粮油单产水平。完成2024年大豆玉米带状复合种植攻坚总面积8.45万亩、耕地轮作休耕试点高质高效油菜示范9.15万亩。二是优质畜禽破冰突围。在省市大幅核减生猪生产数量和市场行情持续低迷的双重压力下，2024年1-3季度全县出栏生猪27.43万头、肉牛1.13万头、肉羊8.52万只，增速全市均排名第1；出栏家禽647.21万只，增速排名第2；禽蛋产量1.33万吨，增速排名第3；畜牧业总产值15.2亿元，增速全市第2。预计2024年全年出栏生猪38.18万头、出栏肉牛1.4万头、出栏肉羊10.88万只、出栏家禽1107.77万只、禽蛋产量1.95万吨。三是特色水产再创新高。全年稻虾养殖提质扩面10000亩，全县大闸蟹、小龙虾、珍珠蚌特色水产养殖面积达到5.5万亩，年综合产值突破5亿元。2024年，特色水产产量、产值预计同比增长14.0%、16.7%，增量与增速均排全省前列、全市首位。</w:t>
      </w:r>
    </w:p>
    <w:p w14:paraId="0AB23BE5">
      <w:pPr>
        <w:pStyle w:val="2"/>
        <w:keepNext w:val="0"/>
        <w:keepLines w:val="0"/>
        <w:pageBreakBefore w:val="0"/>
        <w:wordWrap/>
        <w:overflowPunct/>
        <w:topLinePunct w:val="0"/>
        <w:bidi w:val="0"/>
        <w:adjustRightInd w:val="0"/>
        <w:snapToGrid w:val="0"/>
        <w:spacing w:before="78" w:line="578" w:lineRule="exact"/>
        <w:ind w:left="9" w:right="66" w:firstLine="630"/>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2）强化三大支撑，农业生产能力不断提升。一是高质量建设农业项目。强力推进国家级园区、稻渔之窗提升运营、“瓦雕第一村”“千万工程”试点示范、省级粮油园区（普安）、“田米水乡”等农业项目建设。截至目前，已累计建成高标准农田37.94万亩并同步进行了县级验收，开江农村综改试点项目总体建设进度已达80%以上，开江智慧农场建设、工文旅特色产业园项目、森林“四库”等农业扛旗攻坚项目正在加快实施。二是高水平提升农业科技。成立稻渔产业科技研究院，围绕良种繁育、饲料配方、疫病防控等关键技术已启动五大课题研究。开展县兽医生物实验室改造升级，有效提升我县重大动物疫病监测预警能力。全年完成机具补贴2730台套、补贴资金184.7021万元。2024年全县主要农作物机械化作业面积达160.32万亩，其中机耕面积68.3万亩、机播面积43.64万亩、机收面积48.38万亩。三是高效率开展行政执法。始终聚焦农资质量、农产品质量、渔政、招投标、动植物检疫、生猪屠宰等领域扎实开展行政执法检查行动。今年共出动执法人员630余人次，执法车辆150余辆，检查门市、摊位290余次；扎实开展长江流域重点水域“十年禁渔”，“中国渔政亮剑2024”“护渔百日联合执法行动”“绿剑护粮安”等系列专项执法行动。县域内天然河流陆上巡查里程80公里，没收或销毁各类违规渔具网具210余件。牵头开展“双随机、一公开”部门联合抽查检查5次；针对招投标领域出动专项工作组开展跨区域调查办案，切实保障市场公平秩序。全年共查办各类案件74件（包含2023年立案未办结案件2件，2024年立案案件72件），办结74件，办结率100%。被评为省级典型案例1个、市级优秀案卷5卷；发放各类宣传资料8000余份。</w:t>
      </w:r>
    </w:p>
    <w:p w14:paraId="05E54536">
      <w:pPr>
        <w:pStyle w:val="2"/>
        <w:keepNext w:val="0"/>
        <w:keepLines w:val="0"/>
        <w:pageBreakBefore w:val="0"/>
        <w:wordWrap/>
        <w:overflowPunct/>
        <w:topLinePunct w:val="0"/>
        <w:bidi w:val="0"/>
        <w:adjustRightInd w:val="0"/>
        <w:snapToGrid w:val="0"/>
        <w:spacing w:before="78" w:line="578" w:lineRule="exact"/>
        <w:ind w:left="9" w:right="66" w:firstLine="630"/>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3）实施三项治理，农业生态环境持续改善。一是农产品质量监测全域覆盖。制定开江县2024年农产品质量安全风险监测实施方案，建立完善监管台账，实施风险分级管控，定期检查抽查实行动态监管。全年市级风险监测任务428批次已完成74%、合格率100%，县级农产品质量安全风险监测样品任务数36批次已完成83%、合格率100%。二是农业面源污染治理有效。印发《2024年开江县农村人居环境整治提升工作推进方案》，全县建立农村沼气、畜禽粪污池监管对象台账1227个，畜禽粪污综合利用率达91.58%，规模养殖场粪污处理设施装备配套率100%。持续推动农药减量化，2024年全县化学农药使用量较上年同期降低0.69%，高效低毒低残留农药普及率达81.36%；全年申报“四川省标准化农药经营门店”1家；深入实施标准化池塘改造养殖尾水治理1700亩，完成行政村聚居点农村生活污水治理9个，持续改善农村地区人居环境。三是农业行业安全形势稳定。制定印发《全县农业行业安全生产集中专项整治工作方案》，严格落实安全生产责任，结合安全生产治本攻坚三年行动、“强安2024”等专项整治行动开展涉农领域安全生产监管检查整治工作，出动检查人数87人次，排查整改农业安全隐患60个；组织开设安全生产讲堂、安全宣传活动60余次，学习培训300余人，发放安全生产宣传资料8000余份。2024年农业安全生产平稳运行，安全事故0发生。</w:t>
      </w:r>
    </w:p>
    <w:p w14:paraId="48E55FFE">
      <w:pPr>
        <w:pStyle w:val="2"/>
        <w:keepNext w:val="0"/>
        <w:keepLines w:val="0"/>
        <w:pageBreakBefore w:val="0"/>
        <w:wordWrap/>
        <w:overflowPunct/>
        <w:topLinePunct w:val="0"/>
        <w:bidi w:val="0"/>
        <w:adjustRightInd w:val="0"/>
        <w:snapToGrid w:val="0"/>
        <w:spacing w:before="78" w:line="578" w:lineRule="exact"/>
        <w:ind w:left="9" w:right="66" w:firstLine="630"/>
        <w:rPr>
          <w:rFonts w:hint="eastAsia" w:ascii="仿宋_GB2312" w:hAnsi="仿宋_GB2312" w:eastAsia="仿宋_GB2312" w:cs="仿宋_GB2312"/>
          <w:snapToGrid w:val="0"/>
          <w:color w:val="000000"/>
          <w:spacing w:val="12"/>
          <w:kern w:val="0"/>
          <w:sz w:val="32"/>
          <w:szCs w:val="32"/>
          <w:lang w:val="en-US" w:eastAsia="zh-CN" w:bidi="ar-SA"/>
        </w:rPr>
      </w:pPr>
      <w:r>
        <w:rPr>
          <w:rFonts w:hint="eastAsia" w:ascii="仿宋_GB2312" w:hAnsi="仿宋_GB2312" w:eastAsia="仿宋_GB2312" w:cs="仿宋_GB2312"/>
          <w:snapToGrid w:val="0"/>
          <w:color w:val="000000"/>
          <w:spacing w:val="12"/>
          <w:kern w:val="0"/>
          <w:sz w:val="32"/>
          <w:szCs w:val="32"/>
          <w:lang w:val="en-US" w:eastAsia="zh-CN" w:bidi="ar-SA"/>
        </w:rPr>
        <w:t>（4）加快三产融合，推动乡村振兴示范引领。一是推进农旅融合。加快城乡融合步伐，“三里田园、黄金花海、莲花世界、田米水乡”等一大批农旅项目建成使用；纳入第四批国家农业绿色发展先行区创建名单；高质量完成2024年国家现代农业产业园创建工作，今年11月，开江县现代农业产业园已通过农业农村部2024年绩效评估并完成公示；工文旅特色产业园项目一期已完成80%以上、二期已启动施工；贮备特色产业“开江豆笋三链同构”全链发展等3个农产品加工项目，引进豆笋企业6家，待产业园建设完成后签订入驻。城乡融合、产城两旺、舒适宜居“中国田城”的壮美画卷逐步呈现。二是建设和美乡村。持续拓展农业功能、挖掘乡村多元价值，印发《开江县学习运用“千万工程”经验加快建设宜居宜业和美田城推进方案（2024年—2028年）》，设计规划1个精品村、6个示范村和5个达标村建设，共计投资6564.28万元。编制印发《乡村建设行动2024年度任务清单》，新改建农村卫生厕所1237户；高质量承办了全国第三届印迹乡村创意设计大赛总决赛；荣获四川省2023年度乡村振兴成效显著县、达州市2024年第一季度乡村振兴“擂台赛”一等奖等多项殊荣。三是加快品牌创建。开展农业品种培优、品质提升、品牌打造和标准化生产提升行动，成功培育农业产业化市级重点龙头企业2家，组织申报农产品产地产品认证3个，组织开江特色农产品公司参加农博会、全国粮油和大豆博览会等重要展会22家次，开江田品知名度和市场竞争力持续提升。</w:t>
      </w:r>
    </w:p>
    <w:p w14:paraId="3D24114D">
      <w:pPr>
        <w:pStyle w:val="2"/>
        <w:keepNext w:val="0"/>
        <w:keepLines w:val="0"/>
        <w:pageBreakBefore w:val="0"/>
        <w:wordWrap/>
        <w:overflowPunct/>
        <w:topLinePunct w:val="0"/>
        <w:bidi w:val="0"/>
        <w:adjustRightInd w:val="0"/>
        <w:snapToGrid w:val="0"/>
        <w:spacing w:before="78" w:line="578" w:lineRule="exact"/>
        <w:ind w:left="9" w:right="66" w:firstLine="630"/>
        <w:rPr>
          <w:rFonts w:hint="eastAsia" w:ascii="仿宋_GB2312" w:hAnsi="仿宋_GB2312" w:eastAsia="仿宋_GB2312" w:cs="仿宋_GB2312"/>
          <w:spacing w:val="-5"/>
          <w:sz w:val="32"/>
          <w:szCs w:val="32"/>
        </w:rPr>
      </w:pPr>
      <w:r>
        <w:rPr>
          <w:rFonts w:hint="eastAsia" w:ascii="仿宋_GB2312" w:hAnsi="仿宋_GB2312" w:eastAsia="仿宋_GB2312" w:cs="仿宋_GB2312"/>
          <w:snapToGrid w:val="0"/>
          <w:color w:val="000000"/>
          <w:spacing w:val="12"/>
          <w:kern w:val="0"/>
          <w:sz w:val="32"/>
          <w:szCs w:val="32"/>
          <w:lang w:val="en-US" w:eastAsia="zh-CN" w:bidi="ar-SA"/>
        </w:rPr>
        <w:t>（5）落实三大保障，促进农业农村向好发展。一是常态化开展帮扶监测。扎实推进防返贫监测帮扶体系建设，推送风险线索共7207条并全部完成复核，印发集中排查实施方案，组织4193名排查员全覆盖排查农户149943户，认定监测对象20户71人；建立县级帮扶措施库56条；发放帮扶政策“明白纸”2万余份，做到脱贫户、监测户全覆盖。二是持续性加大资金投入。全年向上争取项目17个、储备项目26个、已到位中省资金3.5亿元。农业招商专班外出招商引资10余次，签约项目4个、在谈项目9个，投资金额约15亿元。三是集中式开展专项整治。始终把高标准农田建设和农村“三资”监管作为集中整治群众身边不正之风和腐败问题的重要载体和有力抓手，围绕专项整治的主要内容、实施步骤扎实稳步推进集中整治。目前，农村集体“三资”监管排查问题222个完成整改153条、整改率68%；高标准农田建设排查问题59个完成整改29条，两项整治向纪委监委移交问题线索31条，立案63件63人。</w:t>
      </w:r>
    </w:p>
    <w:p w14:paraId="6466BA18">
      <w:pPr>
        <w:pStyle w:val="2"/>
        <w:keepNext w:val="0"/>
        <w:keepLines w:val="0"/>
        <w:pageBreakBefore w:val="0"/>
        <w:wordWrap/>
        <w:overflowPunct/>
        <w:topLinePunct w:val="0"/>
        <w:bidi w:val="0"/>
        <w:adjustRightInd w:val="0"/>
        <w:snapToGrid w:val="0"/>
        <w:spacing w:before="93" w:line="578" w:lineRule="exact"/>
        <w:ind w:left="9" w:right="109" w:firstLine="630"/>
        <w:rPr>
          <w:rFonts w:hint="eastAsia" w:ascii="楷体" w:hAnsi="楷体" w:eastAsia="楷体" w:cs="楷体"/>
          <w:b w:val="0"/>
          <w:bCs w:val="0"/>
          <w:spacing w:val="-7"/>
          <w:sz w:val="32"/>
          <w:szCs w:val="32"/>
        </w:rPr>
      </w:pPr>
      <w:r>
        <w:rPr>
          <w:rFonts w:hint="eastAsia" w:ascii="楷体" w:hAnsi="楷体" w:eastAsia="楷体" w:cs="楷体"/>
          <w:b w:val="0"/>
          <w:bCs w:val="0"/>
          <w:spacing w:val="-7"/>
          <w:sz w:val="32"/>
          <w:szCs w:val="32"/>
        </w:rPr>
        <w:t>2.预算管理</w:t>
      </w:r>
    </w:p>
    <w:p w14:paraId="1C912FCE">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预算编制质量</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zh-CN" w:eastAsia="zh-CN"/>
        </w:rPr>
        <w:t>2024年</w:t>
      </w:r>
      <w:r>
        <w:rPr>
          <w:rFonts w:hint="eastAsia" w:ascii="仿宋_GB2312" w:hAnsi="仿宋_GB2312" w:eastAsia="仿宋_GB2312" w:cs="仿宋_GB2312"/>
          <w:spacing w:val="3"/>
          <w:sz w:val="32"/>
          <w:szCs w:val="32"/>
          <w:lang w:val="en-US" w:eastAsia="zh-CN"/>
        </w:rPr>
        <w:t>本部门</w:t>
      </w:r>
      <w:r>
        <w:rPr>
          <w:rFonts w:hint="eastAsia" w:ascii="仿宋_GB2312" w:hAnsi="仿宋_GB2312" w:eastAsia="仿宋_GB2312" w:cs="仿宋_GB2312"/>
          <w:spacing w:val="3"/>
          <w:sz w:val="32"/>
          <w:szCs w:val="32"/>
          <w:lang w:val="zh-CN" w:eastAsia="zh-CN"/>
        </w:rPr>
        <w:t>坚持科学谋划预算资金安排，依据规定程序和要求，及时完成部门预算编制申报，同时合理设定入库项目绩效指标、年度目标值，科学构建部门整体支出核心绩效指标体系和编报部门整体预算申请绩效报告。部门按要求编制年初部门预算，严格执行《中华人民共和国预算法》等有关文件精神和要求，预算数据准确，无随意调整预算情况，各项收入均纳入预算管理，</w:t>
      </w:r>
      <w:r>
        <w:rPr>
          <w:rFonts w:hint="eastAsia" w:ascii="仿宋_GB2312" w:hAnsi="仿宋_GB2312" w:eastAsia="仿宋_GB2312" w:cs="仿宋_GB2312"/>
          <w:spacing w:val="3"/>
          <w:sz w:val="32"/>
          <w:szCs w:val="32"/>
          <w:lang w:val="en-US" w:eastAsia="zh-CN"/>
        </w:rPr>
        <w:t>年终无结余。</w:t>
      </w:r>
    </w:p>
    <w:p w14:paraId="19AB6307">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支出执行进度</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lang w:val="en-US" w:eastAsia="zh-CN"/>
        </w:rPr>
        <w:t>本年度执行进度与上年持平。</w:t>
      </w:r>
    </w:p>
    <w:p w14:paraId="084884A8">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spacing w:val="3"/>
          <w:sz w:val="32"/>
          <w:szCs w:val="32"/>
          <w:lang w:val="en-US" w:eastAsia="zh-CN"/>
        </w:rPr>
      </w:pPr>
      <w:r>
        <w:rPr>
          <w:rFonts w:hint="eastAsia" w:ascii="仿宋_GB2312" w:hAnsi="仿宋_GB2312" w:eastAsia="仿宋_GB2312" w:cs="仿宋_GB2312"/>
          <w:spacing w:val="3"/>
          <w:sz w:val="32"/>
          <w:szCs w:val="32"/>
          <w:lang w:val="en-US" w:eastAsia="zh-CN"/>
        </w:rPr>
        <w:t>严控一般性支出：按照相关要求，部门严控“三公”经费，本年度“三公”经费3.40万元，比上年度减少1.10万元。培训、会议费1.12万元，比上年度减少1.37万元。</w:t>
      </w:r>
    </w:p>
    <w:p w14:paraId="32503075">
      <w:pPr>
        <w:pStyle w:val="2"/>
        <w:keepNext w:val="0"/>
        <w:keepLines w:val="0"/>
        <w:pageBreakBefore w:val="0"/>
        <w:wordWrap/>
        <w:overflowPunct/>
        <w:topLinePunct w:val="0"/>
        <w:bidi w:val="0"/>
        <w:adjustRightInd w:val="0"/>
        <w:snapToGrid w:val="0"/>
        <w:spacing w:before="93" w:line="578" w:lineRule="exact"/>
        <w:ind w:left="9" w:right="109" w:firstLine="630"/>
        <w:rPr>
          <w:sz w:val="32"/>
          <w:szCs w:val="32"/>
        </w:rPr>
      </w:pPr>
      <w:r>
        <w:rPr>
          <w:rFonts w:ascii="楷体" w:hAnsi="楷体" w:eastAsia="楷体" w:cs="楷体"/>
          <w:b w:val="0"/>
          <w:bCs w:val="0"/>
          <w:spacing w:val="-7"/>
          <w:sz w:val="32"/>
          <w:szCs w:val="32"/>
        </w:rPr>
        <w:t>3.财务管理</w:t>
      </w:r>
    </w:p>
    <w:p w14:paraId="595BDF73">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ascii="仿宋_GB2312" w:hAnsi="仿宋_GB2312" w:eastAsia="仿宋_GB2312" w:cs="仿宋_GB2312"/>
          <w:spacing w:val="3"/>
          <w:sz w:val="32"/>
          <w:szCs w:val="32"/>
          <w:lang w:val="zh-CN" w:eastAsia="zh-CN"/>
        </w:rPr>
      </w:pPr>
      <w:r>
        <w:rPr>
          <w:rFonts w:hint="eastAsia" w:ascii="仿宋_GB2312" w:hAnsi="仿宋_GB2312" w:eastAsia="仿宋_GB2312" w:cs="仿宋_GB2312"/>
          <w:spacing w:val="3"/>
          <w:sz w:val="32"/>
          <w:szCs w:val="32"/>
          <w:lang w:val="zh-CN" w:eastAsia="zh-CN"/>
        </w:rPr>
        <w:t>（</w:t>
      </w:r>
      <w:r>
        <w:rPr>
          <w:rFonts w:hint="eastAsia" w:ascii="仿宋_GB2312" w:hAnsi="仿宋_GB2312" w:eastAsia="仿宋_GB2312" w:cs="仿宋_GB2312"/>
          <w:spacing w:val="3"/>
          <w:sz w:val="32"/>
          <w:szCs w:val="32"/>
          <w:lang w:val="en-US" w:eastAsia="zh-CN"/>
        </w:rPr>
        <w:t>1</w:t>
      </w:r>
      <w:r>
        <w:rPr>
          <w:rFonts w:hint="eastAsia" w:ascii="仿宋_GB2312" w:hAnsi="仿宋_GB2312" w:eastAsia="仿宋_GB2312" w:cs="仿宋_GB2312"/>
          <w:spacing w:val="3"/>
          <w:sz w:val="32"/>
          <w:szCs w:val="32"/>
          <w:lang w:val="zh-CN" w:eastAsia="zh-CN"/>
        </w:rPr>
        <w:t>）严格执行《行政单位国有资产管理暂行办法》（财政部令第35号）和《事业单位国有资产管理暂行办法》（财政部令第36号），加强资产管理，建立资产管理制度，将各类资产录入国有资产管理信息系统，分类建立资产卡片，实行资产动态管理。同时单位资产实行“谁使用、谁负责”的管理原则，及时进行资产清查盘点，确保了账实相符。</w:t>
      </w:r>
    </w:p>
    <w:p w14:paraId="5B5F9BAB">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ascii="仿宋_GB2312" w:hAnsi="仿宋_GB2312" w:eastAsia="仿宋_GB2312" w:cs="仿宋_GB2312"/>
          <w:spacing w:val="3"/>
          <w:sz w:val="32"/>
          <w:szCs w:val="32"/>
          <w:lang w:val="zh-CN" w:eastAsia="zh-CN"/>
        </w:rPr>
      </w:pPr>
      <w:r>
        <w:rPr>
          <w:rFonts w:hint="eastAsia" w:ascii="仿宋_GB2312" w:hAnsi="仿宋_GB2312" w:eastAsia="仿宋_GB2312" w:cs="仿宋_GB2312"/>
          <w:spacing w:val="3"/>
          <w:sz w:val="32"/>
          <w:szCs w:val="32"/>
          <w:lang w:val="en-US" w:eastAsia="zh-CN"/>
        </w:rPr>
        <w:t>（2）部门合理设置财务工作岗位，明确职责权限，财务岗位</w:t>
      </w:r>
      <w:r>
        <w:rPr>
          <w:rFonts w:hint="eastAsia" w:ascii="仿宋_GB2312" w:hAnsi="仿宋_GB2312" w:eastAsia="仿宋_GB2312" w:cs="仿宋_GB2312"/>
          <w:spacing w:val="3"/>
          <w:sz w:val="32"/>
          <w:szCs w:val="32"/>
          <w:lang w:val="zh-CN" w:eastAsia="zh-CN"/>
        </w:rPr>
        <w:t>负责编制部门年度预决算，并严格实行不相容岗位分离，及时按要求填报各类财务报表，做到手续完备、数字准确、书写整洁、登记及时、账面清楚。</w:t>
      </w:r>
    </w:p>
    <w:p w14:paraId="4C0C78E8">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3"/>
          <w:sz w:val="32"/>
          <w:szCs w:val="32"/>
          <w:lang w:val="zh-CN" w:eastAsia="zh-CN"/>
        </w:rPr>
        <w:t>（</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lang w:val="zh-CN" w:eastAsia="zh-CN"/>
        </w:rPr>
        <w:t>）资金严格按批准的项目和用途使用，不得自行改变项目内容，扩大使用范围，避免专项专款专用资金挪作其他用途。</w:t>
      </w:r>
    </w:p>
    <w:p w14:paraId="448804B7">
      <w:pPr>
        <w:pStyle w:val="2"/>
        <w:keepNext w:val="0"/>
        <w:keepLines w:val="0"/>
        <w:pageBreakBefore w:val="0"/>
        <w:wordWrap/>
        <w:overflowPunct/>
        <w:topLinePunct w:val="0"/>
        <w:bidi w:val="0"/>
        <w:adjustRightInd w:val="0"/>
        <w:snapToGrid w:val="0"/>
        <w:spacing w:before="89" w:line="578" w:lineRule="exact"/>
        <w:ind w:left="9" w:right="86" w:firstLine="629"/>
        <w:rPr>
          <w:sz w:val="32"/>
          <w:szCs w:val="32"/>
        </w:rPr>
      </w:pPr>
      <w:r>
        <w:rPr>
          <w:rFonts w:ascii="宋体" w:hAnsi="宋体" w:eastAsia="宋体" w:cs="宋体"/>
          <w:spacing w:val="-6"/>
          <w:sz w:val="32"/>
          <w:szCs w:val="32"/>
        </w:rPr>
        <w:t>4.</w:t>
      </w:r>
      <w:r>
        <w:rPr>
          <w:rFonts w:ascii="楷体" w:hAnsi="楷体" w:eastAsia="楷体" w:cs="楷体"/>
          <w:spacing w:val="-6"/>
          <w:sz w:val="32"/>
          <w:szCs w:val="32"/>
        </w:rPr>
        <w:t>资产管理</w:t>
      </w:r>
    </w:p>
    <w:p w14:paraId="7F34C65A">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spacing w:val="3"/>
          <w:sz w:val="32"/>
          <w:szCs w:val="32"/>
          <w:lang w:val="en-US" w:eastAsia="zh-CN"/>
        </w:rPr>
      </w:pPr>
      <w:r>
        <w:rPr>
          <w:rFonts w:hint="eastAsia" w:ascii="仿宋_GB2312" w:hAnsi="仿宋_GB2312" w:eastAsia="仿宋_GB2312" w:cs="仿宋_GB2312"/>
          <w:spacing w:val="3"/>
          <w:sz w:val="32"/>
          <w:szCs w:val="32"/>
          <w:lang w:val="en-US" w:eastAsia="zh-CN"/>
        </w:rPr>
        <w:t>2024年</w:t>
      </w:r>
      <w:r>
        <w:rPr>
          <w:rFonts w:hint="eastAsia" w:ascii="仿宋_GB2312" w:hAnsi="仿宋_GB2312" w:eastAsia="仿宋_GB2312" w:cs="仿宋_GB2312"/>
          <w:snapToGrid w:val="0"/>
          <w:color w:val="000000"/>
          <w:spacing w:val="12"/>
          <w:kern w:val="0"/>
          <w:sz w:val="32"/>
          <w:szCs w:val="32"/>
          <w:lang w:val="en-US" w:eastAsia="zh-CN" w:bidi="ar-SA"/>
        </w:rPr>
        <w:t>开江县农业农村局</w:t>
      </w:r>
      <w:r>
        <w:rPr>
          <w:rFonts w:hint="eastAsia" w:ascii="仿宋_GB2312" w:hAnsi="仿宋_GB2312" w:eastAsia="仿宋_GB2312" w:cs="仿宋_GB2312"/>
          <w:spacing w:val="3"/>
          <w:sz w:val="32"/>
          <w:szCs w:val="32"/>
          <w:lang w:val="en-US" w:eastAsia="zh-CN"/>
        </w:rPr>
        <w:t>按照“严控增量，盘活存量”的原则，全面深化资产集约化、规范化管理。同时，扎实开展资产清查、盘点、登记等日常资产管理工作，确保账实相符、账相符。</w:t>
      </w:r>
      <w:r>
        <w:rPr>
          <w:rFonts w:hint="eastAsia" w:ascii="仿宋_GB2312" w:hAnsi="仿宋_GB2312" w:eastAsia="仿宋_GB2312" w:cs="仿宋_GB2312"/>
          <w:color w:val="000000"/>
          <w:kern w:val="0"/>
          <w:szCs w:val="32"/>
          <w:highlight w:val="none"/>
          <w:shd w:val="clear" w:color="auto" w:fill="FFFFFF"/>
          <w:lang w:val="en-US" w:eastAsia="zh-CN"/>
        </w:rPr>
        <w:t>资产得到了科学合理地配置利用，利用率为100%，无闲置资产，</w:t>
      </w:r>
      <w:r>
        <w:rPr>
          <w:rFonts w:hint="eastAsia" w:ascii="仿宋_GB2312" w:hAnsi="仿宋_GB2312" w:eastAsia="仿宋_GB2312" w:cs="仿宋_GB2312"/>
          <w:color w:val="000000"/>
          <w:kern w:val="0"/>
          <w:szCs w:val="32"/>
          <w:highlight w:val="none"/>
          <w:shd w:val="clear" w:color="auto" w:fill="FFFFFF"/>
          <w:lang w:val="zh-CN" w:eastAsia="zh-CN"/>
        </w:rPr>
        <w:t>资产盘活率</w:t>
      </w:r>
      <w:r>
        <w:rPr>
          <w:rFonts w:hint="eastAsia" w:ascii="仿宋_GB2312" w:hAnsi="仿宋_GB2312" w:eastAsia="仿宋_GB2312" w:cs="仿宋_GB2312"/>
          <w:color w:val="000000"/>
          <w:kern w:val="0"/>
          <w:szCs w:val="32"/>
          <w:highlight w:val="none"/>
          <w:shd w:val="clear" w:color="auto" w:fill="FFFFFF"/>
          <w:lang w:val="en-US" w:eastAsia="zh-CN"/>
        </w:rPr>
        <w:t>100%。</w:t>
      </w:r>
    </w:p>
    <w:p w14:paraId="7D15807D">
      <w:pPr>
        <w:pStyle w:val="2"/>
        <w:keepNext w:val="0"/>
        <w:keepLines w:val="0"/>
        <w:pageBreakBefore w:val="0"/>
        <w:wordWrap/>
        <w:overflowPunct/>
        <w:topLinePunct w:val="0"/>
        <w:bidi w:val="0"/>
        <w:adjustRightInd w:val="0"/>
        <w:snapToGrid w:val="0"/>
        <w:spacing w:before="96" w:line="578" w:lineRule="exact"/>
        <w:ind w:left="9" w:right="109" w:firstLine="629"/>
        <w:rPr>
          <w:sz w:val="32"/>
          <w:szCs w:val="32"/>
        </w:rPr>
      </w:pPr>
      <w:r>
        <w:rPr>
          <w:rFonts w:ascii="楷体" w:hAnsi="楷体" w:eastAsia="楷体" w:cs="楷体"/>
          <w:spacing w:val="-7"/>
          <w:sz w:val="32"/>
          <w:szCs w:val="32"/>
        </w:rPr>
        <w:t>5.采购管理</w:t>
      </w:r>
    </w:p>
    <w:p w14:paraId="0EE9113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52" w:firstLineChars="200"/>
        <w:contextualSpacing/>
        <w:jc w:val="left"/>
        <w:textAlignment w:val="auto"/>
        <w:outlineLvl w:val="9"/>
        <w:rPr>
          <w:rFonts w:hint="eastAsia" w:ascii="仿宋_GB2312" w:hAnsi="仿宋_GB2312" w:eastAsia="仿宋_GB2312" w:cs="仿宋_GB2312"/>
          <w:snapToGrid w:val="0"/>
          <w:color w:val="000000"/>
          <w:spacing w:val="3"/>
          <w:kern w:val="0"/>
          <w:sz w:val="32"/>
          <w:szCs w:val="32"/>
          <w:lang w:val="zh-CN" w:eastAsia="zh-CN" w:bidi="ar-SA"/>
        </w:rPr>
      </w:pPr>
      <w:r>
        <w:rPr>
          <w:rFonts w:hint="eastAsia" w:ascii="仿宋_GB2312" w:hAnsi="仿宋_GB2312" w:eastAsia="仿宋_GB2312" w:cs="仿宋_GB2312"/>
          <w:snapToGrid w:val="0"/>
          <w:color w:val="000000"/>
          <w:spacing w:val="3"/>
          <w:kern w:val="0"/>
          <w:sz w:val="32"/>
          <w:szCs w:val="32"/>
          <w:lang w:val="zh-CN" w:eastAsia="zh-CN" w:bidi="ar-SA"/>
        </w:rPr>
        <w:t>根据《中华人民共和国政府采购法》和《中华人民共和国政府采购法实施条例》等法律法规，结合</w:t>
      </w:r>
      <w:r>
        <w:rPr>
          <w:rFonts w:hint="eastAsia" w:ascii="仿宋_GB2312" w:hAnsi="仿宋_GB2312" w:eastAsia="仿宋_GB2312" w:cs="仿宋_GB2312"/>
          <w:snapToGrid w:val="0"/>
          <w:color w:val="000000"/>
          <w:spacing w:val="3"/>
          <w:kern w:val="0"/>
          <w:sz w:val="32"/>
          <w:szCs w:val="32"/>
          <w:lang w:val="en-US" w:eastAsia="zh-CN" w:bidi="ar-SA"/>
        </w:rPr>
        <w:t>部门实际：实行采购促进中小企业发展管理办法，通过预留份额、‌评审优惠等措施，‌扩大中小企业获得政府采购合同份额，‌从而支持中小企业的发展。‌这一政策的实施，‌对于加大对中小企业的支持力度，‌推动中小企业健康发展，‌助力做好“六稳”工作、‌落实“六保”任务具有重要意义。2024年度政府采购87.65万元。</w:t>
      </w:r>
    </w:p>
    <w:p w14:paraId="53C27D78">
      <w:pPr>
        <w:pStyle w:val="2"/>
        <w:keepNext w:val="0"/>
        <w:keepLines w:val="0"/>
        <w:pageBreakBefore w:val="0"/>
        <w:wordWrap/>
        <w:overflowPunct/>
        <w:topLinePunct w:val="0"/>
        <w:bidi w:val="0"/>
        <w:adjustRightInd w:val="0"/>
        <w:snapToGrid w:val="0"/>
        <w:spacing w:before="116" w:line="578" w:lineRule="exact"/>
        <w:ind w:left="9" w:firstLine="810"/>
        <w:jc w:val="both"/>
        <w:rPr>
          <w:sz w:val="32"/>
          <w:szCs w:val="32"/>
        </w:rPr>
      </w:pPr>
      <w:r>
        <w:rPr>
          <w:rFonts w:hint="eastAsia" w:ascii="楷体" w:hAnsi="楷体" w:eastAsia="楷体" w:cs="楷体"/>
          <w:sz w:val="32"/>
          <w:szCs w:val="32"/>
          <w:lang w:eastAsia="zh-CN"/>
        </w:rPr>
        <w:t>（二）</w:t>
      </w:r>
      <w:r>
        <w:rPr>
          <w:rFonts w:ascii="楷体" w:hAnsi="楷体" w:eastAsia="楷体" w:cs="楷体"/>
          <w:sz w:val="32"/>
          <w:szCs w:val="32"/>
        </w:rPr>
        <w:t>部门预算项目绩效分析</w:t>
      </w:r>
    </w:p>
    <w:p w14:paraId="674D646F">
      <w:pPr>
        <w:pStyle w:val="2"/>
        <w:keepNext w:val="0"/>
        <w:keepLines w:val="0"/>
        <w:pageBreakBefore w:val="0"/>
        <w:wordWrap/>
        <w:overflowPunct/>
        <w:topLinePunct w:val="0"/>
        <w:bidi w:val="0"/>
        <w:adjustRightInd w:val="0"/>
        <w:snapToGrid w:val="0"/>
        <w:spacing w:before="54" w:line="578" w:lineRule="exact"/>
        <w:ind w:left="9" w:right="86"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常年项目绩效分析。该类项目总数</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w:t>
      </w:r>
      <w:r>
        <w:rPr>
          <w:rFonts w:hint="eastAsia" w:ascii="仿宋_GB2312" w:hAnsi="仿宋_GB2312" w:eastAsia="仿宋_GB2312" w:cs="仿宋_GB2312"/>
          <w:spacing w:val="2"/>
          <w:sz w:val="32"/>
          <w:szCs w:val="32"/>
        </w:rPr>
        <w:t>涉及预算总金额</w:t>
      </w:r>
      <w:r>
        <w:rPr>
          <w:rFonts w:hint="eastAsia" w:ascii="仿宋_GB2312" w:hAnsi="仿宋_GB2312" w:eastAsia="仿宋_GB2312" w:cs="仿宋_GB2312"/>
          <w:spacing w:val="2"/>
          <w:sz w:val="32"/>
          <w:szCs w:val="32"/>
          <w:lang w:val="en-US" w:eastAsia="zh-CN"/>
        </w:rPr>
        <w:t>0</w:t>
      </w:r>
      <w:r>
        <w:rPr>
          <w:rFonts w:hint="eastAsia" w:ascii="仿宋_GB2312" w:hAnsi="仿宋_GB2312" w:eastAsia="仿宋_GB2312" w:cs="仿宋_GB2312"/>
          <w:spacing w:val="11"/>
          <w:sz w:val="32"/>
          <w:szCs w:val="32"/>
        </w:rPr>
        <w:t>万元，1—12月预算执行总体进度为</w:t>
      </w:r>
      <w:r>
        <w:rPr>
          <w:rFonts w:hint="eastAsia" w:ascii="仿宋_GB2312" w:hAnsi="仿宋_GB2312" w:eastAsia="仿宋_GB2312" w:cs="仿宋_GB2312"/>
          <w:spacing w:val="11"/>
          <w:sz w:val="32"/>
          <w:szCs w:val="32"/>
          <w:lang w:val="en-US" w:eastAsia="zh-CN"/>
        </w:rPr>
        <w:t>0</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其</w:t>
      </w:r>
      <w:r>
        <w:rPr>
          <w:rFonts w:hint="eastAsia" w:ascii="仿宋_GB2312" w:hAnsi="仿宋_GB2312" w:eastAsia="仿宋_GB2312" w:cs="仿宋_GB2312"/>
          <w:spacing w:val="10"/>
          <w:sz w:val="32"/>
          <w:szCs w:val="32"/>
        </w:rPr>
        <w:t>中：预算结余率大</w:t>
      </w:r>
      <w:r>
        <w:rPr>
          <w:rFonts w:hint="eastAsia" w:ascii="仿宋_GB2312" w:hAnsi="仿宋_GB2312" w:eastAsia="仿宋_GB2312" w:cs="仿宋_GB2312"/>
          <w:spacing w:val="11"/>
          <w:sz w:val="32"/>
          <w:szCs w:val="32"/>
        </w:rPr>
        <w:t>于10%的项目共计</w:t>
      </w:r>
      <w:r>
        <w:rPr>
          <w:rFonts w:hint="eastAsia" w:ascii="仿宋_GB2312" w:hAnsi="仿宋_GB2312" w:eastAsia="仿宋_GB2312" w:cs="仿宋_GB2312"/>
          <w:spacing w:val="57"/>
          <w:sz w:val="32"/>
          <w:szCs w:val="32"/>
          <w:lang w:val="en-US" w:eastAsia="zh-CN"/>
        </w:rPr>
        <w:t>0</w:t>
      </w:r>
      <w:r>
        <w:rPr>
          <w:rFonts w:hint="eastAsia" w:ascii="仿宋_GB2312" w:hAnsi="仿宋_GB2312" w:eastAsia="仿宋_GB2312" w:cs="仿宋_GB2312"/>
          <w:spacing w:val="11"/>
          <w:sz w:val="32"/>
          <w:szCs w:val="32"/>
        </w:rPr>
        <w:t>个。</w:t>
      </w:r>
    </w:p>
    <w:p w14:paraId="0CC9F790">
      <w:pPr>
        <w:pStyle w:val="2"/>
        <w:keepNext w:val="0"/>
        <w:keepLines w:val="0"/>
        <w:pageBreakBefore w:val="0"/>
        <w:wordWrap/>
        <w:overflowPunct/>
        <w:topLinePunct w:val="0"/>
        <w:bidi w:val="0"/>
        <w:adjustRightInd w:val="0"/>
        <w:snapToGrid w:val="0"/>
        <w:spacing w:before="74" w:line="578" w:lineRule="exact"/>
        <w:ind w:left="9" w:right="20"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阶段</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一次性</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项目绩效分析。该类项目总数</w:t>
      </w:r>
      <w:r>
        <w:rPr>
          <w:rFonts w:hint="eastAsia" w:ascii="仿宋_GB2312" w:hAnsi="仿宋_GB2312" w:eastAsia="仿宋_GB2312" w:cs="仿宋_GB2312"/>
          <w:spacing w:val="52"/>
          <w:sz w:val="32"/>
          <w:szCs w:val="32"/>
          <w:lang w:val="en-US" w:eastAsia="zh-CN"/>
        </w:rPr>
        <w:t>13</w:t>
      </w:r>
      <w:r>
        <w:rPr>
          <w:rFonts w:hint="eastAsia" w:ascii="仿宋_GB2312" w:hAnsi="仿宋_GB2312" w:eastAsia="仿宋_GB2312" w:cs="仿宋_GB2312"/>
          <w:spacing w:val="12"/>
          <w:sz w:val="32"/>
          <w:szCs w:val="32"/>
        </w:rPr>
        <w:t>个，涉及</w:t>
      </w:r>
      <w:r>
        <w:rPr>
          <w:rFonts w:hint="eastAsia" w:ascii="仿宋_GB2312" w:hAnsi="仿宋_GB2312" w:eastAsia="仿宋_GB2312" w:cs="仿宋_GB2312"/>
          <w:spacing w:val="6"/>
          <w:sz w:val="32"/>
          <w:szCs w:val="32"/>
        </w:rPr>
        <w:t>预算总金额37625.3</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spacing w:val="6"/>
          <w:sz w:val="32"/>
          <w:szCs w:val="32"/>
        </w:rPr>
        <w:t>万元，1—12月预算执行总体进度为</w:t>
      </w:r>
      <w:r>
        <w:rPr>
          <w:rFonts w:hint="eastAsia" w:ascii="仿宋_GB2312" w:hAnsi="仿宋_GB2312" w:eastAsia="仿宋_GB2312" w:cs="仿宋_GB2312"/>
          <w:spacing w:val="41"/>
          <w:sz w:val="32"/>
          <w:szCs w:val="32"/>
          <w:lang w:val="en-US" w:eastAsia="zh-CN"/>
        </w:rPr>
        <w:t>100</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5"/>
          <w:sz w:val="32"/>
          <w:szCs w:val="32"/>
        </w:rPr>
        <w:t>其中：</w:t>
      </w:r>
      <w:r>
        <w:rPr>
          <w:rFonts w:hint="eastAsia" w:ascii="仿宋_GB2312" w:hAnsi="仿宋_GB2312" w:eastAsia="仿宋_GB2312" w:cs="仿宋_GB2312"/>
          <w:spacing w:val="11"/>
          <w:sz w:val="32"/>
          <w:szCs w:val="32"/>
        </w:rPr>
        <w:t>预算结余率大于10%的项目共计</w:t>
      </w:r>
      <w:r>
        <w:rPr>
          <w:rFonts w:hint="eastAsia" w:ascii="仿宋_GB2312" w:hAnsi="仿宋_GB2312" w:eastAsia="仿宋_GB2312" w:cs="仿宋_GB2312"/>
          <w:spacing w:val="39"/>
          <w:sz w:val="32"/>
          <w:szCs w:val="32"/>
          <w:lang w:val="en-US" w:eastAsia="zh-CN"/>
        </w:rPr>
        <w:t>0</w:t>
      </w:r>
      <w:r>
        <w:rPr>
          <w:rFonts w:hint="eastAsia" w:ascii="仿宋_GB2312" w:hAnsi="仿宋_GB2312" w:eastAsia="仿宋_GB2312" w:cs="仿宋_GB2312"/>
          <w:spacing w:val="11"/>
          <w:sz w:val="32"/>
          <w:szCs w:val="32"/>
        </w:rPr>
        <w:t>个。</w:t>
      </w:r>
    </w:p>
    <w:p w14:paraId="37F25F24">
      <w:pPr>
        <w:pStyle w:val="2"/>
        <w:keepNext w:val="0"/>
        <w:keepLines w:val="0"/>
        <w:pageBreakBefore w:val="0"/>
        <w:wordWrap/>
        <w:overflowPunct/>
        <w:topLinePunct w:val="0"/>
        <w:bidi w:val="0"/>
        <w:adjustRightInd w:val="0"/>
        <w:snapToGrid w:val="0"/>
        <w:spacing w:before="58" w:line="578" w:lineRule="exact"/>
        <w:ind w:left="639"/>
        <w:rPr>
          <w:rFonts w:hint="eastAsia" w:ascii="仿宋" w:hAnsi="仿宋" w:eastAsia="仿宋" w:cs="仿宋"/>
          <w:snapToGrid w:val="0"/>
          <w:color w:val="000000"/>
          <w:spacing w:val="6"/>
          <w:kern w:val="0"/>
          <w:sz w:val="32"/>
          <w:szCs w:val="32"/>
          <w:lang w:val="en-US" w:eastAsia="zh-CN" w:bidi="ar-SA"/>
        </w:rPr>
      </w:pPr>
      <w:r>
        <w:rPr>
          <w:rFonts w:ascii="宋体" w:hAnsi="宋体" w:eastAsia="宋体" w:cs="宋体"/>
          <w:spacing w:val="-5"/>
          <w:sz w:val="32"/>
          <w:szCs w:val="32"/>
        </w:rPr>
        <w:t>1.</w:t>
      </w:r>
      <w:r>
        <w:rPr>
          <w:rFonts w:ascii="楷体" w:hAnsi="楷体" w:eastAsia="楷体" w:cs="楷体"/>
          <w:spacing w:val="-5"/>
          <w:sz w:val="32"/>
          <w:szCs w:val="32"/>
        </w:rPr>
        <w:t>项目决策</w:t>
      </w:r>
    </w:p>
    <w:p w14:paraId="67E489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4" w:firstLineChars="200"/>
        <w:contextualSpacing/>
        <w:jc w:val="lef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napToGrid w:val="0"/>
          <w:color w:val="000000"/>
          <w:spacing w:val="6"/>
          <w:kern w:val="0"/>
          <w:sz w:val="32"/>
          <w:szCs w:val="32"/>
          <w:lang w:val="zh-CN" w:eastAsia="zh-CN" w:bidi="ar-SA"/>
        </w:rPr>
        <w:t>2024年度，我局预算项目的设立基本履行了项目申报论证程序，与本单位部门职能职责相符，对符合事前评估条件的部门预算项目均实施了事前评估论证程序。</w:t>
      </w:r>
    </w:p>
    <w:p w14:paraId="3F24BD63">
      <w:pPr>
        <w:pStyle w:val="2"/>
        <w:keepNext w:val="0"/>
        <w:keepLines w:val="0"/>
        <w:pageBreakBefore w:val="0"/>
        <w:wordWrap/>
        <w:overflowPunct/>
        <w:topLinePunct w:val="0"/>
        <w:bidi w:val="0"/>
        <w:adjustRightInd w:val="0"/>
        <w:snapToGrid w:val="0"/>
        <w:spacing w:before="104" w:line="578" w:lineRule="exact"/>
        <w:ind w:right="133" w:firstLine="630"/>
        <w:rPr>
          <w:rFonts w:hint="eastAsia" w:eastAsia="仿宋"/>
          <w:sz w:val="32"/>
          <w:szCs w:val="32"/>
          <w:lang w:eastAsia="zh-CN"/>
        </w:rPr>
      </w:pPr>
      <w:r>
        <w:rPr>
          <w:rFonts w:ascii="宋体" w:hAnsi="宋体" w:eastAsia="宋体" w:cs="宋体"/>
          <w:spacing w:val="-5"/>
          <w:sz w:val="32"/>
          <w:szCs w:val="32"/>
        </w:rPr>
        <w:t>2.</w:t>
      </w:r>
      <w:r>
        <w:rPr>
          <w:rFonts w:ascii="楷体" w:hAnsi="楷体" w:eastAsia="楷体" w:cs="楷体"/>
          <w:spacing w:val="-5"/>
          <w:sz w:val="32"/>
          <w:szCs w:val="32"/>
        </w:rPr>
        <w:t>项目执行</w:t>
      </w:r>
    </w:p>
    <w:p w14:paraId="58A64C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4" w:firstLineChars="200"/>
        <w:contextualSpacing/>
        <w:jc w:val="left"/>
        <w:textAlignment w:val="auto"/>
        <w:outlineLvl w:val="9"/>
        <w:rPr>
          <w:rFonts w:ascii="楷体" w:hAnsi="楷体" w:eastAsia="楷体" w:cs="楷体"/>
          <w:spacing w:val="-8"/>
          <w:sz w:val="32"/>
          <w:szCs w:val="32"/>
        </w:rPr>
      </w:pPr>
      <w:r>
        <w:rPr>
          <w:rFonts w:hint="eastAsia" w:ascii="仿宋_GB2312" w:hAnsi="仿宋_GB2312" w:eastAsia="仿宋_GB2312" w:cs="仿宋_GB2312"/>
          <w:snapToGrid w:val="0"/>
          <w:color w:val="000000"/>
          <w:spacing w:val="6"/>
          <w:kern w:val="0"/>
          <w:sz w:val="32"/>
          <w:szCs w:val="32"/>
          <w:lang w:val="en-US" w:eastAsia="zh-CN" w:bidi="ar-SA"/>
        </w:rPr>
        <w:t>2024年度本</w:t>
      </w:r>
      <w:r>
        <w:rPr>
          <w:rFonts w:hint="eastAsia" w:ascii="仿宋_GB2312" w:hAnsi="仿宋_GB2312" w:eastAsia="仿宋_GB2312" w:cs="仿宋_GB2312"/>
          <w:snapToGrid w:val="0"/>
          <w:color w:val="000000"/>
          <w:spacing w:val="6"/>
          <w:kern w:val="0"/>
          <w:sz w:val="32"/>
          <w:szCs w:val="32"/>
          <w:lang w:val="zh-CN" w:eastAsia="zh-CN" w:bidi="ar-SA"/>
        </w:rPr>
        <w:t>部门预算项目实际列支内容与绩效目标设置方向相符，部门预算项目</w:t>
      </w:r>
      <w:r>
        <w:rPr>
          <w:rFonts w:hint="eastAsia" w:ascii="仿宋_GB2312" w:hAnsi="仿宋_GB2312" w:eastAsia="仿宋_GB2312" w:cs="仿宋_GB2312"/>
          <w:snapToGrid w:val="0"/>
          <w:color w:val="000000"/>
          <w:spacing w:val="6"/>
          <w:kern w:val="0"/>
          <w:sz w:val="32"/>
          <w:szCs w:val="32"/>
          <w:lang w:val="en-US" w:eastAsia="zh-CN" w:bidi="ar-SA"/>
        </w:rPr>
        <w:t>按照规定合理</w:t>
      </w:r>
      <w:r>
        <w:rPr>
          <w:rFonts w:hint="eastAsia" w:ascii="仿宋_GB2312" w:hAnsi="仿宋_GB2312" w:eastAsia="仿宋_GB2312" w:cs="仿宋_GB2312"/>
          <w:snapToGrid w:val="0"/>
          <w:color w:val="000000"/>
          <w:spacing w:val="6"/>
          <w:kern w:val="0"/>
          <w:sz w:val="32"/>
          <w:szCs w:val="32"/>
          <w:lang w:val="zh-CN" w:eastAsia="zh-CN" w:bidi="ar-SA"/>
        </w:rPr>
        <w:t>采取对应调整措施，</w:t>
      </w:r>
      <w:r>
        <w:rPr>
          <w:rFonts w:hint="eastAsia" w:ascii="仿宋_GB2312" w:hAnsi="仿宋_GB2312" w:eastAsia="仿宋_GB2312" w:cs="仿宋_GB2312"/>
          <w:snapToGrid w:val="0"/>
          <w:color w:val="000000"/>
          <w:spacing w:val="6"/>
          <w:kern w:val="0"/>
          <w:sz w:val="32"/>
          <w:szCs w:val="32"/>
          <w:lang w:val="en-US" w:eastAsia="zh-CN" w:bidi="ar-SA"/>
        </w:rPr>
        <w:t>项目执行率100%</w:t>
      </w:r>
      <w:r>
        <w:rPr>
          <w:rFonts w:hint="eastAsia" w:ascii="仿宋_GB2312" w:hAnsi="仿宋_GB2312" w:eastAsia="仿宋_GB2312" w:cs="仿宋_GB2312"/>
          <w:snapToGrid w:val="0"/>
          <w:color w:val="000000"/>
          <w:spacing w:val="6"/>
          <w:kern w:val="0"/>
          <w:sz w:val="32"/>
          <w:szCs w:val="32"/>
          <w:lang w:val="zh-CN" w:eastAsia="zh-CN" w:bidi="ar-SA"/>
        </w:rPr>
        <w:t>。</w:t>
      </w:r>
    </w:p>
    <w:p w14:paraId="7987822E">
      <w:pPr>
        <w:pStyle w:val="2"/>
        <w:keepNext w:val="0"/>
        <w:keepLines w:val="0"/>
        <w:pageBreakBefore w:val="0"/>
        <w:wordWrap/>
        <w:overflowPunct/>
        <w:topLinePunct w:val="0"/>
        <w:bidi w:val="0"/>
        <w:adjustRightInd w:val="0"/>
        <w:snapToGrid w:val="0"/>
        <w:spacing w:before="70" w:line="578" w:lineRule="exact"/>
        <w:ind w:right="103" w:firstLine="639"/>
        <w:rPr>
          <w:rFonts w:hint="eastAsia" w:eastAsia="仿宋"/>
          <w:sz w:val="32"/>
          <w:szCs w:val="32"/>
          <w:lang w:eastAsia="zh-CN"/>
        </w:rPr>
      </w:pPr>
      <w:r>
        <w:rPr>
          <w:rFonts w:ascii="楷体" w:hAnsi="楷体" w:eastAsia="楷体" w:cs="楷体"/>
          <w:spacing w:val="-8"/>
          <w:sz w:val="32"/>
          <w:szCs w:val="32"/>
        </w:rPr>
        <w:t>3.目标实现</w:t>
      </w:r>
    </w:p>
    <w:p w14:paraId="5F58B1C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4" w:firstLineChars="200"/>
        <w:contextualSpacing/>
        <w:jc w:val="left"/>
        <w:textAlignment w:val="auto"/>
        <w:outlineLvl w:val="9"/>
        <w:rPr>
          <w:rFonts w:ascii="楷体" w:hAnsi="楷体" w:eastAsia="楷体" w:cs="楷体"/>
          <w:spacing w:val="11"/>
          <w:sz w:val="32"/>
          <w:szCs w:val="32"/>
        </w:rPr>
      </w:pPr>
      <w:r>
        <w:rPr>
          <w:rFonts w:hint="eastAsia" w:ascii="仿宋_GB2312" w:hAnsi="仿宋_GB2312" w:eastAsia="仿宋_GB2312" w:cs="仿宋_GB2312"/>
          <w:snapToGrid w:val="0"/>
          <w:color w:val="000000"/>
          <w:spacing w:val="6"/>
          <w:kern w:val="0"/>
          <w:sz w:val="32"/>
          <w:szCs w:val="32"/>
          <w:lang w:val="en-US" w:eastAsia="zh-CN" w:bidi="ar-SA"/>
        </w:rPr>
        <w:t>2024年，我局在县委、县政府的正确领导下，在省、市的支持下，深入学习习近平总书记对四川工作系列重要指示精神，全面贯彻党中央、省委、市委</w:t>
      </w:r>
      <w:bookmarkStart w:id="1" w:name="_GoBack"/>
      <w:bookmarkEnd w:id="1"/>
      <w:r>
        <w:rPr>
          <w:rFonts w:hint="eastAsia" w:ascii="仿宋_GB2312" w:hAnsi="仿宋_GB2312" w:eastAsia="仿宋_GB2312" w:cs="仿宋_GB2312"/>
          <w:snapToGrid w:val="0"/>
          <w:color w:val="000000"/>
          <w:spacing w:val="6"/>
          <w:kern w:val="0"/>
          <w:sz w:val="32"/>
          <w:szCs w:val="32"/>
          <w:lang w:val="en-US" w:eastAsia="zh-CN" w:bidi="ar-SA"/>
        </w:rPr>
        <w:t>和县委工作部署，全面完成了各项既定目标任务，在农业产业发展、农村建设、农民增收等方面取得了显著成效。</w:t>
      </w:r>
    </w:p>
    <w:p w14:paraId="589FBD52">
      <w:pPr>
        <w:pStyle w:val="2"/>
        <w:keepNext w:val="0"/>
        <w:keepLines w:val="0"/>
        <w:pageBreakBefore w:val="0"/>
        <w:wordWrap/>
        <w:overflowPunct/>
        <w:topLinePunct w:val="0"/>
        <w:bidi w:val="0"/>
        <w:adjustRightInd w:val="0"/>
        <w:snapToGrid w:val="0"/>
        <w:spacing w:before="70" w:line="578" w:lineRule="exact"/>
        <w:ind w:right="127" w:firstLine="840"/>
        <w:rPr>
          <w:sz w:val="32"/>
          <w:szCs w:val="32"/>
        </w:rPr>
      </w:pPr>
      <w:r>
        <w:rPr>
          <w:rFonts w:hint="eastAsia" w:ascii="楷体" w:hAnsi="楷体" w:eastAsia="楷体" w:cs="楷体"/>
          <w:spacing w:val="11"/>
          <w:sz w:val="32"/>
          <w:szCs w:val="32"/>
          <w:lang w:eastAsia="zh-CN"/>
        </w:rPr>
        <w:t>（三）</w:t>
      </w:r>
      <w:r>
        <w:rPr>
          <w:rFonts w:ascii="楷体" w:hAnsi="楷体" w:eastAsia="楷体" w:cs="楷体"/>
          <w:spacing w:val="11"/>
          <w:sz w:val="32"/>
          <w:szCs w:val="32"/>
        </w:rPr>
        <w:t>重点领域绩效分析</w:t>
      </w:r>
    </w:p>
    <w:p w14:paraId="0C034517">
      <w:pPr>
        <w:pStyle w:val="2"/>
        <w:keepNext w:val="0"/>
        <w:keepLines w:val="0"/>
        <w:pageBreakBefore w:val="0"/>
        <w:wordWrap/>
        <w:overflowPunct/>
        <w:topLinePunct w:val="0"/>
        <w:bidi w:val="0"/>
        <w:adjustRightInd w:val="0"/>
        <w:snapToGrid w:val="0"/>
        <w:spacing w:before="226" w:line="578" w:lineRule="exact"/>
        <w:ind w:right="90" w:firstLine="840"/>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无。</w:t>
      </w:r>
    </w:p>
    <w:p w14:paraId="6A52BB71">
      <w:pPr>
        <w:pStyle w:val="2"/>
        <w:keepNext w:val="0"/>
        <w:keepLines w:val="0"/>
        <w:pageBreakBefore w:val="0"/>
        <w:wordWrap/>
        <w:overflowPunct/>
        <w:topLinePunct w:val="0"/>
        <w:bidi w:val="0"/>
        <w:adjustRightInd w:val="0"/>
        <w:snapToGrid w:val="0"/>
        <w:spacing w:before="226" w:line="578" w:lineRule="exact"/>
        <w:ind w:right="90" w:firstLine="840"/>
        <w:rPr>
          <w:rFonts w:hint="eastAsia" w:eastAsia="仿宋"/>
          <w:sz w:val="32"/>
          <w:szCs w:val="32"/>
          <w:lang w:eastAsia="zh-CN"/>
        </w:rPr>
      </w:pPr>
      <w:r>
        <w:rPr>
          <w:rFonts w:hint="eastAsia" w:ascii="楷体" w:hAnsi="楷体" w:eastAsia="楷体" w:cs="楷体"/>
          <w:sz w:val="32"/>
          <w:szCs w:val="32"/>
          <w:lang w:eastAsia="zh-CN"/>
        </w:rPr>
        <w:t>（四）</w:t>
      </w:r>
      <w:r>
        <w:rPr>
          <w:rFonts w:ascii="楷体" w:hAnsi="楷体" w:eastAsia="楷体" w:cs="楷体"/>
          <w:sz w:val="32"/>
          <w:szCs w:val="32"/>
        </w:rPr>
        <w:t>绩效结果应用情况</w:t>
      </w:r>
    </w:p>
    <w:p w14:paraId="1CB14E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4" w:firstLineChars="200"/>
        <w:contextualSpacing/>
        <w:jc w:val="left"/>
        <w:textAlignment w:val="auto"/>
        <w:outlineLvl w:val="9"/>
        <w:rPr>
          <w:rFonts w:hint="eastAsia" w:ascii="仿宋" w:hAnsi="仿宋" w:eastAsia="仿宋" w:cs="仿宋"/>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zh-CN" w:eastAsia="zh-CN" w:bidi="ar-SA"/>
        </w:rPr>
        <w:t>通过整体支出及项目支出绩效自评，找出了预算编制、预算管理、预算执行、绩效指标体系等方面存在的问题，</w:t>
      </w:r>
      <w:r>
        <w:rPr>
          <w:rFonts w:hint="eastAsia" w:ascii="仿宋_GB2312" w:hAnsi="仿宋_GB2312" w:eastAsia="仿宋_GB2312" w:cs="仿宋_GB2312"/>
          <w:snapToGrid w:val="0"/>
          <w:color w:val="000000"/>
          <w:spacing w:val="6"/>
          <w:kern w:val="0"/>
          <w:sz w:val="32"/>
          <w:szCs w:val="32"/>
          <w:lang w:val="en-US" w:eastAsia="zh-CN" w:bidi="ar-SA"/>
        </w:rPr>
        <w:t>本部门</w:t>
      </w:r>
      <w:r>
        <w:rPr>
          <w:rFonts w:hint="eastAsia" w:ascii="仿宋_GB2312" w:hAnsi="仿宋_GB2312" w:eastAsia="仿宋_GB2312" w:cs="仿宋_GB2312"/>
          <w:snapToGrid w:val="0"/>
          <w:color w:val="000000"/>
          <w:spacing w:val="6"/>
          <w:kern w:val="0"/>
          <w:sz w:val="32"/>
          <w:szCs w:val="32"/>
          <w:lang w:val="zh-CN" w:eastAsia="zh-CN" w:bidi="ar-SA"/>
        </w:rPr>
        <w:t>将进一步加强预算管理，合理安排预算执行进度，提高预算资金使用效率，加强内部绩效体系建设，强化绩效引领，优化项目库建设，推进预算执行和绩效运行双监控，进一步完善全面实施预算绩效管理制度，坚决执行项目等资金，资金跟着项目走，项目紧盯绩效目标任务走的财政刚性政策。</w:t>
      </w:r>
    </w:p>
    <w:p w14:paraId="1C7308CB">
      <w:pPr>
        <w:keepNext w:val="0"/>
        <w:keepLines w:val="0"/>
        <w:pageBreakBefore w:val="0"/>
        <w:wordWrap/>
        <w:overflowPunct/>
        <w:topLinePunct w:val="0"/>
        <w:bidi w:val="0"/>
        <w:adjustRightInd w:val="0"/>
        <w:snapToGrid w:val="0"/>
        <w:spacing w:before="195" w:line="578" w:lineRule="exact"/>
        <w:ind w:left="694"/>
        <w:outlineLvl w:val="0"/>
        <w:rPr>
          <w:rFonts w:ascii="黑体" w:hAnsi="黑体" w:eastAsia="黑体" w:cs="黑体"/>
          <w:sz w:val="32"/>
          <w:szCs w:val="32"/>
        </w:rPr>
      </w:pPr>
      <w:r>
        <w:rPr>
          <w:rFonts w:ascii="黑体" w:hAnsi="黑体" w:eastAsia="黑体" w:cs="黑体"/>
          <w:b/>
          <w:bCs/>
          <w:spacing w:val="-16"/>
          <w:sz w:val="32"/>
          <w:szCs w:val="32"/>
        </w:rPr>
        <w:t>四</w:t>
      </w:r>
      <w:r>
        <w:rPr>
          <w:rFonts w:ascii="黑体" w:hAnsi="黑体" w:eastAsia="黑体" w:cs="黑体"/>
          <w:spacing w:val="-83"/>
          <w:sz w:val="32"/>
          <w:szCs w:val="32"/>
        </w:rPr>
        <w:t xml:space="preserve"> </w:t>
      </w:r>
      <w:r>
        <w:rPr>
          <w:rFonts w:ascii="黑体" w:hAnsi="黑体" w:eastAsia="黑体" w:cs="黑体"/>
          <w:b/>
          <w:bCs/>
          <w:spacing w:val="-16"/>
          <w:sz w:val="32"/>
          <w:szCs w:val="32"/>
        </w:rPr>
        <w:t>、评价结论及建议</w:t>
      </w:r>
    </w:p>
    <w:p w14:paraId="5ADABB33">
      <w:pPr>
        <w:pStyle w:val="2"/>
        <w:keepNext w:val="0"/>
        <w:keepLines w:val="0"/>
        <w:pageBreakBefore w:val="0"/>
        <w:numPr>
          <w:ilvl w:val="0"/>
          <w:numId w:val="0"/>
        </w:numPr>
        <w:wordWrap/>
        <w:overflowPunct/>
        <w:topLinePunct w:val="0"/>
        <w:bidi w:val="0"/>
        <w:adjustRightInd w:val="0"/>
        <w:snapToGrid w:val="0"/>
        <w:spacing w:before="175" w:line="578" w:lineRule="exact"/>
        <w:ind w:right="118" w:rightChars="0" w:firstLine="564" w:firstLineChars="200"/>
        <w:rPr>
          <w:rFonts w:ascii="楷体" w:hAnsi="楷体" w:eastAsia="楷体" w:cs="楷体"/>
          <w:spacing w:val="-40"/>
          <w:sz w:val="32"/>
          <w:szCs w:val="32"/>
        </w:rPr>
      </w:pPr>
      <w:r>
        <w:rPr>
          <w:rFonts w:hint="eastAsia" w:ascii="楷体" w:hAnsi="楷体" w:eastAsia="楷体" w:cs="楷体"/>
          <w:spacing w:val="-19"/>
          <w:sz w:val="32"/>
          <w:szCs w:val="32"/>
          <w:lang w:eastAsia="zh-CN"/>
        </w:rPr>
        <w:t>（一）</w:t>
      </w:r>
      <w:r>
        <w:rPr>
          <w:rFonts w:ascii="楷体" w:hAnsi="楷体" w:eastAsia="楷体" w:cs="楷体"/>
          <w:snapToGrid w:val="0"/>
          <w:color w:val="000000"/>
          <w:spacing w:val="-19"/>
          <w:kern w:val="0"/>
          <w:sz w:val="32"/>
          <w:szCs w:val="32"/>
          <w:lang w:val="en-US" w:eastAsia="en-US" w:bidi="ar-SA"/>
        </w:rPr>
        <w:t>评价结论</w:t>
      </w:r>
    </w:p>
    <w:p w14:paraId="2DC08EE1">
      <w:pPr>
        <w:keepNext w:val="0"/>
        <w:keepLines w:val="0"/>
        <w:pageBreakBefore w:val="0"/>
        <w:wordWrap/>
        <w:overflowPunct/>
        <w:topLinePunct w:val="0"/>
        <w:bidi w:val="0"/>
        <w:adjustRightInd w:val="0"/>
        <w:snapToGrid w:val="0"/>
        <w:spacing w:line="578" w:lineRule="exact"/>
        <w:ind w:firstLine="664" w:firstLineChars="200"/>
        <w:rPr>
          <w:rFonts w:hint="eastAsia" w:ascii="仿宋_GB2312" w:hAnsi="仿宋_GB2312" w:eastAsia="仿宋_GB2312" w:cs="仿宋_GB2312"/>
          <w:kern w:val="0"/>
          <w:szCs w:val="32"/>
          <w:lang w:eastAsia="zh-CN"/>
        </w:rPr>
      </w:pPr>
      <w:r>
        <w:rPr>
          <w:rFonts w:hint="eastAsia" w:ascii="仿宋_GB2312" w:hAnsi="仿宋_GB2312" w:eastAsia="仿宋_GB2312" w:cs="仿宋_GB2312"/>
          <w:snapToGrid w:val="0"/>
          <w:color w:val="000000"/>
          <w:spacing w:val="6"/>
          <w:kern w:val="0"/>
          <w:sz w:val="32"/>
          <w:szCs w:val="32"/>
          <w:lang w:val="zh-CN" w:eastAsia="zh-CN" w:bidi="ar-SA"/>
        </w:rPr>
        <w:t>总体上看，我局202</w:t>
      </w:r>
      <w:r>
        <w:rPr>
          <w:rFonts w:hint="eastAsia" w:ascii="仿宋_GB2312" w:hAnsi="仿宋_GB2312" w:eastAsia="仿宋_GB2312" w:cs="仿宋_GB2312"/>
          <w:snapToGrid w:val="0"/>
          <w:color w:val="000000"/>
          <w:spacing w:val="6"/>
          <w:kern w:val="0"/>
          <w:sz w:val="32"/>
          <w:szCs w:val="32"/>
          <w:lang w:val="en-US" w:eastAsia="zh-CN" w:bidi="ar-SA"/>
        </w:rPr>
        <w:t>4</w:t>
      </w:r>
      <w:r>
        <w:rPr>
          <w:rFonts w:hint="eastAsia" w:ascii="仿宋_GB2312" w:hAnsi="仿宋_GB2312" w:eastAsia="仿宋_GB2312" w:cs="仿宋_GB2312"/>
          <w:snapToGrid w:val="0"/>
          <w:color w:val="000000"/>
          <w:spacing w:val="6"/>
          <w:kern w:val="0"/>
          <w:sz w:val="32"/>
          <w:szCs w:val="32"/>
          <w:lang w:val="zh-CN" w:eastAsia="zh-CN" w:bidi="ar-SA"/>
        </w:rPr>
        <w:t>年部门整体支出绩效情况较好，预算编制较为科学和准确，预算执行进度有待提高；财务管理制度健全，财务工作岗位设置合理，资金使用规范；预算项目的设立基本履行了项目申报论证程序，项目绩效目标制定较为科学合理、规范完整、量化细化；重点履职绩效方面，较好地完成了部门的重点履职任务，积极发挥了部门的职能。我局部门整体支出绩效自评得分</w:t>
      </w:r>
      <w:r>
        <w:rPr>
          <w:rFonts w:hint="eastAsia" w:ascii="仿宋_GB2312" w:hAnsi="仿宋_GB2312" w:eastAsia="仿宋_GB2312" w:cs="仿宋_GB2312"/>
          <w:snapToGrid w:val="0"/>
          <w:color w:val="000000"/>
          <w:spacing w:val="6"/>
          <w:kern w:val="0"/>
          <w:sz w:val="32"/>
          <w:szCs w:val="32"/>
          <w:lang w:val="en-US" w:eastAsia="zh-CN" w:bidi="ar-SA"/>
        </w:rPr>
        <w:t>98</w:t>
      </w:r>
      <w:r>
        <w:rPr>
          <w:rFonts w:hint="eastAsia" w:ascii="仿宋_GB2312" w:hAnsi="仿宋_GB2312" w:eastAsia="仿宋_GB2312" w:cs="仿宋_GB2312"/>
          <w:snapToGrid w:val="0"/>
          <w:color w:val="000000"/>
          <w:spacing w:val="6"/>
          <w:kern w:val="0"/>
          <w:sz w:val="32"/>
          <w:szCs w:val="32"/>
          <w:lang w:val="zh-CN" w:eastAsia="zh-CN" w:bidi="ar-SA"/>
        </w:rPr>
        <w:t>分，评价等级为“优秀”。</w:t>
      </w:r>
    </w:p>
    <w:p w14:paraId="2EEC74AF">
      <w:pPr>
        <w:keepNext w:val="0"/>
        <w:keepLines w:val="0"/>
        <w:pageBreakBefore w:val="0"/>
        <w:wordWrap/>
        <w:overflowPunct/>
        <w:topLinePunct w:val="0"/>
        <w:bidi w:val="0"/>
        <w:adjustRightInd w:val="0"/>
        <w:snapToGrid w:val="0"/>
        <w:spacing w:line="578" w:lineRule="exact"/>
        <w:ind w:firstLine="564" w:firstLineChars="200"/>
        <w:rPr>
          <w:rFonts w:hint="eastAsia" w:eastAsia="楷体"/>
          <w:sz w:val="32"/>
          <w:szCs w:val="32"/>
          <w:highlight w:val="yellow"/>
          <w:lang w:val="en-US" w:eastAsia="zh-CN"/>
        </w:rPr>
      </w:pPr>
      <w:r>
        <w:rPr>
          <w:rFonts w:hint="eastAsia" w:ascii="楷体" w:hAnsi="楷体" w:eastAsia="楷体" w:cs="楷体"/>
          <w:spacing w:val="-19"/>
          <w:sz w:val="32"/>
          <w:szCs w:val="32"/>
          <w:lang w:eastAsia="zh-CN"/>
        </w:rPr>
        <w:t>（二）</w:t>
      </w:r>
      <w:r>
        <w:rPr>
          <w:rFonts w:ascii="楷体" w:hAnsi="楷体" w:eastAsia="楷体" w:cs="楷体"/>
          <w:spacing w:val="-19"/>
          <w:sz w:val="32"/>
          <w:szCs w:val="32"/>
        </w:rPr>
        <w:t>存在问题</w:t>
      </w:r>
      <w:r>
        <w:rPr>
          <w:rFonts w:hint="eastAsia" w:ascii="楷体" w:hAnsi="楷体" w:eastAsia="楷体" w:cs="楷体"/>
          <w:spacing w:val="-19"/>
          <w:sz w:val="32"/>
          <w:szCs w:val="32"/>
          <w:lang w:val="en-US" w:eastAsia="zh-CN"/>
        </w:rPr>
        <w:t>及</w:t>
      </w:r>
      <w:r>
        <w:rPr>
          <w:rFonts w:ascii="楷体" w:hAnsi="楷体" w:eastAsia="楷体" w:cs="楷体"/>
          <w:spacing w:val="-1"/>
          <w:sz w:val="32"/>
          <w:szCs w:val="32"/>
        </w:rPr>
        <w:t>改进建议</w:t>
      </w:r>
    </w:p>
    <w:p w14:paraId="5623EECC">
      <w:pPr>
        <w:keepNext w:val="0"/>
        <w:keepLines w:val="0"/>
        <w:pageBreakBefore w:val="0"/>
        <w:wordWrap/>
        <w:overflowPunct/>
        <w:topLinePunct w:val="0"/>
        <w:bidi w:val="0"/>
        <w:adjustRightInd w:val="0"/>
        <w:snapToGrid w:val="0"/>
        <w:spacing w:line="578" w:lineRule="exact"/>
        <w:ind w:firstLine="600" w:firstLineChars="200"/>
        <w:rPr>
          <w:rFonts w:hint="eastAsia" w:ascii="仿宋_GB2312" w:hAnsi="仿宋_GB2312" w:eastAsia="仿宋_GB2312" w:cs="仿宋_GB2312"/>
          <w:snapToGrid w:val="0"/>
          <w:color w:val="000000"/>
          <w:spacing w:val="-10"/>
          <w:kern w:val="0"/>
          <w:sz w:val="32"/>
          <w:szCs w:val="32"/>
          <w:highlight w:val="none"/>
          <w:lang w:val="en-US" w:eastAsia="zh-CN" w:bidi="ar-SA"/>
        </w:rPr>
      </w:pPr>
      <w:r>
        <w:rPr>
          <w:rFonts w:hint="eastAsia" w:ascii="仿宋_GB2312" w:hAnsi="仿宋_GB2312" w:eastAsia="仿宋_GB2312" w:cs="仿宋_GB2312"/>
          <w:snapToGrid w:val="0"/>
          <w:color w:val="000000"/>
          <w:spacing w:val="-10"/>
          <w:kern w:val="0"/>
          <w:sz w:val="32"/>
          <w:szCs w:val="32"/>
          <w:highlight w:val="none"/>
          <w:lang w:val="en-US" w:eastAsia="zh-CN" w:bidi="ar-SA"/>
        </w:rPr>
        <w:t>1.预算执行方面：在预算编制时应总结以往预算执行差异的原因，对来年工作计划进行详细的剖析和分析，充分全面地考虑预算变动因素。</w:t>
      </w:r>
    </w:p>
    <w:p w14:paraId="57E1E7D1">
      <w:pPr>
        <w:keepNext w:val="0"/>
        <w:keepLines w:val="0"/>
        <w:pageBreakBefore w:val="0"/>
        <w:wordWrap/>
        <w:overflowPunct/>
        <w:topLinePunct w:val="0"/>
        <w:bidi w:val="0"/>
        <w:adjustRightInd w:val="0"/>
        <w:snapToGrid w:val="0"/>
        <w:spacing w:line="578" w:lineRule="exact"/>
        <w:ind w:firstLine="600" w:firstLineChars="200"/>
        <w:rPr>
          <w:rFonts w:hint="eastAsia" w:ascii="仿宋_GB2312" w:hAnsi="仿宋_GB2312" w:eastAsia="仿宋_GB2312" w:cs="仿宋_GB2312"/>
          <w:snapToGrid w:val="0"/>
          <w:color w:val="000000"/>
          <w:spacing w:val="-10"/>
          <w:kern w:val="0"/>
          <w:sz w:val="32"/>
          <w:szCs w:val="32"/>
          <w:highlight w:val="none"/>
          <w:lang w:val="en-US" w:eastAsia="zh-CN" w:bidi="ar-SA"/>
        </w:rPr>
      </w:pPr>
      <w:r>
        <w:rPr>
          <w:rFonts w:hint="eastAsia" w:ascii="仿宋_GB2312" w:hAnsi="仿宋_GB2312" w:eastAsia="仿宋_GB2312" w:cs="仿宋_GB2312"/>
          <w:snapToGrid w:val="0"/>
          <w:color w:val="000000"/>
          <w:spacing w:val="-10"/>
          <w:kern w:val="0"/>
          <w:sz w:val="32"/>
          <w:szCs w:val="32"/>
          <w:highlight w:val="none"/>
          <w:lang w:val="en-US" w:eastAsia="zh-CN" w:bidi="ar-SA"/>
        </w:rPr>
        <w:t>2.绩效管理方面：应从自身职责出发，综合考虑相关因素，全面系统地确定绩效目标，作为日后绩效评价的依据，充分体现绩效目标对工作的指导鞭笞作用</w:t>
      </w:r>
      <w:bookmarkStart w:id="0" w:name="_Hlk110546638"/>
      <w:r>
        <w:rPr>
          <w:rFonts w:hint="eastAsia" w:ascii="仿宋_GB2312" w:hAnsi="仿宋_GB2312" w:eastAsia="仿宋_GB2312" w:cs="仿宋_GB2312"/>
          <w:snapToGrid w:val="0"/>
          <w:color w:val="000000"/>
          <w:spacing w:val="-10"/>
          <w:kern w:val="0"/>
          <w:sz w:val="32"/>
          <w:szCs w:val="32"/>
          <w:highlight w:val="none"/>
          <w:lang w:val="en-US" w:eastAsia="zh-CN" w:bidi="ar-SA"/>
        </w:rPr>
        <w:t>。</w:t>
      </w:r>
    </w:p>
    <w:bookmarkEnd w:id="0"/>
    <w:p w14:paraId="3ABD9FBA">
      <w:pPr>
        <w:keepNext w:val="0"/>
        <w:keepLines w:val="0"/>
        <w:pageBreakBefore w:val="0"/>
        <w:wordWrap/>
        <w:overflowPunct/>
        <w:topLinePunct w:val="0"/>
        <w:bidi w:val="0"/>
        <w:adjustRightInd w:val="0"/>
        <w:snapToGrid w:val="0"/>
        <w:spacing w:line="578" w:lineRule="exact"/>
        <w:ind w:firstLine="420" w:firstLineChars="200"/>
        <w:rPr>
          <w:rFonts w:hint="eastAsia" w:ascii="仿宋_GB2312" w:hAnsi="仿宋_GB2312" w:eastAsia="仿宋_GB2312" w:cs="仿宋_GB2312"/>
          <w:lang w:val="en-US" w:eastAsia="zh-CN"/>
        </w:rPr>
      </w:pPr>
    </w:p>
    <w:p w14:paraId="7B94A51D">
      <w:pPr>
        <w:spacing w:line="282" w:lineRule="auto"/>
        <w:rPr>
          <w:rFonts w:hint="eastAsia" w:ascii="仿宋_GB2312" w:hAnsi="仿宋_GB2312" w:eastAsia="仿宋_GB2312" w:cs="仿宋_GB2312"/>
          <w:sz w:val="21"/>
        </w:rPr>
      </w:pPr>
    </w:p>
    <w:p w14:paraId="722A4878">
      <w:pPr>
        <w:spacing w:line="282" w:lineRule="auto"/>
        <w:rPr>
          <w:rFonts w:hint="eastAsia" w:ascii="仿宋_GB2312" w:hAnsi="仿宋_GB2312" w:eastAsia="仿宋_GB2312" w:cs="仿宋_GB2312"/>
          <w:sz w:val="21"/>
        </w:rPr>
      </w:pPr>
    </w:p>
    <w:p w14:paraId="1F366D24">
      <w:pPr>
        <w:spacing w:line="282" w:lineRule="auto"/>
        <w:rPr>
          <w:rFonts w:hint="eastAsia" w:ascii="仿宋_GB2312" w:hAnsi="仿宋_GB2312" w:eastAsia="仿宋_GB2312" w:cs="仿宋_GB2312"/>
          <w:sz w:val="21"/>
        </w:rPr>
      </w:pPr>
    </w:p>
    <w:p w14:paraId="738DF33C">
      <w:pPr>
        <w:pStyle w:val="2"/>
        <w:spacing w:before="104" w:line="222" w:lineRule="auto"/>
        <w:ind w:left="690"/>
        <w:rPr>
          <w:sz w:val="32"/>
          <w:szCs w:val="32"/>
        </w:rPr>
      </w:pPr>
      <w:r>
        <w:rPr>
          <w:rFonts w:hint="eastAsia" w:ascii="仿宋_GB2312" w:hAnsi="仿宋_GB2312" w:eastAsia="仿宋_GB2312" w:cs="仿宋_GB2312"/>
          <w:spacing w:val="-2"/>
          <w:sz w:val="32"/>
          <w:szCs w:val="32"/>
        </w:rPr>
        <w:t>附表：部门整体支出绩效目标完成情况自评表</w:t>
      </w:r>
    </w:p>
    <w:p w14:paraId="2BFFBCBF">
      <w:pPr>
        <w:spacing w:line="222" w:lineRule="auto"/>
        <w:rPr>
          <w:sz w:val="32"/>
          <w:szCs w:val="32"/>
        </w:rPr>
        <w:sectPr>
          <w:footerReference r:id="rId5" w:type="default"/>
          <w:pgSz w:w="11990" w:h="16870"/>
          <w:pgMar w:top="1433" w:right="1564" w:bottom="1154" w:left="1589" w:header="0" w:footer="837" w:gutter="0"/>
          <w:pgNumType w:fmt="decimal"/>
          <w:cols w:space="720" w:num="1"/>
        </w:sectPr>
      </w:pPr>
    </w:p>
    <w:p w14:paraId="3EE22AE5">
      <w:pPr>
        <w:spacing w:before="98" w:line="223" w:lineRule="auto"/>
        <w:ind w:left="839"/>
        <w:rPr>
          <w:rFonts w:ascii="黑体" w:hAnsi="黑体" w:eastAsia="黑体" w:cs="黑体"/>
          <w:sz w:val="30"/>
          <w:szCs w:val="30"/>
        </w:rPr>
      </w:pPr>
      <w:r>
        <w:rPr>
          <w:rFonts w:ascii="黑体" w:hAnsi="黑体" w:eastAsia="黑体" w:cs="黑体"/>
          <w:b/>
          <w:bCs/>
          <w:spacing w:val="13"/>
          <w:sz w:val="30"/>
          <w:szCs w:val="30"/>
        </w:rPr>
        <w:t>附表</w:t>
      </w:r>
    </w:p>
    <w:p w14:paraId="736E1F3D">
      <w:pPr>
        <w:spacing w:before="150" w:line="219" w:lineRule="auto"/>
        <w:ind w:left="1541"/>
        <w:rPr>
          <w:rFonts w:ascii="宋体" w:hAnsi="宋体" w:eastAsia="宋体" w:cs="宋体"/>
          <w:sz w:val="44"/>
          <w:szCs w:val="44"/>
        </w:rPr>
      </w:pPr>
      <w:r>
        <w:rPr>
          <w:rFonts w:ascii="宋体" w:hAnsi="宋体" w:eastAsia="宋体" w:cs="宋体"/>
          <w:b/>
          <w:bCs/>
          <w:spacing w:val="-5"/>
          <w:sz w:val="44"/>
          <w:szCs w:val="44"/>
        </w:rPr>
        <w:t>部门整体支出绩效目标完成情况自评表</w:t>
      </w:r>
    </w:p>
    <w:p w14:paraId="6BDDB606">
      <w:pPr>
        <w:spacing w:before="118" w:line="219" w:lineRule="auto"/>
        <w:ind w:left="4544"/>
        <w:rPr>
          <w:rFonts w:ascii="宋体" w:hAnsi="宋体" w:eastAsia="宋体" w:cs="宋体"/>
          <w:sz w:val="30"/>
          <w:szCs w:val="30"/>
        </w:rPr>
      </w:pPr>
      <w:r>
        <w:rPr>
          <w:rFonts w:ascii="宋体" w:hAnsi="宋体" w:eastAsia="宋体" w:cs="宋体"/>
          <w:sz w:val="30"/>
          <w:szCs w:val="30"/>
        </w:rPr>
        <w:t>(</w:t>
      </w:r>
      <w:r>
        <w:rPr>
          <w:rFonts w:hint="eastAsia" w:ascii="宋体" w:hAnsi="宋体" w:eastAsia="宋体" w:cs="宋体"/>
          <w:sz w:val="30"/>
          <w:szCs w:val="30"/>
          <w:lang w:eastAsia="zh-CN"/>
        </w:rPr>
        <w:t>2024</w:t>
      </w:r>
      <w:r>
        <w:rPr>
          <w:rFonts w:ascii="宋体" w:hAnsi="宋体" w:eastAsia="宋体" w:cs="宋体"/>
          <w:sz w:val="30"/>
          <w:szCs w:val="30"/>
        </w:rPr>
        <w:t>年度</w:t>
      </w:r>
      <w:r>
        <w:rPr>
          <w:rFonts w:hint="eastAsia" w:ascii="宋体" w:hAnsi="宋体" w:eastAsia="宋体" w:cs="宋体"/>
          <w:sz w:val="30"/>
          <w:szCs w:val="30"/>
          <w:lang w:eastAsia="zh-CN"/>
        </w:rPr>
        <w:t>）</w:t>
      </w:r>
    </w:p>
    <w:p w14:paraId="73D56CFF">
      <w:pPr>
        <w:spacing w:before="10" w:line="220" w:lineRule="auto"/>
        <w:ind w:right="22"/>
        <w:jc w:val="right"/>
        <w:rPr>
          <w:rFonts w:ascii="宋体" w:hAnsi="宋体" w:eastAsia="宋体" w:cs="宋体"/>
          <w:sz w:val="21"/>
          <w:szCs w:val="21"/>
        </w:rPr>
      </w:pPr>
      <w:r>
        <w:rPr>
          <w:rFonts w:ascii="宋体" w:hAnsi="宋体" w:eastAsia="宋体" w:cs="宋体"/>
          <w:spacing w:val="-2"/>
          <w:sz w:val="21"/>
          <w:szCs w:val="21"/>
        </w:rPr>
        <w:t>单位：</w:t>
      </w:r>
      <w:r>
        <w:rPr>
          <w:rFonts w:ascii="宋体" w:hAnsi="宋体" w:eastAsia="宋体" w:cs="宋体"/>
          <w:spacing w:val="-2"/>
          <w:sz w:val="21"/>
          <w:szCs w:val="21"/>
          <w:highlight w:val="none"/>
        </w:rPr>
        <w:t>万元</w:t>
      </w:r>
    </w:p>
    <w:p w14:paraId="1A124C66">
      <w:pPr>
        <w:spacing w:line="35" w:lineRule="exact"/>
      </w:pPr>
    </w:p>
    <w:tbl>
      <w:tblPr>
        <w:tblStyle w:val="8"/>
        <w:tblW w:w="10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230"/>
        <w:gridCol w:w="1155"/>
        <w:gridCol w:w="1650"/>
        <w:gridCol w:w="1170"/>
        <w:gridCol w:w="1005"/>
        <w:gridCol w:w="1065"/>
        <w:gridCol w:w="847"/>
        <w:gridCol w:w="1124"/>
      </w:tblGrid>
      <w:tr w14:paraId="12162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3688" w:type="dxa"/>
            <w:gridSpan w:val="3"/>
            <w:vAlign w:val="top"/>
          </w:tcPr>
          <w:p w14:paraId="37B728E1">
            <w:pPr>
              <w:spacing w:before="45" w:line="198" w:lineRule="auto"/>
              <w:ind w:left="1484"/>
              <w:rPr>
                <w:rFonts w:ascii="宋体" w:hAnsi="宋体" w:eastAsia="宋体" w:cs="宋体"/>
                <w:sz w:val="26"/>
                <w:szCs w:val="26"/>
              </w:rPr>
            </w:pPr>
            <w:r>
              <w:rPr>
                <w:rFonts w:ascii="宋体" w:hAnsi="宋体" w:eastAsia="宋体" w:cs="宋体"/>
                <w:spacing w:val="3"/>
                <w:sz w:val="26"/>
                <w:szCs w:val="26"/>
              </w:rPr>
              <w:t>部门名称</w:t>
            </w:r>
          </w:p>
        </w:tc>
        <w:tc>
          <w:tcPr>
            <w:tcW w:w="6861" w:type="dxa"/>
            <w:gridSpan w:val="6"/>
            <w:vAlign w:val="top"/>
          </w:tcPr>
          <w:p w14:paraId="6CD4CB18">
            <w:pPr>
              <w:spacing w:before="114" w:line="210" w:lineRule="exact"/>
              <w:ind w:firstLine="256" w:firstLineChars="100"/>
              <w:rPr>
                <w:rFonts w:hint="eastAsia" w:ascii="宋体" w:hAnsi="宋体" w:eastAsia="宋体" w:cs="宋体"/>
                <w:sz w:val="26"/>
                <w:szCs w:val="26"/>
                <w:lang w:eastAsia="zh-CN"/>
              </w:rPr>
            </w:pPr>
            <w:r>
              <w:rPr>
                <w:rFonts w:hint="eastAsia" w:ascii="宋体" w:hAnsi="宋体" w:eastAsia="宋体" w:cs="宋体"/>
                <w:spacing w:val="-2"/>
                <w:position w:val="-3"/>
                <w:sz w:val="26"/>
                <w:szCs w:val="26"/>
                <w:lang w:eastAsia="zh-CN"/>
              </w:rPr>
              <w:t>开江县农业农村局</w:t>
            </w:r>
          </w:p>
        </w:tc>
      </w:tr>
      <w:tr w14:paraId="2CB1A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03" w:type="dxa"/>
            <w:vMerge w:val="restart"/>
            <w:tcBorders>
              <w:bottom w:val="nil"/>
            </w:tcBorders>
            <w:vAlign w:val="top"/>
          </w:tcPr>
          <w:p w14:paraId="42D636B3">
            <w:pPr>
              <w:spacing w:before="50" w:line="216" w:lineRule="auto"/>
              <w:ind w:left="14"/>
              <w:rPr>
                <w:rFonts w:ascii="宋体" w:hAnsi="宋体" w:eastAsia="宋体" w:cs="宋体"/>
                <w:sz w:val="26"/>
                <w:szCs w:val="26"/>
              </w:rPr>
            </w:pPr>
            <w:r>
              <w:rPr>
                <w:rFonts w:ascii="宋体" w:hAnsi="宋体" w:eastAsia="宋体" w:cs="宋体"/>
                <w:spacing w:val="-5"/>
                <w:sz w:val="26"/>
                <w:szCs w:val="26"/>
              </w:rPr>
              <w:t>年度部门整</w:t>
            </w:r>
            <w:r>
              <w:rPr>
                <w:rFonts w:ascii="宋体" w:hAnsi="宋体" w:eastAsia="宋体" w:cs="宋体"/>
                <w:spacing w:val="1"/>
                <w:sz w:val="26"/>
                <w:szCs w:val="26"/>
              </w:rPr>
              <w:t xml:space="preserve"> </w:t>
            </w:r>
            <w:r>
              <w:rPr>
                <w:rFonts w:ascii="宋体" w:hAnsi="宋体" w:eastAsia="宋体" w:cs="宋体"/>
                <w:spacing w:val="-5"/>
                <w:sz w:val="26"/>
                <w:szCs w:val="26"/>
              </w:rPr>
              <w:t>体支出预算</w:t>
            </w:r>
          </w:p>
        </w:tc>
        <w:tc>
          <w:tcPr>
            <w:tcW w:w="2385" w:type="dxa"/>
            <w:gridSpan w:val="2"/>
            <w:vAlign w:val="top"/>
          </w:tcPr>
          <w:p w14:paraId="3BAE9DD5">
            <w:pPr>
              <w:spacing w:before="41" w:line="198" w:lineRule="auto"/>
              <w:ind w:left="781"/>
              <w:rPr>
                <w:rFonts w:ascii="宋体" w:hAnsi="宋体" w:eastAsia="宋体" w:cs="宋体"/>
                <w:sz w:val="26"/>
                <w:szCs w:val="26"/>
              </w:rPr>
            </w:pPr>
            <w:r>
              <w:rPr>
                <w:rFonts w:ascii="宋体" w:hAnsi="宋体" w:eastAsia="宋体" w:cs="宋体"/>
                <w:spacing w:val="2"/>
                <w:sz w:val="26"/>
                <w:szCs w:val="26"/>
              </w:rPr>
              <w:t>资金总额</w:t>
            </w:r>
          </w:p>
        </w:tc>
        <w:tc>
          <w:tcPr>
            <w:tcW w:w="2820" w:type="dxa"/>
            <w:gridSpan w:val="2"/>
            <w:vAlign w:val="top"/>
          </w:tcPr>
          <w:p w14:paraId="1896F3A9">
            <w:pPr>
              <w:spacing w:before="41" w:line="198" w:lineRule="auto"/>
              <w:ind w:left="594"/>
              <w:rPr>
                <w:rFonts w:ascii="宋体" w:hAnsi="宋体" w:eastAsia="宋体" w:cs="宋体"/>
                <w:sz w:val="26"/>
                <w:szCs w:val="26"/>
              </w:rPr>
            </w:pPr>
            <w:r>
              <w:rPr>
                <w:rFonts w:ascii="宋体" w:hAnsi="宋体" w:eastAsia="宋体" w:cs="宋体"/>
                <w:spacing w:val="2"/>
                <w:sz w:val="26"/>
                <w:szCs w:val="26"/>
              </w:rPr>
              <w:t>财政拨款</w:t>
            </w:r>
          </w:p>
        </w:tc>
        <w:tc>
          <w:tcPr>
            <w:tcW w:w="4041" w:type="dxa"/>
            <w:gridSpan w:val="4"/>
            <w:vAlign w:val="top"/>
          </w:tcPr>
          <w:p w14:paraId="51DA18EC">
            <w:pPr>
              <w:spacing w:before="42" w:line="197" w:lineRule="auto"/>
              <w:ind w:left="1666"/>
              <w:rPr>
                <w:rFonts w:ascii="宋体" w:hAnsi="宋体" w:eastAsia="宋体" w:cs="宋体"/>
                <w:sz w:val="26"/>
                <w:szCs w:val="26"/>
              </w:rPr>
            </w:pPr>
            <w:r>
              <w:rPr>
                <w:rFonts w:ascii="宋体" w:hAnsi="宋体" w:eastAsia="宋体" w:cs="宋体"/>
                <w:spacing w:val="2"/>
                <w:sz w:val="26"/>
                <w:szCs w:val="26"/>
              </w:rPr>
              <w:t>其他资金</w:t>
            </w:r>
          </w:p>
        </w:tc>
      </w:tr>
      <w:tr w14:paraId="65DE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303" w:type="dxa"/>
            <w:vMerge w:val="continue"/>
            <w:tcBorders>
              <w:top w:val="nil"/>
            </w:tcBorders>
            <w:vAlign w:val="top"/>
          </w:tcPr>
          <w:p w14:paraId="5C41E071">
            <w:pPr>
              <w:pStyle w:val="9"/>
            </w:pPr>
          </w:p>
        </w:tc>
        <w:tc>
          <w:tcPr>
            <w:tcW w:w="2385" w:type="dxa"/>
            <w:gridSpan w:val="2"/>
            <w:vAlign w:val="top"/>
          </w:tcPr>
          <w:p w14:paraId="16E0D4DF">
            <w:pPr>
              <w:spacing w:before="110" w:line="209" w:lineRule="exact"/>
              <w:ind w:left="1041"/>
              <w:rPr>
                <w:rFonts w:hint="default" w:ascii="宋体" w:hAnsi="宋体" w:eastAsia="宋体" w:cs="宋体"/>
                <w:sz w:val="26"/>
                <w:szCs w:val="26"/>
                <w:lang w:val="en-US" w:eastAsia="zh-CN"/>
              </w:rPr>
            </w:pPr>
            <w:r>
              <w:rPr>
                <w:rFonts w:hint="default" w:ascii="宋体" w:hAnsi="宋体" w:eastAsia="宋体" w:cs="宋体"/>
                <w:sz w:val="26"/>
                <w:szCs w:val="26"/>
                <w:lang w:val="en-US" w:eastAsia="zh-CN"/>
              </w:rPr>
              <w:t>46322.84</w:t>
            </w:r>
          </w:p>
        </w:tc>
        <w:tc>
          <w:tcPr>
            <w:tcW w:w="2820" w:type="dxa"/>
            <w:gridSpan w:val="2"/>
            <w:vAlign w:val="top"/>
          </w:tcPr>
          <w:p w14:paraId="05D3329B">
            <w:pPr>
              <w:spacing w:before="110" w:line="209" w:lineRule="exact"/>
              <w:ind w:left="854"/>
              <w:rPr>
                <w:rFonts w:hint="default" w:ascii="宋体" w:hAnsi="宋体" w:eastAsia="宋体" w:cs="宋体"/>
                <w:sz w:val="26"/>
                <w:szCs w:val="26"/>
                <w:lang w:val="en-US" w:eastAsia="zh-CN"/>
              </w:rPr>
            </w:pPr>
            <w:r>
              <w:rPr>
                <w:rFonts w:hint="default" w:ascii="宋体" w:hAnsi="宋体" w:eastAsia="宋体" w:cs="宋体"/>
                <w:sz w:val="26"/>
                <w:szCs w:val="26"/>
                <w:lang w:val="en-US" w:eastAsia="zh-CN"/>
              </w:rPr>
              <w:t>46322.84</w:t>
            </w:r>
          </w:p>
        </w:tc>
        <w:tc>
          <w:tcPr>
            <w:tcW w:w="4041" w:type="dxa"/>
            <w:gridSpan w:val="4"/>
            <w:vAlign w:val="top"/>
          </w:tcPr>
          <w:p w14:paraId="62C60F9A">
            <w:pPr>
              <w:spacing w:before="110" w:line="209" w:lineRule="exact"/>
              <w:ind w:left="1926"/>
              <w:rPr>
                <w:rFonts w:hint="default" w:ascii="宋体" w:hAnsi="宋体" w:eastAsia="宋体" w:cs="宋体"/>
                <w:sz w:val="26"/>
                <w:szCs w:val="26"/>
                <w:lang w:val="en-US" w:eastAsia="zh-CN"/>
              </w:rPr>
            </w:pPr>
            <w:r>
              <w:rPr>
                <w:rFonts w:hint="eastAsia" w:ascii="宋体" w:hAnsi="宋体" w:eastAsia="宋体" w:cs="宋体"/>
                <w:spacing w:val="-2"/>
                <w:position w:val="-3"/>
                <w:sz w:val="26"/>
                <w:szCs w:val="26"/>
                <w:lang w:val="en-US" w:eastAsia="zh-CN"/>
              </w:rPr>
              <w:t>0.00</w:t>
            </w:r>
          </w:p>
        </w:tc>
      </w:tr>
      <w:tr w14:paraId="30232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1303" w:type="dxa"/>
            <w:vAlign w:val="top"/>
          </w:tcPr>
          <w:p w14:paraId="25F232AA">
            <w:pPr>
              <w:spacing w:before="51" w:line="205" w:lineRule="auto"/>
              <w:ind w:left="384" w:right="116" w:hanging="260"/>
              <w:rPr>
                <w:rFonts w:ascii="宋体" w:hAnsi="宋体" w:eastAsia="宋体" w:cs="宋体"/>
                <w:sz w:val="26"/>
                <w:szCs w:val="26"/>
              </w:rPr>
            </w:pPr>
            <w:r>
              <w:rPr>
                <w:rFonts w:ascii="宋体" w:hAnsi="宋体" w:eastAsia="宋体" w:cs="宋体"/>
                <w:spacing w:val="2"/>
                <w:sz w:val="26"/>
                <w:szCs w:val="26"/>
              </w:rPr>
              <w:t>年度总体</w:t>
            </w:r>
            <w:r>
              <w:rPr>
                <w:rFonts w:ascii="宋体" w:hAnsi="宋体" w:eastAsia="宋体" w:cs="宋体"/>
                <w:spacing w:val="10"/>
                <w:sz w:val="26"/>
                <w:szCs w:val="26"/>
              </w:rPr>
              <w:t>目标</w:t>
            </w:r>
          </w:p>
        </w:tc>
        <w:tc>
          <w:tcPr>
            <w:tcW w:w="9246" w:type="dxa"/>
            <w:gridSpan w:val="8"/>
            <w:vAlign w:val="top"/>
          </w:tcPr>
          <w:p w14:paraId="07601F85">
            <w:pPr>
              <w:keepNext w:val="0"/>
              <w:keepLines w:val="0"/>
              <w:pageBreakBefore w:val="0"/>
              <w:widowControl/>
              <w:kinsoku w:val="0"/>
              <w:wordWrap/>
              <w:overflowPunct/>
              <w:topLinePunct w:val="0"/>
              <w:autoSpaceDE w:val="0"/>
              <w:autoSpaceDN w:val="0"/>
              <w:bidi w:val="0"/>
              <w:adjustRightInd w:val="0"/>
              <w:snapToGrid w:val="0"/>
              <w:spacing w:before="141" w:line="240" w:lineRule="auto"/>
              <w:ind w:left="23"/>
              <w:textAlignment w:val="baseline"/>
              <w:rPr>
                <w:rFonts w:hint="eastAsia" w:ascii="宋体" w:hAnsi="宋体" w:eastAsia="宋体" w:cs="宋体"/>
                <w:sz w:val="26"/>
                <w:szCs w:val="26"/>
                <w:lang w:eastAsia="zh-CN"/>
              </w:rPr>
            </w:pPr>
            <w:r>
              <w:rPr>
                <w:rFonts w:hint="eastAsia" w:ascii="宋体" w:hAnsi="宋体" w:eastAsia="宋体" w:cs="宋体"/>
                <w:sz w:val="26"/>
                <w:szCs w:val="26"/>
              </w:rPr>
              <w:t>负责农田建设管理，推进50000亩高标准农田项目建设等工作，落实耕地质量管理相关工作，负责农业保险工作，统筹研究和组</w:t>
            </w:r>
            <w:r>
              <w:rPr>
                <w:rFonts w:hint="eastAsia" w:ascii="宋体" w:hAnsi="宋体" w:eastAsia="宋体" w:cs="宋体"/>
                <w:sz w:val="26"/>
                <w:szCs w:val="26"/>
                <w:lang w:eastAsia="zh-CN"/>
              </w:rPr>
              <w:t>织全</w:t>
            </w:r>
            <w:r>
              <w:rPr>
                <w:rFonts w:hint="eastAsia" w:ascii="宋体" w:hAnsi="宋体" w:eastAsia="宋体" w:cs="宋体"/>
                <w:sz w:val="26"/>
                <w:szCs w:val="26"/>
              </w:rPr>
              <w:t>县农业农村发展规划，贯彻执行国家</w:t>
            </w:r>
            <w:r>
              <w:rPr>
                <w:rFonts w:hint="eastAsia" w:ascii="宋体" w:hAnsi="宋体" w:eastAsia="宋体" w:cs="宋体"/>
                <w:sz w:val="26"/>
                <w:szCs w:val="26"/>
                <w:lang w:eastAsia="zh-CN"/>
              </w:rPr>
              <w:t>法律法规</w:t>
            </w:r>
            <w:r>
              <w:rPr>
                <w:rFonts w:hint="eastAsia" w:ascii="宋体" w:hAnsi="宋体" w:eastAsia="宋体" w:cs="宋体"/>
                <w:sz w:val="26"/>
                <w:szCs w:val="26"/>
              </w:rPr>
              <w:t>、政策以及</w:t>
            </w:r>
            <w:r>
              <w:rPr>
                <w:rFonts w:hint="eastAsia" w:ascii="宋体" w:hAnsi="宋体" w:eastAsia="宋体" w:cs="宋体"/>
                <w:sz w:val="26"/>
                <w:szCs w:val="26"/>
                <w:lang w:eastAsia="zh-CN"/>
              </w:rPr>
              <w:t>县委、县政府</w:t>
            </w:r>
            <w:r>
              <w:rPr>
                <w:rFonts w:hint="eastAsia" w:ascii="宋体" w:hAnsi="宋体" w:eastAsia="宋体" w:cs="宋体"/>
                <w:sz w:val="26"/>
                <w:szCs w:val="26"/>
              </w:rPr>
              <w:t>有关决策部署，指导全县农业农村经济发展和改革工作，提升耕地质量，保障农民户均增收，有效控制动物疫情，农户满意度超过90%</w:t>
            </w:r>
            <w:r>
              <w:rPr>
                <w:rFonts w:hint="eastAsia" w:ascii="宋体" w:hAnsi="宋体" w:eastAsia="宋体" w:cs="宋体"/>
                <w:sz w:val="26"/>
                <w:szCs w:val="26"/>
                <w:lang w:eastAsia="zh-CN"/>
              </w:rPr>
              <w:t>。</w:t>
            </w:r>
          </w:p>
        </w:tc>
      </w:tr>
      <w:tr w14:paraId="1A2FF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03" w:type="dxa"/>
            <w:vMerge w:val="restart"/>
            <w:tcBorders>
              <w:bottom w:val="nil"/>
            </w:tcBorders>
            <w:vAlign w:val="top"/>
          </w:tcPr>
          <w:p w14:paraId="316830BE">
            <w:pPr>
              <w:spacing w:before="242" w:line="220" w:lineRule="auto"/>
              <w:ind w:left="384" w:right="114" w:hanging="260"/>
              <w:rPr>
                <w:rFonts w:ascii="宋体" w:hAnsi="宋体" w:eastAsia="宋体" w:cs="宋体"/>
                <w:spacing w:val="3"/>
                <w:sz w:val="26"/>
                <w:szCs w:val="26"/>
              </w:rPr>
            </w:pPr>
          </w:p>
          <w:p w14:paraId="04F8DE33">
            <w:pPr>
              <w:spacing w:before="242" w:line="220" w:lineRule="auto"/>
              <w:ind w:left="384" w:right="114" w:hanging="260"/>
              <w:rPr>
                <w:rFonts w:ascii="宋体" w:hAnsi="宋体" w:eastAsia="宋体" w:cs="宋体"/>
                <w:spacing w:val="3"/>
                <w:sz w:val="26"/>
                <w:szCs w:val="26"/>
              </w:rPr>
            </w:pPr>
          </w:p>
          <w:p w14:paraId="13C76252">
            <w:pPr>
              <w:spacing w:before="242" w:line="220" w:lineRule="auto"/>
              <w:ind w:left="384" w:right="114" w:hanging="260"/>
              <w:rPr>
                <w:rFonts w:ascii="宋体" w:hAnsi="宋体" w:eastAsia="宋体" w:cs="宋体"/>
                <w:spacing w:val="3"/>
                <w:sz w:val="26"/>
                <w:szCs w:val="26"/>
              </w:rPr>
            </w:pPr>
          </w:p>
          <w:p w14:paraId="3B68877A">
            <w:pPr>
              <w:spacing w:before="242" w:line="220" w:lineRule="auto"/>
              <w:ind w:left="384" w:right="114" w:hanging="260"/>
              <w:rPr>
                <w:rFonts w:ascii="宋体" w:hAnsi="宋体" w:eastAsia="宋体" w:cs="宋体"/>
                <w:sz w:val="26"/>
                <w:szCs w:val="26"/>
              </w:rPr>
            </w:pPr>
            <w:r>
              <w:rPr>
                <w:rFonts w:ascii="宋体" w:hAnsi="宋体" w:eastAsia="宋体" w:cs="宋体"/>
                <w:spacing w:val="3"/>
                <w:sz w:val="26"/>
                <w:szCs w:val="26"/>
              </w:rPr>
              <w:t>年度主要</w:t>
            </w:r>
            <w:r>
              <w:rPr>
                <w:rFonts w:ascii="宋体" w:hAnsi="宋体" w:eastAsia="宋体" w:cs="宋体"/>
                <w:sz w:val="26"/>
                <w:szCs w:val="26"/>
              </w:rPr>
              <w:t xml:space="preserve"> </w:t>
            </w:r>
            <w:r>
              <w:rPr>
                <w:rFonts w:ascii="宋体" w:hAnsi="宋体" w:eastAsia="宋体" w:cs="宋体"/>
                <w:spacing w:val="6"/>
                <w:sz w:val="26"/>
                <w:szCs w:val="26"/>
              </w:rPr>
              <w:t>任务</w:t>
            </w:r>
          </w:p>
        </w:tc>
        <w:tc>
          <w:tcPr>
            <w:tcW w:w="2385" w:type="dxa"/>
            <w:gridSpan w:val="2"/>
            <w:vAlign w:val="top"/>
          </w:tcPr>
          <w:p w14:paraId="55720A1F">
            <w:pPr>
              <w:spacing w:before="43" w:line="196" w:lineRule="auto"/>
              <w:ind w:left="781"/>
              <w:rPr>
                <w:rFonts w:ascii="宋体" w:hAnsi="宋体" w:eastAsia="宋体" w:cs="宋体"/>
                <w:sz w:val="26"/>
                <w:szCs w:val="26"/>
              </w:rPr>
            </w:pPr>
            <w:r>
              <w:rPr>
                <w:rFonts w:ascii="宋体" w:hAnsi="宋体" w:eastAsia="宋体" w:cs="宋体"/>
                <w:spacing w:val="3"/>
                <w:sz w:val="26"/>
                <w:szCs w:val="26"/>
              </w:rPr>
              <w:t>任务名称</w:t>
            </w:r>
          </w:p>
        </w:tc>
        <w:tc>
          <w:tcPr>
            <w:tcW w:w="6861" w:type="dxa"/>
            <w:gridSpan w:val="6"/>
            <w:vAlign w:val="top"/>
          </w:tcPr>
          <w:p w14:paraId="0CE63C53">
            <w:pPr>
              <w:spacing w:before="43" w:line="196" w:lineRule="auto"/>
              <w:ind w:left="2784"/>
              <w:rPr>
                <w:rFonts w:ascii="宋体" w:hAnsi="宋体" w:eastAsia="宋体" w:cs="宋体"/>
                <w:sz w:val="26"/>
                <w:szCs w:val="26"/>
              </w:rPr>
            </w:pPr>
            <w:r>
              <w:rPr>
                <w:rFonts w:ascii="宋体" w:hAnsi="宋体" w:eastAsia="宋体" w:cs="宋体"/>
                <w:spacing w:val="3"/>
                <w:sz w:val="26"/>
                <w:szCs w:val="26"/>
              </w:rPr>
              <w:t>主要内容</w:t>
            </w:r>
          </w:p>
        </w:tc>
      </w:tr>
      <w:tr w14:paraId="71CE83E4">
        <w:tblPrEx>
          <w:tblCellMar>
            <w:top w:w="0" w:type="dxa"/>
            <w:left w:w="0" w:type="dxa"/>
            <w:bottom w:w="0" w:type="dxa"/>
            <w:right w:w="0" w:type="dxa"/>
          </w:tblCellMar>
        </w:tblPrEx>
        <w:trPr>
          <w:trHeight w:val="330" w:hRule="atLeast"/>
        </w:trPr>
        <w:tc>
          <w:tcPr>
            <w:tcW w:w="1303" w:type="dxa"/>
            <w:vMerge w:val="continue"/>
            <w:vAlign w:val="top"/>
          </w:tcPr>
          <w:p w14:paraId="42C30C2F">
            <w:pPr>
              <w:spacing w:before="242" w:line="220" w:lineRule="auto"/>
              <w:ind w:left="384" w:right="114" w:hanging="260"/>
              <w:rPr>
                <w:rFonts w:ascii="宋体" w:hAnsi="宋体" w:eastAsia="宋体" w:cs="宋体"/>
                <w:spacing w:val="3"/>
                <w:sz w:val="26"/>
                <w:szCs w:val="26"/>
              </w:rPr>
            </w:pPr>
          </w:p>
        </w:tc>
        <w:tc>
          <w:tcPr>
            <w:tcW w:w="2385" w:type="dxa"/>
            <w:gridSpan w:val="2"/>
            <w:vAlign w:val="center"/>
          </w:tcPr>
          <w:p w14:paraId="7229DA27">
            <w:pPr>
              <w:keepNext w:val="0"/>
              <w:keepLines w:val="0"/>
              <w:widowControl/>
              <w:suppressLineNumbers w:val="0"/>
              <w:jc w:val="left"/>
              <w:textAlignment w:val="center"/>
              <w:rPr>
                <w:rFonts w:ascii="宋体" w:hAnsi="宋体" w:eastAsia="宋体" w:cs="宋体"/>
                <w:spacing w:val="3"/>
                <w:sz w:val="24"/>
                <w:szCs w:val="24"/>
              </w:rPr>
            </w:pPr>
            <w:r>
              <w:rPr>
                <w:rFonts w:ascii="宋体" w:hAnsi="宋体" w:eastAsia="宋体" w:cs="宋体"/>
                <w:i w:val="0"/>
                <w:iCs w:val="0"/>
                <w:snapToGrid w:val="0"/>
                <w:color w:val="000000"/>
                <w:kern w:val="0"/>
                <w:sz w:val="24"/>
                <w:szCs w:val="24"/>
                <w:u w:val="none"/>
                <w:lang w:val="en-US" w:eastAsia="zh-CN" w:bidi="ar"/>
              </w:rPr>
              <w:t>农机购机补贴</w:t>
            </w:r>
            <w:r>
              <w:rPr>
                <w:rStyle w:val="10"/>
                <w:rFonts w:eastAsia="宋体"/>
                <w:snapToGrid w:val="0"/>
                <w:color w:val="000000"/>
                <w:sz w:val="24"/>
                <w:szCs w:val="24"/>
                <w:lang w:val="en-US" w:eastAsia="zh-CN" w:bidi="ar"/>
              </w:rPr>
              <w:t xml:space="preserve">   </w:t>
            </w:r>
          </w:p>
        </w:tc>
        <w:tc>
          <w:tcPr>
            <w:tcW w:w="6861" w:type="dxa"/>
            <w:gridSpan w:val="6"/>
            <w:vAlign w:val="center"/>
          </w:tcPr>
          <w:p w14:paraId="5B853225">
            <w:pPr>
              <w:keepNext w:val="0"/>
              <w:keepLines w:val="0"/>
              <w:widowControl/>
              <w:suppressLineNumbers w:val="0"/>
              <w:jc w:val="left"/>
              <w:textAlignment w:val="center"/>
              <w:rPr>
                <w:rFonts w:ascii="宋体" w:hAnsi="宋体" w:eastAsia="宋体" w:cs="宋体"/>
                <w:spacing w:val="3"/>
                <w:sz w:val="24"/>
                <w:szCs w:val="24"/>
              </w:rPr>
            </w:pPr>
            <w:r>
              <w:rPr>
                <w:rFonts w:ascii="宋体" w:hAnsi="宋体" w:eastAsia="宋体" w:cs="宋体"/>
                <w:i w:val="0"/>
                <w:iCs w:val="0"/>
                <w:snapToGrid w:val="0"/>
                <w:color w:val="000000"/>
                <w:kern w:val="0"/>
                <w:sz w:val="24"/>
                <w:szCs w:val="24"/>
                <w:u w:val="none"/>
                <w:lang w:val="en-US" w:eastAsia="zh-CN" w:bidi="ar"/>
              </w:rPr>
              <w:t xml:space="preserve">大力推广农机新机具、新技术；开展农机技术检测及安全监管，保障农机安全生产。    </w:t>
            </w:r>
          </w:p>
        </w:tc>
      </w:tr>
      <w:tr w14:paraId="30EC9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03" w:type="dxa"/>
            <w:vMerge w:val="continue"/>
            <w:vAlign w:val="top"/>
          </w:tcPr>
          <w:p w14:paraId="31E86A24">
            <w:pPr>
              <w:spacing w:before="242" w:line="220" w:lineRule="auto"/>
              <w:ind w:left="384" w:right="114" w:hanging="260"/>
              <w:rPr>
                <w:rFonts w:ascii="宋体" w:hAnsi="宋体" w:eastAsia="宋体" w:cs="宋体"/>
                <w:spacing w:val="3"/>
                <w:sz w:val="26"/>
                <w:szCs w:val="26"/>
              </w:rPr>
            </w:pPr>
          </w:p>
        </w:tc>
        <w:tc>
          <w:tcPr>
            <w:tcW w:w="2385" w:type="dxa"/>
            <w:gridSpan w:val="2"/>
            <w:vAlign w:val="center"/>
          </w:tcPr>
          <w:p w14:paraId="153BD3D0">
            <w:pPr>
              <w:keepNext w:val="0"/>
              <w:keepLines w:val="0"/>
              <w:widowControl/>
              <w:suppressLineNumbers w:val="0"/>
              <w:jc w:val="left"/>
              <w:textAlignment w:val="center"/>
              <w:rPr>
                <w:rFonts w:ascii="宋体" w:hAnsi="宋体" w:eastAsia="宋体" w:cs="宋体"/>
                <w:spacing w:val="3"/>
                <w:sz w:val="24"/>
                <w:szCs w:val="24"/>
              </w:rPr>
            </w:pPr>
            <w:r>
              <w:rPr>
                <w:rFonts w:ascii="宋体" w:hAnsi="宋体" w:eastAsia="宋体" w:cs="宋体"/>
                <w:i w:val="0"/>
                <w:iCs w:val="0"/>
                <w:snapToGrid w:val="0"/>
                <w:color w:val="000000"/>
                <w:kern w:val="0"/>
                <w:sz w:val="24"/>
                <w:szCs w:val="24"/>
                <w:u w:val="none"/>
                <w:lang w:val="en-US" w:eastAsia="zh-CN" w:bidi="ar"/>
              </w:rPr>
              <w:t xml:space="preserve">推广农业新技术   </w:t>
            </w:r>
          </w:p>
        </w:tc>
        <w:tc>
          <w:tcPr>
            <w:tcW w:w="6861" w:type="dxa"/>
            <w:gridSpan w:val="6"/>
            <w:vAlign w:val="center"/>
          </w:tcPr>
          <w:p w14:paraId="2C4D233D">
            <w:pPr>
              <w:keepNext w:val="0"/>
              <w:keepLines w:val="0"/>
              <w:widowControl/>
              <w:suppressLineNumbers w:val="0"/>
              <w:jc w:val="left"/>
              <w:textAlignment w:val="center"/>
              <w:rPr>
                <w:rFonts w:ascii="宋体" w:hAnsi="宋体" w:eastAsia="宋体" w:cs="宋体"/>
                <w:spacing w:val="3"/>
                <w:sz w:val="24"/>
                <w:szCs w:val="24"/>
              </w:rPr>
            </w:pPr>
            <w:r>
              <w:rPr>
                <w:rFonts w:ascii="宋体" w:hAnsi="宋体" w:eastAsia="宋体" w:cs="宋体"/>
                <w:i w:val="0"/>
                <w:iCs w:val="0"/>
                <w:snapToGrid w:val="0"/>
                <w:color w:val="000000"/>
                <w:kern w:val="0"/>
                <w:sz w:val="24"/>
                <w:szCs w:val="24"/>
                <w:u w:val="none"/>
                <w:lang w:val="en-US" w:eastAsia="zh-CN" w:bidi="ar"/>
              </w:rPr>
              <w:t xml:space="preserve">负责农业新品种、新技术、新工艺、新材料的引进、试验、繁殖、示范、推广应用    </w:t>
            </w:r>
          </w:p>
        </w:tc>
      </w:tr>
      <w:tr w14:paraId="0AFE7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303" w:type="dxa"/>
            <w:vMerge w:val="continue"/>
            <w:vAlign w:val="top"/>
          </w:tcPr>
          <w:p w14:paraId="129FF64B">
            <w:pPr>
              <w:spacing w:before="242" w:line="220" w:lineRule="auto"/>
              <w:ind w:left="384" w:right="114" w:hanging="260"/>
              <w:rPr>
                <w:rFonts w:ascii="宋体" w:hAnsi="宋体" w:eastAsia="宋体" w:cs="宋体"/>
                <w:spacing w:val="3"/>
                <w:sz w:val="26"/>
                <w:szCs w:val="26"/>
              </w:rPr>
            </w:pPr>
          </w:p>
        </w:tc>
        <w:tc>
          <w:tcPr>
            <w:tcW w:w="2385" w:type="dxa"/>
            <w:gridSpan w:val="2"/>
            <w:vAlign w:val="center"/>
          </w:tcPr>
          <w:p w14:paraId="10CA1406">
            <w:pPr>
              <w:keepNext w:val="0"/>
              <w:keepLines w:val="0"/>
              <w:widowControl/>
              <w:suppressLineNumbers w:val="0"/>
              <w:jc w:val="left"/>
              <w:textAlignment w:val="center"/>
              <w:rPr>
                <w:rFonts w:ascii="宋体" w:hAnsi="宋体" w:eastAsia="宋体" w:cs="宋体"/>
                <w:spacing w:val="3"/>
                <w:sz w:val="24"/>
                <w:szCs w:val="24"/>
              </w:rPr>
            </w:pPr>
            <w:r>
              <w:rPr>
                <w:rFonts w:ascii="宋体" w:hAnsi="宋体" w:eastAsia="宋体" w:cs="宋体"/>
                <w:i w:val="0"/>
                <w:iCs w:val="0"/>
                <w:snapToGrid w:val="0"/>
                <w:color w:val="000000"/>
                <w:kern w:val="0"/>
                <w:sz w:val="24"/>
                <w:szCs w:val="24"/>
                <w:u w:val="none"/>
                <w:lang w:val="en-US" w:eastAsia="zh-CN" w:bidi="ar"/>
              </w:rPr>
              <w:t>动植物疫情、病虫害监测与防控</w:t>
            </w:r>
          </w:p>
        </w:tc>
        <w:tc>
          <w:tcPr>
            <w:tcW w:w="6861" w:type="dxa"/>
            <w:gridSpan w:val="6"/>
            <w:vAlign w:val="center"/>
          </w:tcPr>
          <w:p w14:paraId="01E8D804">
            <w:pPr>
              <w:keepNext w:val="0"/>
              <w:keepLines w:val="0"/>
              <w:widowControl/>
              <w:suppressLineNumbers w:val="0"/>
              <w:jc w:val="left"/>
              <w:textAlignment w:val="center"/>
              <w:rPr>
                <w:rFonts w:ascii="宋体" w:hAnsi="宋体" w:eastAsia="宋体" w:cs="宋体"/>
                <w:spacing w:val="3"/>
                <w:sz w:val="24"/>
                <w:szCs w:val="24"/>
              </w:rPr>
            </w:pPr>
            <w:r>
              <w:rPr>
                <w:rFonts w:ascii="宋体" w:hAnsi="宋体" w:eastAsia="宋体" w:cs="宋体"/>
                <w:i w:val="0"/>
                <w:iCs w:val="0"/>
                <w:snapToGrid w:val="0"/>
                <w:color w:val="000000"/>
                <w:kern w:val="0"/>
                <w:sz w:val="24"/>
                <w:szCs w:val="24"/>
                <w:u w:val="none"/>
                <w:lang w:val="en-US" w:eastAsia="zh-CN" w:bidi="ar"/>
              </w:rPr>
              <w:t xml:space="preserve">开展动植物疫情、病虫害监测与防控工作；发放养殖环节病死猪无害化处理和强制扑杀补助经费。    </w:t>
            </w:r>
          </w:p>
        </w:tc>
      </w:tr>
      <w:tr w14:paraId="2198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303" w:type="dxa"/>
            <w:vMerge w:val="continue"/>
            <w:tcBorders>
              <w:top w:val="nil"/>
              <w:bottom w:val="nil"/>
            </w:tcBorders>
            <w:vAlign w:val="top"/>
          </w:tcPr>
          <w:p w14:paraId="21C748F3">
            <w:pPr>
              <w:pStyle w:val="9"/>
            </w:pPr>
          </w:p>
        </w:tc>
        <w:tc>
          <w:tcPr>
            <w:tcW w:w="2385" w:type="dxa"/>
            <w:gridSpan w:val="2"/>
            <w:vAlign w:val="center"/>
          </w:tcPr>
          <w:p w14:paraId="4704D608">
            <w:pPr>
              <w:keepNext w:val="0"/>
              <w:keepLines w:val="0"/>
              <w:widowControl/>
              <w:suppressLineNumbers w:val="0"/>
              <w:jc w:val="left"/>
              <w:textAlignment w:val="center"/>
              <w:rPr>
                <w:rFonts w:ascii="宋体" w:hAnsi="宋体" w:eastAsia="宋体" w:cs="宋体"/>
                <w:sz w:val="24"/>
                <w:szCs w:val="24"/>
                <w:highlight w:val="yellow"/>
              </w:rPr>
            </w:pPr>
            <w:r>
              <w:rPr>
                <w:rFonts w:ascii="宋体" w:hAnsi="宋体" w:eastAsia="宋体" w:cs="宋体"/>
                <w:i w:val="0"/>
                <w:iCs w:val="0"/>
                <w:snapToGrid w:val="0"/>
                <w:color w:val="000000"/>
                <w:kern w:val="0"/>
                <w:sz w:val="24"/>
                <w:szCs w:val="24"/>
                <w:u w:val="none"/>
                <w:lang w:val="en-US" w:eastAsia="zh-CN" w:bidi="ar"/>
              </w:rPr>
              <w:t xml:space="preserve">耕地地力保护补贴   </w:t>
            </w:r>
          </w:p>
        </w:tc>
        <w:tc>
          <w:tcPr>
            <w:tcW w:w="6861" w:type="dxa"/>
            <w:gridSpan w:val="6"/>
            <w:vAlign w:val="center"/>
          </w:tcPr>
          <w:p w14:paraId="690C21F6">
            <w:pPr>
              <w:keepNext w:val="0"/>
              <w:keepLines w:val="0"/>
              <w:widowControl/>
              <w:suppressLineNumbers w:val="0"/>
              <w:jc w:val="left"/>
              <w:textAlignment w:val="center"/>
              <w:rPr>
                <w:rFonts w:hint="eastAsia" w:ascii="宋体" w:hAnsi="宋体" w:eastAsia="宋体" w:cs="宋体"/>
                <w:sz w:val="24"/>
                <w:szCs w:val="24"/>
                <w:highlight w:val="yellow"/>
                <w:lang w:val="en-US" w:eastAsia="zh-CN"/>
              </w:rPr>
            </w:pPr>
            <w:r>
              <w:rPr>
                <w:rFonts w:ascii="宋体" w:hAnsi="宋体" w:eastAsia="宋体" w:cs="宋体"/>
                <w:i w:val="0"/>
                <w:iCs w:val="0"/>
                <w:snapToGrid w:val="0"/>
                <w:color w:val="000000"/>
                <w:kern w:val="0"/>
                <w:sz w:val="24"/>
                <w:szCs w:val="24"/>
                <w:u w:val="none"/>
                <w:lang w:val="en-US" w:eastAsia="zh-CN" w:bidi="ar"/>
              </w:rPr>
              <w:t xml:space="preserve">发放耕地地力保护补贴，保护全区耕地质量不降低。    </w:t>
            </w:r>
          </w:p>
        </w:tc>
      </w:tr>
      <w:tr w14:paraId="5B5A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303" w:type="dxa"/>
            <w:vMerge w:val="continue"/>
            <w:tcBorders>
              <w:top w:val="nil"/>
              <w:bottom w:val="nil"/>
            </w:tcBorders>
            <w:vAlign w:val="top"/>
          </w:tcPr>
          <w:p w14:paraId="2228D44E">
            <w:pPr>
              <w:pStyle w:val="9"/>
            </w:pPr>
          </w:p>
        </w:tc>
        <w:tc>
          <w:tcPr>
            <w:tcW w:w="2385" w:type="dxa"/>
            <w:gridSpan w:val="2"/>
            <w:vAlign w:val="center"/>
          </w:tcPr>
          <w:p w14:paraId="7F0C0FFA">
            <w:pPr>
              <w:keepNext w:val="0"/>
              <w:keepLines w:val="0"/>
              <w:widowControl/>
              <w:suppressLineNumbers w:val="0"/>
              <w:jc w:val="left"/>
              <w:textAlignment w:val="center"/>
              <w:rPr>
                <w:rFonts w:hint="eastAsia" w:ascii="宋体" w:hAnsi="宋体" w:eastAsia="宋体" w:cs="宋体"/>
                <w:sz w:val="24"/>
                <w:szCs w:val="24"/>
                <w:highlight w:val="none"/>
              </w:rPr>
            </w:pPr>
            <w:r>
              <w:rPr>
                <w:rFonts w:ascii="宋体" w:hAnsi="宋体" w:eastAsia="宋体" w:cs="宋体"/>
                <w:i w:val="0"/>
                <w:iCs w:val="0"/>
                <w:snapToGrid w:val="0"/>
                <w:color w:val="000000"/>
                <w:kern w:val="0"/>
                <w:sz w:val="24"/>
                <w:szCs w:val="24"/>
                <w:u w:val="none"/>
                <w:lang w:val="en-US" w:eastAsia="zh-CN" w:bidi="ar"/>
              </w:rPr>
              <w:t xml:space="preserve">农田基础建设   </w:t>
            </w:r>
          </w:p>
        </w:tc>
        <w:tc>
          <w:tcPr>
            <w:tcW w:w="6861" w:type="dxa"/>
            <w:gridSpan w:val="6"/>
            <w:vAlign w:val="center"/>
          </w:tcPr>
          <w:p w14:paraId="25689075">
            <w:pPr>
              <w:keepNext w:val="0"/>
              <w:keepLines w:val="0"/>
              <w:widowControl/>
              <w:suppressLineNumbers w:val="0"/>
              <w:jc w:val="left"/>
              <w:textAlignment w:val="center"/>
              <w:rPr>
                <w:rFonts w:hint="eastAsia" w:ascii="宋体" w:hAnsi="宋体" w:eastAsia="宋体" w:cs="宋体"/>
                <w:spacing w:val="-2"/>
                <w:position w:val="-3"/>
                <w:sz w:val="24"/>
                <w:szCs w:val="24"/>
                <w:highlight w:val="none"/>
              </w:rPr>
            </w:pPr>
            <w:r>
              <w:rPr>
                <w:rFonts w:ascii="宋体" w:hAnsi="宋体" w:eastAsia="宋体" w:cs="宋体"/>
                <w:i w:val="0"/>
                <w:iCs w:val="0"/>
                <w:snapToGrid w:val="0"/>
                <w:color w:val="000000"/>
                <w:kern w:val="0"/>
                <w:sz w:val="24"/>
                <w:szCs w:val="24"/>
                <w:u w:val="none"/>
                <w:lang w:val="en-US" w:eastAsia="zh-CN" w:bidi="ar"/>
              </w:rPr>
              <w:t xml:space="preserve">负责农田建设管理，推进农田项目和农田水利项目建设，落实耕地质量管理相关工作，负责农业保险工作    </w:t>
            </w:r>
          </w:p>
        </w:tc>
      </w:tr>
      <w:tr w14:paraId="4AC48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03" w:type="dxa"/>
            <w:vMerge w:val="continue"/>
            <w:tcBorders>
              <w:top w:val="nil"/>
              <w:bottom w:val="single" w:color="auto" w:sz="4" w:space="0"/>
            </w:tcBorders>
            <w:vAlign w:val="top"/>
          </w:tcPr>
          <w:p w14:paraId="20FD4400">
            <w:pPr>
              <w:pStyle w:val="9"/>
            </w:pPr>
          </w:p>
        </w:tc>
        <w:tc>
          <w:tcPr>
            <w:tcW w:w="2385" w:type="dxa"/>
            <w:gridSpan w:val="2"/>
            <w:tcBorders>
              <w:bottom w:val="single" w:color="auto" w:sz="4" w:space="0"/>
            </w:tcBorders>
            <w:vAlign w:val="center"/>
          </w:tcPr>
          <w:p w14:paraId="54B074E4">
            <w:pPr>
              <w:keepNext w:val="0"/>
              <w:keepLines w:val="0"/>
              <w:widowControl/>
              <w:suppressLineNumbers w:val="0"/>
              <w:jc w:val="left"/>
              <w:textAlignment w:val="center"/>
              <w:rPr>
                <w:rFonts w:hint="eastAsia" w:eastAsia="宋体"/>
                <w:sz w:val="24"/>
                <w:szCs w:val="24"/>
                <w:lang w:val="en-US" w:eastAsia="zh-CN"/>
              </w:rPr>
            </w:pPr>
            <w:r>
              <w:rPr>
                <w:rFonts w:ascii="宋体" w:hAnsi="宋体" w:eastAsia="宋体" w:cs="宋体"/>
                <w:i w:val="0"/>
                <w:iCs w:val="0"/>
                <w:snapToGrid w:val="0"/>
                <w:color w:val="000000"/>
                <w:kern w:val="0"/>
                <w:sz w:val="24"/>
                <w:szCs w:val="24"/>
                <w:u w:val="none"/>
                <w:lang w:val="en-US" w:eastAsia="zh-CN" w:bidi="ar"/>
              </w:rPr>
              <w:t xml:space="preserve">乡村振兴服务   </w:t>
            </w:r>
          </w:p>
        </w:tc>
        <w:tc>
          <w:tcPr>
            <w:tcW w:w="6861" w:type="dxa"/>
            <w:gridSpan w:val="6"/>
            <w:vAlign w:val="center"/>
          </w:tcPr>
          <w:p w14:paraId="5F6FADF3">
            <w:pPr>
              <w:keepNext w:val="0"/>
              <w:keepLines w:val="0"/>
              <w:widowControl/>
              <w:suppressLineNumbers w:val="0"/>
              <w:jc w:val="left"/>
              <w:textAlignment w:val="center"/>
              <w:rPr>
                <w:sz w:val="24"/>
                <w:szCs w:val="24"/>
              </w:rPr>
            </w:pPr>
            <w:r>
              <w:rPr>
                <w:rFonts w:ascii="宋体" w:hAnsi="宋体" w:eastAsia="宋体" w:cs="宋体"/>
                <w:i w:val="0"/>
                <w:iCs w:val="0"/>
                <w:snapToGrid w:val="0"/>
                <w:color w:val="000000"/>
                <w:kern w:val="0"/>
                <w:sz w:val="24"/>
                <w:szCs w:val="24"/>
                <w:u w:val="none"/>
                <w:lang w:val="en-US" w:eastAsia="zh-CN" w:bidi="ar"/>
              </w:rPr>
              <w:t xml:space="preserve">有序推进乡村振兴试点村建设，全面提升乡村发展水平。    </w:t>
            </w:r>
          </w:p>
        </w:tc>
      </w:tr>
      <w:tr w14:paraId="2C984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303" w:type="dxa"/>
            <w:vMerge w:val="restart"/>
            <w:tcBorders>
              <w:top w:val="single" w:color="auto" w:sz="4" w:space="0"/>
              <w:left w:val="single" w:color="auto" w:sz="4" w:space="0"/>
              <w:bottom w:val="single" w:color="auto" w:sz="4" w:space="0"/>
              <w:right w:val="single" w:color="auto" w:sz="4" w:space="0"/>
            </w:tcBorders>
            <w:vAlign w:val="top"/>
          </w:tcPr>
          <w:p w14:paraId="634E0CE3">
            <w:pPr>
              <w:spacing w:before="84" w:line="217" w:lineRule="auto"/>
              <w:ind w:left="384" w:right="116" w:hanging="260"/>
              <w:jc w:val="center"/>
              <w:rPr>
                <w:rFonts w:ascii="宋体" w:hAnsi="宋体" w:eastAsia="宋体" w:cs="宋体"/>
                <w:spacing w:val="2"/>
                <w:sz w:val="26"/>
                <w:szCs w:val="26"/>
              </w:rPr>
            </w:pPr>
          </w:p>
          <w:p w14:paraId="1CED112F">
            <w:pPr>
              <w:spacing w:before="84" w:line="217" w:lineRule="auto"/>
              <w:ind w:left="384" w:right="116" w:hanging="260"/>
              <w:jc w:val="center"/>
              <w:rPr>
                <w:rFonts w:ascii="宋体" w:hAnsi="宋体" w:eastAsia="宋体" w:cs="宋体"/>
                <w:spacing w:val="2"/>
                <w:sz w:val="26"/>
                <w:szCs w:val="26"/>
              </w:rPr>
            </w:pPr>
          </w:p>
          <w:p w14:paraId="0CF45448">
            <w:pPr>
              <w:spacing w:before="84" w:line="217" w:lineRule="auto"/>
              <w:ind w:left="384" w:right="116" w:hanging="260"/>
              <w:jc w:val="center"/>
              <w:rPr>
                <w:rFonts w:ascii="宋体" w:hAnsi="宋体" w:eastAsia="宋体" w:cs="宋体"/>
                <w:spacing w:val="2"/>
                <w:sz w:val="26"/>
                <w:szCs w:val="26"/>
              </w:rPr>
            </w:pPr>
          </w:p>
          <w:p w14:paraId="661E868D">
            <w:pPr>
              <w:spacing w:before="84" w:line="217" w:lineRule="auto"/>
              <w:ind w:left="384" w:right="116" w:hanging="260"/>
              <w:jc w:val="center"/>
              <w:rPr>
                <w:rFonts w:ascii="宋体" w:hAnsi="宋体" w:eastAsia="宋体" w:cs="宋体"/>
                <w:spacing w:val="2"/>
                <w:sz w:val="26"/>
                <w:szCs w:val="26"/>
              </w:rPr>
            </w:pPr>
          </w:p>
          <w:p w14:paraId="43171F95">
            <w:pPr>
              <w:spacing w:before="84" w:line="217" w:lineRule="auto"/>
              <w:ind w:left="384" w:right="116" w:hanging="260"/>
              <w:jc w:val="center"/>
              <w:rPr>
                <w:rFonts w:ascii="宋体" w:hAnsi="宋体" w:eastAsia="宋体" w:cs="宋体"/>
                <w:spacing w:val="2"/>
                <w:sz w:val="26"/>
                <w:szCs w:val="26"/>
              </w:rPr>
            </w:pPr>
          </w:p>
          <w:p w14:paraId="5AEE6C3C">
            <w:pPr>
              <w:spacing w:before="84" w:line="217" w:lineRule="auto"/>
              <w:ind w:left="384" w:right="116" w:hanging="260"/>
              <w:jc w:val="center"/>
              <w:rPr>
                <w:rFonts w:ascii="宋体" w:hAnsi="宋体" w:eastAsia="宋体" w:cs="宋体"/>
                <w:spacing w:val="2"/>
                <w:sz w:val="26"/>
                <w:szCs w:val="26"/>
              </w:rPr>
            </w:pPr>
          </w:p>
          <w:p w14:paraId="29A3D8FF">
            <w:pPr>
              <w:spacing w:before="84" w:line="217" w:lineRule="auto"/>
              <w:ind w:left="384" w:right="116" w:hanging="260"/>
              <w:jc w:val="center"/>
              <w:rPr>
                <w:rFonts w:ascii="宋体" w:hAnsi="宋体" w:eastAsia="宋体" w:cs="宋体"/>
                <w:spacing w:val="2"/>
                <w:sz w:val="26"/>
                <w:szCs w:val="26"/>
              </w:rPr>
            </w:pPr>
          </w:p>
          <w:p w14:paraId="57258A7B">
            <w:pPr>
              <w:spacing w:before="84" w:line="217" w:lineRule="auto"/>
              <w:ind w:left="384" w:right="116" w:hanging="260"/>
              <w:jc w:val="center"/>
              <w:rPr>
                <w:rFonts w:ascii="宋体" w:hAnsi="宋体" w:eastAsia="宋体" w:cs="宋体"/>
                <w:spacing w:val="2"/>
                <w:sz w:val="26"/>
                <w:szCs w:val="26"/>
              </w:rPr>
            </w:pPr>
          </w:p>
          <w:p w14:paraId="7C073619">
            <w:pPr>
              <w:spacing w:before="84" w:line="217" w:lineRule="auto"/>
              <w:ind w:left="384" w:right="116" w:hanging="260"/>
              <w:jc w:val="center"/>
              <w:rPr>
                <w:rFonts w:ascii="宋体" w:hAnsi="宋体" w:eastAsia="宋体" w:cs="宋体"/>
                <w:spacing w:val="2"/>
                <w:sz w:val="26"/>
                <w:szCs w:val="26"/>
              </w:rPr>
            </w:pPr>
          </w:p>
          <w:p w14:paraId="7248E768">
            <w:pPr>
              <w:spacing w:before="84" w:line="217" w:lineRule="auto"/>
              <w:ind w:left="384" w:right="116" w:hanging="260"/>
              <w:jc w:val="center"/>
              <w:rPr>
                <w:rFonts w:ascii="宋体" w:hAnsi="宋体" w:eastAsia="宋体" w:cs="宋体"/>
                <w:spacing w:val="2"/>
                <w:sz w:val="26"/>
                <w:szCs w:val="26"/>
              </w:rPr>
            </w:pPr>
          </w:p>
          <w:p w14:paraId="09173F24">
            <w:pPr>
              <w:spacing w:before="84" w:line="217" w:lineRule="auto"/>
              <w:ind w:left="384" w:right="116" w:hanging="260"/>
              <w:jc w:val="center"/>
              <w:rPr>
                <w:rFonts w:ascii="宋体" w:hAnsi="宋体" w:eastAsia="宋体" w:cs="宋体"/>
                <w:spacing w:val="2"/>
                <w:sz w:val="26"/>
                <w:szCs w:val="26"/>
              </w:rPr>
            </w:pPr>
          </w:p>
          <w:p w14:paraId="08A6861E">
            <w:pPr>
              <w:spacing w:before="84" w:line="217" w:lineRule="auto"/>
              <w:ind w:left="384" w:right="116" w:hanging="260"/>
              <w:jc w:val="center"/>
              <w:rPr>
                <w:rFonts w:ascii="宋体" w:hAnsi="宋体" w:eastAsia="宋体" w:cs="宋体"/>
                <w:spacing w:val="2"/>
                <w:sz w:val="26"/>
                <w:szCs w:val="26"/>
              </w:rPr>
            </w:pPr>
          </w:p>
          <w:p w14:paraId="5135793D">
            <w:pPr>
              <w:spacing w:before="84" w:line="217" w:lineRule="auto"/>
              <w:ind w:left="384" w:right="116" w:hanging="260"/>
              <w:jc w:val="center"/>
              <w:rPr>
                <w:rFonts w:ascii="宋体" w:hAnsi="宋体" w:eastAsia="宋体" w:cs="宋体"/>
                <w:spacing w:val="2"/>
                <w:sz w:val="26"/>
                <w:szCs w:val="26"/>
              </w:rPr>
            </w:pPr>
          </w:p>
          <w:p w14:paraId="12C2FA73">
            <w:pPr>
              <w:spacing w:before="84" w:line="217" w:lineRule="auto"/>
              <w:ind w:left="384" w:right="116" w:hanging="260"/>
              <w:jc w:val="center"/>
              <w:rPr>
                <w:rFonts w:ascii="宋体" w:hAnsi="宋体" w:eastAsia="宋体" w:cs="宋体"/>
                <w:spacing w:val="2"/>
                <w:sz w:val="26"/>
                <w:szCs w:val="26"/>
              </w:rPr>
            </w:pPr>
          </w:p>
          <w:p w14:paraId="39CE91C0">
            <w:pPr>
              <w:spacing w:before="84" w:line="217" w:lineRule="auto"/>
              <w:ind w:left="384" w:right="116" w:hanging="260"/>
              <w:jc w:val="center"/>
              <w:rPr>
                <w:rFonts w:ascii="宋体" w:hAnsi="宋体" w:eastAsia="宋体" w:cs="宋体"/>
                <w:spacing w:val="2"/>
                <w:sz w:val="26"/>
                <w:szCs w:val="26"/>
              </w:rPr>
            </w:pPr>
          </w:p>
          <w:p w14:paraId="01857D01">
            <w:pPr>
              <w:spacing w:before="84" w:line="217" w:lineRule="auto"/>
              <w:ind w:left="384" w:right="116" w:hanging="260"/>
              <w:jc w:val="center"/>
              <w:rPr>
                <w:rFonts w:ascii="宋体" w:hAnsi="宋体" w:eastAsia="宋体" w:cs="宋体"/>
                <w:spacing w:val="2"/>
                <w:sz w:val="26"/>
                <w:szCs w:val="26"/>
              </w:rPr>
            </w:pPr>
          </w:p>
          <w:p w14:paraId="4E36A029">
            <w:pPr>
              <w:spacing w:before="84" w:line="217" w:lineRule="auto"/>
              <w:ind w:left="384" w:right="116" w:hanging="260"/>
              <w:jc w:val="center"/>
              <w:rPr>
                <w:rFonts w:ascii="宋体" w:hAnsi="宋体" w:eastAsia="宋体" w:cs="宋体"/>
                <w:spacing w:val="2"/>
                <w:sz w:val="26"/>
                <w:szCs w:val="26"/>
              </w:rPr>
            </w:pPr>
          </w:p>
          <w:p w14:paraId="1C0EB9EB">
            <w:pPr>
              <w:spacing w:before="84" w:line="217" w:lineRule="auto"/>
              <w:ind w:left="384" w:right="116" w:hanging="260"/>
              <w:jc w:val="center"/>
              <w:rPr>
                <w:rFonts w:ascii="宋体" w:hAnsi="宋体" w:eastAsia="宋体" w:cs="宋体"/>
                <w:spacing w:val="2"/>
                <w:sz w:val="26"/>
                <w:szCs w:val="26"/>
              </w:rPr>
            </w:pPr>
          </w:p>
          <w:p w14:paraId="457244DB">
            <w:pPr>
              <w:spacing w:before="84" w:line="217" w:lineRule="auto"/>
              <w:ind w:left="384" w:right="116" w:hanging="260"/>
              <w:jc w:val="center"/>
              <w:rPr>
                <w:rFonts w:ascii="宋体" w:hAnsi="宋体" w:eastAsia="宋体" w:cs="宋体"/>
                <w:spacing w:val="2"/>
                <w:sz w:val="26"/>
                <w:szCs w:val="26"/>
              </w:rPr>
            </w:pPr>
          </w:p>
          <w:p w14:paraId="464DFF75">
            <w:pPr>
              <w:spacing w:before="84" w:line="217" w:lineRule="auto"/>
              <w:ind w:left="384" w:right="116" w:hanging="260"/>
              <w:jc w:val="center"/>
              <w:rPr>
                <w:rFonts w:ascii="宋体" w:hAnsi="宋体" w:eastAsia="宋体" w:cs="宋体"/>
                <w:spacing w:val="2"/>
                <w:sz w:val="26"/>
                <w:szCs w:val="26"/>
              </w:rPr>
            </w:pPr>
          </w:p>
          <w:p w14:paraId="56E17AAB">
            <w:pPr>
              <w:spacing w:before="84" w:line="217" w:lineRule="auto"/>
              <w:ind w:left="384" w:right="116" w:hanging="260"/>
              <w:jc w:val="center"/>
              <w:rPr>
                <w:rFonts w:ascii="宋体" w:hAnsi="宋体" w:eastAsia="宋体" w:cs="宋体"/>
                <w:spacing w:val="2"/>
                <w:sz w:val="26"/>
                <w:szCs w:val="26"/>
              </w:rPr>
            </w:pPr>
          </w:p>
          <w:p w14:paraId="17CB09D6">
            <w:pPr>
              <w:spacing w:before="84" w:line="217" w:lineRule="auto"/>
              <w:ind w:left="384" w:right="116" w:hanging="260"/>
              <w:jc w:val="center"/>
              <w:rPr>
                <w:rFonts w:ascii="宋体" w:hAnsi="宋体" w:eastAsia="宋体" w:cs="宋体"/>
                <w:spacing w:val="2"/>
                <w:sz w:val="26"/>
                <w:szCs w:val="26"/>
              </w:rPr>
            </w:pPr>
          </w:p>
          <w:p w14:paraId="7F2A7725">
            <w:pPr>
              <w:spacing w:before="84" w:line="217" w:lineRule="auto"/>
              <w:ind w:left="384" w:right="116" w:hanging="260"/>
              <w:jc w:val="center"/>
              <w:rPr>
                <w:rFonts w:ascii="宋体" w:hAnsi="宋体" w:eastAsia="宋体" w:cs="宋体"/>
                <w:spacing w:val="2"/>
                <w:sz w:val="26"/>
                <w:szCs w:val="26"/>
              </w:rPr>
            </w:pPr>
          </w:p>
          <w:p w14:paraId="76BD5434">
            <w:pPr>
              <w:spacing w:before="84" w:line="217" w:lineRule="auto"/>
              <w:ind w:left="384" w:right="116" w:hanging="260"/>
              <w:jc w:val="center"/>
              <w:rPr>
                <w:rFonts w:ascii="宋体" w:hAnsi="宋体" w:eastAsia="宋体" w:cs="宋体"/>
                <w:spacing w:val="2"/>
                <w:sz w:val="26"/>
                <w:szCs w:val="26"/>
              </w:rPr>
            </w:pPr>
          </w:p>
          <w:p w14:paraId="426F4079">
            <w:pPr>
              <w:spacing w:before="84" w:line="217" w:lineRule="auto"/>
              <w:ind w:left="384" w:right="116" w:hanging="260"/>
              <w:jc w:val="center"/>
              <w:rPr>
                <w:rFonts w:ascii="宋体" w:hAnsi="宋体" w:eastAsia="宋体" w:cs="宋体"/>
                <w:spacing w:val="2"/>
                <w:sz w:val="26"/>
                <w:szCs w:val="26"/>
              </w:rPr>
            </w:pPr>
          </w:p>
          <w:p w14:paraId="4F44B113">
            <w:pPr>
              <w:spacing w:before="84" w:line="217" w:lineRule="auto"/>
              <w:ind w:left="384" w:right="116" w:hanging="260"/>
              <w:jc w:val="center"/>
              <w:rPr>
                <w:rFonts w:ascii="宋体" w:hAnsi="宋体" w:eastAsia="宋体" w:cs="宋体"/>
                <w:spacing w:val="2"/>
                <w:sz w:val="26"/>
                <w:szCs w:val="26"/>
              </w:rPr>
            </w:pPr>
          </w:p>
          <w:p w14:paraId="63DA10C7">
            <w:pPr>
              <w:spacing w:before="84" w:line="217" w:lineRule="auto"/>
              <w:ind w:left="384" w:right="116" w:hanging="260"/>
              <w:jc w:val="center"/>
              <w:rPr>
                <w:rFonts w:ascii="宋体" w:hAnsi="宋体" w:eastAsia="宋体" w:cs="宋体"/>
                <w:spacing w:val="2"/>
                <w:sz w:val="26"/>
                <w:szCs w:val="26"/>
              </w:rPr>
            </w:pPr>
          </w:p>
          <w:p w14:paraId="30C6F057">
            <w:pPr>
              <w:spacing w:before="84" w:line="217" w:lineRule="auto"/>
              <w:ind w:left="384" w:right="116" w:hanging="260"/>
              <w:jc w:val="center"/>
              <w:rPr>
                <w:rFonts w:ascii="宋体" w:hAnsi="宋体" w:eastAsia="宋体" w:cs="宋体"/>
                <w:spacing w:val="2"/>
                <w:sz w:val="26"/>
                <w:szCs w:val="26"/>
              </w:rPr>
            </w:pPr>
          </w:p>
          <w:p w14:paraId="778C6053">
            <w:pPr>
              <w:spacing w:before="84" w:line="217" w:lineRule="auto"/>
              <w:ind w:left="384" w:right="116" w:hanging="260"/>
              <w:jc w:val="center"/>
              <w:rPr>
                <w:rFonts w:ascii="宋体" w:hAnsi="宋体" w:eastAsia="宋体" w:cs="宋体"/>
                <w:spacing w:val="2"/>
                <w:sz w:val="26"/>
                <w:szCs w:val="26"/>
              </w:rPr>
            </w:pPr>
          </w:p>
          <w:p w14:paraId="4D94CEEE">
            <w:pPr>
              <w:spacing w:before="84" w:line="217" w:lineRule="auto"/>
              <w:ind w:left="384" w:right="116" w:hanging="260"/>
              <w:jc w:val="center"/>
              <w:rPr>
                <w:rFonts w:ascii="宋体" w:hAnsi="宋体" w:eastAsia="宋体" w:cs="宋体"/>
                <w:spacing w:val="2"/>
                <w:sz w:val="26"/>
                <w:szCs w:val="26"/>
              </w:rPr>
            </w:pPr>
          </w:p>
          <w:p w14:paraId="4D0A5304">
            <w:pPr>
              <w:spacing w:before="84" w:line="217" w:lineRule="auto"/>
              <w:ind w:left="384" w:right="116" w:hanging="260"/>
              <w:jc w:val="center"/>
              <w:rPr>
                <w:rFonts w:ascii="宋体" w:hAnsi="宋体" w:eastAsia="宋体" w:cs="宋体"/>
                <w:spacing w:val="2"/>
                <w:sz w:val="26"/>
                <w:szCs w:val="26"/>
              </w:rPr>
            </w:pPr>
            <w:r>
              <w:rPr>
                <w:rFonts w:ascii="宋体" w:hAnsi="宋体" w:eastAsia="宋体" w:cs="宋体"/>
                <w:spacing w:val="2"/>
                <w:sz w:val="26"/>
                <w:szCs w:val="26"/>
              </w:rPr>
              <w:t>年度绩</w:t>
            </w:r>
          </w:p>
          <w:p w14:paraId="04B044B3">
            <w:pPr>
              <w:spacing w:before="84" w:line="217" w:lineRule="auto"/>
              <w:ind w:left="384" w:right="116" w:hanging="260"/>
              <w:jc w:val="center"/>
              <w:rPr>
                <w:rFonts w:ascii="宋体" w:hAnsi="宋体" w:eastAsia="宋体" w:cs="宋体"/>
                <w:sz w:val="26"/>
                <w:szCs w:val="26"/>
              </w:rPr>
            </w:pPr>
            <w:r>
              <w:rPr>
                <w:rFonts w:hint="eastAsia" w:ascii="宋体" w:hAnsi="宋体" w:eastAsia="宋体" w:cs="宋体"/>
                <w:spacing w:val="2"/>
                <w:sz w:val="26"/>
                <w:szCs w:val="26"/>
                <w:lang w:val="en-US" w:eastAsia="zh-CN"/>
              </w:rPr>
              <w:t>效</w:t>
            </w:r>
            <w:r>
              <w:rPr>
                <w:rFonts w:ascii="宋体" w:hAnsi="宋体" w:eastAsia="宋体" w:cs="宋体"/>
                <w:spacing w:val="5"/>
                <w:sz w:val="26"/>
                <w:szCs w:val="26"/>
              </w:rPr>
              <w:t>指标</w:t>
            </w:r>
          </w:p>
        </w:tc>
        <w:tc>
          <w:tcPr>
            <w:tcW w:w="1230" w:type="dxa"/>
            <w:tcBorders>
              <w:top w:val="single" w:color="auto" w:sz="4" w:space="0"/>
              <w:left w:val="single" w:color="auto" w:sz="4" w:space="0"/>
              <w:bottom w:val="single" w:color="auto" w:sz="4" w:space="0"/>
              <w:right w:val="single" w:color="auto" w:sz="4" w:space="0"/>
            </w:tcBorders>
            <w:vAlign w:val="top"/>
          </w:tcPr>
          <w:p w14:paraId="2626E301">
            <w:pPr>
              <w:spacing w:before="195" w:line="220" w:lineRule="auto"/>
              <w:ind w:left="141"/>
              <w:rPr>
                <w:rFonts w:ascii="宋体" w:hAnsi="宋体" w:eastAsia="宋体" w:cs="宋体"/>
                <w:sz w:val="26"/>
                <w:szCs w:val="26"/>
              </w:rPr>
            </w:pPr>
            <w:r>
              <w:rPr>
                <w:rFonts w:ascii="宋体" w:hAnsi="宋体" w:eastAsia="宋体" w:cs="宋体"/>
                <w:spacing w:val="2"/>
                <w:sz w:val="26"/>
                <w:szCs w:val="26"/>
              </w:rPr>
              <w:t>一级指标</w:t>
            </w:r>
          </w:p>
        </w:tc>
        <w:tc>
          <w:tcPr>
            <w:tcW w:w="1155" w:type="dxa"/>
            <w:tcBorders>
              <w:top w:val="single" w:color="auto" w:sz="4" w:space="0"/>
              <w:left w:val="single" w:color="auto" w:sz="4" w:space="0"/>
              <w:bottom w:val="single" w:color="auto" w:sz="4" w:space="0"/>
              <w:right w:val="single" w:color="auto" w:sz="4" w:space="0"/>
            </w:tcBorders>
            <w:vAlign w:val="top"/>
          </w:tcPr>
          <w:p w14:paraId="0F02A359">
            <w:pPr>
              <w:spacing w:before="195" w:line="220" w:lineRule="auto"/>
              <w:ind w:left="102"/>
              <w:rPr>
                <w:rFonts w:ascii="宋体" w:hAnsi="宋体" w:eastAsia="宋体" w:cs="宋体"/>
                <w:sz w:val="26"/>
                <w:szCs w:val="26"/>
              </w:rPr>
            </w:pPr>
            <w:r>
              <w:rPr>
                <w:rFonts w:ascii="宋体" w:hAnsi="宋体" w:eastAsia="宋体" w:cs="宋体"/>
                <w:spacing w:val="2"/>
                <w:sz w:val="26"/>
                <w:szCs w:val="26"/>
              </w:rPr>
              <w:t>二级指标</w:t>
            </w:r>
          </w:p>
        </w:tc>
        <w:tc>
          <w:tcPr>
            <w:tcW w:w="1650" w:type="dxa"/>
            <w:tcBorders>
              <w:left w:val="single" w:color="auto" w:sz="4" w:space="0"/>
            </w:tcBorders>
            <w:vAlign w:val="top"/>
          </w:tcPr>
          <w:p w14:paraId="7BB355A0">
            <w:pPr>
              <w:spacing w:before="195" w:line="220" w:lineRule="auto"/>
              <w:jc w:val="center"/>
              <w:rPr>
                <w:rFonts w:ascii="宋体" w:hAnsi="宋体" w:eastAsia="宋体" w:cs="宋体"/>
                <w:sz w:val="26"/>
                <w:szCs w:val="26"/>
              </w:rPr>
            </w:pPr>
            <w:r>
              <w:rPr>
                <w:rFonts w:ascii="宋体" w:hAnsi="宋体" w:eastAsia="宋体" w:cs="宋体"/>
                <w:spacing w:val="-13"/>
                <w:sz w:val="26"/>
                <w:szCs w:val="26"/>
              </w:rPr>
              <w:t>三</w:t>
            </w:r>
            <w:r>
              <w:rPr>
                <w:rFonts w:ascii="宋体" w:hAnsi="宋体" w:eastAsia="宋体" w:cs="宋体"/>
                <w:spacing w:val="-12"/>
                <w:sz w:val="26"/>
                <w:szCs w:val="26"/>
              </w:rPr>
              <w:t>级指</w:t>
            </w:r>
            <w:r>
              <w:rPr>
                <w:rFonts w:ascii="宋体" w:hAnsi="宋体" w:eastAsia="宋体" w:cs="宋体"/>
                <w:spacing w:val="-11"/>
                <w:sz w:val="26"/>
                <w:szCs w:val="26"/>
              </w:rPr>
              <w:t>标</w:t>
            </w:r>
          </w:p>
        </w:tc>
        <w:tc>
          <w:tcPr>
            <w:tcW w:w="1170" w:type="dxa"/>
            <w:vAlign w:val="top"/>
          </w:tcPr>
          <w:p w14:paraId="64CA39EA">
            <w:pPr>
              <w:spacing w:before="44" w:line="204" w:lineRule="auto"/>
              <w:ind w:left="305" w:right="32" w:hanging="260"/>
              <w:rPr>
                <w:rFonts w:ascii="宋体" w:hAnsi="宋体" w:eastAsia="宋体" w:cs="宋体"/>
                <w:sz w:val="26"/>
                <w:szCs w:val="26"/>
              </w:rPr>
            </w:pPr>
            <w:r>
              <w:rPr>
                <w:rFonts w:ascii="宋体" w:hAnsi="宋体" w:eastAsia="宋体" w:cs="宋体"/>
                <w:spacing w:val="2"/>
                <w:sz w:val="26"/>
                <w:szCs w:val="26"/>
              </w:rPr>
              <w:t>绩效指标</w:t>
            </w:r>
            <w:r>
              <w:rPr>
                <w:rFonts w:ascii="宋体" w:hAnsi="宋体" w:eastAsia="宋体" w:cs="宋体"/>
                <w:spacing w:val="14"/>
                <w:sz w:val="26"/>
                <w:szCs w:val="26"/>
              </w:rPr>
              <w:t>性质</w:t>
            </w:r>
          </w:p>
        </w:tc>
        <w:tc>
          <w:tcPr>
            <w:tcW w:w="1005" w:type="dxa"/>
            <w:vAlign w:val="top"/>
          </w:tcPr>
          <w:p w14:paraId="3CFBC561">
            <w:pPr>
              <w:spacing w:before="44" w:line="204" w:lineRule="auto"/>
              <w:ind w:left="305" w:right="32" w:hanging="260"/>
              <w:rPr>
                <w:rFonts w:ascii="宋体" w:hAnsi="宋体" w:eastAsia="宋体" w:cs="宋体"/>
                <w:sz w:val="26"/>
                <w:szCs w:val="26"/>
              </w:rPr>
            </w:pPr>
            <w:r>
              <w:rPr>
                <w:rFonts w:ascii="宋体" w:hAnsi="宋体" w:eastAsia="宋体" w:cs="宋体"/>
                <w:spacing w:val="2"/>
                <w:sz w:val="26"/>
                <w:szCs w:val="26"/>
              </w:rPr>
              <w:t>绩效指标值</w:t>
            </w:r>
          </w:p>
        </w:tc>
        <w:tc>
          <w:tcPr>
            <w:tcW w:w="1065" w:type="dxa"/>
            <w:vAlign w:val="top"/>
          </w:tcPr>
          <w:p w14:paraId="4AEEC66D">
            <w:pPr>
              <w:spacing w:before="35" w:line="207" w:lineRule="auto"/>
              <w:ind w:left="262" w:hanging="245"/>
              <w:rPr>
                <w:rFonts w:ascii="宋体" w:hAnsi="宋体" w:eastAsia="宋体" w:cs="宋体"/>
                <w:sz w:val="26"/>
                <w:szCs w:val="26"/>
              </w:rPr>
            </w:pPr>
            <w:r>
              <w:rPr>
                <w:rFonts w:ascii="宋体" w:hAnsi="宋体" w:eastAsia="宋体" w:cs="宋体"/>
                <w:spacing w:val="-3"/>
                <w:sz w:val="26"/>
                <w:szCs w:val="26"/>
              </w:rPr>
              <w:t>绩效</w:t>
            </w:r>
            <w:r>
              <w:rPr>
                <w:rFonts w:hint="eastAsia" w:ascii="宋体" w:hAnsi="宋体" w:eastAsia="宋体" w:cs="宋体"/>
                <w:spacing w:val="-3"/>
                <w:sz w:val="26"/>
                <w:szCs w:val="26"/>
                <w:lang w:val="en-US" w:eastAsia="zh-CN"/>
              </w:rPr>
              <w:t>度</w:t>
            </w:r>
            <w:r>
              <w:rPr>
                <w:rFonts w:ascii="宋体" w:hAnsi="宋体" w:eastAsia="宋体" w:cs="宋体"/>
                <w:spacing w:val="-3"/>
                <w:sz w:val="26"/>
                <w:szCs w:val="26"/>
              </w:rPr>
              <w:t>量</w:t>
            </w:r>
            <w:r>
              <w:rPr>
                <w:rFonts w:ascii="宋体" w:hAnsi="宋体" w:eastAsia="宋体" w:cs="宋体"/>
                <w:sz w:val="26"/>
                <w:szCs w:val="26"/>
              </w:rPr>
              <w:t>单位</w:t>
            </w:r>
          </w:p>
        </w:tc>
        <w:tc>
          <w:tcPr>
            <w:tcW w:w="847" w:type="dxa"/>
            <w:vAlign w:val="top"/>
          </w:tcPr>
          <w:p w14:paraId="0F0E2B27">
            <w:pPr>
              <w:spacing w:before="194" w:line="219" w:lineRule="auto"/>
              <w:ind w:left="228"/>
              <w:rPr>
                <w:rFonts w:ascii="宋体" w:hAnsi="宋体" w:eastAsia="宋体" w:cs="宋体"/>
                <w:sz w:val="26"/>
                <w:szCs w:val="26"/>
              </w:rPr>
            </w:pPr>
            <w:r>
              <w:rPr>
                <w:rFonts w:ascii="宋体" w:hAnsi="宋体" w:eastAsia="宋体" w:cs="宋体"/>
                <w:spacing w:val="6"/>
                <w:sz w:val="26"/>
                <w:szCs w:val="26"/>
              </w:rPr>
              <w:t>权重</w:t>
            </w:r>
          </w:p>
        </w:tc>
        <w:tc>
          <w:tcPr>
            <w:tcW w:w="1124" w:type="dxa"/>
            <w:vAlign w:val="top"/>
          </w:tcPr>
          <w:p w14:paraId="093855F7">
            <w:pPr>
              <w:spacing w:before="44" w:line="206" w:lineRule="auto"/>
              <w:ind w:left="40"/>
              <w:rPr>
                <w:rFonts w:ascii="宋体" w:hAnsi="宋体" w:eastAsia="宋体" w:cs="宋体"/>
                <w:sz w:val="26"/>
                <w:szCs w:val="26"/>
              </w:rPr>
            </w:pPr>
            <w:r>
              <w:rPr>
                <w:rFonts w:ascii="宋体" w:hAnsi="宋体" w:eastAsia="宋体" w:cs="宋体"/>
                <w:spacing w:val="3"/>
                <w:sz w:val="26"/>
                <w:szCs w:val="26"/>
              </w:rPr>
              <w:t>实际完成</w:t>
            </w:r>
          </w:p>
          <w:p w14:paraId="68CE2D38">
            <w:pPr>
              <w:spacing w:line="202" w:lineRule="auto"/>
              <w:ind w:left="169"/>
              <w:rPr>
                <w:rFonts w:ascii="宋体" w:hAnsi="宋体" w:eastAsia="宋体" w:cs="宋体"/>
                <w:sz w:val="26"/>
                <w:szCs w:val="26"/>
              </w:rPr>
            </w:pPr>
            <w:r>
              <w:rPr>
                <w:rFonts w:ascii="宋体" w:hAnsi="宋体" w:eastAsia="宋体" w:cs="宋体"/>
                <w:spacing w:val="3"/>
                <w:sz w:val="26"/>
                <w:szCs w:val="26"/>
              </w:rPr>
              <w:t>指标值</w:t>
            </w:r>
          </w:p>
        </w:tc>
      </w:tr>
      <w:tr w14:paraId="55F3D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40DFC6BD">
            <w:pPr>
              <w:pStyle w:val="9"/>
            </w:pP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1ADDE1C4">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产出指标</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14:paraId="7BC4D51C">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数量指标</w:t>
            </w:r>
          </w:p>
        </w:tc>
        <w:tc>
          <w:tcPr>
            <w:tcW w:w="1650" w:type="dxa"/>
            <w:tcBorders>
              <w:left w:val="single" w:color="auto" w:sz="4" w:space="0"/>
            </w:tcBorders>
            <w:vAlign w:val="center"/>
          </w:tcPr>
          <w:p w14:paraId="409A701C">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耕地地力保护补贴发放次数</w:t>
            </w:r>
          </w:p>
        </w:tc>
        <w:tc>
          <w:tcPr>
            <w:tcW w:w="1170" w:type="dxa"/>
            <w:vAlign w:val="center"/>
          </w:tcPr>
          <w:p w14:paraId="3A4E9EAE">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0BD8DB70">
            <w:pPr>
              <w:keepNext w:val="0"/>
              <w:keepLines w:val="0"/>
              <w:widowControl/>
              <w:suppressLineNumbers w:val="0"/>
              <w:jc w:val="center"/>
              <w:textAlignment w:val="center"/>
              <w:rPr>
                <w:rFonts w:hint="default" w:ascii="宋体" w:hAnsi="宋体" w:eastAsia="宋体" w:cs="宋体"/>
                <w:sz w:val="22"/>
                <w:szCs w:val="22"/>
                <w:highlight w:val="yellow"/>
                <w:lang w:val="en-US"/>
              </w:rPr>
            </w:pPr>
            <w:r>
              <w:rPr>
                <w:rFonts w:ascii="宋体" w:hAnsi="宋体" w:eastAsia="宋体" w:cs="宋体"/>
                <w:i w:val="0"/>
                <w:iCs w:val="0"/>
                <w:snapToGrid w:val="0"/>
                <w:color w:val="000000"/>
                <w:kern w:val="0"/>
                <w:sz w:val="22"/>
                <w:szCs w:val="22"/>
                <w:u w:val="none"/>
                <w:lang w:val="en-US" w:eastAsia="zh-CN" w:bidi="ar"/>
              </w:rPr>
              <w:t>1</w:t>
            </w:r>
          </w:p>
        </w:tc>
        <w:tc>
          <w:tcPr>
            <w:tcW w:w="1065" w:type="dxa"/>
            <w:vAlign w:val="center"/>
          </w:tcPr>
          <w:p w14:paraId="6CC38AB6">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次</w:t>
            </w:r>
          </w:p>
        </w:tc>
        <w:tc>
          <w:tcPr>
            <w:tcW w:w="847" w:type="dxa"/>
            <w:vAlign w:val="center"/>
          </w:tcPr>
          <w:p w14:paraId="552CD7AE">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65D84461">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w:t>
            </w:r>
          </w:p>
        </w:tc>
      </w:tr>
      <w:tr w14:paraId="4D512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209493E3">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55BB6FFE">
            <w:pPr>
              <w:jc w:val="center"/>
              <w:rPr>
                <w:rFonts w:ascii="宋体" w:hAnsi="宋体" w:eastAsia="宋体" w:cs="宋体"/>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358605A">
            <w:pPr>
              <w:jc w:val="center"/>
              <w:rPr>
                <w:rFonts w:ascii="宋体" w:hAnsi="宋体" w:eastAsia="宋体" w:cs="宋体"/>
                <w:sz w:val="22"/>
                <w:szCs w:val="22"/>
              </w:rPr>
            </w:pPr>
          </w:p>
        </w:tc>
        <w:tc>
          <w:tcPr>
            <w:tcW w:w="1650" w:type="dxa"/>
            <w:tcBorders>
              <w:left w:val="single" w:color="auto" w:sz="4" w:space="0"/>
            </w:tcBorders>
            <w:vAlign w:val="center"/>
          </w:tcPr>
          <w:p w14:paraId="6702CCAE">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农机购置补贴机具数</w:t>
            </w:r>
          </w:p>
        </w:tc>
        <w:tc>
          <w:tcPr>
            <w:tcW w:w="1170" w:type="dxa"/>
            <w:vAlign w:val="center"/>
          </w:tcPr>
          <w:p w14:paraId="74337B21">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5CB2403">
            <w:pPr>
              <w:keepNext w:val="0"/>
              <w:keepLines w:val="0"/>
              <w:widowControl/>
              <w:suppressLineNumbers w:val="0"/>
              <w:jc w:val="center"/>
              <w:textAlignment w:val="center"/>
              <w:rPr>
                <w:rFonts w:hint="default" w:ascii="宋体" w:hAnsi="宋体" w:eastAsia="宋体" w:cs="宋体"/>
                <w:sz w:val="22"/>
                <w:szCs w:val="22"/>
                <w:highlight w:val="yellow"/>
                <w:lang w:val="en-US"/>
              </w:rPr>
            </w:pPr>
            <w:r>
              <w:rPr>
                <w:rFonts w:ascii="宋体" w:hAnsi="宋体" w:eastAsia="宋体" w:cs="宋体"/>
                <w:i w:val="0"/>
                <w:iCs w:val="0"/>
                <w:snapToGrid w:val="0"/>
                <w:color w:val="000000"/>
                <w:kern w:val="0"/>
                <w:sz w:val="22"/>
                <w:szCs w:val="22"/>
                <w:u w:val="none"/>
                <w:lang w:val="en-US" w:eastAsia="zh-CN" w:bidi="ar"/>
              </w:rPr>
              <w:t>1500</w:t>
            </w:r>
          </w:p>
        </w:tc>
        <w:tc>
          <w:tcPr>
            <w:tcW w:w="1065" w:type="dxa"/>
            <w:vAlign w:val="center"/>
          </w:tcPr>
          <w:p w14:paraId="5E301F38">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台套</w:t>
            </w:r>
          </w:p>
        </w:tc>
        <w:tc>
          <w:tcPr>
            <w:tcW w:w="847" w:type="dxa"/>
            <w:vAlign w:val="center"/>
          </w:tcPr>
          <w:p w14:paraId="12B9A22B">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762BC55C">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1500</w:t>
            </w:r>
          </w:p>
        </w:tc>
      </w:tr>
      <w:tr w14:paraId="259FD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2E48C766">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858C08B">
            <w:pPr>
              <w:jc w:val="center"/>
              <w:rPr>
                <w:rFonts w:ascii="宋体" w:hAnsi="宋体" w:eastAsia="宋体" w:cs="宋体"/>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0715F911">
            <w:pPr>
              <w:jc w:val="center"/>
              <w:rPr>
                <w:rFonts w:ascii="宋体" w:hAnsi="宋体" w:eastAsia="宋体" w:cs="宋体"/>
                <w:sz w:val="22"/>
                <w:szCs w:val="22"/>
              </w:rPr>
            </w:pPr>
          </w:p>
        </w:tc>
        <w:tc>
          <w:tcPr>
            <w:tcW w:w="1650" w:type="dxa"/>
            <w:tcBorders>
              <w:left w:val="single" w:color="auto" w:sz="4" w:space="0"/>
            </w:tcBorders>
            <w:vAlign w:val="center"/>
          </w:tcPr>
          <w:p w14:paraId="331A4F58">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农业新技术培训开展次数</w:t>
            </w:r>
          </w:p>
        </w:tc>
        <w:tc>
          <w:tcPr>
            <w:tcW w:w="1170" w:type="dxa"/>
            <w:vAlign w:val="center"/>
          </w:tcPr>
          <w:p w14:paraId="453C0479">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0D210593">
            <w:pPr>
              <w:keepNext w:val="0"/>
              <w:keepLines w:val="0"/>
              <w:widowControl/>
              <w:suppressLineNumbers w:val="0"/>
              <w:jc w:val="center"/>
              <w:textAlignment w:val="center"/>
              <w:rPr>
                <w:rFonts w:hint="default" w:ascii="宋体" w:hAnsi="宋体" w:eastAsia="宋体" w:cs="宋体"/>
                <w:sz w:val="22"/>
                <w:szCs w:val="22"/>
                <w:highlight w:val="yellow"/>
                <w:lang w:val="en-US"/>
              </w:rPr>
            </w:pPr>
            <w:r>
              <w:rPr>
                <w:rFonts w:ascii="宋体" w:hAnsi="宋体" w:eastAsia="宋体" w:cs="宋体"/>
                <w:i w:val="0"/>
                <w:iCs w:val="0"/>
                <w:snapToGrid w:val="0"/>
                <w:color w:val="000000"/>
                <w:kern w:val="0"/>
                <w:sz w:val="22"/>
                <w:szCs w:val="22"/>
                <w:u w:val="none"/>
                <w:lang w:val="en-US" w:eastAsia="zh-CN" w:bidi="ar"/>
              </w:rPr>
              <w:t>2</w:t>
            </w:r>
          </w:p>
        </w:tc>
        <w:tc>
          <w:tcPr>
            <w:tcW w:w="1065" w:type="dxa"/>
            <w:vAlign w:val="center"/>
          </w:tcPr>
          <w:p w14:paraId="12A9A5CB">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次</w:t>
            </w:r>
          </w:p>
        </w:tc>
        <w:tc>
          <w:tcPr>
            <w:tcW w:w="847" w:type="dxa"/>
            <w:vAlign w:val="center"/>
          </w:tcPr>
          <w:p w14:paraId="7CC88B46">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23EE3AF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2</w:t>
            </w:r>
          </w:p>
        </w:tc>
      </w:tr>
      <w:tr w14:paraId="5FB7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759A4938">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C41C569">
            <w:pPr>
              <w:jc w:val="center"/>
              <w:rPr>
                <w:rFonts w:ascii="宋体" w:hAnsi="宋体" w:eastAsia="宋体" w:cs="宋体"/>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88DCB9D">
            <w:pPr>
              <w:jc w:val="center"/>
              <w:rPr>
                <w:rFonts w:ascii="宋体" w:hAnsi="宋体" w:eastAsia="宋体" w:cs="宋体"/>
                <w:sz w:val="22"/>
                <w:szCs w:val="22"/>
              </w:rPr>
            </w:pPr>
          </w:p>
        </w:tc>
        <w:tc>
          <w:tcPr>
            <w:tcW w:w="1650" w:type="dxa"/>
            <w:tcBorders>
              <w:left w:val="single" w:color="auto" w:sz="4" w:space="0"/>
            </w:tcBorders>
            <w:vAlign w:val="center"/>
          </w:tcPr>
          <w:p w14:paraId="73FFD0B9">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动物检疫防护服购置件数</w:t>
            </w:r>
          </w:p>
        </w:tc>
        <w:tc>
          <w:tcPr>
            <w:tcW w:w="1170" w:type="dxa"/>
            <w:vAlign w:val="center"/>
          </w:tcPr>
          <w:p w14:paraId="4DFE7E49">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72D2F3A6">
            <w:pPr>
              <w:keepNext w:val="0"/>
              <w:keepLines w:val="0"/>
              <w:widowControl/>
              <w:suppressLineNumbers w:val="0"/>
              <w:jc w:val="center"/>
              <w:textAlignment w:val="center"/>
              <w:rPr>
                <w:rFonts w:hint="default" w:ascii="宋体" w:hAnsi="宋体" w:eastAsia="宋体" w:cs="宋体"/>
                <w:sz w:val="22"/>
                <w:szCs w:val="22"/>
                <w:highlight w:val="yellow"/>
                <w:lang w:val="en-US"/>
              </w:rPr>
            </w:pPr>
            <w:r>
              <w:rPr>
                <w:rFonts w:ascii="宋体" w:hAnsi="宋体" w:eastAsia="宋体" w:cs="宋体"/>
                <w:i w:val="0"/>
                <w:iCs w:val="0"/>
                <w:snapToGrid w:val="0"/>
                <w:color w:val="000000"/>
                <w:kern w:val="0"/>
                <w:sz w:val="22"/>
                <w:szCs w:val="22"/>
                <w:u w:val="none"/>
                <w:lang w:val="en-US" w:eastAsia="zh-CN" w:bidi="ar"/>
              </w:rPr>
              <w:t>300</w:t>
            </w:r>
          </w:p>
        </w:tc>
        <w:tc>
          <w:tcPr>
            <w:tcW w:w="1065" w:type="dxa"/>
            <w:vAlign w:val="center"/>
          </w:tcPr>
          <w:p w14:paraId="69358115">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件</w:t>
            </w:r>
          </w:p>
        </w:tc>
        <w:tc>
          <w:tcPr>
            <w:tcW w:w="847" w:type="dxa"/>
            <w:vAlign w:val="center"/>
          </w:tcPr>
          <w:p w14:paraId="7288F9D7">
            <w:pPr>
              <w:keepNext w:val="0"/>
              <w:keepLines w:val="0"/>
              <w:widowControl/>
              <w:suppressLineNumbers w:val="0"/>
              <w:jc w:val="center"/>
              <w:textAlignment w:val="center"/>
              <w:rPr>
                <w:rFonts w:ascii="宋体" w:hAnsi="宋体" w:eastAsia="宋体" w:cs="宋体"/>
                <w:sz w:val="22"/>
                <w:szCs w:val="22"/>
                <w:highlight w:val="yellow"/>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1104815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300</w:t>
            </w:r>
          </w:p>
        </w:tc>
      </w:tr>
      <w:tr w14:paraId="27BFD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52EC260D">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2DF1CDAC">
            <w:pPr>
              <w:jc w:val="center"/>
              <w:rPr>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588E16B">
            <w:pPr>
              <w:jc w:val="center"/>
              <w:rPr>
                <w:sz w:val="22"/>
                <w:szCs w:val="22"/>
              </w:rPr>
            </w:pPr>
          </w:p>
        </w:tc>
        <w:tc>
          <w:tcPr>
            <w:tcW w:w="1650" w:type="dxa"/>
            <w:tcBorders>
              <w:left w:val="single" w:color="auto" w:sz="4" w:space="0"/>
            </w:tcBorders>
            <w:vAlign w:val="center"/>
          </w:tcPr>
          <w:p w14:paraId="46E51E2C">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非洲猪瘟防控临时检查站数</w:t>
            </w:r>
          </w:p>
        </w:tc>
        <w:tc>
          <w:tcPr>
            <w:tcW w:w="1170" w:type="dxa"/>
            <w:vAlign w:val="center"/>
          </w:tcPr>
          <w:p w14:paraId="2844C7D2">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41B7D8F5">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4</w:t>
            </w:r>
          </w:p>
        </w:tc>
        <w:tc>
          <w:tcPr>
            <w:tcW w:w="1065" w:type="dxa"/>
            <w:vAlign w:val="center"/>
          </w:tcPr>
          <w:p w14:paraId="4E530559">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处</w:t>
            </w:r>
          </w:p>
        </w:tc>
        <w:tc>
          <w:tcPr>
            <w:tcW w:w="847" w:type="dxa"/>
            <w:vAlign w:val="center"/>
          </w:tcPr>
          <w:p w14:paraId="5BF70E2E">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4D888F52">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4</w:t>
            </w:r>
          </w:p>
        </w:tc>
      </w:tr>
      <w:tr w14:paraId="25144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5E87E045">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CC9F0AE">
            <w:pPr>
              <w:jc w:val="center"/>
              <w:rPr>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B943835">
            <w:pPr>
              <w:jc w:val="center"/>
              <w:rPr>
                <w:rFonts w:ascii="宋体" w:hAnsi="宋体" w:eastAsia="宋体" w:cs="宋体"/>
                <w:sz w:val="22"/>
                <w:szCs w:val="22"/>
              </w:rPr>
            </w:pPr>
          </w:p>
        </w:tc>
        <w:tc>
          <w:tcPr>
            <w:tcW w:w="1650" w:type="dxa"/>
            <w:tcBorders>
              <w:left w:val="single" w:color="auto" w:sz="4" w:space="0"/>
            </w:tcBorders>
            <w:vAlign w:val="center"/>
          </w:tcPr>
          <w:p w14:paraId="1C97E6B4">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高标准农田新增建设面积</w:t>
            </w:r>
          </w:p>
        </w:tc>
        <w:tc>
          <w:tcPr>
            <w:tcW w:w="1170" w:type="dxa"/>
            <w:vAlign w:val="center"/>
          </w:tcPr>
          <w:p w14:paraId="5E291B8A">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6606B58">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5</w:t>
            </w:r>
          </w:p>
        </w:tc>
        <w:tc>
          <w:tcPr>
            <w:tcW w:w="1065" w:type="dxa"/>
            <w:vAlign w:val="center"/>
          </w:tcPr>
          <w:p w14:paraId="1305DA74">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万亩</w:t>
            </w:r>
          </w:p>
        </w:tc>
        <w:tc>
          <w:tcPr>
            <w:tcW w:w="847" w:type="dxa"/>
            <w:vAlign w:val="center"/>
          </w:tcPr>
          <w:p w14:paraId="0BADD77E">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47BA063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5</w:t>
            </w:r>
          </w:p>
        </w:tc>
      </w:tr>
      <w:tr w14:paraId="5BF3A12F">
        <w:tblPrEx>
          <w:tblCellMar>
            <w:top w:w="0" w:type="dxa"/>
            <w:left w:w="0" w:type="dxa"/>
            <w:bottom w:w="0" w:type="dxa"/>
            <w:right w:w="0" w:type="dxa"/>
          </w:tblCellMar>
        </w:tblPrEx>
        <w:trPr>
          <w:trHeight w:val="320"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18D3B1EA">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6389D866">
            <w:pPr>
              <w:jc w:val="center"/>
              <w:rPr>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B60BFE5">
            <w:pPr>
              <w:jc w:val="center"/>
              <w:rPr>
                <w:rFonts w:ascii="宋体" w:hAnsi="宋体" w:eastAsia="宋体" w:cs="宋体"/>
                <w:sz w:val="22"/>
                <w:szCs w:val="22"/>
              </w:rPr>
            </w:pPr>
          </w:p>
        </w:tc>
        <w:tc>
          <w:tcPr>
            <w:tcW w:w="1650" w:type="dxa"/>
            <w:tcBorders>
              <w:left w:val="single" w:color="auto" w:sz="4" w:space="0"/>
            </w:tcBorders>
            <w:vAlign w:val="center"/>
          </w:tcPr>
          <w:p w14:paraId="0C001F20">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农作物病虫害重点测报站</w:t>
            </w:r>
          </w:p>
        </w:tc>
        <w:tc>
          <w:tcPr>
            <w:tcW w:w="1170" w:type="dxa"/>
            <w:vAlign w:val="center"/>
          </w:tcPr>
          <w:p w14:paraId="282D9CB2">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48BBD233">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1</w:t>
            </w:r>
          </w:p>
        </w:tc>
        <w:tc>
          <w:tcPr>
            <w:tcW w:w="1065" w:type="dxa"/>
            <w:vAlign w:val="center"/>
          </w:tcPr>
          <w:p w14:paraId="7D857703">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处</w:t>
            </w:r>
          </w:p>
        </w:tc>
        <w:tc>
          <w:tcPr>
            <w:tcW w:w="847" w:type="dxa"/>
            <w:vAlign w:val="center"/>
          </w:tcPr>
          <w:p w14:paraId="0479339E">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05DFA720">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w:t>
            </w:r>
          </w:p>
        </w:tc>
      </w:tr>
      <w:tr w14:paraId="3859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2029D1F6">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E5609BB">
            <w:pPr>
              <w:jc w:val="center"/>
              <w:rPr>
                <w:sz w:val="22"/>
                <w:szCs w:val="22"/>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7FCBD99">
            <w:pPr>
              <w:jc w:val="center"/>
              <w:rPr>
                <w:sz w:val="22"/>
                <w:szCs w:val="22"/>
              </w:rPr>
            </w:pPr>
          </w:p>
        </w:tc>
        <w:tc>
          <w:tcPr>
            <w:tcW w:w="1650" w:type="dxa"/>
            <w:tcBorders>
              <w:left w:val="single" w:color="auto" w:sz="4" w:space="0"/>
            </w:tcBorders>
            <w:vAlign w:val="center"/>
          </w:tcPr>
          <w:p w14:paraId="3A518DCB">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乡村振兴服务下乡次数</w:t>
            </w:r>
          </w:p>
        </w:tc>
        <w:tc>
          <w:tcPr>
            <w:tcW w:w="1170" w:type="dxa"/>
            <w:vAlign w:val="center"/>
          </w:tcPr>
          <w:p w14:paraId="40960C01">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6572891E">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150</w:t>
            </w:r>
          </w:p>
        </w:tc>
        <w:tc>
          <w:tcPr>
            <w:tcW w:w="1065" w:type="dxa"/>
            <w:vAlign w:val="center"/>
          </w:tcPr>
          <w:p w14:paraId="755296C1">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次</w:t>
            </w:r>
          </w:p>
        </w:tc>
        <w:tc>
          <w:tcPr>
            <w:tcW w:w="847" w:type="dxa"/>
            <w:vAlign w:val="center"/>
          </w:tcPr>
          <w:p w14:paraId="079EEBE8">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14A1F1BC">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150</w:t>
            </w:r>
          </w:p>
        </w:tc>
      </w:tr>
      <w:tr w14:paraId="5EBD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303" w:type="dxa"/>
            <w:vMerge w:val="continue"/>
            <w:tcBorders>
              <w:top w:val="single" w:color="auto" w:sz="4" w:space="0"/>
              <w:left w:val="single" w:color="auto" w:sz="4" w:space="0"/>
              <w:bottom w:val="single" w:color="auto" w:sz="4" w:space="0"/>
              <w:right w:val="single" w:color="auto" w:sz="4" w:space="0"/>
            </w:tcBorders>
            <w:vAlign w:val="top"/>
          </w:tcPr>
          <w:p w14:paraId="31EDF9E4">
            <w:pPr>
              <w:pStyle w:val="9"/>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0ED4FDF4">
            <w:pPr>
              <w:jc w:val="center"/>
              <w:rPr>
                <w:rFonts w:ascii="宋体" w:hAnsi="宋体" w:eastAsia="宋体" w:cs="宋体"/>
                <w:sz w:val="22"/>
                <w:szCs w:val="22"/>
              </w:rPr>
            </w:pPr>
          </w:p>
        </w:tc>
        <w:tc>
          <w:tcPr>
            <w:tcW w:w="1155" w:type="dxa"/>
            <w:vMerge w:val="restart"/>
            <w:tcBorders>
              <w:top w:val="single" w:color="auto" w:sz="4" w:space="0"/>
              <w:left w:val="single" w:color="auto" w:sz="4" w:space="0"/>
              <w:bottom w:val="single" w:color="auto" w:sz="4" w:space="0"/>
              <w:right w:val="single" w:color="auto" w:sz="4" w:space="0"/>
            </w:tcBorders>
            <w:vAlign w:val="center"/>
          </w:tcPr>
          <w:p w14:paraId="63F35385">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质量指标</w:t>
            </w:r>
          </w:p>
        </w:tc>
        <w:tc>
          <w:tcPr>
            <w:tcW w:w="1650" w:type="dxa"/>
            <w:tcBorders>
              <w:left w:val="single" w:color="auto" w:sz="4" w:space="0"/>
            </w:tcBorders>
            <w:vAlign w:val="center"/>
          </w:tcPr>
          <w:p w14:paraId="7431E020">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动物检疫防护服购置验收合格率</w:t>
            </w:r>
          </w:p>
        </w:tc>
        <w:tc>
          <w:tcPr>
            <w:tcW w:w="1170" w:type="dxa"/>
            <w:vAlign w:val="center"/>
          </w:tcPr>
          <w:p w14:paraId="16D57AC7">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713F5D4F">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2D0038F7">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57F992B2">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7A59BB5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6B44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303" w:type="dxa"/>
            <w:vMerge w:val="continue"/>
            <w:tcBorders>
              <w:top w:val="single" w:color="auto" w:sz="4" w:space="0"/>
              <w:left w:val="single" w:color="auto" w:sz="4" w:space="0"/>
              <w:bottom w:val="single" w:color="auto" w:sz="4" w:space="0"/>
            </w:tcBorders>
            <w:vAlign w:val="top"/>
          </w:tcPr>
          <w:p w14:paraId="4ADCC517">
            <w:pPr>
              <w:pStyle w:val="9"/>
            </w:pPr>
          </w:p>
        </w:tc>
        <w:tc>
          <w:tcPr>
            <w:tcW w:w="1230" w:type="dxa"/>
            <w:vMerge w:val="continue"/>
            <w:tcBorders>
              <w:top w:val="single" w:color="auto" w:sz="4" w:space="0"/>
              <w:bottom w:val="single" w:color="auto" w:sz="4" w:space="0"/>
            </w:tcBorders>
            <w:vAlign w:val="center"/>
          </w:tcPr>
          <w:p w14:paraId="1F8C0D66">
            <w:pPr>
              <w:jc w:val="center"/>
              <w:rPr>
                <w:sz w:val="22"/>
                <w:szCs w:val="22"/>
              </w:rPr>
            </w:pPr>
          </w:p>
        </w:tc>
        <w:tc>
          <w:tcPr>
            <w:tcW w:w="1155" w:type="dxa"/>
            <w:vMerge w:val="continue"/>
            <w:tcBorders>
              <w:top w:val="single" w:color="auto" w:sz="4" w:space="0"/>
              <w:bottom w:val="single" w:color="auto" w:sz="4" w:space="0"/>
              <w:right w:val="single" w:color="auto" w:sz="4" w:space="0"/>
            </w:tcBorders>
            <w:vAlign w:val="center"/>
          </w:tcPr>
          <w:p w14:paraId="1B3DEB9C">
            <w:pPr>
              <w:jc w:val="center"/>
              <w:rPr>
                <w:sz w:val="22"/>
                <w:szCs w:val="22"/>
              </w:rPr>
            </w:pPr>
          </w:p>
        </w:tc>
        <w:tc>
          <w:tcPr>
            <w:tcW w:w="1650" w:type="dxa"/>
            <w:tcBorders>
              <w:left w:val="single" w:color="auto" w:sz="4" w:space="0"/>
            </w:tcBorders>
            <w:vAlign w:val="center"/>
          </w:tcPr>
          <w:p w14:paraId="632AE6A8">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非洲猪瘟防控临时检查站检查合格率</w:t>
            </w:r>
          </w:p>
        </w:tc>
        <w:tc>
          <w:tcPr>
            <w:tcW w:w="1170" w:type="dxa"/>
            <w:vAlign w:val="center"/>
          </w:tcPr>
          <w:p w14:paraId="34B0DD6B">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5F70603">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214AE57F">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49ABF91C">
            <w:pPr>
              <w:keepNext w:val="0"/>
              <w:keepLines w:val="0"/>
              <w:widowControl/>
              <w:suppressLineNumbers w:val="0"/>
              <w:jc w:val="center"/>
              <w:textAlignment w:val="center"/>
              <w:rPr>
                <w:sz w:val="22"/>
                <w:szCs w:val="22"/>
                <w:highlight w:val="yellow"/>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5510808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0D00CA1F">
        <w:tblPrEx>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5C10E16B">
            <w:pPr>
              <w:pStyle w:val="9"/>
            </w:pPr>
          </w:p>
        </w:tc>
        <w:tc>
          <w:tcPr>
            <w:tcW w:w="1230" w:type="dxa"/>
            <w:vMerge w:val="continue"/>
            <w:tcBorders>
              <w:top w:val="single" w:color="auto" w:sz="4" w:space="0"/>
              <w:bottom w:val="single" w:color="auto" w:sz="4" w:space="0"/>
            </w:tcBorders>
            <w:vAlign w:val="center"/>
          </w:tcPr>
          <w:p w14:paraId="05D6B99B">
            <w:pPr>
              <w:jc w:val="center"/>
              <w:rPr>
                <w:rFonts w:ascii="宋体" w:hAnsi="宋体" w:eastAsia="宋体" w:cs="宋体"/>
                <w:sz w:val="22"/>
                <w:szCs w:val="22"/>
              </w:rPr>
            </w:pPr>
          </w:p>
        </w:tc>
        <w:tc>
          <w:tcPr>
            <w:tcW w:w="1155" w:type="dxa"/>
            <w:vMerge w:val="continue"/>
            <w:tcBorders>
              <w:top w:val="single" w:color="auto" w:sz="4" w:space="0"/>
              <w:bottom w:val="single" w:color="auto" w:sz="4" w:space="0"/>
              <w:right w:val="single" w:color="auto" w:sz="4" w:space="0"/>
            </w:tcBorders>
            <w:vAlign w:val="center"/>
          </w:tcPr>
          <w:p w14:paraId="0940B6CA">
            <w:pPr>
              <w:jc w:val="center"/>
              <w:rPr>
                <w:rFonts w:ascii="宋体" w:hAnsi="宋体" w:eastAsia="宋体" w:cs="宋体"/>
                <w:sz w:val="22"/>
                <w:szCs w:val="22"/>
              </w:rPr>
            </w:pPr>
          </w:p>
        </w:tc>
        <w:tc>
          <w:tcPr>
            <w:tcW w:w="1650" w:type="dxa"/>
            <w:tcBorders>
              <w:left w:val="single" w:color="auto" w:sz="4" w:space="0"/>
            </w:tcBorders>
            <w:vAlign w:val="center"/>
          </w:tcPr>
          <w:p w14:paraId="53C5B432">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高标准农田新增建设面积验收合格率</w:t>
            </w:r>
          </w:p>
        </w:tc>
        <w:tc>
          <w:tcPr>
            <w:tcW w:w="1170" w:type="dxa"/>
            <w:vAlign w:val="center"/>
          </w:tcPr>
          <w:p w14:paraId="5F4D8F6D">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66554BC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154A969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73A7981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14E2DAD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4D90E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067AFF6D">
            <w:pPr>
              <w:pStyle w:val="9"/>
            </w:pPr>
          </w:p>
        </w:tc>
        <w:tc>
          <w:tcPr>
            <w:tcW w:w="1230" w:type="dxa"/>
            <w:vMerge w:val="continue"/>
            <w:tcBorders>
              <w:top w:val="single" w:color="auto" w:sz="4" w:space="0"/>
              <w:bottom w:val="single" w:color="auto" w:sz="4" w:space="0"/>
            </w:tcBorders>
            <w:vAlign w:val="center"/>
          </w:tcPr>
          <w:p w14:paraId="54785B7D">
            <w:pPr>
              <w:jc w:val="center"/>
              <w:rPr>
                <w:rFonts w:ascii="宋体" w:hAnsi="宋体" w:eastAsia="宋体" w:cs="宋体"/>
                <w:sz w:val="22"/>
                <w:szCs w:val="22"/>
              </w:rPr>
            </w:pPr>
          </w:p>
        </w:tc>
        <w:tc>
          <w:tcPr>
            <w:tcW w:w="1155" w:type="dxa"/>
            <w:vMerge w:val="continue"/>
            <w:tcBorders>
              <w:top w:val="single" w:color="auto" w:sz="4" w:space="0"/>
              <w:bottom w:val="single" w:color="auto" w:sz="4" w:space="0"/>
              <w:right w:val="single" w:color="auto" w:sz="4" w:space="0"/>
            </w:tcBorders>
            <w:vAlign w:val="center"/>
          </w:tcPr>
          <w:p w14:paraId="126FB284">
            <w:pPr>
              <w:jc w:val="center"/>
              <w:rPr>
                <w:rFonts w:ascii="宋体" w:hAnsi="宋体" w:eastAsia="宋体" w:cs="宋体"/>
                <w:sz w:val="22"/>
                <w:szCs w:val="22"/>
              </w:rPr>
            </w:pPr>
          </w:p>
        </w:tc>
        <w:tc>
          <w:tcPr>
            <w:tcW w:w="1650" w:type="dxa"/>
            <w:tcBorders>
              <w:left w:val="single" w:color="auto" w:sz="4" w:space="0"/>
            </w:tcBorders>
            <w:vAlign w:val="center"/>
          </w:tcPr>
          <w:p w14:paraId="3731EB7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耕地地力保护补贴发放准确率</w:t>
            </w:r>
          </w:p>
        </w:tc>
        <w:tc>
          <w:tcPr>
            <w:tcW w:w="1170" w:type="dxa"/>
            <w:vAlign w:val="center"/>
          </w:tcPr>
          <w:p w14:paraId="0C98153D">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0A80DB6A">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20799FE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622BEC2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415C134F">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1CD44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363526C3">
            <w:pPr>
              <w:pStyle w:val="9"/>
            </w:pPr>
          </w:p>
        </w:tc>
        <w:tc>
          <w:tcPr>
            <w:tcW w:w="1230" w:type="dxa"/>
            <w:vMerge w:val="continue"/>
            <w:tcBorders>
              <w:top w:val="single" w:color="auto" w:sz="4" w:space="0"/>
              <w:bottom w:val="single" w:color="auto" w:sz="4" w:space="0"/>
            </w:tcBorders>
            <w:vAlign w:val="center"/>
          </w:tcPr>
          <w:p w14:paraId="69A99EA9">
            <w:pPr>
              <w:jc w:val="center"/>
              <w:rPr>
                <w:rFonts w:ascii="宋体" w:hAnsi="宋体" w:eastAsia="宋体" w:cs="宋体"/>
                <w:sz w:val="22"/>
                <w:szCs w:val="22"/>
              </w:rPr>
            </w:pPr>
          </w:p>
        </w:tc>
        <w:tc>
          <w:tcPr>
            <w:tcW w:w="1155" w:type="dxa"/>
            <w:vMerge w:val="continue"/>
            <w:tcBorders>
              <w:top w:val="single" w:color="auto" w:sz="4" w:space="0"/>
              <w:bottom w:val="single" w:color="auto" w:sz="4" w:space="0"/>
              <w:right w:val="single" w:color="auto" w:sz="4" w:space="0"/>
            </w:tcBorders>
            <w:vAlign w:val="center"/>
          </w:tcPr>
          <w:p w14:paraId="7D72A9FA">
            <w:pPr>
              <w:jc w:val="center"/>
              <w:rPr>
                <w:rFonts w:ascii="宋体" w:hAnsi="宋体" w:eastAsia="宋体" w:cs="宋体"/>
                <w:sz w:val="22"/>
                <w:szCs w:val="22"/>
              </w:rPr>
            </w:pPr>
          </w:p>
        </w:tc>
        <w:tc>
          <w:tcPr>
            <w:tcW w:w="1650" w:type="dxa"/>
            <w:tcBorders>
              <w:left w:val="single" w:color="auto" w:sz="4" w:space="0"/>
            </w:tcBorders>
            <w:vAlign w:val="center"/>
          </w:tcPr>
          <w:p w14:paraId="60AE6AC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农机购置补贴发放准确率</w:t>
            </w:r>
          </w:p>
        </w:tc>
        <w:tc>
          <w:tcPr>
            <w:tcW w:w="1170" w:type="dxa"/>
            <w:vAlign w:val="center"/>
          </w:tcPr>
          <w:p w14:paraId="3546FE4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7BD6419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5B54967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67F26E8A">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63D3DAA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0E10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7F29AF19">
            <w:pPr>
              <w:pStyle w:val="9"/>
            </w:pPr>
          </w:p>
        </w:tc>
        <w:tc>
          <w:tcPr>
            <w:tcW w:w="1230" w:type="dxa"/>
            <w:vMerge w:val="continue"/>
            <w:tcBorders>
              <w:top w:val="single" w:color="auto" w:sz="4" w:space="0"/>
              <w:bottom w:val="single" w:color="auto" w:sz="4" w:space="0"/>
            </w:tcBorders>
            <w:vAlign w:val="center"/>
          </w:tcPr>
          <w:p w14:paraId="439F02AD">
            <w:pPr>
              <w:jc w:val="center"/>
              <w:rPr>
                <w:rFonts w:ascii="宋体" w:hAnsi="宋体" w:eastAsia="宋体" w:cs="宋体"/>
                <w:sz w:val="22"/>
                <w:szCs w:val="22"/>
              </w:rPr>
            </w:pPr>
          </w:p>
        </w:tc>
        <w:tc>
          <w:tcPr>
            <w:tcW w:w="1155" w:type="dxa"/>
            <w:vMerge w:val="continue"/>
            <w:tcBorders>
              <w:top w:val="single" w:color="auto" w:sz="4" w:space="0"/>
              <w:bottom w:val="single" w:color="auto" w:sz="4" w:space="0"/>
              <w:right w:val="single" w:color="auto" w:sz="4" w:space="0"/>
            </w:tcBorders>
            <w:vAlign w:val="center"/>
          </w:tcPr>
          <w:p w14:paraId="47F5A4C5">
            <w:pPr>
              <w:jc w:val="center"/>
              <w:rPr>
                <w:rFonts w:ascii="宋体" w:hAnsi="宋体" w:eastAsia="宋体" w:cs="宋体"/>
                <w:sz w:val="22"/>
                <w:szCs w:val="22"/>
              </w:rPr>
            </w:pPr>
          </w:p>
        </w:tc>
        <w:tc>
          <w:tcPr>
            <w:tcW w:w="1650" w:type="dxa"/>
            <w:tcBorders>
              <w:left w:val="single" w:color="auto" w:sz="4" w:space="0"/>
            </w:tcBorders>
            <w:vAlign w:val="center"/>
          </w:tcPr>
          <w:p w14:paraId="57ECE8A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乡村振兴服务下乡覆盖率</w:t>
            </w:r>
          </w:p>
        </w:tc>
        <w:tc>
          <w:tcPr>
            <w:tcW w:w="1170" w:type="dxa"/>
            <w:vAlign w:val="center"/>
          </w:tcPr>
          <w:p w14:paraId="14B74FD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55DF6A0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3A1E978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0B534D4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41A677E3">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22C3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767479D8">
            <w:pPr>
              <w:pStyle w:val="9"/>
            </w:pPr>
          </w:p>
        </w:tc>
        <w:tc>
          <w:tcPr>
            <w:tcW w:w="1230" w:type="dxa"/>
            <w:vMerge w:val="continue"/>
            <w:tcBorders>
              <w:top w:val="single" w:color="auto" w:sz="4" w:space="0"/>
              <w:bottom w:val="single" w:color="auto" w:sz="4" w:space="0"/>
            </w:tcBorders>
            <w:vAlign w:val="center"/>
          </w:tcPr>
          <w:p w14:paraId="7EBD1D03">
            <w:pPr>
              <w:jc w:val="center"/>
              <w:rPr>
                <w:rFonts w:ascii="宋体" w:hAnsi="宋体" w:eastAsia="宋体" w:cs="宋体"/>
                <w:sz w:val="22"/>
                <w:szCs w:val="22"/>
              </w:rPr>
            </w:pPr>
          </w:p>
        </w:tc>
        <w:tc>
          <w:tcPr>
            <w:tcW w:w="1155" w:type="dxa"/>
            <w:vMerge w:val="continue"/>
            <w:tcBorders>
              <w:top w:val="single" w:color="auto" w:sz="4" w:space="0"/>
              <w:bottom w:val="single" w:color="auto" w:sz="4" w:space="0"/>
              <w:right w:val="single" w:color="auto" w:sz="4" w:space="0"/>
            </w:tcBorders>
            <w:vAlign w:val="center"/>
          </w:tcPr>
          <w:p w14:paraId="59BD5B3F">
            <w:pPr>
              <w:jc w:val="center"/>
              <w:rPr>
                <w:rFonts w:ascii="宋体" w:hAnsi="宋体" w:eastAsia="宋体" w:cs="宋体"/>
                <w:sz w:val="22"/>
                <w:szCs w:val="22"/>
              </w:rPr>
            </w:pPr>
          </w:p>
        </w:tc>
        <w:tc>
          <w:tcPr>
            <w:tcW w:w="1650" w:type="dxa"/>
            <w:tcBorders>
              <w:left w:val="single" w:color="auto" w:sz="4" w:space="0"/>
            </w:tcBorders>
            <w:vAlign w:val="center"/>
          </w:tcPr>
          <w:p w14:paraId="4208E79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农业新技术培训开展合格率</w:t>
            </w:r>
          </w:p>
        </w:tc>
        <w:tc>
          <w:tcPr>
            <w:tcW w:w="1170" w:type="dxa"/>
            <w:vAlign w:val="center"/>
          </w:tcPr>
          <w:p w14:paraId="7FAD7C8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5C1A647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6CD2B67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03E625E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5932BC70">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69F8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493EEDDA">
            <w:pPr>
              <w:pStyle w:val="9"/>
            </w:pPr>
          </w:p>
        </w:tc>
        <w:tc>
          <w:tcPr>
            <w:tcW w:w="1230" w:type="dxa"/>
            <w:vMerge w:val="continue"/>
            <w:tcBorders>
              <w:top w:val="single" w:color="auto" w:sz="4" w:space="0"/>
              <w:bottom w:val="single" w:color="auto" w:sz="4" w:space="0"/>
            </w:tcBorders>
            <w:vAlign w:val="center"/>
          </w:tcPr>
          <w:p w14:paraId="2BD5D4F2">
            <w:pPr>
              <w:jc w:val="center"/>
              <w:rPr>
                <w:rFonts w:ascii="宋体" w:hAnsi="宋体" w:eastAsia="宋体" w:cs="宋体"/>
                <w:sz w:val="22"/>
                <w:szCs w:val="22"/>
              </w:rPr>
            </w:pPr>
          </w:p>
        </w:tc>
        <w:tc>
          <w:tcPr>
            <w:tcW w:w="1155" w:type="dxa"/>
            <w:vMerge w:val="continue"/>
            <w:tcBorders>
              <w:top w:val="single" w:color="auto" w:sz="4" w:space="0"/>
              <w:bottom w:val="single" w:color="auto" w:sz="4" w:space="0"/>
              <w:right w:val="single" w:color="auto" w:sz="4" w:space="0"/>
            </w:tcBorders>
            <w:vAlign w:val="center"/>
          </w:tcPr>
          <w:p w14:paraId="273C731B">
            <w:pPr>
              <w:jc w:val="center"/>
              <w:rPr>
                <w:rFonts w:ascii="宋体" w:hAnsi="宋体" w:eastAsia="宋体" w:cs="宋体"/>
                <w:sz w:val="22"/>
                <w:szCs w:val="22"/>
              </w:rPr>
            </w:pPr>
          </w:p>
        </w:tc>
        <w:tc>
          <w:tcPr>
            <w:tcW w:w="1650" w:type="dxa"/>
            <w:tcBorders>
              <w:left w:val="single" w:color="auto" w:sz="4" w:space="0"/>
            </w:tcBorders>
            <w:vAlign w:val="center"/>
          </w:tcPr>
          <w:p w14:paraId="13E8904F">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农作物病虫害重点测报站监测合格率</w:t>
            </w:r>
          </w:p>
        </w:tc>
        <w:tc>
          <w:tcPr>
            <w:tcW w:w="1170" w:type="dxa"/>
            <w:vAlign w:val="center"/>
          </w:tcPr>
          <w:p w14:paraId="6CC6A8E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0BEF9375">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1FA2FA8C">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0450521D">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66CDBFFE">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2D70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42737764">
            <w:pPr>
              <w:pStyle w:val="9"/>
            </w:pPr>
          </w:p>
        </w:tc>
        <w:tc>
          <w:tcPr>
            <w:tcW w:w="1230" w:type="dxa"/>
            <w:vMerge w:val="continue"/>
            <w:tcBorders>
              <w:top w:val="single" w:color="auto" w:sz="4" w:space="0"/>
              <w:bottom w:val="single" w:color="auto" w:sz="4" w:space="0"/>
            </w:tcBorders>
            <w:vAlign w:val="center"/>
          </w:tcPr>
          <w:p w14:paraId="452FA136">
            <w:pPr>
              <w:jc w:val="center"/>
              <w:rPr>
                <w:rFonts w:ascii="宋体" w:hAnsi="宋体" w:eastAsia="宋体" w:cs="宋体"/>
                <w:sz w:val="22"/>
                <w:szCs w:val="22"/>
              </w:rPr>
            </w:pPr>
          </w:p>
        </w:tc>
        <w:tc>
          <w:tcPr>
            <w:tcW w:w="1155" w:type="dxa"/>
            <w:vMerge w:val="restart"/>
            <w:tcBorders>
              <w:top w:val="single" w:color="auto" w:sz="4" w:space="0"/>
              <w:bottom w:val="single" w:color="auto" w:sz="4" w:space="0"/>
            </w:tcBorders>
            <w:vAlign w:val="center"/>
          </w:tcPr>
          <w:p w14:paraId="5DC1C6E6">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时效指标</w:t>
            </w:r>
          </w:p>
        </w:tc>
        <w:tc>
          <w:tcPr>
            <w:tcW w:w="1650" w:type="dxa"/>
            <w:vAlign w:val="center"/>
          </w:tcPr>
          <w:p w14:paraId="0641C60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耕地地力保护补贴发放及时率</w:t>
            </w:r>
          </w:p>
        </w:tc>
        <w:tc>
          <w:tcPr>
            <w:tcW w:w="1170" w:type="dxa"/>
            <w:vAlign w:val="center"/>
          </w:tcPr>
          <w:p w14:paraId="6398ED6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053E752C">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0D39BED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7990CC19">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6C2ED2CA">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1CB5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2C4EAB70">
            <w:pPr>
              <w:pStyle w:val="9"/>
            </w:pPr>
          </w:p>
        </w:tc>
        <w:tc>
          <w:tcPr>
            <w:tcW w:w="1230" w:type="dxa"/>
            <w:vMerge w:val="continue"/>
            <w:tcBorders>
              <w:top w:val="single" w:color="auto" w:sz="4" w:space="0"/>
              <w:bottom w:val="single" w:color="auto" w:sz="4" w:space="0"/>
            </w:tcBorders>
            <w:vAlign w:val="center"/>
          </w:tcPr>
          <w:p w14:paraId="66BA177D">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7F25C50C">
            <w:pPr>
              <w:jc w:val="center"/>
              <w:rPr>
                <w:rFonts w:ascii="宋体" w:hAnsi="宋体" w:eastAsia="宋体" w:cs="宋体"/>
                <w:sz w:val="22"/>
                <w:szCs w:val="22"/>
              </w:rPr>
            </w:pPr>
          </w:p>
        </w:tc>
        <w:tc>
          <w:tcPr>
            <w:tcW w:w="1650" w:type="dxa"/>
            <w:vAlign w:val="center"/>
          </w:tcPr>
          <w:p w14:paraId="759B0BD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动物检疫防护服购置及时率</w:t>
            </w:r>
          </w:p>
        </w:tc>
        <w:tc>
          <w:tcPr>
            <w:tcW w:w="1170" w:type="dxa"/>
            <w:vAlign w:val="center"/>
          </w:tcPr>
          <w:p w14:paraId="3C1C7D2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A5888C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1CF4686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35BC395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5097A3C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15E67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32A02896">
            <w:pPr>
              <w:pStyle w:val="9"/>
            </w:pPr>
          </w:p>
        </w:tc>
        <w:tc>
          <w:tcPr>
            <w:tcW w:w="1230" w:type="dxa"/>
            <w:vMerge w:val="continue"/>
            <w:tcBorders>
              <w:top w:val="single" w:color="auto" w:sz="4" w:space="0"/>
              <w:bottom w:val="single" w:color="auto" w:sz="4" w:space="0"/>
            </w:tcBorders>
            <w:vAlign w:val="center"/>
          </w:tcPr>
          <w:p w14:paraId="6984A912">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24F6AC80">
            <w:pPr>
              <w:jc w:val="center"/>
              <w:rPr>
                <w:rFonts w:ascii="宋体" w:hAnsi="宋体" w:eastAsia="宋体" w:cs="宋体"/>
                <w:sz w:val="22"/>
                <w:szCs w:val="22"/>
              </w:rPr>
            </w:pPr>
          </w:p>
        </w:tc>
        <w:tc>
          <w:tcPr>
            <w:tcW w:w="1650" w:type="dxa"/>
            <w:vAlign w:val="center"/>
          </w:tcPr>
          <w:p w14:paraId="2F9CC6A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乡村振兴服务下乡时限</w:t>
            </w:r>
          </w:p>
        </w:tc>
        <w:tc>
          <w:tcPr>
            <w:tcW w:w="1170" w:type="dxa"/>
            <w:vAlign w:val="center"/>
          </w:tcPr>
          <w:p w14:paraId="08F5EBE5">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4A389B8C">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065" w:type="dxa"/>
            <w:vAlign w:val="center"/>
          </w:tcPr>
          <w:p w14:paraId="1C286CA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天</w:t>
            </w:r>
          </w:p>
        </w:tc>
        <w:tc>
          <w:tcPr>
            <w:tcW w:w="847" w:type="dxa"/>
            <w:vAlign w:val="center"/>
          </w:tcPr>
          <w:p w14:paraId="790E87C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67993ADB">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w:t>
            </w:r>
          </w:p>
        </w:tc>
      </w:tr>
      <w:tr w14:paraId="24AA5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631C9499">
            <w:pPr>
              <w:pStyle w:val="9"/>
            </w:pPr>
          </w:p>
        </w:tc>
        <w:tc>
          <w:tcPr>
            <w:tcW w:w="1230" w:type="dxa"/>
            <w:vMerge w:val="continue"/>
            <w:tcBorders>
              <w:top w:val="single" w:color="auto" w:sz="4" w:space="0"/>
              <w:bottom w:val="single" w:color="auto" w:sz="4" w:space="0"/>
            </w:tcBorders>
            <w:vAlign w:val="center"/>
          </w:tcPr>
          <w:p w14:paraId="1EF1153A">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61A16978">
            <w:pPr>
              <w:jc w:val="center"/>
              <w:rPr>
                <w:rFonts w:ascii="宋体" w:hAnsi="宋体" w:eastAsia="宋体" w:cs="宋体"/>
                <w:sz w:val="22"/>
                <w:szCs w:val="22"/>
              </w:rPr>
            </w:pPr>
          </w:p>
        </w:tc>
        <w:tc>
          <w:tcPr>
            <w:tcW w:w="1650" w:type="dxa"/>
            <w:vAlign w:val="center"/>
          </w:tcPr>
          <w:p w14:paraId="663F03B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重大动物疫情处置及时率</w:t>
            </w:r>
          </w:p>
        </w:tc>
        <w:tc>
          <w:tcPr>
            <w:tcW w:w="1170" w:type="dxa"/>
            <w:vAlign w:val="center"/>
          </w:tcPr>
          <w:p w14:paraId="0A481F4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150CD69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713F9DB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12552D0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61D917FD">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7002F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7C8FA545">
            <w:pPr>
              <w:pStyle w:val="9"/>
            </w:pPr>
          </w:p>
        </w:tc>
        <w:tc>
          <w:tcPr>
            <w:tcW w:w="1230" w:type="dxa"/>
            <w:vMerge w:val="continue"/>
            <w:tcBorders>
              <w:top w:val="single" w:color="auto" w:sz="4" w:space="0"/>
              <w:bottom w:val="single" w:color="auto" w:sz="4" w:space="0"/>
            </w:tcBorders>
            <w:vAlign w:val="center"/>
          </w:tcPr>
          <w:p w14:paraId="31244C0A">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29B8B579">
            <w:pPr>
              <w:jc w:val="center"/>
              <w:rPr>
                <w:rFonts w:ascii="宋体" w:hAnsi="宋体" w:eastAsia="宋体" w:cs="宋体"/>
                <w:sz w:val="22"/>
                <w:szCs w:val="22"/>
              </w:rPr>
            </w:pPr>
          </w:p>
        </w:tc>
        <w:tc>
          <w:tcPr>
            <w:tcW w:w="1650" w:type="dxa"/>
            <w:vAlign w:val="center"/>
          </w:tcPr>
          <w:p w14:paraId="5661A3D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高标准农田新增建设完成时限</w:t>
            </w:r>
          </w:p>
        </w:tc>
        <w:tc>
          <w:tcPr>
            <w:tcW w:w="1170" w:type="dxa"/>
            <w:vAlign w:val="center"/>
          </w:tcPr>
          <w:p w14:paraId="1AA08F0F">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AB5E80C">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065" w:type="dxa"/>
            <w:vAlign w:val="center"/>
          </w:tcPr>
          <w:p w14:paraId="661215A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年</w:t>
            </w:r>
          </w:p>
        </w:tc>
        <w:tc>
          <w:tcPr>
            <w:tcW w:w="847" w:type="dxa"/>
            <w:vAlign w:val="center"/>
          </w:tcPr>
          <w:p w14:paraId="7BFEDB9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6285B9C3">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w:t>
            </w:r>
          </w:p>
        </w:tc>
      </w:tr>
      <w:tr w14:paraId="0A3A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094794BD">
            <w:pPr>
              <w:pStyle w:val="9"/>
            </w:pPr>
          </w:p>
        </w:tc>
        <w:tc>
          <w:tcPr>
            <w:tcW w:w="1230" w:type="dxa"/>
            <w:vMerge w:val="continue"/>
            <w:tcBorders>
              <w:top w:val="single" w:color="auto" w:sz="4" w:space="0"/>
              <w:bottom w:val="single" w:color="auto" w:sz="4" w:space="0"/>
            </w:tcBorders>
            <w:vAlign w:val="center"/>
          </w:tcPr>
          <w:p w14:paraId="28280ACA">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27F67C85">
            <w:pPr>
              <w:jc w:val="center"/>
              <w:rPr>
                <w:rFonts w:ascii="宋体" w:hAnsi="宋体" w:eastAsia="宋体" w:cs="宋体"/>
                <w:sz w:val="22"/>
                <w:szCs w:val="22"/>
              </w:rPr>
            </w:pPr>
          </w:p>
        </w:tc>
        <w:tc>
          <w:tcPr>
            <w:tcW w:w="1650" w:type="dxa"/>
            <w:vAlign w:val="center"/>
          </w:tcPr>
          <w:p w14:paraId="7A092532">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农机购置补贴发放及时率</w:t>
            </w:r>
          </w:p>
        </w:tc>
        <w:tc>
          <w:tcPr>
            <w:tcW w:w="1170" w:type="dxa"/>
            <w:vAlign w:val="center"/>
          </w:tcPr>
          <w:p w14:paraId="428B830C">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01A2B21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1CA767D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5D9176C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75417CE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3201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0CADEAF7">
            <w:pPr>
              <w:pStyle w:val="9"/>
            </w:pPr>
          </w:p>
        </w:tc>
        <w:tc>
          <w:tcPr>
            <w:tcW w:w="1230" w:type="dxa"/>
            <w:vMerge w:val="continue"/>
            <w:tcBorders>
              <w:top w:val="single" w:color="auto" w:sz="4" w:space="0"/>
              <w:bottom w:val="single" w:color="auto" w:sz="4" w:space="0"/>
            </w:tcBorders>
            <w:vAlign w:val="center"/>
          </w:tcPr>
          <w:p w14:paraId="6121A58D">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4DCCD0FA">
            <w:pPr>
              <w:jc w:val="center"/>
              <w:rPr>
                <w:rFonts w:ascii="宋体" w:hAnsi="宋体" w:eastAsia="宋体" w:cs="宋体"/>
                <w:sz w:val="22"/>
                <w:szCs w:val="22"/>
              </w:rPr>
            </w:pPr>
          </w:p>
        </w:tc>
        <w:tc>
          <w:tcPr>
            <w:tcW w:w="1650" w:type="dxa"/>
            <w:vAlign w:val="center"/>
          </w:tcPr>
          <w:p w14:paraId="475A8E7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农业新技术培训开展及时率</w:t>
            </w:r>
          </w:p>
        </w:tc>
        <w:tc>
          <w:tcPr>
            <w:tcW w:w="1170" w:type="dxa"/>
            <w:vAlign w:val="center"/>
          </w:tcPr>
          <w:p w14:paraId="723876E9">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2F18C0C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100</w:t>
            </w:r>
          </w:p>
        </w:tc>
        <w:tc>
          <w:tcPr>
            <w:tcW w:w="1065" w:type="dxa"/>
            <w:vAlign w:val="center"/>
          </w:tcPr>
          <w:p w14:paraId="2176A96D">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7805B155">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7E998363">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100</w:t>
            </w:r>
          </w:p>
        </w:tc>
      </w:tr>
      <w:tr w14:paraId="5BFFD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5266C517">
            <w:pPr>
              <w:pStyle w:val="9"/>
            </w:pPr>
          </w:p>
        </w:tc>
        <w:tc>
          <w:tcPr>
            <w:tcW w:w="1230" w:type="dxa"/>
            <w:vMerge w:val="continue"/>
            <w:tcBorders>
              <w:top w:val="single" w:color="auto" w:sz="4" w:space="0"/>
              <w:bottom w:val="single" w:color="auto" w:sz="4" w:space="0"/>
            </w:tcBorders>
            <w:vAlign w:val="center"/>
          </w:tcPr>
          <w:p w14:paraId="4330002E">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3C01B30A">
            <w:pPr>
              <w:jc w:val="center"/>
              <w:rPr>
                <w:rFonts w:ascii="宋体" w:hAnsi="宋体" w:eastAsia="宋体" w:cs="宋体"/>
                <w:sz w:val="22"/>
                <w:szCs w:val="22"/>
              </w:rPr>
            </w:pPr>
          </w:p>
        </w:tc>
        <w:tc>
          <w:tcPr>
            <w:tcW w:w="1650" w:type="dxa"/>
            <w:vAlign w:val="center"/>
          </w:tcPr>
          <w:p w14:paraId="4F1A28D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农作物病虫害重点测报站监测时限</w:t>
            </w:r>
          </w:p>
        </w:tc>
        <w:tc>
          <w:tcPr>
            <w:tcW w:w="1170" w:type="dxa"/>
            <w:vAlign w:val="center"/>
          </w:tcPr>
          <w:p w14:paraId="7C401C92">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A39C5C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065" w:type="dxa"/>
            <w:vAlign w:val="center"/>
          </w:tcPr>
          <w:p w14:paraId="25D9C29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年</w:t>
            </w:r>
          </w:p>
        </w:tc>
        <w:tc>
          <w:tcPr>
            <w:tcW w:w="847" w:type="dxa"/>
            <w:vAlign w:val="center"/>
          </w:tcPr>
          <w:p w14:paraId="46A59C1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124" w:type="dxa"/>
            <w:vAlign w:val="center"/>
          </w:tcPr>
          <w:p w14:paraId="6546EE7A">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w:t>
            </w:r>
          </w:p>
        </w:tc>
      </w:tr>
      <w:tr w14:paraId="74366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60FDA458">
            <w:pPr>
              <w:pStyle w:val="9"/>
            </w:pPr>
          </w:p>
        </w:tc>
        <w:tc>
          <w:tcPr>
            <w:tcW w:w="1230" w:type="dxa"/>
            <w:vMerge w:val="continue"/>
            <w:tcBorders>
              <w:top w:val="single" w:color="auto" w:sz="4" w:space="0"/>
              <w:bottom w:val="single" w:color="auto" w:sz="4" w:space="0"/>
            </w:tcBorders>
            <w:vAlign w:val="center"/>
          </w:tcPr>
          <w:p w14:paraId="034821F3">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30F8FEB7">
            <w:pPr>
              <w:jc w:val="center"/>
              <w:rPr>
                <w:rFonts w:ascii="宋体" w:hAnsi="宋体" w:eastAsia="宋体" w:cs="宋体"/>
                <w:sz w:val="22"/>
                <w:szCs w:val="22"/>
              </w:rPr>
            </w:pPr>
          </w:p>
        </w:tc>
        <w:tc>
          <w:tcPr>
            <w:tcW w:w="1650" w:type="dxa"/>
            <w:vAlign w:val="center"/>
          </w:tcPr>
          <w:p w14:paraId="1120F1E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非洲猪瘟防控临时检查站检查时限</w:t>
            </w:r>
          </w:p>
        </w:tc>
        <w:tc>
          <w:tcPr>
            <w:tcW w:w="1170" w:type="dxa"/>
            <w:vAlign w:val="center"/>
          </w:tcPr>
          <w:p w14:paraId="4F11FC8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016D028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1</w:t>
            </w:r>
          </w:p>
        </w:tc>
        <w:tc>
          <w:tcPr>
            <w:tcW w:w="1065" w:type="dxa"/>
            <w:vAlign w:val="center"/>
          </w:tcPr>
          <w:p w14:paraId="0648812A">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年</w:t>
            </w:r>
          </w:p>
        </w:tc>
        <w:tc>
          <w:tcPr>
            <w:tcW w:w="847" w:type="dxa"/>
            <w:vAlign w:val="center"/>
          </w:tcPr>
          <w:p w14:paraId="5101FECA">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2</w:t>
            </w:r>
          </w:p>
        </w:tc>
        <w:tc>
          <w:tcPr>
            <w:tcW w:w="1124" w:type="dxa"/>
            <w:vAlign w:val="center"/>
          </w:tcPr>
          <w:p w14:paraId="3548D6DB">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1</w:t>
            </w:r>
          </w:p>
        </w:tc>
      </w:tr>
      <w:tr w14:paraId="4D72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23E527FD">
            <w:pPr>
              <w:pStyle w:val="9"/>
            </w:pPr>
          </w:p>
        </w:tc>
        <w:tc>
          <w:tcPr>
            <w:tcW w:w="1230" w:type="dxa"/>
            <w:vMerge w:val="restart"/>
            <w:tcBorders>
              <w:top w:val="single" w:color="auto" w:sz="4" w:space="0"/>
              <w:bottom w:val="single" w:color="auto" w:sz="4" w:space="0"/>
            </w:tcBorders>
            <w:vAlign w:val="center"/>
          </w:tcPr>
          <w:p w14:paraId="5ABA21C6">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效益指标</w:t>
            </w:r>
          </w:p>
        </w:tc>
        <w:tc>
          <w:tcPr>
            <w:tcW w:w="1155" w:type="dxa"/>
            <w:vMerge w:val="restart"/>
            <w:tcBorders>
              <w:top w:val="single" w:color="auto" w:sz="4" w:space="0"/>
              <w:bottom w:val="single" w:color="auto" w:sz="4" w:space="0"/>
            </w:tcBorders>
            <w:vAlign w:val="center"/>
          </w:tcPr>
          <w:p w14:paraId="3943DEAC">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社会效益指标</w:t>
            </w:r>
          </w:p>
        </w:tc>
        <w:tc>
          <w:tcPr>
            <w:tcW w:w="1650" w:type="dxa"/>
            <w:vAlign w:val="center"/>
          </w:tcPr>
          <w:p w14:paraId="5D6DBFD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非洲猪瘟防控能力</w:t>
            </w:r>
          </w:p>
        </w:tc>
        <w:tc>
          <w:tcPr>
            <w:tcW w:w="1170" w:type="dxa"/>
            <w:vAlign w:val="center"/>
          </w:tcPr>
          <w:p w14:paraId="27AF68B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定性</w:t>
            </w:r>
          </w:p>
        </w:tc>
        <w:tc>
          <w:tcPr>
            <w:tcW w:w="1005" w:type="dxa"/>
            <w:vAlign w:val="center"/>
          </w:tcPr>
          <w:p w14:paraId="799B940A">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提高</w:t>
            </w:r>
          </w:p>
        </w:tc>
        <w:tc>
          <w:tcPr>
            <w:tcW w:w="1065" w:type="dxa"/>
            <w:vAlign w:val="center"/>
          </w:tcPr>
          <w:p w14:paraId="7C97C09D">
            <w:pPr>
              <w:jc w:val="center"/>
              <w:rPr>
                <w:sz w:val="22"/>
                <w:szCs w:val="22"/>
              </w:rPr>
            </w:pPr>
          </w:p>
        </w:tc>
        <w:tc>
          <w:tcPr>
            <w:tcW w:w="847" w:type="dxa"/>
            <w:vAlign w:val="center"/>
          </w:tcPr>
          <w:p w14:paraId="37C176CA">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4</w:t>
            </w:r>
          </w:p>
        </w:tc>
        <w:tc>
          <w:tcPr>
            <w:tcW w:w="1124" w:type="dxa"/>
            <w:vAlign w:val="center"/>
          </w:tcPr>
          <w:p w14:paraId="5FFAA19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提高</w:t>
            </w:r>
          </w:p>
        </w:tc>
      </w:tr>
      <w:tr w14:paraId="4515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49EA5662">
            <w:pPr>
              <w:pStyle w:val="9"/>
            </w:pPr>
          </w:p>
        </w:tc>
        <w:tc>
          <w:tcPr>
            <w:tcW w:w="1230" w:type="dxa"/>
            <w:vMerge w:val="continue"/>
            <w:tcBorders>
              <w:top w:val="single" w:color="auto" w:sz="4" w:space="0"/>
              <w:bottom w:val="single" w:color="auto" w:sz="4" w:space="0"/>
            </w:tcBorders>
            <w:vAlign w:val="center"/>
          </w:tcPr>
          <w:p w14:paraId="00ACFD64">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32757965">
            <w:pPr>
              <w:jc w:val="center"/>
              <w:rPr>
                <w:rFonts w:ascii="宋体" w:hAnsi="宋体" w:eastAsia="宋体" w:cs="宋体"/>
                <w:sz w:val="22"/>
                <w:szCs w:val="22"/>
              </w:rPr>
            </w:pPr>
          </w:p>
        </w:tc>
        <w:tc>
          <w:tcPr>
            <w:tcW w:w="1650" w:type="dxa"/>
            <w:vAlign w:val="center"/>
          </w:tcPr>
          <w:p w14:paraId="1D61AB0A">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耕地质量水平</w:t>
            </w:r>
          </w:p>
        </w:tc>
        <w:tc>
          <w:tcPr>
            <w:tcW w:w="1170" w:type="dxa"/>
            <w:vAlign w:val="center"/>
          </w:tcPr>
          <w:p w14:paraId="710658A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定性</w:t>
            </w:r>
          </w:p>
        </w:tc>
        <w:tc>
          <w:tcPr>
            <w:tcW w:w="1005" w:type="dxa"/>
            <w:vAlign w:val="center"/>
          </w:tcPr>
          <w:p w14:paraId="4ACC7229">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提升</w:t>
            </w:r>
          </w:p>
        </w:tc>
        <w:tc>
          <w:tcPr>
            <w:tcW w:w="1065" w:type="dxa"/>
            <w:vAlign w:val="center"/>
          </w:tcPr>
          <w:p w14:paraId="1F6FE7B5">
            <w:pPr>
              <w:jc w:val="center"/>
              <w:rPr>
                <w:sz w:val="22"/>
                <w:szCs w:val="22"/>
              </w:rPr>
            </w:pPr>
          </w:p>
        </w:tc>
        <w:tc>
          <w:tcPr>
            <w:tcW w:w="847" w:type="dxa"/>
            <w:vAlign w:val="center"/>
          </w:tcPr>
          <w:p w14:paraId="0C3CCAC5">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4</w:t>
            </w:r>
          </w:p>
        </w:tc>
        <w:tc>
          <w:tcPr>
            <w:tcW w:w="1124" w:type="dxa"/>
            <w:vAlign w:val="center"/>
          </w:tcPr>
          <w:p w14:paraId="5FDBBF01">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提升</w:t>
            </w:r>
          </w:p>
        </w:tc>
      </w:tr>
      <w:tr w14:paraId="2917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5F6EA111">
            <w:pPr>
              <w:pStyle w:val="9"/>
            </w:pPr>
          </w:p>
        </w:tc>
        <w:tc>
          <w:tcPr>
            <w:tcW w:w="1230" w:type="dxa"/>
            <w:vMerge w:val="continue"/>
            <w:tcBorders>
              <w:top w:val="single" w:color="auto" w:sz="4" w:space="0"/>
              <w:bottom w:val="single" w:color="auto" w:sz="4" w:space="0"/>
            </w:tcBorders>
            <w:vAlign w:val="center"/>
          </w:tcPr>
          <w:p w14:paraId="23F98F24">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69D7AB78">
            <w:pPr>
              <w:jc w:val="center"/>
              <w:rPr>
                <w:rFonts w:ascii="宋体" w:hAnsi="宋体" w:eastAsia="宋体" w:cs="宋体"/>
                <w:sz w:val="22"/>
                <w:szCs w:val="22"/>
              </w:rPr>
            </w:pPr>
          </w:p>
        </w:tc>
        <w:tc>
          <w:tcPr>
            <w:tcW w:w="1650" w:type="dxa"/>
            <w:vAlign w:val="center"/>
          </w:tcPr>
          <w:p w14:paraId="26F9CE5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农产品质量监管水平</w:t>
            </w:r>
          </w:p>
        </w:tc>
        <w:tc>
          <w:tcPr>
            <w:tcW w:w="1170" w:type="dxa"/>
            <w:vAlign w:val="center"/>
          </w:tcPr>
          <w:p w14:paraId="4342030F">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定性</w:t>
            </w:r>
          </w:p>
        </w:tc>
        <w:tc>
          <w:tcPr>
            <w:tcW w:w="1005" w:type="dxa"/>
            <w:vAlign w:val="center"/>
          </w:tcPr>
          <w:p w14:paraId="79A330C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提高</w:t>
            </w:r>
          </w:p>
        </w:tc>
        <w:tc>
          <w:tcPr>
            <w:tcW w:w="1065" w:type="dxa"/>
            <w:vAlign w:val="center"/>
          </w:tcPr>
          <w:p w14:paraId="292C687A">
            <w:pPr>
              <w:jc w:val="center"/>
              <w:rPr>
                <w:sz w:val="22"/>
                <w:szCs w:val="22"/>
              </w:rPr>
            </w:pPr>
          </w:p>
        </w:tc>
        <w:tc>
          <w:tcPr>
            <w:tcW w:w="847" w:type="dxa"/>
            <w:vAlign w:val="center"/>
          </w:tcPr>
          <w:p w14:paraId="030130C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4</w:t>
            </w:r>
          </w:p>
        </w:tc>
        <w:tc>
          <w:tcPr>
            <w:tcW w:w="1124" w:type="dxa"/>
            <w:vAlign w:val="center"/>
          </w:tcPr>
          <w:p w14:paraId="6D5867F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提高</w:t>
            </w:r>
          </w:p>
        </w:tc>
      </w:tr>
      <w:tr w14:paraId="2242D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bottom w:val="single" w:color="auto" w:sz="4" w:space="0"/>
            </w:tcBorders>
            <w:vAlign w:val="top"/>
          </w:tcPr>
          <w:p w14:paraId="468C56F5">
            <w:pPr>
              <w:pStyle w:val="9"/>
            </w:pPr>
          </w:p>
        </w:tc>
        <w:tc>
          <w:tcPr>
            <w:tcW w:w="1230" w:type="dxa"/>
            <w:vMerge w:val="continue"/>
            <w:tcBorders>
              <w:top w:val="single" w:color="auto" w:sz="4" w:space="0"/>
              <w:bottom w:val="single" w:color="auto" w:sz="4" w:space="0"/>
            </w:tcBorders>
            <w:vAlign w:val="center"/>
          </w:tcPr>
          <w:p w14:paraId="71A7D363">
            <w:pPr>
              <w:jc w:val="center"/>
              <w:rPr>
                <w:rFonts w:ascii="宋体" w:hAnsi="宋体" w:eastAsia="宋体" w:cs="宋体"/>
                <w:sz w:val="22"/>
                <w:szCs w:val="22"/>
              </w:rPr>
            </w:pPr>
          </w:p>
        </w:tc>
        <w:tc>
          <w:tcPr>
            <w:tcW w:w="1155" w:type="dxa"/>
            <w:vMerge w:val="continue"/>
            <w:tcBorders>
              <w:top w:val="single" w:color="auto" w:sz="4" w:space="0"/>
              <w:bottom w:val="single" w:color="auto" w:sz="4" w:space="0"/>
            </w:tcBorders>
            <w:vAlign w:val="center"/>
          </w:tcPr>
          <w:p w14:paraId="1AC018C2">
            <w:pPr>
              <w:jc w:val="center"/>
              <w:rPr>
                <w:rFonts w:ascii="宋体" w:hAnsi="宋体" w:eastAsia="宋体" w:cs="宋体"/>
                <w:sz w:val="22"/>
                <w:szCs w:val="22"/>
              </w:rPr>
            </w:pPr>
          </w:p>
        </w:tc>
        <w:tc>
          <w:tcPr>
            <w:tcW w:w="1650" w:type="dxa"/>
            <w:vAlign w:val="center"/>
          </w:tcPr>
          <w:p w14:paraId="6ADAD6E9">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畜牧业健康发展水平</w:t>
            </w:r>
          </w:p>
        </w:tc>
        <w:tc>
          <w:tcPr>
            <w:tcW w:w="1170" w:type="dxa"/>
            <w:vAlign w:val="center"/>
          </w:tcPr>
          <w:p w14:paraId="773859C9">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定性</w:t>
            </w:r>
          </w:p>
        </w:tc>
        <w:tc>
          <w:tcPr>
            <w:tcW w:w="1005" w:type="dxa"/>
            <w:vAlign w:val="center"/>
          </w:tcPr>
          <w:p w14:paraId="3205196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提高</w:t>
            </w:r>
          </w:p>
        </w:tc>
        <w:tc>
          <w:tcPr>
            <w:tcW w:w="1065" w:type="dxa"/>
            <w:vAlign w:val="center"/>
          </w:tcPr>
          <w:p w14:paraId="12DC5649">
            <w:pPr>
              <w:jc w:val="center"/>
              <w:rPr>
                <w:sz w:val="22"/>
                <w:szCs w:val="22"/>
              </w:rPr>
            </w:pPr>
          </w:p>
        </w:tc>
        <w:tc>
          <w:tcPr>
            <w:tcW w:w="847" w:type="dxa"/>
            <w:vAlign w:val="center"/>
          </w:tcPr>
          <w:p w14:paraId="7A51F5F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4</w:t>
            </w:r>
          </w:p>
        </w:tc>
        <w:tc>
          <w:tcPr>
            <w:tcW w:w="1124" w:type="dxa"/>
            <w:vAlign w:val="center"/>
          </w:tcPr>
          <w:p w14:paraId="2E34E75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提高</w:t>
            </w:r>
          </w:p>
        </w:tc>
      </w:tr>
      <w:tr w14:paraId="7D13D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top w:val="single" w:color="auto" w:sz="4" w:space="0"/>
              <w:left w:val="single" w:color="auto" w:sz="4" w:space="0"/>
            </w:tcBorders>
            <w:vAlign w:val="top"/>
          </w:tcPr>
          <w:p w14:paraId="74FAA6AA">
            <w:pPr>
              <w:pStyle w:val="9"/>
            </w:pPr>
          </w:p>
        </w:tc>
        <w:tc>
          <w:tcPr>
            <w:tcW w:w="1230" w:type="dxa"/>
            <w:vMerge w:val="continue"/>
            <w:tcBorders>
              <w:top w:val="single" w:color="auto" w:sz="4" w:space="0"/>
            </w:tcBorders>
            <w:vAlign w:val="center"/>
          </w:tcPr>
          <w:p w14:paraId="28C5A1AA">
            <w:pPr>
              <w:jc w:val="center"/>
              <w:rPr>
                <w:rFonts w:ascii="宋体" w:hAnsi="宋体" w:eastAsia="宋体" w:cs="宋体"/>
                <w:sz w:val="22"/>
                <w:szCs w:val="22"/>
              </w:rPr>
            </w:pPr>
          </w:p>
        </w:tc>
        <w:tc>
          <w:tcPr>
            <w:tcW w:w="1155" w:type="dxa"/>
            <w:tcBorders>
              <w:top w:val="single" w:color="auto" w:sz="4" w:space="0"/>
            </w:tcBorders>
            <w:vAlign w:val="center"/>
          </w:tcPr>
          <w:p w14:paraId="4BAEAF24">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可持续发展指标</w:t>
            </w:r>
          </w:p>
        </w:tc>
        <w:tc>
          <w:tcPr>
            <w:tcW w:w="1650" w:type="dxa"/>
            <w:vAlign w:val="center"/>
          </w:tcPr>
          <w:p w14:paraId="67D7A22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粮食安全长效机制健全性</w:t>
            </w:r>
          </w:p>
        </w:tc>
        <w:tc>
          <w:tcPr>
            <w:tcW w:w="1170" w:type="dxa"/>
            <w:vAlign w:val="center"/>
          </w:tcPr>
          <w:p w14:paraId="77A9961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定性</w:t>
            </w:r>
          </w:p>
        </w:tc>
        <w:tc>
          <w:tcPr>
            <w:tcW w:w="1005" w:type="dxa"/>
            <w:vAlign w:val="center"/>
          </w:tcPr>
          <w:p w14:paraId="399A929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健全</w:t>
            </w:r>
          </w:p>
        </w:tc>
        <w:tc>
          <w:tcPr>
            <w:tcW w:w="1065" w:type="dxa"/>
            <w:vAlign w:val="center"/>
          </w:tcPr>
          <w:p w14:paraId="453EC8F5">
            <w:pPr>
              <w:jc w:val="center"/>
              <w:rPr>
                <w:sz w:val="22"/>
                <w:szCs w:val="22"/>
              </w:rPr>
            </w:pPr>
          </w:p>
        </w:tc>
        <w:tc>
          <w:tcPr>
            <w:tcW w:w="847" w:type="dxa"/>
            <w:vAlign w:val="center"/>
          </w:tcPr>
          <w:p w14:paraId="07030D6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4</w:t>
            </w:r>
          </w:p>
        </w:tc>
        <w:tc>
          <w:tcPr>
            <w:tcW w:w="1124" w:type="dxa"/>
            <w:vAlign w:val="center"/>
          </w:tcPr>
          <w:p w14:paraId="20300A2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健全</w:t>
            </w:r>
          </w:p>
        </w:tc>
      </w:tr>
      <w:tr w14:paraId="3912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left w:val="single" w:color="auto" w:sz="4" w:space="0"/>
            </w:tcBorders>
            <w:vAlign w:val="top"/>
          </w:tcPr>
          <w:p w14:paraId="7268595D">
            <w:pPr>
              <w:pStyle w:val="9"/>
            </w:pPr>
          </w:p>
        </w:tc>
        <w:tc>
          <w:tcPr>
            <w:tcW w:w="1230" w:type="dxa"/>
            <w:vMerge w:val="restart"/>
            <w:vAlign w:val="center"/>
          </w:tcPr>
          <w:p w14:paraId="2CC7EA81">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满意度指标</w:t>
            </w:r>
          </w:p>
        </w:tc>
        <w:tc>
          <w:tcPr>
            <w:tcW w:w="1155" w:type="dxa"/>
            <w:vMerge w:val="restart"/>
            <w:vAlign w:val="center"/>
          </w:tcPr>
          <w:p w14:paraId="4165E711">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服务对象满意度指标</w:t>
            </w:r>
          </w:p>
        </w:tc>
        <w:tc>
          <w:tcPr>
            <w:tcW w:w="1650" w:type="dxa"/>
            <w:vAlign w:val="center"/>
          </w:tcPr>
          <w:p w14:paraId="321D4C49">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受补贴人员满意度</w:t>
            </w:r>
          </w:p>
        </w:tc>
        <w:tc>
          <w:tcPr>
            <w:tcW w:w="1170" w:type="dxa"/>
            <w:vAlign w:val="center"/>
          </w:tcPr>
          <w:p w14:paraId="054F41A4">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292BBE23">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90</w:t>
            </w:r>
          </w:p>
        </w:tc>
        <w:tc>
          <w:tcPr>
            <w:tcW w:w="1065" w:type="dxa"/>
            <w:vAlign w:val="center"/>
          </w:tcPr>
          <w:p w14:paraId="0E8FE8B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7AB6B20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5</w:t>
            </w:r>
          </w:p>
        </w:tc>
        <w:tc>
          <w:tcPr>
            <w:tcW w:w="1124" w:type="dxa"/>
            <w:vAlign w:val="center"/>
          </w:tcPr>
          <w:p w14:paraId="3E5FCC3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90</w:t>
            </w:r>
          </w:p>
        </w:tc>
      </w:tr>
      <w:tr w14:paraId="289F4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left w:val="single" w:color="auto" w:sz="4" w:space="0"/>
            </w:tcBorders>
            <w:vAlign w:val="top"/>
          </w:tcPr>
          <w:p w14:paraId="1C454591">
            <w:pPr>
              <w:pStyle w:val="9"/>
            </w:pPr>
          </w:p>
        </w:tc>
        <w:tc>
          <w:tcPr>
            <w:tcW w:w="1230" w:type="dxa"/>
            <w:vMerge w:val="continue"/>
            <w:vAlign w:val="center"/>
          </w:tcPr>
          <w:p w14:paraId="39AD5145">
            <w:pPr>
              <w:jc w:val="center"/>
              <w:rPr>
                <w:rFonts w:ascii="宋体" w:hAnsi="宋体" w:eastAsia="宋体" w:cs="宋体"/>
                <w:sz w:val="22"/>
                <w:szCs w:val="22"/>
              </w:rPr>
            </w:pPr>
          </w:p>
        </w:tc>
        <w:tc>
          <w:tcPr>
            <w:tcW w:w="1155" w:type="dxa"/>
            <w:vMerge w:val="continue"/>
            <w:vAlign w:val="center"/>
          </w:tcPr>
          <w:p w14:paraId="01C334B3">
            <w:pPr>
              <w:jc w:val="center"/>
              <w:rPr>
                <w:rFonts w:ascii="宋体" w:hAnsi="宋体" w:eastAsia="宋体" w:cs="宋体"/>
                <w:sz w:val="22"/>
                <w:szCs w:val="22"/>
              </w:rPr>
            </w:pPr>
          </w:p>
        </w:tc>
        <w:tc>
          <w:tcPr>
            <w:tcW w:w="1650" w:type="dxa"/>
            <w:vAlign w:val="center"/>
          </w:tcPr>
          <w:p w14:paraId="31C3D48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农民满意度</w:t>
            </w:r>
          </w:p>
        </w:tc>
        <w:tc>
          <w:tcPr>
            <w:tcW w:w="1170" w:type="dxa"/>
            <w:vAlign w:val="center"/>
          </w:tcPr>
          <w:p w14:paraId="764711C2">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7097671D">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90</w:t>
            </w:r>
          </w:p>
        </w:tc>
        <w:tc>
          <w:tcPr>
            <w:tcW w:w="1065" w:type="dxa"/>
            <w:vAlign w:val="center"/>
          </w:tcPr>
          <w:p w14:paraId="25A298B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847" w:type="dxa"/>
            <w:vAlign w:val="center"/>
          </w:tcPr>
          <w:p w14:paraId="293968D9">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5</w:t>
            </w:r>
          </w:p>
        </w:tc>
        <w:tc>
          <w:tcPr>
            <w:tcW w:w="1124" w:type="dxa"/>
            <w:vAlign w:val="center"/>
          </w:tcPr>
          <w:p w14:paraId="4401DC8B">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snapToGrid w:val="0"/>
                <w:color w:val="000000"/>
                <w:kern w:val="0"/>
                <w:sz w:val="22"/>
                <w:szCs w:val="22"/>
                <w:u w:val="none"/>
                <w:lang w:val="en-US" w:eastAsia="zh-CN" w:bidi="ar"/>
              </w:rPr>
              <w:t>90</w:t>
            </w:r>
          </w:p>
        </w:tc>
      </w:tr>
      <w:tr w14:paraId="0989C7A3">
        <w:tblPrEx>
          <w:tblCellMar>
            <w:top w:w="0" w:type="dxa"/>
            <w:left w:w="0" w:type="dxa"/>
            <w:bottom w:w="0" w:type="dxa"/>
            <w:right w:w="0" w:type="dxa"/>
          </w:tblCellMar>
        </w:tblPrEx>
        <w:trPr>
          <w:trHeight w:val="334" w:hRule="atLeast"/>
        </w:trPr>
        <w:tc>
          <w:tcPr>
            <w:tcW w:w="1303" w:type="dxa"/>
            <w:vMerge w:val="continue"/>
            <w:tcBorders>
              <w:left w:val="single" w:color="auto" w:sz="4" w:space="0"/>
            </w:tcBorders>
            <w:vAlign w:val="top"/>
          </w:tcPr>
          <w:p w14:paraId="7D04D317">
            <w:pPr>
              <w:pStyle w:val="9"/>
            </w:pPr>
          </w:p>
        </w:tc>
        <w:tc>
          <w:tcPr>
            <w:tcW w:w="1230" w:type="dxa"/>
            <w:vMerge w:val="restart"/>
            <w:vAlign w:val="center"/>
          </w:tcPr>
          <w:p w14:paraId="3DC64BDC">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成本指标</w:t>
            </w:r>
          </w:p>
        </w:tc>
        <w:tc>
          <w:tcPr>
            <w:tcW w:w="1155" w:type="dxa"/>
            <w:vMerge w:val="restart"/>
            <w:vAlign w:val="center"/>
          </w:tcPr>
          <w:p w14:paraId="4EC1495F">
            <w:pPr>
              <w:keepNext w:val="0"/>
              <w:keepLines w:val="0"/>
              <w:widowControl/>
              <w:suppressLineNumbers w:val="0"/>
              <w:jc w:val="center"/>
              <w:textAlignment w:val="center"/>
              <w:rPr>
                <w:rFonts w:ascii="宋体" w:hAnsi="宋体" w:eastAsia="宋体" w:cs="宋体"/>
                <w:sz w:val="22"/>
                <w:szCs w:val="22"/>
              </w:rPr>
            </w:pPr>
            <w:r>
              <w:rPr>
                <w:rFonts w:ascii="宋体" w:hAnsi="宋体" w:eastAsia="宋体" w:cs="宋体"/>
                <w:i w:val="0"/>
                <w:iCs w:val="0"/>
                <w:snapToGrid w:val="0"/>
                <w:color w:val="000000"/>
                <w:kern w:val="0"/>
                <w:sz w:val="22"/>
                <w:szCs w:val="22"/>
                <w:u w:val="none"/>
                <w:lang w:val="en-US" w:eastAsia="zh-CN" w:bidi="ar"/>
              </w:rPr>
              <w:t>经济成本指标</w:t>
            </w:r>
          </w:p>
        </w:tc>
        <w:tc>
          <w:tcPr>
            <w:tcW w:w="1650" w:type="dxa"/>
            <w:vAlign w:val="center"/>
          </w:tcPr>
          <w:p w14:paraId="0FFBB8D5">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部门成本控制额</w:t>
            </w:r>
          </w:p>
        </w:tc>
        <w:tc>
          <w:tcPr>
            <w:tcW w:w="1170" w:type="dxa"/>
            <w:vAlign w:val="center"/>
          </w:tcPr>
          <w:p w14:paraId="6822FA9F">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0C57150">
            <w:pPr>
              <w:keepNext w:val="0"/>
              <w:keepLines w:val="0"/>
              <w:widowControl/>
              <w:suppressLineNumbers w:val="0"/>
              <w:jc w:val="center"/>
              <w:textAlignment w:val="center"/>
              <w:rPr>
                <w:sz w:val="22"/>
                <w:szCs w:val="22"/>
              </w:rPr>
            </w:pPr>
            <w:r>
              <w:rPr>
                <w:rFonts w:hint="eastAsia" w:ascii="宋体" w:hAnsi="宋体" w:eastAsia="宋体" w:cs="宋体"/>
                <w:i w:val="0"/>
                <w:iCs w:val="0"/>
                <w:snapToGrid w:val="0"/>
                <w:color w:val="000000"/>
                <w:kern w:val="0"/>
                <w:sz w:val="22"/>
                <w:szCs w:val="22"/>
                <w:u w:val="none"/>
                <w:lang w:val="en-US" w:eastAsia="zh-CN" w:bidi="ar"/>
              </w:rPr>
              <w:t>37625.3</w:t>
            </w:r>
          </w:p>
        </w:tc>
        <w:tc>
          <w:tcPr>
            <w:tcW w:w="1065" w:type="dxa"/>
            <w:vAlign w:val="center"/>
          </w:tcPr>
          <w:p w14:paraId="7D519915">
            <w:pPr>
              <w:keepNext w:val="0"/>
              <w:keepLines w:val="0"/>
              <w:widowControl/>
              <w:suppressLineNumbers w:val="0"/>
              <w:jc w:val="center"/>
              <w:textAlignment w:val="center"/>
              <w:rPr>
                <w:sz w:val="22"/>
                <w:szCs w:val="22"/>
              </w:rPr>
            </w:pPr>
            <w:r>
              <w:rPr>
                <w:rFonts w:hint="eastAsia" w:ascii="宋体" w:hAnsi="宋体" w:eastAsia="宋体" w:cs="宋体"/>
                <w:i w:val="0"/>
                <w:iCs w:val="0"/>
                <w:snapToGrid w:val="0"/>
                <w:color w:val="000000"/>
                <w:kern w:val="0"/>
                <w:sz w:val="22"/>
                <w:szCs w:val="22"/>
                <w:u w:val="none"/>
                <w:lang w:val="en-US" w:eastAsia="zh-CN" w:bidi="ar"/>
              </w:rPr>
              <w:t>万</w:t>
            </w:r>
            <w:r>
              <w:rPr>
                <w:rFonts w:ascii="宋体" w:hAnsi="宋体" w:eastAsia="宋体" w:cs="宋体"/>
                <w:i w:val="0"/>
                <w:iCs w:val="0"/>
                <w:snapToGrid w:val="0"/>
                <w:color w:val="000000"/>
                <w:kern w:val="0"/>
                <w:sz w:val="22"/>
                <w:szCs w:val="22"/>
                <w:u w:val="none"/>
                <w:lang w:val="en-US" w:eastAsia="zh-CN" w:bidi="ar"/>
              </w:rPr>
              <w:t>元</w:t>
            </w:r>
          </w:p>
        </w:tc>
        <w:tc>
          <w:tcPr>
            <w:tcW w:w="847" w:type="dxa"/>
            <w:vAlign w:val="center"/>
          </w:tcPr>
          <w:p w14:paraId="200EAEE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5</w:t>
            </w:r>
          </w:p>
        </w:tc>
        <w:tc>
          <w:tcPr>
            <w:tcW w:w="1124" w:type="dxa"/>
            <w:vAlign w:val="center"/>
          </w:tcPr>
          <w:p w14:paraId="23BD2FAE">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37625.3</w:t>
            </w:r>
          </w:p>
        </w:tc>
      </w:tr>
      <w:tr w14:paraId="6615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left w:val="single" w:color="auto" w:sz="4" w:space="0"/>
            </w:tcBorders>
            <w:vAlign w:val="top"/>
          </w:tcPr>
          <w:p w14:paraId="51DD179D">
            <w:pPr>
              <w:pStyle w:val="9"/>
            </w:pPr>
          </w:p>
        </w:tc>
        <w:tc>
          <w:tcPr>
            <w:tcW w:w="1230" w:type="dxa"/>
            <w:vMerge w:val="continue"/>
            <w:vAlign w:val="center"/>
          </w:tcPr>
          <w:p w14:paraId="34F79646">
            <w:pPr>
              <w:jc w:val="center"/>
              <w:rPr>
                <w:rFonts w:ascii="宋体" w:hAnsi="宋体" w:eastAsia="宋体" w:cs="宋体"/>
                <w:sz w:val="22"/>
                <w:szCs w:val="22"/>
              </w:rPr>
            </w:pPr>
          </w:p>
        </w:tc>
        <w:tc>
          <w:tcPr>
            <w:tcW w:w="1155" w:type="dxa"/>
            <w:vMerge w:val="continue"/>
            <w:vAlign w:val="center"/>
          </w:tcPr>
          <w:p w14:paraId="3E17CD79">
            <w:pPr>
              <w:jc w:val="center"/>
              <w:rPr>
                <w:rFonts w:ascii="宋体" w:hAnsi="宋体" w:eastAsia="宋体" w:cs="宋体"/>
                <w:sz w:val="22"/>
                <w:szCs w:val="22"/>
              </w:rPr>
            </w:pPr>
          </w:p>
        </w:tc>
        <w:tc>
          <w:tcPr>
            <w:tcW w:w="1650" w:type="dxa"/>
            <w:vAlign w:val="center"/>
          </w:tcPr>
          <w:p w14:paraId="73E71CC2">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高标准农田建设成本控制额</w:t>
            </w:r>
          </w:p>
        </w:tc>
        <w:tc>
          <w:tcPr>
            <w:tcW w:w="1170" w:type="dxa"/>
            <w:vAlign w:val="center"/>
          </w:tcPr>
          <w:p w14:paraId="308BFB4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7A301422">
            <w:pPr>
              <w:keepNext w:val="0"/>
              <w:keepLines w:val="0"/>
              <w:widowControl/>
              <w:suppressLineNumbers w:val="0"/>
              <w:jc w:val="center"/>
              <w:textAlignment w:val="center"/>
              <w:rPr>
                <w:sz w:val="22"/>
                <w:szCs w:val="22"/>
              </w:rPr>
            </w:pPr>
            <w:r>
              <w:rPr>
                <w:rFonts w:hint="eastAsia" w:ascii="宋体" w:hAnsi="宋体" w:eastAsia="宋体" w:cs="宋体"/>
                <w:i w:val="0"/>
                <w:iCs w:val="0"/>
                <w:snapToGrid w:val="0"/>
                <w:color w:val="000000"/>
                <w:kern w:val="0"/>
                <w:sz w:val="22"/>
                <w:szCs w:val="22"/>
                <w:u w:val="none"/>
                <w:lang w:val="en-US" w:eastAsia="zh-CN" w:bidi="ar"/>
              </w:rPr>
              <w:t>118</w:t>
            </w:r>
            <w:r>
              <w:rPr>
                <w:rFonts w:ascii="宋体" w:hAnsi="宋体" w:eastAsia="宋体" w:cs="宋体"/>
                <w:i w:val="0"/>
                <w:iCs w:val="0"/>
                <w:snapToGrid w:val="0"/>
                <w:color w:val="000000"/>
                <w:kern w:val="0"/>
                <w:sz w:val="22"/>
                <w:szCs w:val="22"/>
                <w:u w:val="none"/>
                <w:lang w:val="en-US" w:eastAsia="zh-CN" w:bidi="ar"/>
              </w:rPr>
              <w:t>00</w:t>
            </w:r>
          </w:p>
        </w:tc>
        <w:tc>
          <w:tcPr>
            <w:tcW w:w="1065" w:type="dxa"/>
            <w:vAlign w:val="center"/>
          </w:tcPr>
          <w:p w14:paraId="11FE11E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万元</w:t>
            </w:r>
          </w:p>
        </w:tc>
        <w:tc>
          <w:tcPr>
            <w:tcW w:w="847" w:type="dxa"/>
            <w:vAlign w:val="center"/>
          </w:tcPr>
          <w:p w14:paraId="4A646B9E">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5</w:t>
            </w:r>
          </w:p>
        </w:tc>
        <w:tc>
          <w:tcPr>
            <w:tcW w:w="1124" w:type="dxa"/>
            <w:vAlign w:val="center"/>
          </w:tcPr>
          <w:p w14:paraId="7EBC783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118</w:t>
            </w:r>
            <w:r>
              <w:rPr>
                <w:rFonts w:ascii="宋体" w:hAnsi="宋体" w:eastAsia="宋体" w:cs="宋体"/>
                <w:i w:val="0"/>
                <w:iCs w:val="0"/>
                <w:snapToGrid w:val="0"/>
                <w:color w:val="000000"/>
                <w:kern w:val="0"/>
                <w:sz w:val="22"/>
                <w:szCs w:val="22"/>
                <w:u w:val="none"/>
                <w:lang w:val="en-US" w:eastAsia="zh-CN" w:bidi="ar"/>
              </w:rPr>
              <w:t>00</w:t>
            </w:r>
          </w:p>
        </w:tc>
      </w:tr>
      <w:tr w14:paraId="26D4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left w:val="single" w:color="auto" w:sz="4" w:space="0"/>
            </w:tcBorders>
            <w:vAlign w:val="top"/>
          </w:tcPr>
          <w:p w14:paraId="4DAA0607">
            <w:pPr>
              <w:pStyle w:val="9"/>
            </w:pPr>
          </w:p>
        </w:tc>
        <w:tc>
          <w:tcPr>
            <w:tcW w:w="1230" w:type="dxa"/>
            <w:vMerge w:val="continue"/>
            <w:vAlign w:val="center"/>
          </w:tcPr>
          <w:p w14:paraId="399EDBDF">
            <w:pPr>
              <w:jc w:val="center"/>
              <w:rPr>
                <w:rFonts w:ascii="宋体" w:hAnsi="宋体" w:eastAsia="宋体" w:cs="宋体"/>
                <w:sz w:val="22"/>
                <w:szCs w:val="22"/>
              </w:rPr>
            </w:pPr>
          </w:p>
        </w:tc>
        <w:tc>
          <w:tcPr>
            <w:tcW w:w="1155" w:type="dxa"/>
            <w:vMerge w:val="continue"/>
            <w:vAlign w:val="center"/>
          </w:tcPr>
          <w:p w14:paraId="5A5CC196">
            <w:pPr>
              <w:jc w:val="center"/>
              <w:rPr>
                <w:rFonts w:ascii="宋体" w:hAnsi="宋体" w:eastAsia="宋体" w:cs="宋体"/>
                <w:sz w:val="22"/>
                <w:szCs w:val="22"/>
              </w:rPr>
            </w:pPr>
          </w:p>
        </w:tc>
        <w:tc>
          <w:tcPr>
            <w:tcW w:w="1650" w:type="dxa"/>
            <w:vAlign w:val="center"/>
          </w:tcPr>
          <w:p w14:paraId="0849AF66">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耕地地力保护补贴成本控制额</w:t>
            </w:r>
          </w:p>
        </w:tc>
        <w:tc>
          <w:tcPr>
            <w:tcW w:w="1170" w:type="dxa"/>
            <w:vAlign w:val="center"/>
          </w:tcPr>
          <w:p w14:paraId="7C9DA2B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31227801">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5</w:t>
            </w:r>
            <w:r>
              <w:rPr>
                <w:rFonts w:hint="eastAsia" w:ascii="宋体" w:hAnsi="宋体" w:eastAsia="宋体" w:cs="宋体"/>
                <w:i w:val="0"/>
                <w:iCs w:val="0"/>
                <w:snapToGrid w:val="0"/>
                <w:color w:val="000000"/>
                <w:kern w:val="0"/>
                <w:sz w:val="22"/>
                <w:szCs w:val="22"/>
                <w:u w:val="none"/>
                <w:lang w:val="en-US" w:eastAsia="zh-CN" w:bidi="ar"/>
              </w:rPr>
              <w:t>16</w:t>
            </w:r>
            <w:r>
              <w:rPr>
                <w:rFonts w:ascii="宋体" w:hAnsi="宋体" w:eastAsia="宋体" w:cs="宋体"/>
                <w:i w:val="0"/>
                <w:iCs w:val="0"/>
                <w:snapToGrid w:val="0"/>
                <w:color w:val="000000"/>
                <w:kern w:val="0"/>
                <w:sz w:val="22"/>
                <w:szCs w:val="22"/>
                <w:u w:val="none"/>
                <w:lang w:val="en-US" w:eastAsia="zh-CN" w:bidi="ar"/>
              </w:rPr>
              <w:t>0</w:t>
            </w:r>
          </w:p>
        </w:tc>
        <w:tc>
          <w:tcPr>
            <w:tcW w:w="1065" w:type="dxa"/>
            <w:vAlign w:val="center"/>
          </w:tcPr>
          <w:p w14:paraId="6928577D">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万元</w:t>
            </w:r>
          </w:p>
        </w:tc>
        <w:tc>
          <w:tcPr>
            <w:tcW w:w="847" w:type="dxa"/>
            <w:vAlign w:val="center"/>
          </w:tcPr>
          <w:p w14:paraId="689345C0">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5</w:t>
            </w:r>
          </w:p>
        </w:tc>
        <w:tc>
          <w:tcPr>
            <w:tcW w:w="1124" w:type="dxa"/>
            <w:vAlign w:val="center"/>
          </w:tcPr>
          <w:p w14:paraId="2C87B42E">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516</w:t>
            </w:r>
            <w:r>
              <w:rPr>
                <w:rFonts w:ascii="宋体" w:hAnsi="宋体" w:eastAsia="宋体" w:cs="宋体"/>
                <w:i w:val="0"/>
                <w:iCs w:val="0"/>
                <w:snapToGrid w:val="0"/>
                <w:color w:val="000000"/>
                <w:kern w:val="0"/>
                <w:sz w:val="22"/>
                <w:szCs w:val="22"/>
                <w:u w:val="none"/>
                <w:lang w:val="en-US" w:eastAsia="zh-CN" w:bidi="ar"/>
              </w:rPr>
              <w:t>0</w:t>
            </w:r>
          </w:p>
        </w:tc>
      </w:tr>
      <w:tr w14:paraId="789D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03" w:type="dxa"/>
            <w:vMerge w:val="continue"/>
            <w:tcBorders>
              <w:left w:val="single" w:color="auto" w:sz="4" w:space="0"/>
            </w:tcBorders>
            <w:vAlign w:val="top"/>
          </w:tcPr>
          <w:p w14:paraId="78CC71C7">
            <w:pPr>
              <w:pStyle w:val="9"/>
            </w:pPr>
          </w:p>
        </w:tc>
        <w:tc>
          <w:tcPr>
            <w:tcW w:w="1230" w:type="dxa"/>
            <w:vMerge w:val="continue"/>
            <w:vAlign w:val="center"/>
          </w:tcPr>
          <w:p w14:paraId="55056D9B">
            <w:pPr>
              <w:jc w:val="center"/>
              <w:rPr>
                <w:rFonts w:ascii="宋体" w:hAnsi="宋体" w:eastAsia="宋体" w:cs="宋体"/>
                <w:sz w:val="22"/>
                <w:szCs w:val="22"/>
              </w:rPr>
            </w:pPr>
          </w:p>
        </w:tc>
        <w:tc>
          <w:tcPr>
            <w:tcW w:w="1155" w:type="dxa"/>
            <w:vMerge w:val="continue"/>
            <w:vAlign w:val="center"/>
          </w:tcPr>
          <w:p w14:paraId="654A52D7">
            <w:pPr>
              <w:jc w:val="center"/>
              <w:rPr>
                <w:rFonts w:ascii="宋体" w:hAnsi="宋体" w:eastAsia="宋体" w:cs="宋体"/>
                <w:sz w:val="22"/>
                <w:szCs w:val="22"/>
              </w:rPr>
            </w:pPr>
          </w:p>
        </w:tc>
        <w:tc>
          <w:tcPr>
            <w:tcW w:w="1650" w:type="dxa"/>
            <w:vAlign w:val="center"/>
          </w:tcPr>
          <w:p w14:paraId="72098048">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农机购置补贴成本控制额</w:t>
            </w:r>
          </w:p>
        </w:tc>
        <w:tc>
          <w:tcPr>
            <w:tcW w:w="1170" w:type="dxa"/>
            <w:vAlign w:val="center"/>
          </w:tcPr>
          <w:p w14:paraId="7D55A93B">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w:t>
            </w:r>
          </w:p>
        </w:tc>
        <w:tc>
          <w:tcPr>
            <w:tcW w:w="1005" w:type="dxa"/>
            <w:vAlign w:val="center"/>
          </w:tcPr>
          <w:p w14:paraId="73D502C3">
            <w:pPr>
              <w:keepNext w:val="0"/>
              <w:keepLines w:val="0"/>
              <w:widowControl/>
              <w:suppressLineNumbers w:val="0"/>
              <w:jc w:val="center"/>
              <w:textAlignment w:val="center"/>
              <w:rPr>
                <w:rFonts w:hint="default"/>
                <w:sz w:val="22"/>
                <w:szCs w:val="22"/>
                <w:lang w:val="en-US"/>
              </w:rPr>
            </w:pPr>
            <w:r>
              <w:rPr>
                <w:rFonts w:hint="eastAsia" w:ascii="宋体" w:hAnsi="宋体" w:eastAsia="宋体" w:cs="宋体"/>
                <w:i w:val="0"/>
                <w:iCs w:val="0"/>
                <w:snapToGrid w:val="0"/>
                <w:color w:val="000000"/>
                <w:kern w:val="0"/>
                <w:sz w:val="22"/>
                <w:szCs w:val="22"/>
                <w:u w:val="none"/>
                <w:lang w:val="en-US" w:eastAsia="zh-CN" w:bidi="ar"/>
              </w:rPr>
              <w:t>184.7</w:t>
            </w:r>
          </w:p>
        </w:tc>
        <w:tc>
          <w:tcPr>
            <w:tcW w:w="1065" w:type="dxa"/>
            <w:vAlign w:val="center"/>
          </w:tcPr>
          <w:p w14:paraId="6AD6A16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万元</w:t>
            </w:r>
          </w:p>
        </w:tc>
        <w:tc>
          <w:tcPr>
            <w:tcW w:w="847" w:type="dxa"/>
            <w:vAlign w:val="center"/>
          </w:tcPr>
          <w:p w14:paraId="3CF27C67">
            <w:pPr>
              <w:keepNext w:val="0"/>
              <w:keepLines w:val="0"/>
              <w:widowControl/>
              <w:suppressLineNumbers w:val="0"/>
              <w:jc w:val="center"/>
              <w:textAlignment w:val="center"/>
              <w:rPr>
                <w:sz w:val="22"/>
                <w:szCs w:val="22"/>
              </w:rPr>
            </w:pPr>
            <w:r>
              <w:rPr>
                <w:rFonts w:ascii="宋体" w:hAnsi="宋体" w:eastAsia="宋体" w:cs="宋体"/>
                <w:i w:val="0"/>
                <w:iCs w:val="0"/>
                <w:snapToGrid w:val="0"/>
                <w:color w:val="000000"/>
                <w:kern w:val="0"/>
                <w:sz w:val="22"/>
                <w:szCs w:val="22"/>
                <w:u w:val="none"/>
                <w:lang w:val="en-US" w:eastAsia="zh-CN" w:bidi="ar"/>
              </w:rPr>
              <w:t>5</w:t>
            </w:r>
          </w:p>
        </w:tc>
        <w:tc>
          <w:tcPr>
            <w:tcW w:w="1124" w:type="dxa"/>
            <w:vAlign w:val="center"/>
          </w:tcPr>
          <w:p w14:paraId="2F4217D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184.7</w:t>
            </w:r>
          </w:p>
        </w:tc>
      </w:tr>
    </w:tbl>
    <w:p w14:paraId="6EF9B1E5">
      <w:pPr>
        <w:rPr>
          <w:rFonts w:ascii="Arial"/>
          <w:sz w:val="21"/>
        </w:rPr>
      </w:pPr>
    </w:p>
    <w:sectPr>
      <w:footerReference r:id="rId6" w:type="default"/>
      <w:pgSz w:w="12010" w:h="16870"/>
      <w:pgMar w:top="1433" w:right="675" w:bottom="1158" w:left="775" w:header="0" w:footer="86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4034">
    <w:pPr>
      <w:spacing w:line="177" w:lineRule="auto"/>
      <w:rPr>
        <w:rFonts w:ascii="宋体" w:hAnsi="宋体" w:eastAsia="宋体" w:cs="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F15F7">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2F15F7">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AC06">
    <w:pPr>
      <w:spacing w:line="175" w:lineRule="auto"/>
      <w:ind w:left="8565"/>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90228">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0690228">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IxOWVmNWUwMjgxNTc1ZTBiNzk0NDU5YThjOTRiNjQifQ=="/>
  </w:docVars>
  <w:rsids>
    <w:rsidRoot w:val="00000000"/>
    <w:rsid w:val="01677281"/>
    <w:rsid w:val="058A6ECC"/>
    <w:rsid w:val="05FD7231"/>
    <w:rsid w:val="093C098B"/>
    <w:rsid w:val="0AE75150"/>
    <w:rsid w:val="0BE7104A"/>
    <w:rsid w:val="0E8D792E"/>
    <w:rsid w:val="0FB104C7"/>
    <w:rsid w:val="1599549B"/>
    <w:rsid w:val="18005448"/>
    <w:rsid w:val="18561C0B"/>
    <w:rsid w:val="224026D3"/>
    <w:rsid w:val="23D3314B"/>
    <w:rsid w:val="25F717E6"/>
    <w:rsid w:val="26926505"/>
    <w:rsid w:val="28814A83"/>
    <w:rsid w:val="28A013AD"/>
    <w:rsid w:val="2C1E1468"/>
    <w:rsid w:val="2CED17BF"/>
    <w:rsid w:val="2F9331D6"/>
    <w:rsid w:val="33AD7074"/>
    <w:rsid w:val="33BE6B8B"/>
    <w:rsid w:val="3A045513"/>
    <w:rsid w:val="3B2628A9"/>
    <w:rsid w:val="3CB7061B"/>
    <w:rsid w:val="3D74650C"/>
    <w:rsid w:val="3E7624FA"/>
    <w:rsid w:val="418F1B67"/>
    <w:rsid w:val="4253296F"/>
    <w:rsid w:val="45D36130"/>
    <w:rsid w:val="466B065F"/>
    <w:rsid w:val="46880436"/>
    <w:rsid w:val="47AE57B5"/>
    <w:rsid w:val="49DD73A3"/>
    <w:rsid w:val="4AB00FA5"/>
    <w:rsid w:val="4BC46B49"/>
    <w:rsid w:val="4C392DFB"/>
    <w:rsid w:val="4F443F90"/>
    <w:rsid w:val="52D21D76"/>
    <w:rsid w:val="549F31DA"/>
    <w:rsid w:val="58C34BC3"/>
    <w:rsid w:val="59633680"/>
    <w:rsid w:val="59945B14"/>
    <w:rsid w:val="59BE1C91"/>
    <w:rsid w:val="59C753ED"/>
    <w:rsid w:val="5D03762D"/>
    <w:rsid w:val="613100ED"/>
    <w:rsid w:val="631F0A2E"/>
    <w:rsid w:val="655645C6"/>
    <w:rsid w:val="6BF94CBB"/>
    <w:rsid w:val="6DCD397F"/>
    <w:rsid w:val="702E5A4E"/>
    <w:rsid w:val="71306613"/>
    <w:rsid w:val="71453E6C"/>
    <w:rsid w:val="71EE431C"/>
    <w:rsid w:val="728D664D"/>
    <w:rsid w:val="739346B0"/>
    <w:rsid w:val="756F43A4"/>
    <w:rsid w:val="79577B50"/>
    <w:rsid w:val="799D4B8E"/>
    <w:rsid w:val="7A1F11F7"/>
    <w:rsid w:val="7E9E48A6"/>
    <w:rsid w:val="7ED06D3F"/>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font31"/>
    <w:basedOn w:val="7"/>
    <w:qFormat/>
    <w:uiPriority w:val="0"/>
    <w:rPr>
      <w:rFonts w:ascii="Arial" w:hAnsi="Arial" w:cs="Arial"/>
      <w:color w:val="000000"/>
      <w:sz w:val="18"/>
      <w:szCs w:val="18"/>
      <w:u w:val="none"/>
    </w:rPr>
  </w:style>
  <w:style w:type="character" w:customStyle="1" w:styleId="11">
    <w:name w:val="font11"/>
    <w:basedOn w:val="7"/>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8875</Words>
  <Characters>9627</Characters>
  <TotalTime>30</TotalTime>
  <ScaleCrop>false</ScaleCrop>
  <LinksUpToDate>false</LinksUpToDate>
  <CharactersWithSpaces>9669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2024-07-24T10:15:00Z</dcterms:created>
  <dc:creator>Kingsoft-PDF</dc:creator>
  <cp:lastModifiedBy>鱼吹</cp:lastModifiedBy>
  <dcterms:modified xsi:type="dcterms:W3CDTF">2025-10-11T08:53:43Z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2024-07-24T10:15:34Z</vt:filetime>
  </property>
  <property fmtid="{D5CDD505-2E9C-101B-9397-08002B2CF9AE}" pid="4" name="UsrData">
    <vt:lpwstr>66a063c13342bc001f4dcb65wl</vt:lpwstr>
  </property>
  <property fmtid="{D5CDD505-2E9C-101B-9397-08002B2CF9AE}" pid="5" name="KSOProductBuildVer">
    <vt:lpwstr>2052-12.1.0.22529</vt:lpwstr>
  </property>
  <property fmtid="{D5CDD505-2E9C-101B-9397-08002B2CF9AE}" pid="6" name="ICV">
    <vt:lpwstr>C0ABA69A6CA94D3CBD07A04F8A3239B6_12</vt:lpwstr>
  </property>
  <property fmtid="{D5CDD505-2E9C-101B-9397-08002B2CF9AE}" pid="7" name="KSOTemplateDocerSaveRecord">
    <vt:lpwstr>eyJoZGlkIjoiYmUzMDczM2IzYWM5ZGQ3ZDJiNTcwNTFkNDliOTZhN2UiLCJ1c2VySWQiOiI5NjU0NjM4OTkifQ==</vt:lpwstr>
  </property>
</Properties>
</file>