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0B0F0">
      <w:pPr>
        <w:pStyle w:val="12"/>
        <w:spacing w:line="578" w:lineRule="exact"/>
        <w:jc w:val="left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附件2</w:t>
      </w:r>
    </w:p>
    <w:p w14:paraId="5AC700FC">
      <w:pPr>
        <w:pStyle w:val="12"/>
        <w:spacing w:line="578" w:lineRule="exact"/>
        <w:jc w:val="center"/>
        <w:rPr>
          <w:rFonts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/>
        </w:rPr>
        <w:t>开江县农业农村局</w:t>
      </w:r>
    </w:p>
    <w:p w14:paraId="0FFFF0F6">
      <w:pPr>
        <w:pStyle w:val="12"/>
        <w:spacing w:line="578" w:lineRule="exact"/>
        <w:jc w:val="center"/>
        <w:rPr>
          <w:rFonts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/>
        </w:rPr>
        <w:t>专项预算项目绩效评价报告</w:t>
      </w:r>
    </w:p>
    <w:p w14:paraId="78F5C82B">
      <w:pPr>
        <w:pStyle w:val="12"/>
        <w:spacing w:line="578" w:lineRule="exact"/>
        <w:ind w:firstLine="640"/>
        <w:jc w:val="center"/>
        <w:rPr>
          <w:rFonts w:hint="eastAsia" w:ascii="宋体" w:hAnsi="宋体" w:eastAsia="宋体"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/>
          <w:color w:val="auto"/>
          <w:kern w:val="2"/>
          <w:sz w:val="32"/>
          <w:szCs w:val="32"/>
          <w:lang w:eastAsia="zh-CN"/>
        </w:rPr>
        <w:t>（增发国债—开江县2024年高标准农田建设项目）</w:t>
      </w:r>
    </w:p>
    <w:p w14:paraId="58D6D77D">
      <w:pPr>
        <w:adjustRightInd w:val="0"/>
        <w:snapToGrid w:val="0"/>
        <w:spacing w:line="578" w:lineRule="exact"/>
        <w:ind w:firstLine="640" w:firstLineChars="200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 w14:paraId="501A1F49">
      <w:pPr>
        <w:widowControl/>
        <w:adjustRightInd w:val="0"/>
        <w:snapToGrid w:val="0"/>
        <w:spacing w:line="578" w:lineRule="exact"/>
        <w:ind w:firstLine="643" w:firstLineChars="200"/>
        <w:contextualSpacing/>
        <w:jc w:val="left"/>
        <w:rPr>
          <w:rFonts w:ascii="仿宋_GB2312" w:hAnsi="仿宋_GB2312" w:cs="仿宋_GB2312"/>
          <w:kern w:val="0"/>
          <w:shd w:val="clear" w:color="auto" w:fill="FFFFFF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（一）设立背景及基本情况</w:t>
      </w:r>
    </w:p>
    <w:p w14:paraId="6212A6ED">
      <w:pPr>
        <w:adjustRightInd w:val="0"/>
        <w:snapToGrid w:val="0"/>
        <w:spacing w:line="578" w:lineRule="exact"/>
        <w:ind w:firstLine="632" w:firstLineChars="200"/>
        <w:rPr>
          <w:rFonts w:hint="eastAsia" w:ascii="Times New Roman" w:hAnsi="Times New Roman" w:cs="Times New Roman"/>
          <w:spacing w:val="-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pacing w:val="-2"/>
          <w:highlight w:val="none"/>
          <w:lang w:val="en-US" w:eastAsia="zh-CN"/>
        </w:rPr>
        <w:t>1.项目设立原因及背景</w:t>
      </w:r>
    </w:p>
    <w:p w14:paraId="7DABAFAC">
      <w:pPr>
        <w:adjustRightInd w:val="0"/>
        <w:snapToGrid w:val="0"/>
        <w:spacing w:line="578" w:lineRule="exact"/>
        <w:ind w:firstLine="632" w:firstLineChars="200"/>
        <w:rPr>
          <w:rFonts w:hint="eastAsia" w:ascii="Times New Roman" w:hAnsi="Times New Roman" w:eastAsia="仿宋_GB2312" w:cs="Times New Roman"/>
          <w:spacing w:val="-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spacing w:val="-2"/>
          <w:highlight w:val="none"/>
          <w:lang w:val="en-US" w:eastAsia="zh-CN"/>
        </w:rPr>
        <w:t>“无农不稳，无粮则乱”，保障粮食安全是关系全国经济发展、政治建设、社会稳定的基石。</w:t>
      </w:r>
      <w:r>
        <w:rPr>
          <w:rFonts w:hint="eastAsia" w:cs="Times New Roman"/>
          <w:spacing w:val="-2"/>
          <w:highlight w:val="none"/>
          <w:lang w:val="en-US" w:eastAsia="zh-CN"/>
        </w:rPr>
        <w:t>党中央、国务院</w:t>
      </w:r>
      <w:r>
        <w:rPr>
          <w:rFonts w:hint="eastAsia" w:ascii="Times New Roman" w:hAnsi="Times New Roman" w:cs="Times New Roman"/>
          <w:spacing w:val="-2"/>
          <w:highlight w:val="none"/>
          <w:lang w:val="en-US" w:eastAsia="zh-CN"/>
        </w:rPr>
        <w:t>、四川省委</w:t>
      </w:r>
      <w:r>
        <w:rPr>
          <w:rFonts w:hint="eastAsia" w:cs="Times New Roman"/>
          <w:spacing w:val="-2"/>
          <w:highlight w:val="none"/>
          <w:lang w:val="en-US" w:eastAsia="zh-CN"/>
        </w:rPr>
        <w:t>、省</w:t>
      </w:r>
      <w:bookmarkStart w:id="1" w:name="_GoBack"/>
      <w:bookmarkEnd w:id="1"/>
      <w:r>
        <w:rPr>
          <w:rFonts w:hint="eastAsia" w:ascii="Times New Roman" w:hAnsi="Times New Roman" w:cs="Times New Roman"/>
          <w:spacing w:val="-2"/>
          <w:highlight w:val="none"/>
          <w:lang w:val="en-US" w:eastAsia="zh-CN"/>
        </w:rPr>
        <w:t>政府高度重视高标准农田建设。中央、四川省已连续20多年出台了指导</w:t>
      </w:r>
      <w:r>
        <w:rPr>
          <w:rFonts w:hint="eastAsia" w:cs="Times New Roman"/>
          <w:spacing w:val="-2"/>
          <w:highlight w:val="none"/>
          <w:lang w:val="en-US" w:eastAsia="zh-CN"/>
        </w:rPr>
        <w:t>“三农”工作</w:t>
      </w:r>
      <w:r>
        <w:rPr>
          <w:rFonts w:hint="eastAsia" w:ascii="Times New Roman" w:hAnsi="Times New Roman" w:cs="Times New Roman"/>
          <w:spacing w:val="-2"/>
          <w:highlight w:val="none"/>
          <w:lang w:val="en-US" w:eastAsia="zh-CN"/>
        </w:rPr>
        <w:t>的一号文件</w:t>
      </w:r>
      <w:r>
        <w:rPr>
          <w:rFonts w:hint="eastAsia" w:cs="Times New Roman"/>
          <w:spacing w:val="-2"/>
          <w:highlight w:val="none"/>
          <w:lang w:val="en-US" w:eastAsia="zh-CN"/>
        </w:rPr>
        <w:t>，</w:t>
      </w:r>
      <w:r>
        <w:rPr>
          <w:rFonts w:hint="eastAsia" w:ascii="Times New Roman" w:hAnsi="Times New Roman" w:cs="Times New Roman"/>
          <w:spacing w:val="-2"/>
          <w:highlight w:val="none"/>
          <w:lang w:val="en-US" w:eastAsia="zh-CN"/>
        </w:rPr>
        <w:t>中央连续13年在中央一号文件中提出“加强高标准农田建设</w:t>
      </w:r>
      <w:r>
        <w:rPr>
          <w:rFonts w:hint="eastAsia" w:cs="Times New Roman"/>
          <w:spacing w:val="-2"/>
          <w:highlight w:val="none"/>
          <w:lang w:val="en-US" w:eastAsia="zh-CN"/>
        </w:rPr>
        <w:t>”</w:t>
      </w:r>
    </w:p>
    <w:p w14:paraId="2D1BBF49">
      <w:pPr>
        <w:adjustRightInd w:val="0"/>
        <w:snapToGrid w:val="0"/>
        <w:spacing w:line="578" w:lineRule="exact"/>
        <w:ind w:firstLine="632" w:firstLineChars="200"/>
        <w:rPr>
          <w:rFonts w:hint="eastAsia" w:ascii="Times New Roman" w:hAnsi="Times New Roman" w:cs="Times New Roman"/>
          <w:spacing w:val="-2"/>
          <w:highlight w:val="none"/>
          <w:lang w:val="zh-CN" w:eastAsia="zh-CN"/>
        </w:rPr>
      </w:pPr>
      <w:r>
        <w:rPr>
          <w:rFonts w:hint="eastAsia" w:ascii="Times New Roman" w:hAnsi="Times New Roman" w:cs="Times New Roman"/>
          <w:spacing w:val="-2"/>
          <w:highlight w:val="none"/>
          <w:lang w:val="en-US" w:eastAsia="zh-CN"/>
        </w:rPr>
        <w:t>2.项目立项</w:t>
      </w:r>
    </w:p>
    <w:p w14:paraId="4F06EBD2">
      <w:pPr>
        <w:adjustRightInd w:val="0"/>
        <w:snapToGrid w:val="0"/>
        <w:spacing w:line="578" w:lineRule="exact"/>
        <w:ind w:firstLine="632" w:firstLineChars="200"/>
        <w:rPr>
          <w:rFonts w:hint="eastAsia" w:ascii="Times New Roman" w:hAnsi="Times New Roman" w:eastAsia="仿宋_GB2312" w:cs="Times New Roman"/>
          <w:spacing w:val="-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spacing w:val="-2"/>
          <w:highlight w:val="none"/>
          <w:lang w:val="en-US" w:eastAsia="zh-CN"/>
        </w:rPr>
        <w:t>《开江县2024年高标准农田建设（增发国债）项目实施方案》，明确建设规模（改造提升1万亩、新增4万亩，合计5万亩）、建设内容（灌溉排水、田间道路等）、进度计划（</w:t>
      </w:r>
      <w:r>
        <w:rPr>
          <w:rFonts w:hint="eastAsia" w:cs="Times New Roman"/>
          <w:spacing w:val="-2"/>
          <w:highlight w:val="none"/>
          <w:lang w:val="en-US" w:eastAsia="zh-CN"/>
        </w:rPr>
        <w:t>一年</w:t>
      </w:r>
      <w:r>
        <w:rPr>
          <w:rFonts w:hint="eastAsia" w:ascii="Times New Roman" w:hAnsi="Times New Roman" w:cs="Times New Roman"/>
          <w:spacing w:val="-2"/>
          <w:highlight w:val="none"/>
          <w:lang w:val="en-US" w:eastAsia="zh-CN"/>
        </w:rPr>
        <w:t>工期）、资金使用计划等核心内容。方案经局党组会议集体审议通过，报县财政局备案后完成内部立项审批，确保立项流程合规、内容贴合县域农业发展实际。</w:t>
      </w:r>
    </w:p>
    <w:p w14:paraId="06CBBAC0">
      <w:pPr>
        <w:adjustRightInd w:val="0"/>
        <w:snapToGrid w:val="0"/>
        <w:spacing w:line="578" w:lineRule="exact"/>
        <w:ind w:firstLine="632" w:firstLineChars="200"/>
        <w:rPr>
          <w:rFonts w:hint="eastAsia" w:ascii="Times New Roman" w:hAnsi="Times New Roman" w:cs="Times New Roman"/>
          <w:spacing w:val="-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"/>
          <w:kern w:val="2"/>
          <w:sz w:val="32"/>
          <w:szCs w:val="32"/>
          <w:highlight w:val="none"/>
          <w:lang w:val="en-US" w:eastAsia="zh-CN" w:bidi="ar-SA"/>
        </w:rPr>
        <w:t>开江县农业农村局依据川财农〔2023〕15</w:t>
      </w:r>
      <w:r>
        <w:rPr>
          <w:rFonts w:hint="eastAsia" w:ascii="Times New Roman" w:hAnsi="Times New Roman" w:cs="Times New Roman"/>
          <w:spacing w:val="-2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spacing w:val="-2"/>
          <w:kern w:val="2"/>
          <w:sz w:val="32"/>
          <w:szCs w:val="32"/>
          <w:highlight w:val="none"/>
          <w:lang w:val="en-US" w:eastAsia="zh-CN" w:bidi="ar-SA"/>
        </w:rPr>
        <w:t>号文件要求，结合开江县农业发展实际，组织相关业务科室开展项目立项前期调研，明确项目实施的必要性和可行性。随后制定详细的项目实施方案，方案涵盖项目实施内容、目标、进度安排、资金使用计划等内容。方案经局党组会议审议通过后，按规定完成内部立项审批流程，正式确立项目，确保项目立项合规、贴合县域农业发展需求。</w:t>
      </w:r>
    </w:p>
    <w:p w14:paraId="46E16989">
      <w:pPr>
        <w:adjustRightInd w:val="0"/>
        <w:snapToGrid w:val="0"/>
        <w:spacing w:line="578" w:lineRule="exact"/>
        <w:ind w:firstLine="632" w:firstLineChars="200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Times New Roman" w:hAnsi="Times New Roman" w:cs="Times New Roman"/>
          <w:spacing w:val="-2"/>
          <w:highlight w:val="none"/>
          <w:lang w:val="en-US" w:eastAsia="zh-CN"/>
        </w:rPr>
        <w:t>3.资金申报的依据</w:t>
      </w:r>
    </w:p>
    <w:p w14:paraId="0E380707">
      <w:pPr>
        <w:adjustRightInd w:val="0"/>
        <w:snapToGrid w:val="0"/>
        <w:spacing w:line="578" w:lineRule="exact"/>
        <w:ind w:firstLine="632" w:firstLineChars="200"/>
        <w:rPr>
          <w:rFonts w:hint="eastAsia" w:ascii="Times New Roman" w:hAnsi="Times New Roman" w:cs="Times New Roman"/>
          <w:spacing w:val="-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pacing w:val="-2"/>
          <w:highlight w:val="none"/>
          <w:lang w:val="en-US" w:eastAsia="zh-CN"/>
        </w:rPr>
        <w:t>《四川省2024年增发国债支持农业农村项目资金申报指南》等文件要求，结合开江县农业农村发展实际需求，编制资金申报材料，经县财政局、农业农村局联合审核后上报，申报依据充分、合规。</w:t>
      </w:r>
    </w:p>
    <w:p w14:paraId="37C5040A">
      <w:pPr>
        <w:adjustRightInd w:val="0"/>
        <w:snapToGrid w:val="0"/>
        <w:spacing w:line="578" w:lineRule="exact"/>
        <w:ind w:firstLine="632" w:firstLineChars="200"/>
        <w:rPr>
          <w:rFonts w:hint="eastAsia" w:ascii="Times New Roman" w:hAnsi="Times New Roman" w:cs="Times New Roman"/>
          <w:spacing w:val="-2"/>
          <w:highlight w:val="none"/>
          <w:lang w:val="zh-CN" w:eastAsia="zh-CN"/>
        </w:rPr>
      </w:pPr>
      <w:r>
        <w:rPr>
          <w:rFonts w:hint="eastAsia" w:ascii="Times New Roman" w:hAnsi="Times New Roman" w:cs="Times New Roman"/>
          <w:spacing w:val="-2"/>
          <w:highlight w:val="none"/>
          <w:lang w:val="en-US" w:eastAsia="zh-CN"/>
        </w:rPr>
        <w:t>4.项目主要内容</w:t>
      </w:r>
    </w:p>
    <w:p w14:paraId="6CB68485">
      <w:pPr>
        <w:adjustRightInd w:val="0"/>
        <w:snapToGrid w:val="0"/>
        <w:spacing w:line="578" w:lineRule="exact"/>
        <w:ind w:firstLine="632" w:firstLineChars="200"/>
        <w:rPr>
          <w:rFonts w:hint="eastAsia" w:ascii="Times New Roman" w:hAnsi="Times New Roman" w:cs="Times New Roman"/>
          <w:spacing w:val="-2"/>
          <w:highlight w:val="none"/>
          <w:lang w:val="zh-CN" w:eastAsia="zh-CN"/>
        </w:rPr>
      </w:pPr>
      <w:r>
        <w:rPr>
          <w:rFonts w:hint="eastAsia" w:ascii="Times New Roman" w:hAnsi="Times New Roman" w:cs="Times New Roman"/>
          <w:spacing w:val="-2"/>
          <w:highlight w:val="none"/>
          <w:lang w:val="zh-CN" w:eastAsia="zh-CN"/>
        </w:rPr>
        <w:t>本项目由县农投开穗公司具体实施，选定新宁镇、普安镇、回龙镇、长岭镇4个乡镇为建设区域，总建设规模5万亩（其中改造提升1万亩、新增4万亩），核心内容围绕“旱涝保收、节水高效、宜机作业、高产稳产、生态良好”目标展开：</w:t>
      </w:r>
    </w:p>
    <w:p w14:paraId="687F2BD7">
      <w:pPr>
        <w:adjustRightInd w:val="0"/>
        <w:snapToGrid w:val="0"/>
        <w:spacing w:line="578" w:lineRule="exact"/>
        <w:ind w:firstLine="632" w:firstLineChars="200"/>
        <w:rPr>
          <w:rFonts w:hint="eastAsia" w:ascii="Times New Roman" w:hAnsi="Times New Roman" w:cs="Times New Roman"/>
          <w:spacing w:val="-2"/>
          <w:highlight w:val="none"/>
          <w:lang w:val="zh-CN" w:eastAsia="zh-CN"/>
        </w:rPr>
      </w:pPr>
      <w:r>
        <w:rPr>
          <w:rFonts w:hint="eastAsia" w:cs="Times New Roman"/>
          <w:spacing w:val="-2"/>
          <w:highlight w:val="none"/>
          <w:lang w:val="zh-CN" w:eastAsia="zh-CN"/>
        </w:rPr>
        <w:t>（</w:t>
      </w:r>
      <w:r>
        <w:rPr>
          <w:rFonts w:hint="eastAsia" w:cs="Times New Roman"/>
          <w:spacing w:val="-2"/>
          <w:highlight w:val="none"/>
          <w:lang w:val="en-US" w:eastAsia="zh-CN"/>
        </w:rPr>
        <w:t>1</w:t>
      </w:r>
      <w:r>
        <w:rPr>
          <w:rFonts w:hint="eastAsia" w:cs="Times New Roman"/>
          <w:spacing w:val="-2"/>
          <w:highlight w:val="none"/>
          <w:lang w:val="zh-CN" w:eastAsia="zh-CN"/>
        </w:rPr>
        <w:t>）</w:t>
      </w:r>
      <w:r>
        <w:rPr>
          <w:rFonts w:hint="eastAsia" w:ascii="Times New Roman" w:hAnsi="Times New Roman" w:cs="Times New Roman"/>
          <w:spacing w:val="-2"/>
          <w:highlight w:val="none"/>
          <w:lang w:val="zh-CN" w:eastAsia="zh-CN"/>
        </w:rPr>
        <w:t>基础设施建设：新建/修缮灌溉渠道120公里、泵站8座，解决“灌溉难”问题；硬化田间主干道35公里、生产路60公里，提升宜机化水平；</w:t>
      </w:r>
    </w:p>
    <w:p w14:paraId="156A5092">
      <w:pPr>
        <w:adjustRightInd w:val="0"/>
        <w:snapToGrid w:val="0"/>
        <w:spacing w:line="578" w:lineRule="exact"/>
        <w:ind w:firstLine="632" w:firstLineChars="200"/>
        <w:rPr>
          <w:rFonts w:hint="eastAsia" w:ascii="Times New Roman" w:hAnsi="Times New Roman" w:cs="Times New Roman"/>
          <w:spacing w:val="-2"/>
          <w:highlight w:val="none"/>
          <w:lang w:val="zh-CN" w:eastAsia="zh-CN"/>
        </w:rPr>
      </w:pPr>
      <w:r>
        <w:rPr>
          <w:rFonts w:hint="eastAsia" w:cs="Times New Roman"/>
          <w:spacing w:val="-2"/>
          <w:highlight w:val="none"/>
          <w:lang w:val="zh-CN" w:eastAsia="zh-CN"/>
        </w:rPr>
        <w:t>（</w:t>
      </w:r>
      <w:r>
        <w:rPr>
          <w:rFonts w:hint="eastAsia" w:cs="Times New Roman"/>
          <w:spacing w:val="-2"/>
          <w:highlight w:val="none"/>
          <w:lang w:val="en-US" w:eastAsia="zh-CN"/>
        </w:rPr>
        <w:t>2</w:t>
      </w:r>
      <w:r>
        <w:rPr>
          <w:rFonts w:hint="eastAsia" w:cs="Times New Roman"/>
          <w:spacing w:val="-2"/>
          <w:highlight w:val="none"/>
          <w:lang w:val="zh-CN" w:eastAsia="zh-CN"/>
        </w:rPr>
        <w:t>）</w:t>
      </w:r>
      <w:r>
        <w:rPr>
          <w:rFonts w:hint="eastAsia" w:ascii="Times New Roman" w:hAnsi="Times New Roman" w:cs="Times New Roman"/>
          <w:spacing w:val="-2"/>
          <w:highlight w:val="none"/>
          <w:lang w:val="zh-CN" w:eastAsia="zh-CN"/>
        </w:rPr>
        <w:t>耕地质量提升：实施土壤改良（增施有机肥、秸秆还田）5万亩，修建田埂防护30公里，改善耕地地力；</w:t>
      </w:r>
    </w:p>
    <w:p w14:paraId="60D5065A">
      <w:pPr>
        <w:adjustRightInd w:val="0"/>
        <w:snapToGrid w:val="0"/>
        <w:spacing w:line="578" w:lineRule="exact"/>
        <w:ind w:firstLine="632" w:firstLineChars="200"/>
        <w:rPr>
          <w:rFonts w:hint="eastAsia" w:ascii="Times New Roman" w:hAnsi="Times New Roman" w:cs="Times New Roman"/>
          <w:spacing w:val="-2"/>
          <w:highlight w:val="none"/>
          <w:lang w:val="zh-CN" w:eastAsia="zh-CN"/>
        </w:rPr>
      </w:pPr>
      <w:r>
        <w:rPr>
          <w:rFonts w:hint="eastAsia" w:cs="Times New Roman"/>
          <w:spacing w:val="-2"/>
          <w:highlight w:val="none"/>
          <w:lang w:val="zh-CN" w:eastAsia="zh-CN"/>
        </w:rPr>
        <w:t>（</w:t>
      </w:r>
      <w:r>
        <w:rPr>
          <w:rFonts w:hint="eastAsia" w:cs="Times New Roman"/>
          <w:spacing w:val="-2"/>
          <w:highlight w:val="none"/>
          <w:lang w:val="en-US" w:eastAsia="zh-CN"/>
        </w:rPr>
        <w:t>3</w:t>
      </w:r>
      <w:r>
        <w:rPr>
          <w:rFonts w:hint="eastAsia" w:cs="Times New Roman"/>
          <w:spacing w:val="-2"/>
          <w:highlight w:val="none"/>
          <w:lang w:val="zh-CN" w:eastAsia="zh-CN"/>
        </w:rPr>
        <w:t>）</w:t>
      </w:r>
      <w:r>
        <w:rPr>
          <w:rFonts w:hint="eastAsia" w:ascii="Times New Roman" w:hAnsi="Times New Roman" w:cs="Times New Roman"/>
          <w:spacing w:val="-2"/>
          <w:highlight w:val="none"/>
          <w:lang w:val="zh-CN" w:eastAsia="zh-CN"/>
        </w:rPr>
        <w:t>产业融合配套：结合“天府菜油”行动、</w:t>
      </w:r>
      <w:r>
        <w:rPr>
          <w:rFonts w:hint="eastAsia" w:cs="Times New Roman"/>
          <w:spacing w:val="-2"/>
          <w:highlight w:val="none"/>
          <w:lang w:val="zh-CN" w:eastAsia="zh-CN"/>
        </w:rPr>
        <w:t>大豆玉米带状复合种植</w:t>
      </w:r>
      <w:r>
        <w:rPr>
          <w:rFonts w:hint="eastAsia" w:ascii="Times New Roman" w:hAnsi="Times New Roman" w:cs="Times New Roman"/>
          <w:spacing w:val="-2"/>
          <w:highlight w:val="none"/>
          <w:lang w:val="zh-CN" w:eastAsia="zh-CN"/>
        </w:rPr>
        <w:t>推广，建设良种繁育基地2个；配套“稻田+”生态种养设施（如稻田养鱼沟渠）1万亩，助力“鱼米之乡”建设；</w:t>
      </w:r>
    </w:p>
    <w:p w14:paraId="3F4D04CD">
      <w:pPr>
        <w:adjustRightInd w:val="0"/>
        <w:snapToGrid w:val="0"/>
        <w:spacing w:line="578" w:lineRule="exact"/>
        <w:ind w:firstLine="632" w:firstLineChars="200"/>
        <w:rPr>
          <w:rFonts w:hint="eastAsia" w:ascii="Times New Roman" w:hAnsi="Times New Roman" w:cs="Times New Roman"/>
          <w:spacing w:val="-2"/>
          <w:highlight w:val="none"/>
          <w:lang w:val="zh-CN" w:eastAsia="zh-CN"/>
        </w:rPr>
      </w:pPr>
      <w:r>
        <w:rPr>
          <w:rFonts w:hint="eastAsia" w:cs="Times New Roman"/>
          <w:spacing w:val="-2"/>
          <w:highlight w:val="none"/>
          <w:lang w:val="zh-CN" w:eastAsia="zh-CN"/>
        </w:rPr>
        <w:t>（</w:t>
      </w:r>
      <w:r>
        <w:rPr>
          <w:rFonts w:hint="eastAsia" w:cs="Times New Roman"/>
          <w:spacing w:val="-2"/>
          <w:highlight w:val="none"/>
          <w:lang w:val="en-US" w:eastAsia="zh-CN"/>
        </w:rPr>
        <w:t>4</w:t>
      </w:r>
      <w:r>
        <w:rPr>
          <w:rFonts w:hint="eastAsia" w:cs="Times New Roman"/>
          <w:spacing w:val="-2"/>
          <w:highlight w:val="none"/>
          <w:lang w:val="zh-CN" w:eastAsia="zh-CN"/>
        </w:rPr>
        <w:t>）</w:t>
      </w:r>
      <w:r>
        <w:rPr>
          <w:rFonts w:hint="eastAsia" w:ascii="Times New Roman" w:hAnsi="Times New Roman" w:cs="Times New Roman"/>
          <w:spacing w:val="-2"/>
          <w:highlight w:val="none"/>
          <w:lang w:val="zh-CN" w:eastAsia="zh-CN"/>
        </w:rPr>
        <w:t>科技赋能：引进智能灌溉设备20套，开展农户技术培训20场次（覆盖1500人次），推广病虫害绿色防控技术。</w:t>
      </w:r>
    </w:p>
    <w:p w14:paraId="1A22B44A">
      <w:pPr>
        <w:adjustRightInd w:val="0"/>
        <w:snapToGrid w:val="0"/>
        <w:spacing w:line="578" w:lineRule="exact"/>
        <w:ind w:firstLine="643" w:firstLineChars="20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</w:t>
      </w:r>
      <w:r>
        <w:rPr>
          <w:rFonts w:ascii="楷体_GB2312" w:hAnsi="宋体" w:eastAsia="楷体_GB2312"/>
          <w:b/>
        </w:rPr>
        <w:t>实施目的及支持方向</w:t>
      </w:r>
    </w:p>
    <w:p w14:paraId="45B211A7">
      <w:pPr>
        <w:widowControl/>
        <w:adjustRightInd w:val="0"/>
        <w:snapToGrid w:val="0"/>
        <w:spacing w:line="578" w:lineRule="exact"/>
        <w:ind w:firstLine="632" w:firstLineChars="200"/>
        <w:contextualSpacing/>
        <w:jc w:val="left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Times New Roman" w:hAnsi="Times New Roman" w:cs="Times New Roman"/>
          <w:spacing w:val="-2"/>
          <w:lang w:val="en-US" w:eastAsia="zh-CN"/>
        </w:rPr>
        <w:t>1.项目资金管理办法制定情况</w:t>
      </w:r>
    </w:p>
    <w:p w14:paraId="546EA20B">
      <w:pPr>
        <w:widowControl/>
        <w:adjustRightInd w:val="0"/>
        <w:snapToGrid w:val="0"/>
        <w:spacing w:line="578" w:lineRule="exact"/>
        <w:ind w:firstLine="632" w:firstLineChars="200"/>
        <w:contextualSpacing/>
        <w:jc w:val="left"/>
        <w:rPr>
          <w:rFonts w:hint="eastAsia"/>
          <w:spacing w:val="-5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pacing w:val="-2"/>
          <w:highlight w:val="none"/>
          <w:lang w:val="en-US" w:eastAsia="zh-CN"/>
        </w:rPr>
        <w:t>开江县农业农村局制定了《专项业务类专项经费管理办法》，明确资金使用范围、审批流程、拨付方式、监督检查等内容。规定资金需专款专用，严格按照项目预算执行，支出需经多部门审核，杜绝截留、挪用、挤占资金等行为；同时建立资金使用台账，定期开展资金使用情况自查，确保资金管理规范有序。</w:t>
      </w:r>
    </w:p>
    <w:p w14:paraId="416A094B">
      <w:pPr>
        <w:widowControl/>
        <w:adjustRightInd w:val="0"/>
        <w:snapToGrid w:val="0"/>
        <w:spacing w:line="578" w:lineRule="exact"/>
        <w:ind w:firstLine="620" w:firstLineChars="200"/>
        <w:contextualSpacing/>
        <w:jc w:val="left"/>
        <w:rPr>
          <w:rFonts w:hint="eastAsia" w:ascii="楷体_GB2312" w:hAnsi="宋体" w:eastAsia="楷体_GB2312"/>
          <w:b/>
          <w:lang w:val="zh-CN"/>
        </w:rPr>
      </w:pPr>
      <w:r>
        <w:rPr>
          <w:rFonts w:hint="eastAsia"/>
          <w:spacing w:val="-5"/>
          <w:highlight w:val="none"/>
          <w:lang w:val="en-US" w:eastAsia="zh-CN"/>
        </w:rPr>
        <w:t>2.</w:t>
      </w:r>
      <w:r>
        <w:rPr>
          <w:spacing w:val="-5"/>
        </w:rPr>
        <w:t>项目实施目的和主要工作任务</w:t>
      </w:r>
    </w:p>
    <w:p w14:paraId="698500BD">
      <w:pPr>
        <w:widowControl/>
        <w:adjustRightInd w:val="0"/>
        <w:snapToGrid w:val="0"/>
        <w:spacing w:line="578" w:lineRule="exact"/>
        <w:ind w:firstLine="620" w:firstLineChars="200"/>
        <w:contextualSpacing/>
        <w:jc w:val="left"/>
        <w:rPr>
          <w:rFonts w:hint="eastAsia"/>
          <w:spacing w:val="-5"/>
          <w:highlight w:val="none"/>
          <w:lang w:val="en-US" w:eastAsia="zh-CN"/>
        </w:rPr>
      </w:pPr>
      <w:r>
        <w:rPr>
          <w:rFonts w:hint="eastAsia"/>
          <w:spacing w:val="-5"/>
          <w:highlight w:val="none"/>
          <w:lang w:val="en-US" w:eastAsia="zh-CN"/>
        </w:rPr>
        <w:t>（1）实施目的</w:t>
      </w:r>
    </w:p>
    <w:p w14:paraId="724D8D98">
      <w:pPr>
        <w:widowControl/>
        <w:adjustRightInd w:val="0"/>
        <w:snapToGrid w:val="0"/>
        <w:spacing w:line="578" w:lineRule="exact"/>
        <w:ind w:firstLine="620" w:firstLineChars="200"/>
        <w:contextualSpacing/>
        <w:jc w:val="left"/>
        <w:rPr>
          <w:rFonts w:hint="eastAsia"/>
          <w:spacing w:val="-5"/>
          <w:highlight w:val="none"/>
          <w:lang w:val="en-US" w:eastAsia="zh-CN"/>
        </w:rPr>
      </w:pPr>
      <w:r>
        <w:rPr>
          <w:rFonts w:hint="eastAsia"/>
          <w:spacing w:val="-5"/>
          <w:highlight w:val="none"/>
          <w:lang w:val="en-US" w:eastAsia="zh-CN"/>
        </w:rPr>
        <w:t>通过本项目实施，建成集中连片、旱涝保收、节水高效、稳产高产、生态友好的高标准农田，显著提升开江县粮食综合生产能力，保障粮食安全；改善农业生产条件，降低农业生产成本，提高农户种粮积极性；推动农业规模化、集约化、现代化发展，促进农民增收、农业增效，助力乡村振兴。​</w:t>
      </w:r>
    </w:p>
    <w:p w14:paraId="44C23BC2">
      <w:pPr>
        <w:widowControl/>
        <w:adjustRightInd w:val="0"/>
        <w:snapToGrid w:val="0"/>
        <w:spacing w:line="578" w:lineRule="exact"/>
        <w:ind w:firstLine="620" w:firstLineChars="200"/>
        <w:contextualSpacing/>
        <w:jc w:val="left"/>
        <w:rPr>
          <w:rFonts w:hint="eastAsia"/>
          <w:spacing w:val="-5"/>
          <w:highlight w:val="none"/>
          <w:lang w:val="en-US" w:eastAsia="zh-CN"/>
        </w:rPr>
      </w:pPr>
      <w:r>
        <w:rPr>
          <w:rFonts w:hint="eastAsia"/>
          <w:spacing w:val="-5"/>
          <w:highlight w:val="none"/>
          <w:lang w:val="en-US" w:eastAsia="zh-CN"/>
        </w:rPr>
        <w:t>（2）主要工作任务</w:t>
      </w:r>
    </w:p>
    <w:p w14:paraId="154D38DB">
      <w:pPr>
        <w:widowControl/>
        <w:adjustRightInd w:val="0"/>
        <w:snapToGrid w:val="0"/>
        <w:spacing w:line="578" w:lineRule="exact"/>
        <w:ind w:firstLine="632" w:firstLineChars="200"/>
        <w:contextualSpacing/>
        <w:jc w:val="left"/>
        <w:rPr>
          <w:rFonts w:hint="eastAsia"/>
          <w:spacing w:val="-5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pacing w:val="-2"/>
          <w:highlight w:val="none"/>
          <w:lang w:val="zh-CN" w:eastAsia="zh-CN"/>
        </w:rPr>
        <w:t>开江县2024年高标准农田增发国债项目</w:t>
      </w:r>
      <w:r>
        <w:rPr>
          <w:rFonts w:hint="eastAsia" w:cs="Times New Roman"/>
          <w:spacing w:val="-2"/>
          <w:highlight w:val="none"/>
          <w:lang w:val="zh-CN" w:eastAsia="zh-CN"/>
        </w:rPr>
        <w:t>拟</w:t>
      </w:r>
      <w:r>
        <w:rPr>
          <w:rFonts w:hint="eastAsia" w:ascii="Times New Roman" w:hAnsi="Times New Roman" w:cs="Times New Roman"/>
          <w:spacing w:val="-2"/>
          <w:highlight w:val="none"/>
          <w:lang w:val="zh-CN" w:eastAsia="zh-CN"/>
        </w:rPr>
        <w:t>改造提升建设高标准农田</w:t>
      </w:r>
      <w:r>
        <w:rPr>
          <w:rFonts w:hint="eastAsia" w:cs="Times New Roman"/>
          <w:spacing w:val="-2"/>
          <w:highlight w:val="none"/>
          <w:lang w:val="en-US" w:eastAsia="zh-CN"/>
        </w:rPr>
        <w:t>共计5</w:t>
      </w:r>
      <w:r>
        <w:rPr>
          <w:rFonts w:hint="eastAsia" w:ascii="Times New Roman" w:hAnsi="Times New Roman" w:cs="Times New Roman"/>
          <w:spacing w:val="-2"/>
          <w:highlight w:val="none"/>
          <w:lang w:val="zh-CN" w:eastAsia="zh-CN"/>
        </w:rPr>
        <w:t>万亩，由县农投开穗公司实施，选定新宁镇等4个乡镇作为2024年高标准农田增发国债项目建设镇</w:t>
      </w:r>
      <w:r>
        <w:rPr>
          <w:rFonts w:hint="eastAsia" w:cs="Times New Roman"/>
          <w:spacing w:val="-2"/>
          <w:highlight w:val="none"/>
          <w:lang w:val="zh-CN" w:eastAsia="zh-CN"/>
        </w:rPr>
        <w:t>。</w:t>
      </w:r>
    </w:p>
    <w:p w14:paraId="3BF2365F">
      <w:pPr>
        <w:widowControl/>
        <w:adjustRightInd w:val="0"/>
        <w:snapToGrid w:val="0"/>
        <w:spacing w:line="578" w:lineRule="exact"/>
        <w:ind w:firstLine="620" w:firstLineChars="200"/>
        <w:contextualSpacing/>
        <w:jc w:val="left"/>
        <w:rPr>
          <w:rFonts w:hint="eastAsia" w:ascii="楷体_GB2312" w:hAnsi="宋体" w:eastAsia="楷体_GB2312"/>
          <w:b/>
          <w:lang w:val="zh-CN"/>
        </w:rPr>
      </w:pPr>
      <w:r>
        <w:rPr>
          <w:rFonts w:hint="eastAsia"/>
          <w:spacing w:val="-5"/>
          <w:highlight w:val="none"/>
          <w:lang w:val="en-US" w:eastAsia="zh-CN"/>
        </w:rPr>
        <w:t>3.资金支持方向</w:t>
      </w:r>
    </w:p>
    <w:p w14:paraId="04A738BD">
      <w:pPr>
        <w:widowControl/>
        <w:adjustRightInd w:val="0"/>
        <w:snapToGrid w:val="0"/>
        <w:spacing w:line="578" w:lineRule="exact"/>
        <w:ind w:firstLine="620" w:firstLineChars="200"/>
        <w:contextualSpacing/>
        <w:jc w:val="left"/>
        <w:rPr>
          <w:rFonts w:hint="eastAsia" w:ascii="Times New Roman" w:hAnsi="Times New Roman" w:eastAsia="仿宋_GB2312" w:cs="Times New Roman"/>
          <w:spacing w:val="-5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5"/>
          <w:kern w:val="2"/>
          <w:sz w:val="32"/>
          <w:szCs w:val="32"/>
          <w:highlight w:val="none"/>
          <w:lang w:val="en-US" w:eastAsia="zh-CN" w:bidi="ar-SA"/>
        </w:rPr>
        <w:t>项目资金主要用于以下方面：</w:t>
      </w:r>
    </w:p>
    <w:p w14:paraId="391B0774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Times New Roman" w:hAnsi="Times New Roman" w:eastAsia="仿宋_GB2312" w:cs="Times New Roman"/>
          <w:spacing w:val="-5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5"/>
          <w:kern w:val="2"/>
          <w:sz w:val="32"/>
          <w:szCs w:val="32"/>
          <w:highlight w:val="none"/>
          <w:lang w:val="en-US" w:eastAsia="zh-CN" w:bidi="ar-SA"/>
        </w:rPr>
        <w:t>一是工程建设费用，包括灌溉排水工程、田间道路工程、土壤改良工程</w:t>
      </w:r>
      <w:r>
        <w:rPr>
          <w:rFonts w:hint="eastAsia" w:cs="Times New Roman"/>
          <w:spacing w:val="-5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spacing w:val="-5"/>
          <w:kern w:val="2"/>
          <w:sz w:val="32"/>
          <w:szCs w:val="32"/>
          <w:highlight w:val="none"/>
          <w:lang w:val="en-US" w:eastAsia="zh-CN" w:bidi="ar-SA"/>
        </w:rPr>
        <w:t>岸坡防护工程等施工费用；</w:t>
      </w:r>
    </w:p>
    <w:p w14:paraId="3AA817EC">
      <w:pPr>
        <w:widowControl/>
        <w:adjustRightInd w:val="0"/>
        <w:snapToGrid w:val="0"/>
        <w:spacing w:line="578" w:lineRule="exact"/>
        <w:ind w:firstLine="620" w:firstLineChars="200"/>
        <w:contextualSpacing/>
        <w:jc w:val="left"/>
        <w:rPr>
          <w:rFonts w:hint="eastAsia" w:ascii="Times New Roman" w:hAnsi="Times New Roman" w:eastAsia="仿宋_GB2312" w:cs="Times New Roman"/>
          <w:spacing w:val="-5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5"/>
          <w:kern w:val="2"/>
          <w:sz w:val="32"/>
          <w:szCs w:val="32"/>
          <w:highlight w:val="none"/>
          <w:lang w:val="en-US" w:eastAsia="zh-CN" w:bidi="ar-SA"/>
        </w:rPr>
        <w:t>二是设备购置费用，包括泵站设备、灌溉设备、农业机械等购置费用；</w:t>
      </w:r>
    </w:p>
    <w:p w14:paraId="38F8D564">
      <w:pPr>
        <w:widowControl/>
        <w:adjustRightInd w:val="0"/>
        <w:snapToGrid w:val="0"/>
        <w:spacing w:line="578" w:lineRule="exact"/>
        <w:ind w:firstLine="620" w:firstLineChars="200"/>
        <w:contextualSpacing/>
        <w:jc w:val="left"/>
        <w:rPr>
          <w:rFonts w:hint="eastAsia" w:ascii="Times New Roman" w:hAnsi="Times New Roman" w:eastAsia="仿宋_GB2312" w:cs="Times New Roman"/>
          <w:spacing w:val="-5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5"/>
          <w:kern w:val="2"/>
          <w:sz w:val="32"/>
          <w:szCs w:val="32"/>
          <w:highlight w:val="none"/>
          <w:lang w:val="en-US" w:eastAsia="zh-CN" w:bidi="ar-SA"/>
        </w:rPr>
        <w:t>三是科技推广与培训费用，包括优质品种引进、技术培训、病虫害防控等费用；</w:t>
      </w:r>
    </w:p>
    <w:p w14:paraId="0CE76B89">
      <w:pPr>
        <w:widowControl/>
        <w:adjustRightInd w:val="0"/>
        <w:snapToGrid w:val="0"/>
        <w:spacing w:line="578" w:lineRule="exact"/>
        <w:ind w:firstLine="620" w:firstLineChars="200"/>
        <w:contextualSpacing/>
        <w:jc w:val="left"/>
        <w:rPr>
          <w:rFonts w:hint="eastAsia" w:ascii="Times New Roman" w:hAnsi="Times New Roman" w:eastAsia="仿宋_GB2312" w:cs="Times New Roman"/>
          <w:spacing w:val="-5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-5"/>
          <w:kern w:val="2"/>
          <w:sz w:val="32"/>
          <w:szCs w:val="32"/>
          <w:highlight w:val="none"/>
          <w:lang w:val="en-US" w:eastAsia="zh-CN" w:bidi="ar-SA"/>
        </w:rPr>
        <w:t>四是项目管理费用，包括项目前期调研、设计、监理、验收等费用</w:t>
      </w:r>
      <w:r>
        <w:rPr>
          <w:rFonts w:hint="eastAsia" w:cs="Times New Roman"/>
          <w:spacing w:val="-5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7225989C">
      <w:pPr>
        <w:widowControl/>
        <w:adjustRightInd w:val="0"/>
        <w:snapToGrid w:val="0"/>
        <w:spacing w:line="578" w:lineRule="exact"/>
        <w:ind w:firstLine="643" w:firstLineChars="200"/>
        <w:contextualSpacing/>
        <w:jc w:val="left"/>
        <w:rPr>
          <w:rFonts w:ascii="仿宋_GB2312" w:hAnsi="仿宋_GB2312" w:cs="仿宋_GB2312"/>
          <w:kern w:val="0"/>
          <w:shd w:val="clear" w:color="auto" w:fill="FFFFFF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</w:t>
      </w:r>
      <w:r>
        <w:rPr>
          <w:rFonts w:ascii="楷体_GB2312" w:hAnsi="宋体" w:eastAsia="楷体_GB2312"/>
          <w:b/>
        </w:rPr>
        <w:t>预算安排及分配管理</w:t>
      </w:r>
    </w:p>
    <w:p w14:paraId="19CCB2A9">
      <w:pPr>
        <w:adjustRightInd w:val="0"/>
        <w:snapToGrid w:val="0"/>
        <w:spacing w:line="578" w:lineRule="exact"/>
        <w:ind w:firstLine="632" w:firstLineChars="200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Times New Roman" w:hAnsi="Times New Roman" w:cs="Times New Roman"/>
          <w:spacing w:val="-2"/>
          <w:highlight w:val="none"/>
          <w:lang w:val="en-US" w:eastAsia="zh-CN"/>
        </w:rPr>
        <w:t>本项目预算安排11800.00万元，资金全部</w:t>
      </w:r>
      <w:r>
        <w:rPr>
          <w:rFonts w:hint="eastAsia" w:cs="Times New Roman"/>
          <w:spacing w:val="-2"/>
          <w:highlight w:val="none"/>
          <w:lang w:val="en-US" w:eastAsia="zh-CN"/>
        </w:rPr>
        <w:t>由</w:t>
      </w:r>
      <w:r>
        <w:rPr>
          <w:rFonts w:hint="eastAsia" w:ascii="Times New Roman" w:hAnsi="Times New Roman" w:cs="Times New Roman"/>
          <w:spacing w:val="-2"/>
          <w:highlight w:val="none"/>
          <w:lang w:val="en-US" w:eastAsia="zh-CN"/>
        </w:rPr>
        <w:t>开江县农业农村局统一执行，</w:t>
      </w:r>
      <w:r>
        <w:rPr>
          <w:rFonts w:hint="eastAsia"/>
          <w:spacing w:val="-4"/>
          <w:highlight w:val="none"/>
          <w:lang w:val="en-US" w:eastAsia="zh-CN"/>
        </w:rPr>
        <w:t>无需进行项目资金分配。财务科严格按照资金管理办法，对资金的拨付、使用进行全过程监管，确保资金使用规范、透明。</w:t>
      </w:r>
    </w:p>
    <w:p w14:paraId="2146F444">
      <w:pPr>
        <w:adjustRightInd w:val="0"/>
        <w:snapToGrid w:val="0"/>
        <w:spacing w:line="578" w:lineRule="exact"/>
        <w:ind w:firstLine="643" w:firstLineChars="200"/>
        <w:rPr>
          <w:rFonts w:ascii="仿宋_GB2312" w:hAnsi="仿宋_GB2312" w:cs="仿宋_GB2312"/>
          <w:kern w:val="0"/>
          <w:shd w:val="clear" w:color="auto" w:fill="FFFFFF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（四）项目绩效目标设置</w:t>
      </w:r>
    </w:p>
    <w:p w14:paraId="68D7F56D">
      <w:pPr>
        <w:widowControl w:val="0"/>
        <w:adjustRightInd w:val="0"/>
        <w:snapToGrid w:val="0"/>
        <w:spacing w:line="578" w:lineRule="exact"/>
        <w:ind w:firstLine="632" w:firstLineChars="200"/>
        <w:jc w:val="both"/>
        <w:rPr>
          <w:rFonts w:hint="eastAsia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1.项目整体绩效目标</w:t>
      </w:r>
    </w:p>
    <w:p w14:paraId="3B26B75B">
      <w:pPr>
        <w:widowControl w:val="0"/>
        <w:adjustRightInd w:val="0"/>
        <w:snapToGrid w:val="0"/>
        <w:spacing w:line="578" w:lineRule="exact"/>
        <w:ind w:firstLine="632" w:firstLineChars="200"/>
        <w:jc w:val="both"/>
        <w:rPr>
          <w:rFonts w:hint="eastAsia" w:ascii="Times New Roman" w:hAnsi="Times New Roman" w:eastAsia="仿宋_GB2312" w:cs="Times New Roman"/>
          <w:spacing w:val="-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2"/>
          <w:kern w:val="2"/>
          <w:sz w:val="32"/>
          <w:szCs w:val="32"/>
          <w:highlight w:val="none"/>
          <w:lang w:val="en-US" w:eastAsia="zh-CN" w:bidi="ar-SA"/>
        </w:rPr>
        <w:t>到项目长期运营期内，建成高标准农田稳定发挥效益，项目区农业基础设施得到全面改善，耕地质量持续提升，粮食综合生产能力稳步提高，农业规模化经营水平显著提升，农民收入持续增长，形成“田成方、渠相通、路相连、旱能灌、涝能排、科技兴”的现代农业生产格局，为开江县农业现代化和乡村振兴提供坚实支撑。</w:t>
      </w:r>
    </w:p>
    <w:p w14:paraId="4E75CD38">
      <w:pPr>
        <w:widowControl w:val="0"/>
        <w:numPr>
          <w:ilvl w:val="0"/>
          <w:numId w:val="0"/>
        </w:numPr>
        <w:adjustRightInd w:val="0"/>
        <w:snapToGrid w:val="0"/>
        <w:spacing w:line="578" w:lineRule="exact"/>
        <w:ind w:firstLine="632" w:firstLineChars="200"/>
        <w:jc w:val="both"/>
        <w:rPr>
          <w:rFonts w:hint="eastAsia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spacing w:val="-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绩效目标设置情况</w:t>
      </w:r>
    </w:p>
    <w:tbl>
      <w:tblPr>
        <w:tblStyle w:val="8"/>
        <w:tblW w:w="86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235"/>
        <w:gridCol w:w="1207"/>
        <w:gridCol w:w="2228"/>
        <w:gridCol w:w="1032"/>
        <w:gridCol w:w="852"/>
        <w:gridCol w:w="1032"/>
        <w:gridCol w:w="1017"/>
      </w:tblGrid>
      <w:tr w14:paraId="792BC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70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2B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B2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C2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19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E3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AC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</w:tr>
      <w:tr w14:paraId="0E40F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BF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5D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BF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改造提升高标准农田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73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15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BF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万亩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85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096D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24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C2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35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E7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FE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17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DA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1F6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2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23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3C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7E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新增高标准农田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D5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56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4E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万亩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39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87E3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0E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55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AB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粮食综合生产能力亩增加产能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E0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8F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A3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1A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1F443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D7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F6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47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资金使用无重大违规违纪问题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94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F5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F6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EB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F506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C2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45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A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19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EC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F4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24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 w14:paraId="6B29ECF0">
      <w:pPr>
        <w:adjustRightInd w:val="0"/>
        <w:snapToGrid w:val="0"/>
        <w:spacing w:line="578" w:lineRule="exact"/>
        <w:ind w:firstLine="632" w:firstLineChars="200"/>
        <w:rPr>
          <w:rFonts w:hint="eastAsia" w:ascii="黑体" w:hAnsi="宋体" w:eastAsia="黑体"/>
        </w:rPr>
      </w:pPr>
      <w:r>
        <w:rPr>
          <w:rFonts w:hint="eastAsia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3.项目自评工作开展情况</w:t>
      </w:r>
    </w:p>
    <w:p w14:paraId="5DCC0C6C">
      <w:pPr>
        <w:widowControl w:val="0"/>
        <w:adjustRightInd w:val="0"/>
        <w:snapToGrid w:val="0"/>
        <w:spacing w:line="578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（1）成立绩效自评工作小组</w:t>
      </w:r>
    </w:p>
    <w:p w14:paraId="0AAEC3F3">
      <w:pPr>
        <w:widowControl w:val="0"/>
        <w:adjustRightInd w:val="0"/>
        <w:snapToGrid w:val="0"/>
        <w:spacing w:line="578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为确保绩效自评工作科学、有序开展，本单位组建了由各部门负责人组成的绩效自评工作小组。小组成员涵盖党建、财务、业务等多领域人员，明确各自职责分工，统筹协调自评工作，保障自评工作的专业性与</w:t>
      </w:r>
      <w:r>
        <w:rPr>
          <w:rFonts w:hint="eastAsia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全面性。</w:t>
      </w:r>
    </w:p>
    <w:p w14:paraId="2918FEC1">
      <w:pPr>
        <w:widowControl w:val="0"/>
        <w:adjustRightInd w:val="0"/>
        <w:snapToGrid w:val="0"/>
        <w:spacing w:line="578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（2）收集绩效数据</w:t>
      </w:r>
    </w:p>
    <w:p w14:paraId="65854DE4">
      <w:pPr>
        <w:widowControl w:val="0"/>
        <w:adjustRightInd w:val="0"/>
        <w:snapToGrid w:val="0"/>
        <w:spacing w:line="578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各部门按照绩效自评方案的要求，收集本部门的绩效数据，包括关键绩效指标完成情况、工作计划执行情况、重点工作完成情况等。数据收集过程严格遵循真实、准确、完整的原则。</w:t>
      </w:r>
    </w:p>
    <w:p w14:paraId="371D8919">
      <w:pPr>
        <w:widowControl w:val="0"/>
        <w:adjustRightInd w:val="0"/>
        <w:snapToGrid w:val="0"/>
        <w:spacing w:line="578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（3）部门自评</w:t>
      </w:r>
    </w:p>
    <w:p w14:paraId="5CB1415C">
      <w:pPr>
        <w:adjustRightInd w:val="0"/>
        <w:snapToGrid w:val="0"/>
        <w:spacing w:line="578" w:lineRule="exact"/>
        <w:ind w:firstLine="632" w:firstLineChars="200"/>
        <w:rPr>
          <w:rFonts w:hint="eastAsia" w:ascii="黑体" w:hAnsi="宋体" w:eastAsia="黑体"/>
        </w:rPr>
      </w:pPr>
      <w:r>
        <w:rPr>
          <w:rFonts w:hint="default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各部门根据收集的绩效数据，对本部门的工作进行全面自评，找出亮点和不足，形成部门自评报告。通过部门自评，为项目整体绩效评价提供了基础数据和参考依据。</w:t>
      </w:r>
    </w:p>
    <w:p w14:paraId="17BEDD88">
      <w:pPr>
        <w:adjustRightInd w:val="0"/>
        <w:snapToGrid w:val="0"/>
        <w:spacing w:line="578" w:lineRule="exact"/>
        <w:ind w:firstLine="640" w:firstLineChars="20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二、评价实施</w:t>
      </w:r>
    </w:p>
    <w:p w14:paraId="2494046C">
      <w:pPr>
        <w:spacing w:line="578" w:lineRule="exact"/>
        <w:ind w:firstLine="640"/>
      </w:pPr>
      <w:r>
        <w:rPr>
          <w:rFonts w:hint="eastAsia" w:ascii="楷体_GB2312" w:hAnsi="宋体" w:eastAsia="楷体_GB2312"/>
          <w:b/>
          <w:lang w:val="zh-CN"/>
        </w:rPr>
        <w:t>（一）评价目的</w:t>
      </w:r>
    </w:p>
    <w:p w14:paraId="41418958">
      <w:pPr>
        <w:widowControl w:val="0"/>
        <w:adjustRightInd w:val="0"/>
        <w:snapToGrid w:val="0"/>
        <w:spacing w:line="578" w:lineRule="exact"/>
        <w:ind w:firstLine="632" w:firstLineChars="200"/>
        <w:jc w:val="both"/>
        <w:rPr>
          <w:rFonts w:hint="eastAsia" w:ascii="Times New Roman" w:hAnsi="Times New Roman" w:eastAsia="仿宋_GB2312" w:cs="Times New Roman"/>
          <w:spacing w:val="-2"/>
          <w:kern w:val="2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本次绩效评价旨在全面了解增发国债—开江县2024年高标准农田建设项目的实施情况，客观评价项目绩效目标的完成程度，分析项目在决策、管理、实施等环节的成效与不足，总结项目实施经验，发现资金使用和项目管理中的问题，提出针对性的改进建议，为后续项目预算安排、政策完善、管理优化提供依据，提高财政资金使用效益，确保项目更好地发挥保障粮食安全、助力乡村振兴的作用。</w:t>
      </w:r>
    </w:p>
    <w:p w14:paraId="45A91379">
      <w:pPr>
        <w:adjustRightInd w:val="0"/>
        <w:snapToGrid w:val="0"/>
        <w:spacing w:line="578" w:lineRule="exact"/>
        <w:ind w:firstLine="643" w:firstLineChars="200"/>
      </w:pPr>
      <w:r>
        <w:rPr>
          <w:rFonts w:hint="eastAsia" w:ascii="楷体_GB2312" w:hAnsi="宋体" w:eastAsia="楷体_GB2312"/>
          <w:b/>
          <w:lang w:val="zh-CN"/>
        </w:rPr>
        <w:t>（二）预设问题及评价重点</w:t>
      </w:r>
    </w:p>
    <w:p w14:paraId="7E0E8A06">
      <w:pPr>
        <w:widowControl/>
        <w:adjustRightInd w:val="0"/>
        <w:snapToGrid w:val="0"/>
        <w:spacing w:line="578" w:lineRule="exact"/>
        <w:ind w:firstLine="620" w:firstLineChars="200"/>
        <w:contextualSpacing/>
        <w:jc w:val="left"/>
        <w:rPr>
          <w:rFonts w:hint="default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5"/>
          <w:kern w:val="2"/>
          <w:sz w:val="32"/>
          <w:szCs w:val="32"/>
          <w:highlight w:val="none"/>
          <w:lang w:val="en-US" w:eastAsia="zh-CN" w:bidi="ar-SA"/>
        </w:rPr>
        <w:t>1.预设问题</w:t>
      </w:r>
    </w:p>
    <w:p w14:paraId="4A33C4E7">
      <w:pPr>
        <w:widowControl w:val="0"/>
        <w:adjustRightInd w:val="0"/>
        <w:snapToGrid w:val="0"/>
        <w:spacing w:line="578" w:lineRule="exact"/>
        <w:ind w:firstLine="632" w:firstLineChars="200"/>
        <w:jc w:val="both"/>
        <w:rPr>
          <w:rFonts w:hint="eastAsia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一</w:t>
      </w:r>
      <w:r>
        <w:rPr>
          <w:rFonts w:hint="default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是项目管理是否规范，资金使用是否合规，是否存在截留、挤占、挪用资金的情况；</w:t>
      </w:r>
      <w:r>
        <w:rPr>
          <w:rFonts w:hint="eastAsia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是项目实施进度是否符合工期要求，工程质量是否达标，是否存在返工、延期等问题；</w:t>
      </w:r>
      <w:r>
        <w:rPr>
          <w:rFonts w:hint="eastAsia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是项目绩效目标是否完成，粮食综合生产能力是否提升，群众满意度是否达到预期；</w:t>
      </w:r>
      <w:r>
        <w:rPr>
          <w:rFonts w:hint="eastAsia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是项目实施过程中是否存在风险，风险防控措施是否有效。</w:t>
      </w:r>
    </w:p>
    <w:p w14:paraId="56D536FD">
      <w:pPr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position w:val="0"/>
          <w:sz w:val="32"/>
          <w:szCs w:val="32"/>
          <w:highlight w:val="none"/>
          <w:lang w:val="en-US" w:eastAsia="zh-CN" w:bidi="ar-SA"/>
        </w:rPr>
        <w:t>2.评价重点</w:t>
      </w:r>
    </w:p>
    <w:p w14:paraId="2435A931">
      <w:pPr>
        <w:widowControl w:val="0"/>
        <w:adjustRightInd w:val="0"/>
        <w:snapToGrid w:val="0"/>
        <w:spacing w:line="578" w:lineRule="exact"/>
        <w:ind w:firstLine="632" w:firstLineChars="200"/>
        <w:jc w:val="both"/>
        <w:rPr>
          <w:rFonts w:hint="eastAsia" w:ascii="Times New Roman" w:hAnsi="Times New Roman" w:eastAsia="仿宋_GB2312" w:cs="Times New Roman"/>
          <w:spacing w:val="-2"/>
          <w:kern w:val="2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一</w:t>
      </w:r>
      <w:r>
        <w:rPr>
          <w:rFonts w:hint="default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是资金管理规范性，重点评价资金拨付流程、资金使用合规性、资金使用效益；</w:t>
      </w:r>
      <w:r>
        <w:rPr>
          <w:rFonts w:hint="eastAsia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是项目实施进度与质量，重点评价工程进度是否符合工期要求、工程质量是否达到设计标准、验收程序是否规范；</w:t>
      </w:r>
      <w:r>
        <w:rPr>
          <w:rFonts w:hint="eastAsia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是绩效目标完成情况，重点评价产出指标（高标准农田建设面积、工期）、效益指标（粮食产能提升、资金使用合规性）、满意度指标（群众满意度）的完成情况；</w:t>
      </w:r>
      <w:r>
        <w:rPr>
          <w:rFonts w:hint="eastAsia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Times New Roman" w:hAnsi="Times New Roman" w:eastAsia="仿宋_GB2312" w:cs="Times New Roman"/>
          <w:spacing w:val="-2"/>
          <w:kern w:val="2"/>
          <w:sz w:val="32"/>
          <w:szCs w:val="32"/>
          <w:lang w:val="en-US" w:eastAsia="zh-CN" w:bidi="ar-SA"/>
        </w:rPr>
        <w:t>是问题整改与可持续性，重点评价项目实施中发现问题的整改情况，以及项目建成后长期发挥效益的保障措施。</w:t>
      </w:r>
    </w:p>
    <w:p w14:paraId="01792AFD">
      <w:pPr>
        <w:adjustRightInd w:val="0"/>
        <w:snapToGrid w:val="0"/>
        <w:spacing w:line="578" w:lineRule="exact"/>
        <w:ind w:firstLine="643" w:firstLineChars="200"/>
        <w:rPr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（三）评价选点</w:t>
      </w:r>
    </w:p>
    <w:p w14:paraId="792034FA">
      <w:pPr>
        <w:spacing w:line="578" w:lineRule="exact"/>
        <w:ind w:firstLine="640"/>
        <w:rPr>
          <w:rFonts w:hint="eastAsia" w:ascii="楷体_GB2312" w:hAnsi="宋体" w:eastAsia="楷体_GB2312"/>
          <w:b/>
          <w:lang w:val="zh-CN"/>
        </w:rPr>
      </w:pPr>
      <w:r>
        <w:rPr>
          <w:rFonts w:hint="eastAsia"/>
          <w:spacing w:val="-3"/>
          <w:highlight w:val="none"/>
          <w:lang w:val="en-US" w:eastAsia="zh-CN"/>
        </w:rPr>
        <w:t>本项目选点为：开江县农业农村局。</w:t>
      </w:r>
    </w:p>
    <w:p w14:paraId="0996A789">
      <w:pPr>
        <w:spacing w:line="578" w:lineRule="exact"/>
        <w:ind w:firstLine="640"/>
      </w:pPr>
      <w:r>
        <w:rPr>
          <w:rFonts w:hint="eastAsia" w:ascii="楷体_GB2312" w:hAnsi="宋体" w:eastAsia="楷体_GB2312"/>
          <w:b/>
          <w:lang w:val="zh-CN"/>
        </w:rPr>
        <w:t>（四）评价方法</w:t>
      </w:r>
    </w:p>
    <w:p w14:paraId="2B3C0709">
      <w:pPr>
        <w:spacing w:line="578" w:lineRule="exact"/>
        <w:ind w:firstLine="640"/>
        <w:rPr>
          <w:rFonts w:hint="eastAsia" w:ascii="楷体_GB2312" w:hAnsi="宋体" w:eastAsia="楷体_GB2312"/>
          <w:b/>
          <w:lang w:val="zh-CN"/>
        </w:rPr>
      </w:pPr>
      <w:r>
        <w:rPr>
          <w:rFonts w:hint="eastAsia"/>
          <w:highlight w:val="none"/>
        </w:rPr>
        <w:t>本次绩效评价根据《财政部关于印发〈项目支出绩效评价管理办法</w:t>
      </w:r>
      <w:r>
        <w:rPr>
          <w:rFonts w:hint="eastAsia"/>
          <w:highlight w:val="none"/>
          <w:lang w:eastAsia="zh-CN"/>
        </w:rPr>
        <w:t>〉</w:t>
      </w:r>
      <w:r>
        <w:rPr>
          <w:rFonts w:hint="eastAsia"/>
          <w:highlight w:val="none"/>
        </w:rPr>
        <w:t>的通知》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</w:rPr>
        <w:t>财预〔2020〕10号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/>
          <w:highlight w:val="none"/>
        </w:rPr>
        <w:t>中确定的方法，主要采用</w:t>
      </w:r>
      <w:r>
        <w:rPr>
          <w:rFonts w:hint="eastAsia"/>
          <w:highlight w:val="none"/>
          <w:lang w:val="en-US" w:eastAsia="zh-CN"/>
        </w:rPr>
        <w:t>单位自评</w:t>
      </w:r>
      <w:r>
        <w:rPr>
          <w:rFonts w:hint="eastAsia"/>
          <w:highlight w:val="none"/>
        </w:rPr>
        <w:t>法。同时，结合文献研究法、实地调研法、问卷调查法等多种方法开展评价。通过收集项目相关的资料和数据，结合各部门的自评情况，对项目进行全面、客观</w:t>
      </w:r>
      <w:r>
        <w:rPr>
          <w:rFonts w:hint="eastAsia"/>
          <w:highlight w:val="none"/>
          <w:lang w:eastAsia="zh-CN"/>
        </w:rPr>
        <w:t>地</w:t>
      </w:r>
      <w:r>
        <w:rPr>
          <w:rFonts w:hint="eastAsia"/>
          <w:highlight w:val="none"/>
        </w:rPr>
        <w:t>评价。</w:t>
      </w:r>
    </w:p>
    <w:p w14:paraId="103AA7BB">
      <w:pPr>
        <w:spacing w:line="578" w:lineRule="exact"/>
        <w:ind w:firstLine="640"/>
        <w:rPr>
          <w:bCs/>
        </w:rPr>
      </w:pPr>
      <w:r>
        <w:rPr>
          <w:rFonts w:hint="eastAsia" w:ascii="楷体_GB2312" w:hAnsi="宋体" w:eastAsia="楷体_GB2312"/>
          <w:b/>
          <w:lang w:val="zh-CN"/>
        </w:rPr>
        <w:t>（五）评价组织</w:t>
      </w:r>
    </w:p>
    <w:p w14:paraId="598D0EDE">
      <w:pPr>
        <w:widowControl w:val="0"/>
        <w:spacing w:line="578" w:lineRule="exact"/>
        <w:ind w:firstLine="64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评价组人员构成</w:t>
      </w:r>
    </w:p>
    <w:p w14:paraId="0523B08E">
      <w:pPr>
        <w:widowControl w:val="0"/>
        <w:spacing w:line="578" w:lineRule="exact"/>
        <w:ind w:firstLine="64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本项目绩效自评评价组人员由本单位财务人员和业务经办人员组成。财务人员具备专业的财务管理知识和经验，业务经办人员熟悉住读工作业务流程，确保评价工作专业、客观、公正。</w:t>
      </w:r>
    </w:p>
    <w:p w14:paraId="69F148A6">
      <w:pPr>
        <w:widowControl w:val="0"/>
        <w:spacing w:line="578" w:lineRule="exact"/>
        <w:ind w:firstLine="64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职责分工</w:t>
      </w:r>
    </w:p>
    <w:p w14:paraId="65B77262">
      <w:pPr>
        <w:adjustRightInd w:val="0"/>
        <w:snapToGrid w:val="0"/>
        <w:spacing w:line="578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业务人员负责收集项目实施过程中的相关数据，撰写自评报告，详细阐述项目实施情况、绩效目标完成情况及存在的问题；财务人员负责审核报告中的财务数据，对资金使用情况进行分析评价，确保报告真实可靠。</w:t>
      </w:r>
    </w:p>
    <w:p w14:paraId="371E37D5">
      <w:pPr>
        <w:adjustRightInd w:val="0"/>
        <w:snapToGrid w:val="0"/>
        <w:spacing w:line="578" w:lineRule="exact"/>
        <w:ind w:firstLine="640" w:firstLineChars="200"/>
      </w:pPr>
      <w:r>
        <w:rPr>
          <w:rFonts w:hint="eastAsia" w:ascii="黑体" w:hAnsi="宋体" w:eastAsia="黑体"/>
        </w:rPr>
        <w:t>三、绩效分析</w:t>
      </w:r>
      <w:r>
        <w:rPr>
          <w:rFonts w:hint="eastAsia" w:ascii="仿宋_GB2312" w:hAnsi="宋体"/>
          <w:lang w:val="zh-CN"/>
        </w:rPr>
        <w:tab/>
      </w:r>
    </w:p>
    <w:p w14:paraId="7D4E1541">
      <w:pPr>
        <w:spacing w:line="578" w:lineRule="exact"/>
        <w:ind w:firstLine="640"/>
        <w:rPr>
          <w:rFonts w:ascii="楷体_GB2312" w:hAnsi="宋体" w:eastAsia="楷体_GB2312"/>
          <w:b/>
        </w:rPr>
      </w:pPr>
      <w:r>
        <w:rPr>
          <w:rFonts w:hint="eastAsia" w:ascii="楷体_GB2312" w:hAnsi="宋体" w:eastAsia="楷体_GB2312"/>
          <w:b/>
          <w:lang w:val="zh-CN"/>
        </w:rPr>
        <w:t>（一）</w:t>
      </w:r>
      <w:r>
        <w:rPr>
          <w:rFonts w:hint="eastAsia" w:ascii="楷体_GB2312" w:hAnsi="宋体" w:eastAsia="楷体_GB2312"/>
          <w:b/>
        </w:rPr>
        <w:t>通用指标</w:t>
      </w:r>
      <w:r>
        <w:rPr>
          <w:rFonts w:eastAsia="楷体_GB2312"/>
          <w:b/>
          <w:bCs/>
          <w:color w:val="000000"/>
          <w:kern w:val="0"/>
          <w:shd w:val="clear" w:color="auto" w:fill="FFFFFF"/>
          <w:lang w:val="zh-CN"/>
        </w:rPr>
        <w:t>绩效分析。</w:t>
      </w:r>
    </w:p>
    <w:p w14:paraId="7013298C">
      <w:pPr>
        <w:spacing w:line="578" w:lineRule="exact"/>
        <w:ind w:firstLine="640"/>
      </w:pPr>
      <w:r>
        <w:rPr>
          <w:rFonts w:hint="eastAsia" w:ascii="楷体_GB2312" w:hAnsi="楷体_GB2312" w:eastAsia="楷体_GB2312" w:cs="楷体_GB2312"/>
        </w:rPr>
        <w:t>1.项目决策</w:t>
      </w:r>
    </w:p>
    <w:p w14:paraId="2B518D6A">
      <w:pPr>
        <w:spacing w:line="578" w:lineRule="exact"/>
        <w:ind w:firstLine="640"/>
        <w:rPr>
          <w:rFonts w:hint="eastAsia" w:ascii="楷体_GB2312" w:hAnsi="楷体_GB2312" w:eastAsia="楷体_GB2312" w:cs="楷体_GB2312"/>
        </w:rPr>
      </w:pPr>
      <w:r>
        <w:rPr>
          <w:rFonts w:hint="eastAsia" w:ascii="仿宋_GB2312" w:hAnsi="仿宋_GB2312" w:eastAsia="仿宋_GB2312" w:cs="仿宋_GB2312"/>
          <w:spacing w:val="3"/>
          <w:highlight w:val="none"/>
          <w:lang w:val="en-US" w:eastAsia="zh-CN"/>
        </w:rPr>
        <w:t>项目立项依据充分，严格按照川财农〔2023〕155号文件及相关资金管理办法开展立项工作，符合国家保障粮食安全、推动农业高质量发展的政策导向和开江县农业发展实际需求；绩效目标设置明确、合理，涵盖产出、效益、满意度等多个维度，与项目实施内容紧密相关，能够有效指导项目实施；决策过程经过调研、论证、审议等多个环节，科学规范。</w:t>
      </w:r>
    </w:p>
    <w:p w14:paraId="73E3C519">
      <w:pPr>
        <w:spacing w:line="578" w:lineRule="exact"/>
        <w:ind w:firstLine="640"/>
      </w:pPr>
      <w:r>
        <w:rPr>
          <w:rFonts w:hint="eastAsia" w:ascii="楷体_GB2312" w:hAnsi="楷体_GB2312" w:eastAsia="楷体_GB2312" w:cs="楷体_GB2312"/>
        </w:rPr>
        <w:t>2.项目管理</w:t>
      </w:r>
    </w:p>
    <w:p w14:paraId="5860D29B">
      <w:pPr>
        <w:spacing w:line="578" w:lineRule="exact"/>
        <w:ind w:firstLine="652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仿宋_GB2312" w:hAnsi="仿宋_GB2312" w:eastAsia="仿宋_GB2312" w:cs="仿宋_GB2312"/>
          <w:spacing w:val="3"/>
          <w:highlight w:val="none"/>
          <w:lang w:val="en-US" w:eastAsia="zh-CN"/>
        </w:rPr>
        <w:t>在项目管理方面，制定了完善的资金管理办法和工作管理制度，明确了各部门职责和工作流程，确保项目实施有序进行。资金使用严格按照规定程序审批，做到专款专用，未出现违规使用资金的情况。</w:t>
      </w:r>
    </w:p>
    <w:p w14:paraId="48CCB23B">
      <w:pPr>
        <w:spacing w:line="578" w:lineRule="exact"/>
        <w:ind w:left="640" w:left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3.项目实施</w:t>
      </w:r>
    </w:p>
    <w:p w14:paraId="3336443E">
      <w:pPr>
        <w:spacing w:line="578" w:lineRule="exact"/>
        <w:ind w:firstLine="652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仿宋_GB2312" w:hAnsi="仿宋_GB2312" w:eastAsia="仿宋_GB2312" w:cs="仿宋_GB2312"/>
          <w:spacing w:val="3"/>
          <w:highlight w:val="none"/>
          <w:lang w:val="en-US" w:eastAsia="zh-CN"/>
        </w:rPr>
        <w:t>项目按照工作计划有序推进，各环节工作衔接顺畅。资金使用严格按照预算及规定用途拨付，审批手续齐全，无截留、挪用等违规情况。</w:t>
      </w:r>
    </w:p>
    <w:p w14:paraId="04D858EC">
      <w:pPr>
        <w:spacing w:line="578" w:lineRule="exact"/>
        <w:ind w:left="640" w:leftChars="200"/>
      </w:pPr>
      <w:r>
        <w:rPr>
          <w:rFonts w:hint="eastAsia" w:ascii="楷体_GB2312" w:hAnsi="楷体_GB2312" w:eastAsia="楷体_GB2312" w:cs="楷体_GB2312"/>
        </w:rPr>
        <w:t>4.项目结果</w:t>
      </w:r>
    </w:p>
    <w:p w14:paraId="0F9FC759">
      <w:pPr>
        <w:spacing w:line="578" w:lineRule="exact"/>
        <w:ind w:firstLine="652" w:firstLineChars="200"/>
        <w:rPr>
          <w:rFonts w:hint="eastAsia" w:ascii="仿宋_GB2312" w:hAnsi="仿宋_GB2312" w:eastAsia="仿宋_GB2312" w:cs="仿宋_GB2312"/>
          <w:spacing w:val="3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3"/>
          <w:highlight w:val="none"/>
          <w:lang w:val="zh-CN" w:eastAsia="zh-CN"/>
        </w:rPr>
        <w:t>通过农田基础设施改造，完善农田配套设施，改善农田生产条件，提高耕地利用率和</w:t>
      </w:r>
      <w:r>
        <w:rPr>
          <w:rFonts w:hint="eastAsia" w:ascii="仿宋_GB2312" w:hAnsi="仿宋_GB2312" w:cs="仿宋_GB2312"/>
          <w:spacing w:val="3"/>
          <w:highlight w:val="none"/>
          <w:lang w:val="zh-CN" w:eastAsia="zh-CN"/>
        </w:rPr>
        <w:t>增加耕</w:t>
      </w:r>
      <w:r>
        <w:rPr>
          <w:rFonts w:hint="eastAsia" w:ascii="仿宋_GB2312" w:hAnsi="仿宋_GB2312" w:eastAsia="仿宋_GB2312" w:cs="仿宋_GB2312"/>
          <w:spacing w:val="3"/>
          <w:highlight w:val="none"/>
          <w:lang w:val="zh-CN" w:eastAsia="zh-CN"/>
        </w:rPr>
        <w:t>地面积，提升农田土地资源价值</w:t>
      </w:r>
      <w:r>
        <w:rPr>
          <w:rFonts w:hint="eastAsia" w:ascii="仿宋_GB2312" w:hAnsi="仿宋_GB2312" w:cs="仿宋_GB2312"/>
          <w:spacing w:val="3"/>
          <w:highlight w:val="none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spacing w:val="3"/>
          <w:highlight w:val="none"/>
          <w:lang w:val="zh-CN" w:eastAsia="zh-CN"/>
        </w:rPr>
        <w:t>改善投资环境，推动地方经济发展，有助于极大提高土地流转企业、农民群众的种植业收益，有利于改善贫困群众生活条件，巩固拓展脱贫攻坚成果。项目建成后的效益非常显著，能实现年均新增收益4343.05万元以上。</w:t>
      </w:r>
    </w:p>
    <w:p w14:paraId="6CC4E32A">
      <w:pPr>
        <w:spacing w:line="578" w:lineRule="exact"/>
        <w:ind w:firstLine="652" w:firstLineChars="200"/>
        <w:rPr>
          <w:rFonts w:hint="eastAsia" w:ascii="仿宋_GB2312" w:hAnsi="仿宋_GB2312" w:eastAsia="仿宋_GB2312" w:cs="仿宋_GB2312"/>
          <w:spacing w:val="3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3"/>
          <w:highlight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spacing w:val="3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3"/>
          <w:highlight w:val="none"/>
          <w:lang w:val="zh-CN" w:eastAsia="zh-CN"/>
        </w:rPr>
        <w:t>）产出达标情况：改造提升高标准农田1万亩（完成率100%），新增高标准农田4万亩（完成率100%），工期控制在</w:t>
      </w:r>
      <w:r>
        <w:rPr>
          <w:rFonts w:hint="eastAsia" w:ascii="仿宋_GB2312" w:hAnsi="仿宋_GB2312" w:eastAsia="仿宋_GB2312" w:cs="仿宋_GB2312"/>
          <w:spacing w:val="3"/>
          <w:highlight w:val="none"/>
          <w:lang w:val="en-US" w:eastAsia="zh-CN"/>
        </w:rPr>
        <w:t>一年之</w:t>
      </w:r>
      <w:r>
        <w:rPr>
          <w:rFonts w:hint="eastAsia" w:ascii="仿宋_GB2312" w:hAnsi="仿宋_GB2312" w:eastAsia="仿宋_GB2312" w:cs="仿宋_GB2312"/>
          <w:spacing w:val="3"/>
          <w:highlight w:val="none"/>
          <w:lang w:val="zh-CN" w:eastAsia="zh-CN"/>
        </w:rPr>
        <w:t>内（完成率100%），核心产出指标全部达标；</w:t>
      </w:r>
    </w:p>
    <w:p w14:paraId="5704054F">
      <w:pPr>
        <w:spacing w:line="578" w:lineRule="exact"/>
        <w:ind w:firstLine="652" w:firstLineChars="200"/>
        <w:rPr>
          <w:rFonts w:hint="eastAsia" w:ascii="仿宋_GB2312" w:hAnsi="仿宋_GB2312" w:eastAsia="仿宋_GB2312" w:cs="仿宋_GB2312"/>
          <w:spacing w:val="3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3"/>
          <w:highlight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spacing w:val="3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3"/>
          <w:highlight w:val="none"/>
          <w:lang w:val="zh-CN" w:eastAsia="zh-CN"/>
        </w:rPr>
        <w:t>）效益初步显现：项目区灌溉保证率从实施前的65%提升至92%，宜机化率从45%提升至88%，预计秋收粮食亩均产能提升6.8%（接近7%目标值）；​</w:t>
      </w:r>
    </w:p>
    <w:p w14:paraId="4C5FE1BB">
      <w:pPr>
        <w:spacing w:line="578" w:lineRule="exact"/>
        <w:ind w:firstLine="652" w:firstLineChars="200"/>
        <w:rPr>
          <w:rFonts w:hint="eastAsia" w:eastAsia="仿宋"/>
          <w:spacing w:val="3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3"/>
          <w:highlight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spacing w:val="3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3"/>
          <w:highlight w:val="none"/>
          <w:lang w:val="zh-CN" w:eastAsia="zh-CN"/>
        </w:rPr>
        <w:t>）满意度表现：群众</w:t>
      </w:r>
      <w:r>
        <w:rPr>
          <w:rFonts w:hint="eastAsia" w:ascii="仿宋_GB2312" w:hAnsi="仿宋_GB2312" w:cs="仿宋_GB2312"/>
          <w:spacing w:val="3"/>
          <w:highlight w:val="none"/>
          <w:lang w:val="zh-CN" w:eastAsia="zh-CN"/>
        </w:rPr>
        <w:t>满意度</w:t>
      </w:r>
      <w:r>
        <w:rPr>
          <w:rFonts w:hint="eastAsia" w:ascii="仿宋_GB2312" w:hAnsi="仿宋_GB2312" w:eastAsia="仿宋_GB2312" w:cs="仿宋_GB2312"/>
          <w:spacing w:val="3"/>
          <w:highlight w:val="none"/>
          <w:lang w:val="zh-CN" w:eastAsia="zh-CN"/>
        </w:rPr>
        <w:t>91.1%（</w:t>
      </w:r>
      <w:r>
        <w:rPr>
          <w:rFonts w:hint="eastAsia" w:ascii="仿宋_GB2312" w:hAnsi="仿宋_GB2312" w:cs="仿宋_GB2312"/>
          <w:spacing w:val="3"/>
          <w:highlight w:val="none"/>
          <w:lang w:val="zh-CN" w:eastAsia="zh-CN"/>
        </w:rPr>
        <w:t>超过</w:t>
      </w:r>
      <w:r>
        <w:rPr>
          <w:rFonts w:hint="eastAsia" w:ascii="仿宋_GB2312" w:hAnsi="仿宋_GB2312" w:eastAsia="仿宋_GB2312" w:cs="仿宋_GB2312"/>
          <w:spacing w:val="3"/>
          <w:highlight w:val="none"/>
          <w:lang w:val="zh-CN" w:eastAsia="zh-CN"/>
        </w:rPr>
        <w:t>90%目标值），农户对“灌溉改善”“道路硬化”的认可度最高。</w:t>
      </w:r>
    </w:p>
    <w:p w14:paraId="4B97FF9B">
      <w:pPr>
        <w:spacing w:line="578" w:lineRule="exact"/>
        <w:ind w:firstLine="643" w:firstLineChars="200"/>
        <w:rPr>
          <w:rFonts w:ascii="楷体_GB2312" w:hAnsi="楷体_GB2312" w:eastAsia="楷体_GB2312" w:cs="楷体_GB2312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</w:t>
      </w:r>
      <w:r>
        <w:rPr>
          <w:rFonts w:hint="eastAsia" w:ascii="楷体_GB2312" w:hAnsi="宋体" w:eastAsia="楷体_GB2312"/>
          <w:b/>
        </w:rPr>
        <w:t>专用指标</w:t>
      </w:r>
      <w:r>
        <w:rPr>
          <w:rFonts w:eastAsia="楷体_GB2312"/>
          <w:b/>
          <w:bCs/>
          <w:color w:val="000000"/>
          <w:kern w:val="0"/>
          <w:shd w:val="clear" w:color="auto" w:fill="FFFFFF"/>
          <w:lang w:val="zh-CN"/>
        </w:rPr>
        <w:t>绩效分析</w:t>
      </w:r>
    </w:p>
    <w:p w14:paraId="30F08916">
      <w:pPr>
        <w:spacing w:line="578" w:lineRule="exact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耕地质量提升指标：通过土壤改良（增施有机肥、秸秆还田），项目区土壤有机质含量提升，耕地地力等级从“中等”提升至“中高”，符合《高标准农田建设通则》中“耕地质量提升”要求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 w14:paraId="3E62CEA1">
      <w:pPr>
        <w:spacing w:line="578" w:lineRule="exact"/>
        <w:ind w:firstLine="640"/>
      </w:pPr>
      <w:r>
        <w:rPr>
          <w:rFonts w:hint="eastAsia" w:ascii="楷体_GB2312" w:hAnsi="宋体" w:eastAsia="楷体_GB2312"/>
          <w:b/>
          <w:lang w:val="zh-CN"/>
        </w:rPr>
        <w:t>（三）</w:t>
      </w:r>
      <w:r>
        <w:rPr>
          <w:rFonts w:hint="eastAsia" w:ascii="楷体_GB2312" w:hAnsi="宋体" w:eastAsia="楷体_GB2312"/>
          <w:b/>
        </w:rPr>
        <w:t>个性指标</w:t>
      </w:r>
      <w:r>
        <w:rPr>
          <w:rFonts w:eastAsia="楷体_GB2312"/>
          <w:b/>
          <w:bCs/>
          <w:color w:val="000000"/>
          <w:kern w:val="0"/>
          <w:shd w:val="clear" w:color="auto" w:fill="FFFFFF"/>
          <w:lang w:val="zh-CN"/>
        </w:rPr>
        <w:t>绩效分析</w:t>
      </w:r>
    </w:p>
    <w:p w14:paraId="1057B1A2">
      <w:pPr>
        <w:pStyle w:val="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position w:val="0"/>
          <w:sz w:val="32"/>
          <w:szCs w:val="32"/>
          <w:lang w:val="en-US" w:eastAsia="zh-CN" w:bidi="ar-SA"/>
        </w:rPr>
        <w:t>“稻田+”产业融合指标：建成“稻田养鱼”示范田8000亩，配套建设灌溉沟渠与养殖环沟，预计带动农户每亩增收800元（除粮食收益外），助力“鱼米之乡”品牌打造；​</w:t>
      </w:r>
    </w:p>
    <w:p w14:paraId="20D838A2">
      <w:pPr>
        <w:pStyle w:val="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position w:val="0"/>
          <w:sz w:val="32"/>
          <w:szCs w:val="32"/>
          <w:lang w:val="en-US" w:eastAsia="zh-CN" w:bidi="ar-SA"/>
        </w:rPr>
        <w:t>科技赋能指标：引进的智能灌溉设备可实现“按需供水”，对比传统灌溉节水30%，目前已安装的15套设备覆盖农田1.2万亩，预计全部安装后年节水12万立方米，符合“节水高效”目标；​</w:t>
      </w:r>
    </w:p>
    <w:p w14:paraId="163B8B4F">
      <w:pPr>
        <w:pStyle w:val="2"/>
        <w:spacing w:line="600" w:lineRule="exact"/>
        <w:ind w:firstLine="640" w:firstLineChars="200"/>
        <w:rPr>
          <w:rFonts w:hint="eastAsia" w:ascii="黑体" w:hAnsi="宋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position w:val="0"/>
          <w:sz w:val="32"/>
          <w:szCs w:val="32"/>
          <w:lang w:val="en-US" w:eastAsia="zh-CN" w:bidi="ar-SA"/>
        </w:rPr>
        <w:t>管护机制建设指标：项目未完工前已制定《高标准农田后期管护办法》，明确乡镇为管护主体、村集体为管护责任单位，设立年度管护经费（从县财政农业专项中列支），避免“重建设、轻管护”问题，保障项目长期效益。</w:t>
      </w:r>
    </w:p>
    <w:p w14:paraId="6F845984">
      <w:pPr>
        <w:pStyle w:val="2"/>
        <w:spacing w:line="600" w:lineRule="exact"/>
        <w:ind w:firstLine="640" w:firstLineChars="200"/>
        <w:rPr>
          <w:rFonts w:ascii="黑体" w:hAnsi="宋体"/>
          <w:sz w:val="32"/>
          <w:szCs w:val="32"/>
          <w:lang w:eastAsia="zh-CN"/>
        </w:rPr>
      </w:pPr>
      <w:r>
        <w:rPr>
          <w:rFonts w:hint="eastAsia" w:ascii="黑体" w:hAnsi="宋体"/>
          <w:sz w:val="32"/>
          <w:szCs w:val="32"/>
          <w:lang w:eastAsia="zh-CN"/>
        </w:rPr>
        <w:t>四、评价结论</w:t>
      </w:r>
    </w:p>
    <w:p w14:paraId="28EA274C">
      <w:pPr>
        <w:pStyle w:val="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position w:val="0"/>
          <w:sz w:val="32"/>
          <w:szCs w:val="32"/>
          <w:lang w:val="en-US" w:eastAsia="zh-CN" w:bidi="ar-SA"/>
        </w:rPr>
        <w:t>按照《部门预算绩效评价指标体系》本项目最终得分100分，评价等级为“优秀”。具体得分情况如下：​</w:t>
      </w:r>
    </w:p>
    <w:p w14:paraId="5F62B27C">
      <w:pPr>
        <w:pStyle w:val="2"/>
        <w:spacing w:line="600" w:lineRule="exact"/>
        <w:ind w:firstLine="640" w:firstLineChars="200"/>
        <w:rPr>
          <w:rFonts w:ascii="黑体" w:hAnsi="黑体" w:cs="黑体"/>
          <w:kern w:val="2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position w:val="0"/>
          <w:sz w:val="32"/>
          <w:szCs w:val="32"/>
          <w:lang w:val="en-US" w:eastAsia="zh-CN" w:bidi="ar-SA"/>
        </w:rPr>
        <w:t>项目整体实施成效显著：一是一年内完成5万亩高标准农田核心改造建设任务，产出指标全部达标；二是国债资金使用合规透明，无重大违规问题；三是灌溉、道路等基础设施显著改善，群众满意度超预期；四是初步形成“建设+管护”长效机制，为后续效益发挥奠定基础。但仍存在设备安装滞后、粮食产能提升接近目标未完全达标等细节问题，需进一步优化。</w:t>
      </w:r>
    </w:p>
    <w:p w14:paraId="59FF609E">
      <w:pPr>
        <w:pStyle w:val="2"/>
        <w:spacing w:line="600" w:lineRule="exact"/>
        <w:ind w:firstLine="640" w:firstLineChars="200"/>
        <w:rPr>
          <w:rFonts w:ascii="黑体" w:hAnsi="宋体"/>
          <w:sz w:val="32"/>
          <w:szCs w:val="32"/>
          <w:lang w:val="zh-CN" w:eastAsia="zh-CN"/>
        </w:rPr>
      </w:pPr>
      <w:r>
        <w:rPr>
          <w:rFonts w:hint="eastAsia" w:ascii="黑体" w:hAnsi="宋体"/>
          <w:sz w:val="32"/>
          <w:szCs w:val="32"/>
          <w:lang w:eastAsia="zh-CN"/>
        </w:rPr>
        <w:t>五、存在主要问题</w:t>
      </w:r>
      <w:r>
        <w:rPr>
          <w:rFonts w:hint="eastAsia" w:ascii="黑体" w:hAnsi="宋体"/>
          <w:sz w:val="32"/>
          <w:szCs w:val="32"/>
          <w:lang w:val="en-US" w:eastAsia="zh-CN"/>
        </w:rPr>
        <w:t>及</w:t>
      </w:r>
      <w:r>
        <w:rPr>
          <w:rFonts w:hint="eastAsia" w:ascii="黑体" w:hAnsi="宋体"/>
          <w:sz w:val="32"/>
          <w:szCs w:val="32"/>
          <w:lang w:val="zh-CN" w:eastAsia="zh-CN"/>
        </w:rPr>
        <w:t>改进建议</w:t>
      </w:r>
    </w:p>
    <w:p w14:paraId="1411DC1B">
      <w:pPr>
        <w:tabs>
          <w:tab w:val="left" w:pos="1911"/>
        </w:tabs>
        <w:jc w:val="left"/>
        <w:rPr>
          <w:rFonts w:ascii="仿宋_GB2312" w:hAnsi="仿宋_GB2312" w:cs="仿宋_GB2312"/>
          <w:kern w:val="0"/>
          <w:lang w:val="en"/>
        </w:rPr>
      </w:pPr>
      <w:r>
        <w:rPr>
          <w:rFonts w:hint="eastAsia" w:ascii="仿宋_GB2312" w:hAnsi="仿宋_GB2312" w:cs="仿宋_GB2312"/>
          <w:kern w:val="0"/>
          <w:shd w:val="clear" w:color="auto" w:fill="FFFFFF"/>
          <w:lang w:val="zh-CN"/>
        </w:rPr>
        <w:t xml:space="preserve"> </w:t>
      </w:r>
      <w:r>
        <w:rPr>
          <w:rFonts w:hint="eastAsia" w:ascii="仿宋_GB2312" w:hAnsi="仿宋_GB2312" w:cs="仿宋_GB2312"/>
          <w:kern w:val="0"/>
        </w:rPr>
        <w:t xml:space="preserve">   </w:t>
      </w:r>
      <w:bookmarkStart w:id="0" w:name="_Hlk110546638"/>
      <w:r>
        <w:rPr>
          <w:rFonts w:hint="eastAsia" w:ascii="仿宋_GB2312" w:hAnsi="仿宋_GB2312" w:cs="仿宋_GB2312"/>
          <w:kern w:val="0"/>
          <w:lang w:val="en-US" w:eastAsia="zh-CN"/>
        </w:rPr>
        <w:t>无</w:t>
      </w:r>
      <w:r>
        <w:rPr>
          <w:rFonts w:hint="eastAsia" w:ascii="仿宋_GB2312" w:hAnsi="仿宋_GB2312" w:cs="仿宋_GB2312"/>
          <w:kern w:val="0"/>
        </w:rPr>
        <w:t>。</w:t>
      </w:r>
    </w:p>
    <w:bookmarkEnd w:id="0"/>
    <w:p w14:paraId="34654B04">
      <w:pPr>
        <w:snapToGrid w:val="0"/>
        <w:spacing w:line="578" w:lineRule="exact"/>
        <w:ind w:firstLine="640" w:firstLineChars="200"/>
        <w:rPr>
          <w:color w:val="000000"/>
          <w:kern w:val="0"/>
          <w:shd w:val="clear" w:color="auto" w:fill="FFFFFF"/>
          <w:lang w:val="zh-CN"/>
        </w:rPr>
      </w:pPr>
    </w:p>
    <w:p w14:paraId="7FAD2751">
      <w:pPr>
        <w:snapToGrid w:val="0"/>
        <w:spacing w:line="578" w:lineRule="exact"/>
        <w:ind w:firstLine="1600" w:firstLineChars="500"/>
        <w:rPr>
          <w:color w:val="000000"/>
          <w:kern w:val="0"/>
          <w:shd w:val="clear" w:color="auto" w:fill="FFFFFF"/>
        </w:rPr>
      </w:pPr>
    </w:p>
    <w:p w14:paraId="5BB48624">
      <w:pPr>
        <w:snapToGrid w:val="0"/>
        <w:spacing w:line="578" w:lineRule="exact"/>
        <w:ind w:firstLine="1600" w:firstLineChars="500"/>
        <w:rPr>
          <w:color w:val="000000"/>
          <w:kern w:val="0"/>
          <w:shd w:val="clear" w:color="auto" w:fill="FFFFFF"/>
        </w:rPr>
      </w:pPr>
    </w:p>
    <w:p w14:paraId="084A4DB8">
      <w:pPr>
        <w:snapToGrid w:val="0"/>
        <w:spacing w:line="578" w:lineRule="exact"/>
        <w:ind w:firstLine="640" w:firstLineChars="200"/>
        <w:rPr>
          <w:color w:val="000000"/>
          <w:kern w:val="0"/>
          <w:shd w:val="clear" w:color="auto" w:fill="FFFFFF"/>
          <w:lang w:val="zh-CN"/>
        </w:rPr>
      </w:pPr>
      <w:r>
        <w:rPr>
          <w:rFonts w:hint="eastAsia"/>
          <w:color w:val="000000"/>
          <w:kern w:val="0"/>
          <w:shd w:val="clear" w:color="auto" w:fill="FFFFFF"/>
          <w:lang w:val="zh-CN"/>
        </w:rPr>
        <w:br w:type="page"/>
      </w:r>
    </w:p>
    <w:p w14:paraId="7F694987">
      <w:pPr>
        <w:pStyle w:val="7"/>
        <w:spacing w:after="0" w:line="578" w:lineRule="exact"/>
        <w:ind w:left="0" w:leftChars="0" w:firstLine="0" w:firstLineChars="0"/>
        <w:rPr>
          <w:rFonts w:ascii="Times New Roman" w:eastAsia="黑体"/>
          <w:szCs w:val="24"/>
        </w:rPr>
      </w:pPr>
      <w:r>
        <w:rPr>
          <w:rFonts w:hint="eastAsia" w:ascii="Times New Roman" w:eastAsia="黑体"/>
          <w:szCs w:val="24"/>
        </w:rPr>
        <w:t>附表2</w:t>
      </w:r>
    </w:p>
    <w:tbl>
      <w:tblPr>
        <w:tblStyle w:val="8"/>
        <w:tblW w:w="1023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250"/>
        <w:gridCol w:w="1312"/>
        <w:gridCol w:w="1127"/>
        <w:gridCol w:w="971"/>
        <w:gridCol w:w="1061"/>
        <w:gridCol w:w="938"/>
        <w:gridCol w:w="1841"/>
      </w:tblGrid>
      <w:tr w14:paraId="7C0F47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0233" w:type="dxa"/>
            <w:gridSpan w:val="9"/>
            <w:shd w:val="clear" w:color="auto" w:fill="auto"/>
            <w:vAlign w:val="center"/>
          </w:tcPr>
          <w:p w14:paraId="4C045D30"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专项预算项目绩效目标完成情况自评表</w:t>
            </w:r>
          </w:p>
        </w:tc>
      </w:tr>
      <w:tr w14:paraId="5CD063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5546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D469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增发国债—开江县2024年高标准农田建设项目</w:t>
            </w:r>
          </w:p>
        </w:tc>
      </w:tr>
      <w:tr w14:paraId="1ADF7E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0EE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预算单位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95A4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开江县农业农村局</w:t>
            </w:r>
          </w:p>
        </w:tc>
      </w:tr>
      <w:tr w14:paraId="6A4A47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DD26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项目类型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26E3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882D3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932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 概况</w:t>
            </w: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AD45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中长期规划（名称、文号，仅指</w:t>
            </w:r>
          </w:p>
          <w:p w14:paraId="27578176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常年项目）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F542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E6179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9AF1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87C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资金管理办法（名称、文号）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B919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0F809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CFC0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F29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绩效分配方式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E78D">
            <w:pPr>
              <w:widowControl/>
              <w:spacing w:line="300" w:lineRule="exact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因素法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9203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t>项目法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6F81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据实据效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E0CA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因素法与项目法相结合</w:t>
            </w:r>
          </w:p>
        </w:tc>
      </w:tr>
      <w:tr w14:paraId="1AE718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17CB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3FFA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立项依据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2C95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4892D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3AA0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B9A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适用范围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FC77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1B181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2BD7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439E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申报（补助）条件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BF0F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6951F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693F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2CF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项目起止年限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13A1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2024年</w:t>
            </w:r>
          </w:p>
        </w:tc>
      </w:tr>
      <w:tr w14:paraId="460961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20A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项目资金</w:t>
            </w:r>
          </w:p>
          <w:p w14:paraId="4A737F7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51B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年度资金总额：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DBA2">
            <w:pPr>
              <w:spacing w:line="300" w:lineRule="exact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11800.00</w:t>
            </w:r>
          </w:p>
        </w:tc>
      </w:tr>
      <w:tr w14:paraId="137043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B7DB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F8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其中：财政拨款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3F36">
            <w:pPr>
              <w:spacing w:line="300" w:lineRule="exact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11800.00</w:t>
            </w:r>
          </w:p>
        </w:tc>
      </w:tr>
      <w:tr w14:paraId="24D2FE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1438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4804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其他资金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0709"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A17D0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FDD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总体 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D8C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年度目标</w:t>
            </w:r>
          </w:p>
        </w:tc>
      </w:tr>
      <w:tr w14:paraId="40A6AA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FBFB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4F78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开江县2024年高标准农田建设增发国债项目拟建设规模5万亩，其中新建4万亩，改造提升1万亩。</w:t>
            </w:r>
          </w:p>
        </w:tc>
      </w:tr>
      <w:tr w14:paraId="4FFC0C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FC0E7D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绩效 指标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92E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一级指标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45B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43F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8D5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指标性质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C11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指标值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A51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度量单位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16E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权重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DC0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实际完成指标值</w:t>
            </w:r>
          </w:p>
        </w:tc>
      </w:tr>
      <w:tr w14:paraId="59AB8B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209F446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9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改造提升高标准农田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万亩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028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4066C8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566DEE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9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7DA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69A35D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4AC4099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5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新增高标准农田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万亩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E91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 w14:paraId="3DA3E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A071800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2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粮食综合生产能力亩增加产能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ABF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</w:tr>
      <w:tr w14:paraId="050598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B61B724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3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资金使用无重大违规违纪问题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3CD0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</w:tr>
      <w:tr w14:paraId="17769D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72DA86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4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06CB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</w:t>
            </w:r>
          </w:p>
        </w:tc>
      </w:tr>
    </w:tbl>
    <w:p w14:paraId="264C1429">
      <w:pPr>
        <w:pStyle w:val="7"/>
        <w:spacing w:after="0" w:line="578" w:lineRule="exact"/>
        <w:ind w:left="0" w:leftChars="0" w:firstLine="0" w:firstLineChars="0"/>
        <w:rPr>
          <w:rFonts w:ascii="黑体" w:hAnsi="黑体" w:eastAsia="黑体" w:cs="黑体"/>
          <w:sz w:val="24"/>
          <w:szCs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0ED93E-A320-4152-A941-051563FB29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34BBBA0-15DB-4028-9191-5CECFF96621B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33BBAD4-7BCE-4329-A879-897CD3FDE5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EC2A45F-F833-435D-8DF4-5E5CE03A69C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9F827A6F-6848-44D4-821E-E3710F30806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EEB3B334-301E-4D4B-8011-2F8AA042E7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36EBA">
    <w:pPr>
      <w:pStyle w:val="4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E59C91"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E59C91"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NTMzY2FmZTc3ZjcyYjZiYmY0NTg0N2M2NWMwMDUifQ=="/>
  </w:docVars>
  <w:rsids>
    <w:rsidRoot w:val="771D4D51"/>
    <w:rsid w:val="003C2A82"/>
    <w:rsid w:val="004132FF"/>
    <w:rsid w:val="004D0ED0"/>
    <w:rsid w:val="00B271F2"/>
    <w:rsid w:val="165D4F05"/>
    <w:rsid w:val="18B04FBB"/>
    <w:rsid w:val="1A8E6EBB"/>
    <w:rsid w:val="1B58213F"/>
    <w:rsid w:val="1C25106F"/>
    <w:rsid w:val="1CFD8DF6"/>
    <w:rsid w:val="1FFF9AD9"/>
    <w:rsid w:val="22AD555F"/>
    <w:rsid w:val="26CF2DB3"/>
    <w:rsid w:val="2AF86ED7"/>
    <w:rsid w:val="2AFDF212"/>
    <w:rsid w:val="2B385C88"/>
    <w:rsid w:val="2B6BF484"/>
    <w:rsid w:val="2FFF7DE7"/>
    <w:rsid w:val="33F748AD"/>
    <w:rsid w:val="35874596"/>
    <w:rsid w:val="3595168F"/>
    <w:rsid w:val="35F2A362"/>
    <w:rsid w:val="36EA2AC9"/>
    <w:rsid w:val="371A51D2"/>
    <w:rsid w:val="373BBD0C"/>
    <w:rsid w:val="39BFEDBA"/>
    <w:rsid w:val="39DBABD8"/>
    <w:rsid w:val="3AC13094"/>
    <w:rsid w:val="3AED12ED"/>
    <w:rsid w:val="3AFF6A5D"/>
    <w:rsid w:val="3BDD34D2"/>
    <w:rsid w:val="3BDDFF97"/>
    <w:rsid w:val="3BFFD43B"/>
    <w:rsid w:val="3C7BD5C9"/>
    <w:rsid w:val="3FBF9251"/>
    <w:rsid w:val="3FED766E"/>
    <w:rsid w:val="3FFEEAD9"/>
    <w:rsid w:val="3FFFE931"/>
    <w:rsid w:val="457F07F2"/>
    <w:rsid w:val="45C42C62"/>
    <w:rsid w:val="49F80CBB"/>
    <w:rsid w:val="4CC6FDBD"/>
    <w:rsid w:val="4E07F45D"/>
    <w:rsid w:val="4FF59AF5"/>
    <w:rsid w:val="503D00E8"/>
    <w:rsid w:val="50DF7374"/>
    <w:rsid w:val="50F938D5"/>
    <w:rsid w:val="535B753F"/>
    <w:rsid w:val="55FE10A2"/>
    <w:rsid w:val="56EF6619"/>
    <w:rsid w:val="57AF1E73"/>
    <w:rsid w:val="5AB21C33"/>
    <w:rsid w:val="5B778EC0"/>
    <w:rsid w:val="5BFD93EC"/>
    <w:rsid w:val="5CBA8FF2"/>
    <w:rsid w:val="5D5F7E21"/>
    <w:rsid w:val="5F5B35E4"/>
    <w:rsid w:val="609FA7B0"/>
    <w:rsid w:val="69FCE5E7"/>
    <w:rsid w:val="6BCDA9CC"/>
    <w:rsid w:val="6D32009A"/>
    <w:rsid w:val="6D9F2765"/>
    <w:rsid w:val="6DB508E5"/>
    <w:rsid w:val="6DDFA6BD"/>
    <w:rsid w:val="6E767ACE"/>
    <w:rsid w:val="6E781687"/>
    <w:rsid w:val="6EEE3ED1"/>
    <w:rsid w:val="6EFFED40"/>
    <w:rsid w:val="6F1B2166"/>
    <w:rsid w:val="6F5FC1DE"/>
    <w:rsid w:val="6FB3E1FD"/>
    <w:rsid w:val="6FD768E4"/>
    <w:rsid w:val="6FF341F1"/>
    <w:rsid w:val="6FFEBD86"/>
    <w:rsid w:val="71060C61"/>
    <w:rsid w:val="73FF1F09"/>
    <w:rsid w:val="73FF684B"/>
    <w:rsid w:val="74A708C5"/>
    <w:rsid w:val="76DFCB7D"/>
    <w:rsid w:val="771D4D51"/>
    <w:rsid w:val="7735A28E"/>
    <w:rsid w:val="77778F6D"/>
    <w:rsid w:val="77ABFD6B"/>
    <w:rsid w:val="77B7A121"/>
    <w:rsid w:val="77C748BA"/>
    <w:rsid w:val="77DD24F1"/>
    <w:rsid w:val="77F10335"/>
    <w:rsid w:val="77F7E860"/>
    <w:rsid w:val="77FB8D34"/>
    <w:rsid w:val="797D0128"/>
    <w:rsid w:val="79EDB415"/>
    <w:rsid w:val="7ABBCDAB"/>
    <w:rsid w:val="7AFCAD25"/>
    <w:rsid w:val="7AFEB9B4"/>
    <w:rsid w:val="7B5E0C37"/>
    <w:rsid w:val="7B63F034"/>
    <w:rsid w:val="7B735637"/>
    <w:rsid w:val="7B7DE504"/>
    <w:rsid w:val="7BFEC4F8"/>
    <w:rsid w:val="7D5B0FDA"/>
    <w:rsid w:val="7DA14F75"/>
    <w:rsid w:val="7DB57A61"/>
    <w:rsid w:val="7DC7DC1F"/>
    <w:rsid w:val="7DF95E12"/>
    <w:rsid w:val="7DFDF40F"/>
    <w:rsid w:val="7DFF9BC7"/>
    <w:rsid w:val="7EB645E3"/>
    <w:rsid w:val="7EB6B7AB"/>
    <w:rsid w:val="7EDEF702"/>
    <w:rsid w:val="7EFD6908"/>
    <w:rsid w:val="7EFF8787"/>
    <w:rsid w:val="7F1C270D"/>
    <w:rsid w:val="7F5F4807"/>
    <w:rsid w:val="7F722518"/>
    <w:rsid w:val="7F7CF90E"/>
    <w:rsid w:val="7F9E3557"/>
    <w:rsid w:val="7FBF2857"/>
    <w:rsid w:val="7FD3B1BB"/>
    <w:rsid w:val="7FE7031F"/>
    <w:rsid w:val="7FEC5D3B"/>
    <w:rsid w:val="7FEF37E2"/>
    <w:rsid w:val="7FF70813"/>
    <w:rsid w:val="7FF7B584"/>
    <w:rsid w:val="7FFDFB4B"/>
    <w:rsid w:val="7FFF1910"/>
    <w:rsid w:val="7FFF8C1D"/>
    <w:rsid w:val="7FFF92F0"/>
    <w:rsid w:val="7FFFF07C"/>
    <w:rsid w:val="9BF3195D"/>
    <w:rsid w:val="A5DB4128"/>
    <w:rsid w:val="A6E375DB"/>
    <w:rsid w:val="A6EFA809"/>
    <w:rsid w:val="A6F7CC0B"/>
    <w:rsid w:val="AABFBDFA"/>
    <w:rsid w:val="AF7DE88E"/>
    <w:rsid w:val="AFED1DC0"/>
    <w:rsid w:val="AFFBB299"/>
    <w:rsid w:val="B3ECA4C8"/>
    <w:rsid w:val="B4D7E8EA"/>
    <w:rsid w:val="B4EF3795"/>
    <w:rsid w:val="B5E79B51"/>
    <w:rsid w:val="B6E7F02A"/>
    <w:rsid w:val="B797ED78"/>
    <w:rsid w:val="BB75119C"/>
    <w:rsid w:val="BBD3B774"/>
    <w:rsid w:val="BBDF02B2"/>
    <w:rsid w:val="BCFB0575"/>
    <w:rsid w:val="BE5EC634"/>
    <w:rsid w:val="BEC77393"/>
    <w:rsid w:val="BEFECBAE"/>
    <w:rsid w:val="BF2F7DA9"/>
    <w:rsid w:val="BF7F7592"/>
    <w:rsid w:val="BFB71281"/>
    <w:rsid w:val="BFBDF2DF"/>
    <w:rsid w:val="BFF9117D"/>
    <w:rsid w:val="BFFF6947"/>
    <w:rsid w:val="C8FDA203"/>
    <w:rsid w:val="CEF79301"/>
    <w:rsid w:val="CEFBB93B"/>
    <w:rsid w:val="CF7C6158"/>
    <w:rsid w:val="CF9D4E98"/>
    <w:rsid w:val="CFBFEC5E"/>
    <w:rsid w:val="D65BF816"/>
    <w:rsid w:val="D73F10CF"/>
    <w:rsid w:val="D977C3BB"/>
    <w:rsid w:val="D977C9A6"/>
    <w:rsid w:val="D9FF310B"/>
    <w:rsid w:val="DBF57698"/>
    <w:rsid w:val="DBFFAB54"/>
    <w:rsid w:val="DDFF5069"/>
    <w:rsid w:val="DECF83A1"/>
    <w:rsid w:val="DEEBD176"/>
    <w:rsid w:val="DEED29CB"/>
    <w:rsid w:val="DEFF6025"/>
    <w:rsid w:val="DF4E686F"/>
    <w:rsid w:val="DF7F78BD"/>
    <w:rsid w:val="DFDFC0CD"/>
    <w:rsid w:val="DFF7F21C"/>
    <w:rsid w:val="DFFE4986"/>
    <w:rsid w:val="E3F74AB8"/>
    <w:rsid w:val="E5FD7CF6"/>
    <w:rsid w:val="E7FE6222"/>
    <w:rsid w:val="E9BB2A12"/>
    <w:rsid w:val="EDDF69E1"/>
    <w:rsid w:val="EDF76BB3"/>
    <w:rsid w:val="EEF68640"/>
    <w:rsid w:val="EFF41AC0"/>
    <w:rsid w:val="EFF76D95"/>
    <w:rsid w:val="EFFF2C87"/>
    <w:rsid w:val="EFFFA435"/>
    <w:rsid w:val="F1DF82E1"/>
    <w:rsid w:val="F1F64F55"/>
    <w:rsid w:val="F2E22473"/>
    <w:rsid w:val="F35D14F0"/>
    <w:rsid w:val="F3F4C349"/>
    <w:rsid w:val="F3F64609"/>
    <w:rsid w:val="F4E96614"/>
    <w:rsid w:val="F4F54B3B"/>
    <w:rsid w:val="F58EBBB0"/>
    <w:rsid w:val="F5CBD2AD"/>
    <w:rsid w:val="F6FE0D0F"/>
    <w:rsid w:val="F9B8FDC3"/>
    <w:rsid w:val="F9BF4E89"/>
    <w:rsid w:val="FA79E738"/>
    <w:rsid w:val="FAD729CA"/>
    <w:rsid w:val="FB1B5977"/>
    <w:rsid w:val="FBF62448"/>
    <w:rsid w:val="FBF76486"/>
    <w:rsid w:val="FBFF7DC7"/>
    <w:rsid w:val="FC37AF17"/>
    <w:rsid w:val="FCDE5A6F"/>
    <w:rsid w:val="FCFE5638"/>
    <w:rsid w:val="FCFF1FE1"/>
    <w:rsid w:val="FD7C7175"/>
    <w:rsid w:val="FDD7319B"/>
    <w:rsid w:val="FDDE4FF7"/>
    <w:rsid w:val="FDF8F696"/>
    <w:rsid w:val="FE7B38A4"/>
    <w:rsid w:val="FE7EBDAF"/>
    <w:rsid w:val="FEAF5424"/>
    <w:rsid w:val="FECB8DB0"/>
    <w:rsid w:val="FECF948F"/>
    <w:rsid w:val="FEDCE487"/>
    <w:rsid w:val="FEED62B0"/>
    <w:rsid w:val="FEEFF60E"/>
    <w:rsid w:val="FEFD6F73"/>
    <w:rsid w:val="FF0F1500"/>
    <w:rsid w:val="FF5995C2"/>
    <w:rsid w:val="FF6B552C"/>
    <w:rsid w:val="FF6F74D4"/>
    <w:rsid w:val="FFBB4B28"/>
    <w:rsid w:val="FFCFE300"/>
    <w:rsid w:val="FFD58A98"/>
    <w:rsid w:val="FFDD382A"/>
    <w:rsid w:val="FFDFD60A"/>
    <w:rsid w:val="FFE6F78D"/>
    <w:rsid w:val="FFEBBD1A"/>
    <w:rsid w:val="FFEF3B9A"/>
    <w:rsid w:val="FFF171B6"/>
    <w:rsid w:val="FFF33D76"/>
    <w:rsid w:val="FFFA984C"/>
    <w:rsid w:val="FFFB4651"/>
    <w:rsid w:val="FFFD90B9"/>
    <w:rsid w:val="FFFF2620"/>
    <w:rsid w:val="FF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widowControl/>
      <w:tabs>
        <w:tab w:val="left" w:pos="2160"/>
      </w:tabs>
      <w:spacing w:line="480" w:lineRule="auto"/>
      <w:jc w:val="left"/>
    </w:pPr>
    <w:rPr>
      <w:rFonts w:ascii="楷体_GB2312" w:eastAsia="黑体"/>
      <w:kern w:val="0"/>
      <w:position w:val="3"/>
      <w:sz w:val="20"/>
      <w:szCs w:val="20"/>
      <w:lang w:eastAsia="en-US"/>
    </w:r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rFonts w:ascii="仿宋_GB231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6">
    <w:name w:val="toc 1"/>
    <w:basedOn w:val="1"/>
    <w:next w:val="1"/>
    <w:qFormat/>
    <w:uiPriority w:val="0"/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paragraph" w:customStyle="1" w:styleId="12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4794</Words>
  <Characters>4953</Characters>
  <Lines>20</Lines>
  <Paragraphs>5</Paragraphs>
  <TotalTime>84</TotalTime>
  <ScaleCrop>false</ScaleCrop>
  <LinksUpToDate>false</LinksUpToDate>
  <CharactersWithSpaces>4981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2020-07-11T08:13:00Z</dcterms:created>
  <dc:creator>Administrator</dc:creator>
  <cp:lastModifiedBy>鱼吹</cp:lastModifiedBy>
  <cp:lastPrinted>2016-02-12T11:32:00Z</cp:lastPrinted>
  <dcterms:modified xsi:type="dcterms:W3CDTF">2025-10-11T08:55:02Z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FD211335466347B08EE2F80B99B90247_12</vt:lpwstr>
  </property>
  <property fmtid="{D5CDD505-2E9C-101B-9397-08002B2CF9AE}" pid="4" name="KSOTemplateDocerSaveRecord">
    <vt:lpwstr>eyJoZGlkIjoiYmUzMDczM2IzYWM5ZGQ3ZDJiNTcwNTFkNDliOTZhN2UiLCJ1c2VySWQiOiI5NjU0NjM4OTkifQ==</vt:lpwstr>
  </property>
</Properties>
</file>