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C6FB9">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597"/>
      <w:bookmarkStart w:id="1" w:name="_Toc15378441"/>
      <w:bookmarkStart w:id="2" w:name="_Toc15377193"/>
      <w:bookmarkStart w:id="3" w:name="_Toc15377425"/>
      <w:bookmarkStart w:id="4" w:name="_Toc15396475"/>
      <w:bookmarkStart w:id="5" w:name="_Toc15306267"/>
    </w:p>
    <w:p w14:paraId="2F98CDD9">
      <w:pPr>
        <w:spacing w:line="600" w:lineRule="exact"/>
        <w:jc w:val="center"/>
        <w:outlineLvl w:val="0"/>
        <w:rPr>
          <w:rFonts w:ascii="方正小标宋简体" w:hAnsi="宋体" w:eastAsia="方正小标宋简体"/>
          <w:color w:val="auto"/>
          <w:sz w:val="72"/>
          <w:szCs w:val="72"/>
          <w:highlight w:val="none"/>
        </w:rPr>
      </w:pPr>
    </w:p>
    <w:p w14:paraId="0B55A7EE">
      <w:pPr>
        <w:spacing w:line="600" w:lineRule="exact"/>
        <w:jc w:val="center"/>
        <w:outlineLvl w:val="0"/>
        <w:rPr>
          <w:rFonts w:ascii="方正小标宋简体" w:hAnsi="宋体" w:eastAsia="方正小标宋简体"/>
          <w:color w:val="auto"/>
          <w:sz w:val="72"/>
          <w:szCs w:val="72"/>
          <w:highlight w:val="none"/>
        </w:rPr>
      </w:pPr>
    </w:p>
    <w:p w14:paraId="74B021EA">
      <w:pPr>
        <w:spacing w:line="600" w:lineRule="exact"/>
        <w:jc w:val="center"/>
        <w:outlineLvl w:val="0"/>
        <w:rPr>
          <w:rFonts w:ascii="方正小标宋简体" w:hAnsi="宋体" w:eastAsia="方正小标宋简体"/>
          <w:color w:val="auto"/>
          <w:sz w:val="72"/>
          <w:szCs w:val="72"/>
          <w:highlight w:val="none"/>
        </w:rPr>
      </w:pPr>
    </w:p>
    <w:p w14:paraId="602686E7">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14:paraId="0181A7EB">
      <w:pPr>
        <w:adjustRightInd w:val="0"/>
        <w:snapToGrid w:val="0"/>
        <w:spacing w:line="360" w:lineRule="auto"/>
        <w:ind w:right="-218" w:rightChars="-104"/>
        <w:jc w:val="center"/>
        <w:outlineLvl w:val="0"/>
        <w:rPr>
          <w:rFonts w:hint="eastAsia" w:ascii="方正小标宋简体" w:hAnsi="方正小标宋简体" w:eastAsia="方正小标宋简体" w:cs="方正小标宋简体"/>
          <w:color w:val="auto"/>
          <w:sz w:val="72"/>
          <w:szCs w:val="72"/>
          <w:highlight w:val="none"/>
        </w:rPr>
      </w:pPr>
      <w:bookmarkStart w:id="6" w:name="_Toc15396476"/>
      <w:bookmarkStart w:id="7" w:name="_Toc15378442"/>
      <w:bookmarkStart w:id="8" w:name="_Toc15377426"/>
      <w:bookmarkStart w:id="9" w:name="_Toc15396598"/>
      <w:bookmarkStart w:id="10" w:name="_Toc15306268"/>
      <w:bookmarkStart w:id="11" w:name="_Toc15377194"/>
      <w:r>
        <w:rPr>
          <w:rFonts w:hint="eastAsia" w:ascii="方正小标宋简体" w:hAnsi="方正小标宋简体" w:eastAsia="方正小标宋简体" w:cs="方正小标宋简体"/>
          <w:color w:val="auto"/>
          <w:sz w:val="72"/>
          <w:szCs w:val="72"/>
          <w:highlight w:val="none"/>
          <w:lang w:eastAsia="zh-CN"/>
        </w:rPr>
        <w:t>开江县医疗保障局</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32105B6C">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54DA1A53">
      <w:pPr>
        <w:widowControl/>
        <w:jc w:val="center"/>
        <w:rPr>
          <w:rFonts w:ascii="黑体" w:hAnsi="黑体" w:eastAsia="黑体" w:cstheme="minorBidi"/>
          <w:color w:val="auto"/>
          <w:sz w:val="28"/>
          <w:szCs w:val="28"/>
          <w:highlight w:val="none"/>
        </w:rPr>
      </w:pPr>
    </w:p>
    <w:p w14:paraId="3EF092F1">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p>
    <w:p w14:paraId="3E958524">
      <w:pPr>
        <w:rPr>
          <w:color w:val="auto"/>
          <w:highlight w:val="none"/>
        </w:rPr>
      </w:pPr>
    </w:p>
    <w:p w14:paraId="36593276">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14:paraId="787A3D66">
      <w:pPr>
        <w:pStyle w:val="12"/>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一、基本职能及主要工作</w:t>
      </w:r>
    </w:p>
    <w:p w14:paraId="0300DF7C">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二、机构设置</w:t>
      </w:r>
    </w:p>
    <w:p w14:paraId="58A00760">
      <w:pPr>
        <w:pStyle w:val="11"/>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rPr>
        <w:t>部门决算情况说明</w:t>
      </w:r>
    </w:p>
    <w:p w14:paraId="0AB51DDA">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14:paraId="21890C59">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14:paraId="0068B66D">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14:paraId="77E039AC">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14:paraId="2C91DCB9">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14:paraId="23A853D6">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14:paraId="19BA1494">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p>
    <w:p w14:paraId="4570FC96">
      <w:pPr>
        <w:pStyle w:val="12"/>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14:paraId="0B81DAC1">
      <w:pPr>
        <w:pStyle w:val="12"/>
        <w:adjustRightInd w:val="0"/>
        <w:snapToGrid w:val="0"/>
        <w:spacing w:line="440" w:lineRule="exact"/>
        <w:ind w:left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p>
    <w:p w14:paraId="261A74A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rPr>
      </w:pPr>
      <w:r>
        <w:rPr>
          <w:rStyle w:val="17"/>
          <w:rFonts w:hint="eastAsia" w:asciiTheme="minorEastAsia" w:hAnsiTheme="minorEastAsia" w:eastAsiaTheme="minorEastAsia" w:cstheme="minorEastAsia"/>
          <w:color w:val="auto"/>
          <w:sz w:val="24"/>
          <w:highlight w:val="none"/>
          <w:u w:val="none"/>
          <w:lang w:eastAsia="zh-CN"/>
        </w:rPr>
        <w:t>十</w:t>
      </w:r>
      <w:r>
        <w:rPr>
          <w:rStyle w:val="17"/>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rPr>
        <w:tab/>
      </w:r>
    </w:p>
    <w:p w14:paraId="40CD4CCD">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2B8DF858">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654E5511">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1202A732">
      <w:pPr>
        <w:pStyle w:val="12"/>
        <w:adjustRightInd w:val="0"/>
        <w:snapToGrid w:val="0"/>
        <w:spacing w:line="440" w:lineRule="exact"/>
        <w:jc w:val="left"/>
        <w:rPr>
          <w:rFonts w:ascii="仿宋" w:hAnsi="仿宋" w:eastAsia="仿宋" w:cstheme="minorBidi"/>
          <w:color w:val="auto"/>
          <w:sz w:val="24"/>
          <w:highlight w:val="none"/>
        </w:rPr>
      </w:pPr>
      <w:r>
        <w:rPr>
          <w:rFonts w:hint="eastAsia" w:ascii="仿宋" w:hAnsi="仿宋" w:eastAsia="仿宋"/>
          <w:color w:val="auto"/>
          <w:sz w:val="24"/>
          <w:highlight w:val="none"/>
        </w:rPr>
        <w:t>一、</w:t>
      </w:r>
      <w:r>
        <w:rPr>
          <w:rFonts w:hint="eastAsia"/>
          <w:color w:val="auto"/>
          <w:sz w:val="24"/>
          <w:highlight w:val="none"/>
        </w:rPr>
        <w:t>收入支出决算总表</w:t>
      </w:r>
    </w:p>
    <w:p w14:paraId="6EDF2CB8">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二、收入决算表</w:t>
      </w:r>
    </w:p>
    <w:p w14:paraId="77D17DF1">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三、支出决算表</w:t>
      </w:r>
    </w:p>
    <w:p w14:paraId="22047AFD">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四、财政拨款收入支出决算总表</w:t>
      </w:r>
    </w:p>
    <w:p w14:paraId="119B4C89">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五、财政拨款支出决算明细表</w:t>
      </w:r>
    </w:p>
    <w:p w14:paraId="0CB8FCFD">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六、一般公共预算财政拨款支出决算表</w:t>
      </w:r>
    </w:p>
    <w:p w14:paraId="6F3C68E7">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七、一般公共预算财政拨款支出决算明细表</w:t>
      </w:r>
    </w:p>
    <w:p w14:paraId="4C3D901C">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八、一般公共预算财政拨款基本支出决算表</w:t>
      </w:r>
    </w:p>
    <w:p w14:paraId="30263777">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九、一般公共预算财政拨款项目支出决算表</w:t>
      </w:r>
    </w:p>
    <w:p w14:paraId="42F5B6C5">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十、一般公共预算财政拨款“三公”经费支出决算表</w:t>
      </w:r>
    </w:p>
    <w:p w14:paraId="45DD9C63">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十一、政府性基金预算财政拨款收入支出决算表</w:t>
      </w:r>
    </w:p>
    <w:p w14:paraId="48C4DBA3">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十二、政府性基金预算财政拨款“三公”经费支出决算表</w:t>
      </w:r>
    </w:p>
    <w:p w14:paraId="0557B43B">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p>
    <w:p w14:paraId="552E63BA">
      <w:pPr>
        <w:pStyle w:val="12"/>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p>
    <w:p w14:paraId="4D4C1A80">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14:paraId="79F1B94C">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rPr>
        <w:t>部门概况</w:t>
      </w:r>
      <w:bookmarkEnd w:id="12"/>
      <w:bookmarkEnd w:id="13"/>
    </w:p>
    <w:p w14:paraId="3F6BDB63">
      <w:pPr>
        <w:widowControl/>
        <w:jc w:val="left"/>
        <w:rPr>
          <w:rFonts w:ascii="黑体" w:eastAsia="黑体"/>
          <w:color w:val="auto"/>
          <w:sz w:val="32"/>
          <w:szCs w:val="32"/>
          <w:highlight w:val="none"/>
        </w:rPr>
      </w:pPr>
    </w:p>
    <w:p w14:paraId="28A16832">
      <w:pPr>
        <w:pStyle w:val="4"/>
        <w:rPr>
          <w:rStyle w:val="27"/>
          <w:rFonts w:ascii="仿宋" w:hAnsi="仿宋" w:eastAsia="仿宋"/>
          <w:b w:val="0"/>
          <w:bCs w:val="0"/>
          <w:color w:val="auto"/>
          <w:highlight w:val="none"/>
        </w:rPr>
      </w:pPr>
      <w:bookmarkStart w:id="14" w:name="_Toc15396600"/>
      <w:bookmarkStart w:id="15" w:name="_Toc15377197"/>
      <w:r>
        <w:rPr>
          <w:rFonts w:hint="eastAsia" w:ascii="黑体" w:hAnsi="黑体" w:eastAsia="黑体"/>
          <w:b w:val="0"/>
          <w:color w:val="auto"/>
          <w:highlight w:val="none"/>
        </w:rPr>
        <w:t>一、基</w:t>
      </w:r>
      <w:r>
        <w:rPr>
          <w:rStyle w:val="27"/>
          <w:rFonts w:hint="eastAsia" w:ascii="黑体" w:hAnsi="黑体" w:eastAsia="黑体"/>
          <w:b w:val="0"/>
          <w:bCs w:val="0"/>
          <w:color w:val="auto"/>
          <w:highlight w:val="none"/>
        </w:rPr>
        <w:t>本职能及主要工作</w:t>
      </w:r>
      <w:bookmarkEnd w:id="14"/>
      <w:bookmarkEnd w:id="15"/>
    </w:p>
    <w:p w14:paraId="030BA80A">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6" w:name="_Toc15377198"/>
      <w:bookmarkStart w:id="17" w:name="_Toc15378445"/>
      <w:r>
        <w:rPr>
          <w:rFonts w:hint="eastAsia" w:ascii="仿宋" w:hAnsi="仿宋" w:eastAsia="仿宋"/>
          <w:bCs/>
          <w:color w:val="auto"/>
          <w:sz w:val="32"/>
          <w:szCs w:val="32"/>
          <w:highlight w:val="none"/>
        </w:rPr>
        <w:t>（一）主要职能。</w:t>
      </w:r>
      <w:bookmarkEnd w:id="16"/>
      <w:bookmarkEnd w:id="17"/>
    </w:p>
    <w:p w14:paraId="137CF03E">
      <w:pPr>
        <w:snapToGrid w:val="0"/>
        <w:spacing w:line="520" w:lineRule="exact"/>
        <w:ind w:firstLine="640" w:firstLineChars="200"/>
        <w:rPr>
          <w:rFonts w:hint="eastAsia" w:ascii="仿宋" w:hAnsi="仿宋" w:eastAsia="仿宋" w:cs="宋体"/>
          <w:sz w:val="32"/>
          <w:szCs w:val="32"/>
          <w:lang w:eastAsia="zh-CN"/>
        </w:rPr>
      </w:pPr>
      <w:r>
        <w:rPr>
          <w:rFonts w:hint="eastAsia" w:ascii="仿宋" w:hAnsi="仿宋" w:eastAsia="仿宋"/>
          <w:sz w:val="32"/>
          <w:szCs w:val="32"/>
        </w:rPr>
        <w:t>1、</w:t>
      </w:r>
      <w:r>
        <w:rPr>
          <w:rFonts w:hint="eastAsia" w:ascii="仿宋" w:hAnsi="仿宋" w:eastAsia="仿宋" w:cs="宋体"/>
          <w:sz w:val="32"/>
          <w:szCs w:val="32"/>
        </w:rPr>
        <w:t>贯彻执行国家、省、市基本医疗保险工作的方针、法律、法规及政策；组织我县医疗保险、生育保险、医疗救助的政策制定、实施</w:t>
      </w:r>
      <w:r>
        <w:rPr>
          <w:rFonts w:hint="eastAsia" w:ascii="仿宋" w:hAnsi="仿宋" w:eastAsia="仿宋" w:cs="宋体"/>
          <w:sz w:val="32"/>
          <w:szCs w:val="32"/>
          <w:lang w:eastAsia="zh-CN"/>
        </w:rPr>
        <w:t>。</w:t>
      </w:r>
    </w:p>
    <w:p w14:paraId="77D02F18">
      <w:pPr>
        <w:snapToGrid w:val="0"/>
        <w:spacing w:line="52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2、组织医疗保险、生育保险、医疗救助的监督检查，打击欺诈骗保行动。</w:t>
      </w:r>
    </w:p>
    <w:p w14:paraId="5B33F0E8">
      <w:pPr>
        <w:snapToGrid w:val="0"/>
        <w:spacing w:line="52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3、组织医疗保障筹资和待遇落实</w:t>
      </w:r>
      <w:r>
        <w:rPr>
          <w:rFonts w:hint="eastAsia" w:ascii="仿宋" w:hAnsi="仿宋" w:eastAsia="仿宋" w:cs="宋体"/>
          <w:sz w:val="32"/>
          <w:szCs w:val="32"/>
          <w:lang w:eastAsia="zh-CN"/>
        </w:rPr>
        <w:t>，</w:t>
      </w:r>
      <w:r>
        <w:rPr>
          <w:rFonts w:hint="eastAsia" w:ascii="仿宋" w:hAnsi="仿宋" w:eastAsia="仿宋" w:cs="宋体"/>
          <w:sz w:val="32"/>
          <w:szCs w:val="32"/>
        </w:rPr>
        <w:t>负责基本医疗保险定点医疗机构、定点零售药店监督管理工作。</w:t>
      </w:r>
    </w:p>
    <w:p w14:paraId="2A6A7255">
      <w:pPr>
        <w:snapToGrid w:val="0"/>
        <w:spacing w:line="52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4、推进医疗保障基金支付方式改革。</w:t>
      </w:r>
    </w:p>
    <w:p w14:paraId="307D40AC">
      <w:pPr>
        <w:snapToGrid w:val="0"/>
        <w:spacing w:line="52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5、组织建立医疗服务项目、设施价格确定、调整机制，负责药品、医用耗材采购政策的监督落实。</w:t>
      </w:r>
    </w:p>
    <w:p w14:paraId="753A7A47">
      <w:pPr>
        <w:snapToGrid w:val="0"/>
        <w:spacing w:line="52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6、推进医疗保障经办管理，公共服务体系建设。</w:t>
      </w:r>
    </w:p>
    <w:p w14:paraId="710B9626">
      <w:pPr>
        <w:snapToGrid w:val="0"/>
        <w:spacing w:line="52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7、实施全县医疗保障信息化系统建设。</w:t>
      </w:r>
    </w:p>
    <w:p w14:paraId="57C474FD">
      <w:pPr>
        <w:snapToGrid w:val="0"/>
        <w:spacing w:line="520" w:lineRule="exact"/>
        <w:ind w:firstLine="640" w:firstLineChars="200"/>
        <w:rPr>
          <w:rFonts w:hint="eastAsia" w:ascii="仿宋" w:hAnsi="仿宋" w:eastAsia="仿宋"/>
          <w:bCs/>
          <w:color w:val="auto"/>
          <w:sz w:val="32"/>
          <w:szCs w:val="32"/>
          <w:highlight w:val="none"/>
        </w:rPr>
      </w:pPr>
      <w:r>
        <w:rPr>
          <w:rFonts w:hint="eastAsia" w:ascii="仿宋" w:hAnsi="仿宋" w:eastAsia="仿宋" w:cs="宋体"/>
          <w:sz w:val="32"/>
          <w:szCs w:val="32"/>
          <w:lang w:val="en-US" w:eastAsia="zh-CN"/>
        </w:rPr>
        <w:t>8、县委、县政府交办的其他事项</w:t>
      </w:r>
    </w:p>
    <w:p w14:paraId="0ABBE45C">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8" w:name="_Toc15377199"/>
      <w:bookmarkStart w:id="19" w:name="_Toc15378446"/>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18"/>
      <w:bookmarkEnd w:id="19"/>
    </w:p>
    <w:p w14:paraId="64CAF114">
      <w:pPr>
        <w:pStyle w:val="11"/>
        <w:keepNext w:val="0"/>
        <w:keepLines w:val="0"/>
        <w:pageBreakBefore w:val="0"/>
        <w:widowControl w:val="0"/>
        <w:kinsoku/>
        <w:overflowPunct/>
        <w:topLinePunct w:val="0"/>
        <w:autoSpaceDE/>
        <w:autoSpaceDN/>
        <w:bidi w:val="0"/>
        <w:adjustRightInd/>
        <w:snapToGrid/>
        <w:spacing w:line="574" w:lineRule="exact"/>
        <w:ind w:firstLine="640" w:firstLineChars="200"/>
        <w:textAlignment w:val="auto"/>
        <w:rPr>
          <w:rFonts w:hint="eastAsia" w:ascii="仿宋" w:hAnsi="仿宋" w:eastAsia="仿宋" w:cs="仿宋"/>
          <w:color w:val="auto"/>
          <w:kern w:val="2"/>
          <w:sz w:val="32"/>
          <w:szCs w:val="32"/>
          <w:lang w:val="en-US" w:eastAsia="zh-CN" w:bidi="ar-SA"/>
        </w:rPr>
      </w:pPr>
      <w:r>
        <w:rPr>
          <w:rStyle w:val="16"/>
          <w:rFonts w:hint="eastAsia" w:ascii="仿宋" w:hAnsi="仿宋" w:eastAsia="仿宋" w:cs="仿宋"/>
          <w:b w:val="0"/>
          <w:bCs/>
          <w:i w:val="0"/>
          <w:caps w:val="0"/>
          <w:color w:val="auto"/>
          <w:spacing w:val="0"/>
          <w:kern w:val="2"/>
          <w:sz w:val="32"/>
          <w:szCs w:val="32"/>
          <w:shd w:val="clear" w:color="auto" w:fill="FFFFFF"/>
          <w:lang w:val="en-US" w:eastAsia="zh-CN" w:bidi="ar-SA"/>
        </w:rPr>
        <w:t>1.真抓实干，方针政策有落实。</w:t>
      </w:r>
      <w:r>
        <w:rPr>
          <w:rFonts w:hint="eastAsia" w:ascii="仿宋" w:hAnsi="仿宋" w:eastAsia="仿宋" w:cs="仿宋"/>
          <w:b/>
          <w:bCs/>
          <w:color w:val="auto"/>
          <w:kern w:val="2"/>
          <w:sz w:val="32"/>
          <w:szCs w:val="32"/>
          <w:lang w:val="en-US" w:eastAsia="zh-CN" w:bidi="ar-SA"/>
        </w:rPr>
        <w:t>一是紧扣中央深化改革决策部署。</w:t>
      </w:r>
      <w:r>
        <w:rPr>
          <w:rFonts w:hint="eastAsia" w:ascii="仿宋" w:hAnsi="仿宋" w:eastAsia="仿宋" w:cs="仿宋"/>
          <w:color w:val="auto"/>
          <w:kern w:val="2"/>
          <w:sz w:val="32"/>
          <w:szCs w:val="32"/>
          <w:lang w:val="en-US" w:eastAsia="zh-CN" w:bidi="ar-SA"/>
        </w:rPr>
        <w:t>深入贯彻落实《中共中央国务院关于深化医疗保障制度改革意见》，牢牢把握完善医药服务供给、医疗保障服务的方向和要求，着力推进</w:t>
      </w:r>
      <w:r>
        <w:rPr>
          <w:rFonts w:hint="eastAsia" w:ascii="仿宋" w:hAnsi="仿宋" w:eastAsia="仿宋" w:cs="仿宋"/>
          <w:color w:val="auto"/>
          <w:kern w:val="2"/>
          <w:sz w:val="32"/>
          <w:szCs w:val="32"/>
          <w:highlight w:val="none"/>
          <w:lang w:val="en-US" w:eastAsia="zh-CN" w:bidi="ar-SA"/>
        </w:rPr>
        <w:t>DRG付费方式改</w:t>
      </w:r>
      <w:r>
        <w:rPr>
          <w:rFonts w:hint="eastAsia" w:ascii="仿宋" w:hAnsi="仿宋" w:eastAsia="仿宋" w:cs="仿宋"/>
          <w:color w:val="auto"/>
          <w:kern w:val="2"/>
          <w:sz w:val="32"/>
          <w:szCs w:val="32"/>
          <w:lang w:val="en-US" w:eastAsia="zh-CN" w:bidi="ar-SA"/>
        </w:rPr>
        <w:t>革。先后组织两批工作人员赴达州、攀枝花培训学习DRG付费方式改革先进经验，掌握疾病编码等关键操作。邀市医保局专家来开江为医疗机构工作人员开展专题培训，加快了全县DRG付费改革进程。不断加强我县公立医疗机构药品和医用耗材（含体外诊断试剂，以下简称药械）集中采购管理，净化药械集中采购生态，降低群众就医负担。目前医疗机构药品集中带量采购金额约为184万，大多数药品通过带量采购降幅达50%，有的药品降幅高达90%。</w:t>
      </w:r>
      <w:r>
        <w:rPr>
          <w:rFonts w:hint="eastAsia" w:ascii="仿宋" w:hAnsi="仿宋" w:eastAsia="仿宋" w:cs="仿宋"/>
          <w:b/>
          <w:bCs/>
          <w:color w:val="auto"/>
          <w:kern w:val="2"/>
          <w:sz w:val="32"/>
          <w:szCs w:val="32"/>
          <w:lang w:val="en-US" w:eastAsia="zh-CN" w:bidi="ar-SA"/>
        </w:rPr>
        <w:t>二是加快万达开统筹区协同发展。</w:t>
      </w:r>
      <w:r>
        <w:rPr>
          <w:rFonts w:hint="eastAsia" w:ascii="仿宋" w:hAnsi="仿宋" w:eastAsia="仿宋" w:cs="仿宋"/>
          <w:color w:val="auto"/>
          <w:kern w:val="2"/>
          <w:sz w:val="32"/>
          <w:szCs w:val="32"/>
          <w:lang w:val="en-US" w:eastAsia="zh-CN" w:bidi="ar-SA"/>
        </w:rPr>
        <w:t>组织全体干部职工认真学习，深入交流讨论，努力把握医保领域各方面改革的内在联系，靶向发力，精准施策，为融入万达开统筹区贡献医保力量。落实“互联网+”医疗服务价格和医保支付政策。以公立医疗机构为重点，加快将依法合规、符合条件的“互联网+”医疗服务纳入现行医疗服务价格和医保支付政策体系，实行公平的线上、线下价格和支付政策，为万达开统筹区医保协同发展营造良好的环境。</w:t>
      </w:r>
      <w:bookmarkStart w:id="20" w:name="bookmark14"/>
      <w:r>
        <w:rPr>
          <w:rFonts w:hint="eastAsia" w:ascii="仿宋" w:hAnsi="仿宋" w:eastAsia="仿宋" w:cs="仿宋"/>
          <w:b/>
          <w:bCs/>
          <w:color w:val="auto"/>
          <w:kern w:val="2"/>
          <w:sz w:val="32"/>
          <w:szCs w:val="32"/>
          <w:lang w:val="en-US" w:eastAsia="zh-CN" w:bidi="ar-SA"/>
        </w:rPr>
        <w:t>三是大力</w:t>
      </w:r>
      <w:bookmarkEnd w:id="20"/>
      <w:r>
        <w:rPr>
          <w:rFonts w:hint="eastAsia" w:ascii="仿宋" w:hAnsi="仿宋" w:eastAsia="仿宋" w:cs="仿宋"/>
          <w:b/>
          <w:bCs/>
          <w:color w:val="auto"/>
          <w:kern w:val="2"/>
          <w:sz w:val="32"/>
          <w:szCs w:val="32"/>
          <w:lang w:val="en-US" w:eastAsia="zh-CN" w:bidi="ar-SA"/>
        </w:rPr>
        <w:t>宣传贯彻医疗保障法律法规。</w:t>
      </w:r>
      <w:r>
        <w:rPr>
          <w:rFonts w:hint="eastAsia" w:ascii="仿宋" w:hAnsi="仿宋" w:eastAsia="仿宋" w:cs="仿宋"/>
          <w:color w:val="auto"/>
          <w:kern w:val="2"/>
          <w:sz w:val="32"/>
          <w:szCs w:val="32"/>
          <w:lang w:val="en-US" w:eastAsia="zh-CN" w:bidi="ar-SA"/>
        </w:rPr>
        <w:t>以《医疗保障基金使用监督管理条例》为重点，组织全局干部职工、定点医药机构相关人员集中学习</w:t>
      </w:r>
      <w:bookmarkStart w:id="21" w:name="bookmark15"/>
      <w:r>
        <w:rPr>
          <w:rFonts w:hint="eastAsia" w:ascii="仿宋" w:hAnsi="仿宋" w:eastAsia="仿宋" w:cs="仿宋"/>
          <w:color w:val="auto"/>
          <w:kern w:val="2"/>
          <w:sz w:val="32"/>
          <w:szCs w:val="32"/>
          <w:lang w:val="en-US" w:eastAsia="zh-CN" w:bidi="ar-SA"/>
        </w:rPr>
        <w:t>政策法规3次，通过深入浅出的普法解读，全面提高其法律意识，自觉对标，遵纪守法。在医保经办机构、定点医药机构医保窗口、各乡镇医保窗口、村社区党群服务中心等场所张贴欺诈骗保宣传画报5000余幅，提高了干部群众的知晓度，共同抑制欺诈骗保。</w:t>
      </w:r>
      <w:bookmarkEnd w:id="21"/>
      <w:r>
        <w:rPr>
          <w:rFonts w:hint="eastAsia" w:ascii="仿宋" w:hAnsi="仿宋" w:eastAsia="仿宋" w:cs="仿宋"/>
          <w:color w:val="auto"/>
          <w:spacing w:val="-6"/>
          <w:kern w:val="2"/>
          <w:sz w:val="32"/>
          <w:szCs w:val="32"/>
          <w:lang w:val="en-US" w:eastAsia="zh-CN" w:bidi="ar-SA"/>
        </w:rPr>
        <w:t>同时，广泛开展打击欺诈骗保成果展示，对本县近两年来医保领域的违法违规行为和查处情况进行曝光，提高群众对各类欺诈骗保行为的识别能力，对定点医药机构的违法违规行为形成强力震慑。</w:t>
      </w:r>
    </w:p>
    <w:p w14:paraId="32BDF5E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 w:hAnsi="仿宋" w:eastAsia="仿宋" w:cs="仿宋"/>
          <w:kern w:val="2"/>
          <w:sz w:val="32"/>
          <w:szCs w:val="32"/>
          <w:lang w:val="en-US" w:eastAsia="zh-CN" w:bidi="ar-SA"/>
        </w:rPr>
      </w:pPr>
      <w:r>
        <w:rPr>
          <w:rStyle w:val="16"/>
          <w:rFonts w:hint="eastAsia" w:ascii="仿宋" w:hAnsi="仿宋" w:eastAsia="仿宋" w:cs="仿宋"/>
          <w:b w:val="0"/>
          <w:bCs/>
          <w:i w:val="0"/>
          <w:caps w:val="0"/>
          <w:color w:val="auto"/>
          <w:spacing w:val="0"/>
          <w:sz w:val="32"/>
          <w:szCs w:val="32"/>
          <w:shd w:val="clear" w:color="auto" w:fill="FFFFFF"/>
          <w:lang w:val="en-US" w:eastAsia="zh-CN"/>
        </w:rPr>
        <w:t>2.</w:t>
      </w:r>
      <w:r>
        <w:rPr>
          <w:rStyle w:val="16"/>
          <w:rFonts w:hint="eastAsia" w:ascii="仿宋" w:hAnsi="仿宋" w:eastAsia="仿宋" w:cs="仿宋"/>
          <w:b w:val="0"/>
          <w:bCs/>
          <w:i w:val="0"/>
          <w:caps w:val="0"/>
          <w:color w:val="auto"/>
          <w:spacing w:val="0"/>
          <w:sz w:val="32"/>
          <w:szCs w:val="32"/>
          <w:shd w:val="clear" w:color="auto" w:fill="FFFFFF"/>
          <w:lang w:eastAsia="zh-CN"/>
        </w:rPr>
        <w:t>紧扣目标，基金征收有成效。</w:t>
      </w:r>
      <w:r>
        <w:rPr>
          <w:rFonts w:hint="eastAsia" w:ascii="仿宋" w:hAnsi="仿宋" w:eastAsia="仿宋" w:cs="仿宋"/>
          <w:b/>
          <w:bCs/>
          <w:color w:val="auto"/>
          <w:kern w:val="2"/>
          <w:sz w:val="32"/>
          <w:szCs w:val="32"/>
          <w:lang w:val="en-US" w:eastAsia="zh-CN" w:bidi="ar-SA"/>
        </w:rPr>
        <w:t>一是摸清底数扩参保。</w:t>
      </w:r>
      <w:r>
        <w:rPr>
          <w:rFonts w:hint="eastAsia" w:ascii="仿宋" w:hAnsi="仿宋" w:eastAsia="仿宋" w:cs="仿宋"/>
          <w:color w:val="auto"/>
          <w:kern w:val="2"/>
          <w:sz w:val="32"/>
          <w:szCs w:val="32"/>
          <w:lang w:val="en-US" w:eastAsia="zh-CN" w:bidi="ar-SA"/>
        </w:rPr>
        <w:t>今年，筹资额提高到320元，参保缴费征收难度加大，为确保参保全覆盖，我局组织骨干力量分成三个小组，主动与13个乡镇（街道）及相关县级部门对接联系，切实做到摸清底数、强力推进参保扩面工作。</w:t>
      </w:r>
      <w:r>
        <w:rPr>
          <w:rFonts w:hint="eastAsia" w:ascii="仿宋" w:hAnsi="仿宋" w:eastAsia="仿宋" w:cs="仿宋"/>
          <w:b/>
          <w:bCs/>
          <w:color w:val="auto"/>
          <w:kern w:val="2"/>
          <w:sz w:val="32"/>
          <w:szCs w:val="32"/>
          <w:lang w:val="en-US" w:eastAsia="zh-CN" w:bidi="ar-SA"/>
        </w:rPr>
        <w:t>二是强化管理保质量。</w:t>
      </w:r>
      <w:r>
        <w:rPr>
          <w:rFonts w:hint="eastAsia" w:ascii="仿宋" w:hAnsi="仿宋" w:eastAsia="仿宋" w:cs="仿宋"/>
          <w:color w:val="auto"/>
          <w:kern w:val="2"/>
          <w:sz w:val="32"/>
          <w:szCs w:val="32"/>
          <w:lang w:val="en-US" w:eastAsia="zh-CN" w:bidi="ar-SA"/>
        </w:rPr>
        <w:t>坚持每周给乡镇领导发1次工作信息提醒，每周通报1次参保缴费进度，每月与县委绩效办开展1次缴费进度督查等，督促乡镇加快征收进度，确保参保人员正常参保，工作落实便捷高效。</w:t>
      </w:r>
      <w:r>
        <w:rPr>
          <w:rFonts w:hint="eastAsia" w:ascii="仿宋" w:hAnsi="仿宋" w:eastAsia="仿宋" w:cs="仿宋"/>
          <w:b/>
          <w:bCs/>
          <w:color w:val="auto"/>
          <w:kern w:val="2"/>
          <w:sz w:val="32"/>
          <w:szCs w:val="32"/>
          <w:lang w:val="en-US" w:eastAsia="zh-CN" w:bidi="ar-SA"/>
        </w:rPr>
        <w:t>三是</w:t>
      </w:r>
      <w:r>
        <w:rPr>
          <w:rFonts w:hint="eastAsia" w:ascii="仿宋" w:hAnsi="仿宋" w:eastAsia="仿宋" w:cs="仿宋"/>
          <w:b/>
          <w:bCs/>
          <w:color w:val="auto"/>
          <w:kern w:val="2"/>
          <w:sz w:val="32"/>
          <w:szCs w:val="32"/>
          <w:highlight w:val="none"/>
          <w:lang w:val="en-US" w:eastAsia="zh-CN" w:bidi="ar-SA"/>
        </w:rPr>
        <w:t>深入宣传</w:t>
      </w:r>
      <w:r>
        <w:rPr>
          <w:rFonts w:hint="eastAsia" w:ascii="仿宋" w:hAnsi="仿宋" w:eastAsia="仿宋" w:cs="仿宋"/>
          <w:b/>
          <w:bCs/>
          <w:color w:val="auto"/>
          <w:kern w:val="2"/>
          <w:sz w:val="32"/>
          <w:szCs w:val="32"/>
          <w:lang w:val="en-US" w:eastAsia="zh-CN" w:bidi="ar-SA"/>
        </w:rPr>
        <w:t>促知晓。</w:t>
      </w:r>
      <w:r>
        <w:rPr>
          <w:rFonts w:hint="eastAsia" w:ascii="仿宋" w:hAnsi="仿宋" w:eastAsia="仿宋" w:cs="仿宋"/>
          <w:color w:val="auto"/>
          <w:kern w:val="2"/>
          <w:sz w:val="32"/>
          <w:szCs w:val="32"/>
          <w:lang w:val="en-US" w:eastAsia="zh-CN" w:bidi="ar-SA"/>
        </w:rPr>
        <w:t>通过向城乡居民发放基本医疗保险宣传手册和政策问答、张贴通知、微信公众平台、微信朋友圈、短信提醒的方式，深入宣传，提高政策知晓率。同时在各医院，定点零售药店及人员密集区张贴宣传海报、制作宣传展板、悬挂横幅、发放宣传彩页，利用工作群、微信等途径，大力宣传医保政策。</w:t>
      </w:r>
    </w:p>
    <w:p w14:paraId="63A4D0BB">
      <w:pPr>
        <w:keepNext w:val="0"/>
        <w:keepLines w:val="0"/>
        <w:pageBreakBefore w:val="0"/>
        <w:widowControl w:val="0"/>
        <w:kinsoku/>
        <w:overflowPunct/>
        <w:topLinePunct w:val="0"/>
        <w:autoSpaceDE/>
        <w:autoSpaceDN/>
        <w:bidi w:val="0"/>
        <w:adjustRightInd/>
        <w:snapToGrid/>
        <w:spacing w:line="574" w:lineRule="exact"/>
        <w:ind w:firstLine="640" w:firstLineChars="200"/>
        <w:textAlignment w:val="auto"/>
        <w:rPr>
          <w:rFonts w:hint="eastAsia" w:ascii="仿宋" w:hAnsi="仿宋" w:eastAsia="仿宋" w:cs="仿宋"/>
          <w:color w:val="auto"/>
          <w:kern w:val="2"/>
          <w:sz w:val="32"/>
          <w:szCs w:val="32"/>
          <w:lang w:val="en-US" w:eastAsia="zh-CN" w:bidi="ar-SA"/>
        </w:rPr>
      </w:pPr>
      <w:r>
        <w:rPr>
          <w:rStyle w:val="16"/>
          <w:rFonts w:hint="eastAsia" w:ascii="仿宋" w:hAnsi="仿宋" w:eastAsia="仿宋" w:cs="仿宋"/>
          <w:b w:val="0"/>
          <w:bCs/>
          <w:i w:val="0"/>
          <w:caps w:val="0"/>
          <w:color w:val="auto"/>
          <w:spacing w:val="0"/>
          <w:sz w:val="32"/>
          <w:szCs w:val="32"/>
          <w:shd w:val="clear" w:color="auto" w:fill="FFFFFF"/>
          <w:lang w:val="en-US" w:eastAsia="zh-CN"/>
        </w:rPr>
        <w:t>3.</w:t>
      </w:r>
      <w:r>
        <w:rPr>
          <w:rStyle w:val="16"/>
          <w:rFonts w:hint="eastAsia" w:ascii="仿宋" w:hAnsi="仿宋" w:eastAsia="仿宋" w:cs="仿宋"/>
          <w:b w:val="0"/>
          <w:bCs/>
          <w:i w:val="0"/>
          <w:caps w:val="0"/>
          <w:color w:val="auto"/>
          <w:spacing w:val="0"/>
          <w:sz w:val="32"/>
          <w:szCs w:val="32"/>
          <w:shd w:val="clear" w:color="auto" w:fill="FFFFFF"/>
          <w:lang w:eastAsia="zh-CN"/>
        </w:rPr>
        <w:t>重拳出击，基金监督有力度。</w:t>
      </w:r>
      <w:r>
        <w:rPr>
          <w:rFonts w:hint="eastAsia" w:ascii="仿宋" w:hAnsi="仿宋" w:eastAsia="仿宋" w:cs="仿宋"/>
          <w:b/>
          <w:bCs/>
          <w:color w:val="auto"/>
          <w:kern w:val="2"/>
          <w:sz w:val="32"/>
          <w:szCs w:val="32"/>
          <w:lang w:val="en-US" w:eastAsia="zh-CN" w:bidi="ar-SA"/>
        </w:rPr>
        <w:t>一是严格执法。</w:t>
      </w:r>
      <w:r>
        <w:rPr>
          <w:rFonts w:hint="eastAsia" w:ascii="仿宋" w:hAnsi="仿宋" w:eastAsia="仿宋" w:cs="仿宋"/>
          <w:color w:val="auto"/>
          <w:kern w:val="2"/>
          <w:sz w:val="32"/>
          <w:szCs w:val="32"/>
          <w:lang w:val="en-US" w:eastAsia="zh-CN" w:bidi="ar-SA"/>
        </w:rPr>
        <w:t>我局对全县32家定点医疗机构、109家定点零售药店进行了考核检查和专项巡查，涉及违规医疗机构28家，追回全部违规资金125.21万元。利用大数据信息分析发现的线索和群众举报线索，对4家医院进行立案查处，行政处罚50.59万元，追缴基金15.53万元，并对3家情节严重的医院移交县纪委监委进一步调查处理；对2名重复参保重复报账人员以涉嫌欺诈骗取医保基金移交公安部门立案调查。通过严厉查处形成震慑，全县27家医疗机构主动上缴违规医保基金53.96万元，进一步规范了医疗服务行为，有力遏制了医保基金使用的乱象，守护好了群众的“救命钱”。为学习开江经验，全市基金监管现场会于今年4月27日在开江召开，我局探索建立的基金监管“五三工作法”受到与会人员高度肯定并在全市推广。</w:t>
      </w:r>
      <w:r>
        <w:rPr>
          <w:rFonts w:hint="eastAsia" w:ascii="仿宋" w:hAnsi="仿宋" w:eastAsia="仿宋" w:cs="仿宋"/>
          <w:b/>
          <w:bCs/>
          <w:color w:val="auto"/>
          <w:kern w:val="2"/>
          <w:sz w:val="32"/>
          <w:szCs w:val="32"/>
          <w:lang w:val="en-US" w:eastAsia="zh-CN" w:bidi="ar-SA"/>
        </w:rPr>
        <w:t>二是严格外伤调查。</w:t>
      </w:r>
      <w:r>
        <w:rPr>
          <w:rFonts w:hint="eastAsia" w:ascii="仿宋" w:hAnsi="仿宋" w:eastAsia="仿宋" w:cs="仿宋"/>
          <w:color w:val="auto"/>
          <w:kern w:val="2"/>
          <w:sz w:val="32"/>
          <w:szCs w:val="32"/>
          <w:lang w:val="en-US" w:eastAsia="zh-CN" w:bidi="ar-SA"/>
        </w:rPr>
        <w:t>我局采取全面调查和重点抽查两种方式加强检查。首先，外伤病人所在医院医保办或异地外伤资料收取医院对外伤病人外伤情况进行调查，如实填写外伤调查询问笔录和外伤调查表；其次，医院医保调查后，调查有疑问的交至医保局再进行复审调查，或邀请保险公司联合调查。今年1—12月外伤调查800余人次，不予报销130余人次，总费用300余万元。</w:t>
      </w:r>
      <w:r>
        <w:rPr>
          <w:rFonts w:hint="eastAsia" w:ascii="仿宋" w:hAnsi="仿宋" w:eastAsia="仿宋" w:cs="仿宋"/>
          <w:b/>
          <w:bCs/>
          <w:color w:val="auto"/>
          <w:kern w:val="2"/>
          <w:sz w:val="32"/>
          <w:szCs w:val="32"/>
          <w:lang w:val="en-US" w:eastAsia="zh-CN" w:bidi="ar-SA"/>
        </w:rPr>
        <w:t>三是严格基金管理。</w:t>
      </w:r>
      <w:r>
        <w:rPr>
          <w:rFonts w:hint="eastAsia" w:ascii="仿宋" w:hAnsi="仿宋" w:eastAsia="仿宋" w:cs="仿宋"/>
          <w:color w:val="auto"/>
          <w:kern w:val="2"/>
          <w:sz w:val="32"/>
          <w:szCs w:val="32"/>
          <w:lang w:val="en-US" w:eastAsia="zh-CN" w:bidi="ar-SA"/>
        </w:rPr>
        <w:t>今年，通过向市医保局努力争取，市上暂缓扣减我县医保基金互济金3000万，未扣减的互济金全部用于支持开江县医疗机构的发展。去年，开江县24家医疗机构超出总控额度616万元，按照市上的文件规定，超出部分要么由医疗机构自己承担，要么由县级财政负担。我局通过反复争取，市上已经同意，由市上结余基金来支付超出总控额度的610.02万元，更多基金留在了开江县，对于促进全县医疗机构的发展贡献了医保的力量。</w:t>
      </w:r>
    </w:p>
    <w:p w14:paraId="1D2C3E0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 w:hAnsi="仿宋" w:eastAsia="仿宋" w:cs="仿宋"/>
          <w:color w:val="auto"/>
          <w:kern w:val="2"/>
          <w:sz w:val="32"/>
          <w:szCs w:val="32"/>
          <w:lang w:val="en-US" w:eastAsia="zh-CN" w:bidi="ar-SA"/>
        </w:rPr>
      </w:pPr>
      <w:r>
        <w:rPr>
          <w:rStyle w:val="16"/>
          <w:rFonts w:hint="eastAsia" w:ascii="仿宋" w:hAnsi="仿宋" w:eastAsia="仿宋" w:cs="仿宋"/>
          <w:b w:val="0"/>
          <w:bCs/>
          <w:i w:val="0"/>
          <w:caps w:val="0"/>
          <w:color w:val="auto"/>
          <w:spacing w:val="0"/>
          <w:sz w:val="32"/>
          <w:szCs w:val="32"/>
          <w:shd w:val="clear" w:color="auto" w:fill="FFFFFF"/>
          <w:lang w:val="en-US" w:eastAsia="zh-CN"/>
        </w:rPr>
        <w:t>4.</w:t>
      </w:r>
      <w:r>
        <w:rPr>
          <w:rStyle w:val="16"/>
          <w:rFonts w:hint="eastAsia" w:ascii="仿宋" w:hAnsi="仿宋" w:eastAsia="仿宋" w:cs="仿宋"/>
          <w:b w:val="0"/>
          <w:bCs/>
          <w:i w:val="0"/>
          <w:caps w:val="0"/>
          <w:color w:val="auto"/>
          <w:spacing w:val="0"/>
          <w:sz w:val="32"/>
          <w:szCs w:val="32"/>
          <w:shd w:val="clear" w:color="auto" w:fill="FFFFFF"/>
          <w:lang w:eastAsia="zh-CN"/>
        </w:rPr>
        <w:t>筑牢防线，</w:t>
      </w:r>
      <w:r>
        <w:rPr>
          <w:rStyle w:val="16"/>
          <w:rFonts w:hint="eastAsia" w:ascii="仿宋" w:hAnsi="仿宋" w:eastAsia="仿宋" w:cs="仿宋"/>
          <w:b w:val="0"/>
          <w:bCs/>
          <w:i w:val="0"/>
          <w:caps w:val="0"/>
          <w:color w:val="auto"/>
          <w:spacing w:val="0"/>
          <w:sz w:val="32"/>
          <w:szCs w:val="32"/>
          <w:highlight w:val="none"/>
          <w:shd w:val="clear" w:color="auto" w:fill="FFFFFF"/>
          <w:lang w:eastAsia="zh-CN"/>
        </w:rPr>
        <w:t>医疗救助有</w:t>
      </w:r>
      <w:r>
        <w:rPr>
          <w:rStyle w:val="16"/>
          <w:rFonts w:hint="eastAsia" w:ascii="仿宋" w:hAnsi="仿宋" w:eastAsia="仿宋" w:cs="仿宋"/>
          <w:b w:val="0"/>
          <w:bCs/>
          <w:i w:val="0"/>
          <w:caps w:val="0"/>
          <w:color w:val="auto"/>
          <w:spacing w:val="0"/>
          <w:sz w:val="32"/>
          <w:szCs w:val="32"/>
          <w:shd w:val="clear" w:color="auto" w:fill="FFFFFF"/>
          <w:lang w:eastAsia="zh-CN"/>
        </w:rPr>
        <w:t>保障。</w:t>
      </w:r>
      <w:r>
        <w:rPr>
          <w:rFonts w:hint="eastAsia" w:ascii="仿宋" w:hAnsi="仿宋" w:eastAsia="仿宋" w:cs="仿宋"/>
          <w:color w:val="auto"/>
          <w:kern w:val="2"/>
          <w:sz w:val="32"/>
          <w:szCs w:val="32"/>
          <w:lang w:val="en-US" w:eastAsia="zh-CN" w:bidi="ar-SA"/>
        </w:rPr>
        <w:t>始终坚持以“托底线、救急难、可持续”的原则，不断规范医疗救助方式，充分发挥了医疗救助制度作为社会救助制度的兜底作用。</w:t>
      </w:r>
      <w:r>
        <w:rPr>
          <w:rFonts w:hint="eastAsia" w:ascii="仿宋" w:hAnsi="仿宋" w:eastAsia="仿宋" w:cs="仿宋"/>
          <w:b/>
          <w:bCs/>
          <w:color w:val="auto"/>
          <w:kern w:val="2"/>
          <w:sz w:val="32"/>
          <w:szCs w:val="32"/>
          <w:lang w:val="en-US" w:eastAsia="zh-CN" w:bidi="ar-SA"/>
        </w:rPr>
        <w:t>一是把好事办好。</w:t>
      </w:r>
      <w:r>
        <w:rPr>
          <w:rFonts w:hint="eastAsia" w:ascii="仿宋" w:hAnsi="仿宋" w:eastAsia="仿宋" w:cs="仿宋"/>
          <w:color w:val="auto"/>
          <w:kern w:val="2"/>
          <w:sz w:val="32"/>
          <w:szCs w:val="32"/>
          <w:lang w:val="en-US" w:eastAsia="zh-CN" w:bidi="ar-SA"/>
        </w:rPr>
        <w:t>全力支持25222名特殊群体参加基本医疗保险；支持28412人次困难群众享受医疗救助资金2445.18万元，把党和政府的优惠送到千家万户。</w:t>
      </w:r>
      <w:r>
        <w:rPr>
          <w:rFonts w:hint="eastAsia" w:ascii="仿宋" w:hAnsi="仿宋" w:eastAsia="仿宋" w:cs="仿宋"/>
          <w:b/>
          <w:bCs/>
          <w:color w:val="auto"/>
          <w:kern w:val="2"/>
          <w:sz w:val="32"/>
          <w:szCs w:val="32"/>
          <w:lang w:val="en-US" w:eastAsia="zh-CN" w:bidi="ar-SA"/>
        </w:rPr>
        <w:t>二是把实事办实。</w:t>
      </w:r>
      <w:r>
        <w:rPr>
          <w:rFonts w:hint="eastAsia" w:ascii="仿宋" w:hAnsi="仿宋" w:eastAsia="仿宋" w:cs="仿宋"/>
          <w:color w:val="auto"/>
          <w:kern w:val="2"/>
          <w:sz w:val="32"/>
          <w:szCs w:val="32"/>
          <w:lang w:val="en-US" w:eastAsia="zh-CN" w:bidi="ar-SA"/>
        </w:rPr>
        <w:t>严格把关，严格审核，减少不合理医疗救助资金支出。通过实地调查核实，128名不符合医疗救助条件的普通群众被拒绝受理，拒付金额45.2万元。</w:t>
      </w:r>
      <w:r>
        <w:rPr>
          <w:rFonts w:hint="eastAsia" w:ascii="仿宋" w:hAnsi="仿宋" w:eastAsia="仿宋" w:cs="仿宋"/>
          <w:b/>
          <w:bCs/>
          <w:color w:val="auto"/>
          <w:kern w:val="2"/>
          <w:sz w:val="32"/>
          <w:szCs w:val="32"/>
          <w:lang w:val="en-US" w:eastAsia="zh-CN" w:bidi="ar-SA"/>
        </w:rPr>
        <w:t>三是把难事办成。</w:t>
      </w:r>
      <w:r>
        <w:rPr>
          <w:rFonts w:hint="eastAsia" w:ascii="仿宋" w:hAnsi="仿宋" w:eastAsia="仿宋" w:cs="仿宋"/>
          <w:color w:val="auto"/>
          <w:kern w:val="2"/>
          <w:sz w:val="32"/>
          <w:szCs w:val="32"/>
          <w:lang w:val="en-US" w:eastAsia="zh-CN" w:bidi="ar-SA"/>
        </w:rPr>
        <w:t>加强对精神病、五保户等重点救助群体的住院监督检查，严查虚假住院、虚假治疗等违法违规行为，严控救助支出。医疗救助职能未移交医保前，赤字较大；2019年医疗救助职能移交医保时同步移交赤字750万元，我局通过规范自由裁量权，准确界定救助对象，严格把握救助标准，不但化解赤字，还实现医疗救助资金年年结余，发挥资金最大效率，帮助更多困难群众走出困境。去年，我局的这一经验做法在全市被学习推广。</w:t>
      </w:r>
    </w:p>
    <w:p w14:paraId="5FAD7D18">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p>
    <w:p w14:paraId="2BC834EC">
      <w:pPr>
        <w:pStyle w:val="4"/>
        <w:numPr>
          <w:ilvl w:val="0"/>
          <w:numId w:val="1"/>
        </w:numPr>
        <w:rPr>
          <w:rStyle w:val="27"/>
          <w:rFonts w:hint="eastAsia" w:ascii="黑体" w:hAnsi="黑体" w:eastAsia="黑体"/>
          <w:b w:val="0"/>
          <w:bCs w:val="0"/>
          <w:color w:val="auto"/>
          <w:highlight w:val="none"/>
        </w:rPr>
      </w:pPr>
      <w:bookmarkStart w:id="22" w:name="_Toc15377200"/>
      <w:bookmarkStart w:id="23" w:name="_Toc15396601"/>
      <w:r>
        <w:rPr>
          <w:rFonts w:hint="eastAsia" w:ascii="黑体" w:hAnsi="黑体" w:eastAsia="黑体"/>
          <w:b w:val="0"/>
          <w:color w:val="auto"/>
          <w:highlight w:val="none"/>
        </w:rPr>
        <w:t>机</w:t>
      </w:r>
      <w:r>
        <w:rPr>
          <w:rStyle w:val="27"/>
          <w:rFonts w:hint="eastAsia" w:ascii="黑体" w:hAnsi="黑体" w:eastAsia="黑体"/>
          <w:b w:val="0"/>
          <w:bCs w:val="0"/>
          <w:color w:val="auto"/>
          <w:highlight w:val="none"/>
        </w:rPr>
        <w:t>构设置</w:t>
      </w:r>
      <w:bookmarkEnd w:id="22"/>
      <w:bookmarkEnd w:id="23"/>
    </w:p>
    <w:p w14:paraId="1455856A">
      <w:pPr>
        <w:snapToGrid w:val="0"/>
        <w:spacing w:line="520" w:lineRule="exact"/>
        <w:ind w:firstLine="640" w:firstLineChars="200"/>
        <w:rPr>
          <w:rFonts w:hint="eastAsia" w:ascii="仿宋" w:hAnsi="仿宋" w:eastAsia="仿宋"/>
          <w:sz w:val="32"/>
          <w:szCs w:val="32"/>
        </w:rPr>
      </w:pPr>
      <w:r>
        <w:rPr>
          <w:rFonts w:hint="eastAsia" w:ascii="仿宋" w:hAnsi="仿宋" w:eastAsia="仿宋" w:cs="宋体"/>
          <w:sz w:val="32"/>
          <w:szCs w:val="32"/>
        </w:rPr>
        <w:t>开江县</w:t>
      </w:r>
      <w:r>
        <w:rPr>
          <w:rFonts w:hint="eastAsia" w:ascii="仿宋" w:hAnsi="仿宋" w:eastAsia="仿宋" w:cs="宋体"/>
          <w:sz w:val="32"/>
          <w:szCs w:val="32"/>
          <w:lang w:eastAsia="zh-CN"/>
        </w:rPr>
        <w:t>医疗保障</w:t>
      </w:r>
      <w:r>
        <w:rPr>
          <w:rFonts w:hint="eastAsia" w:ascii="仿宋" w:hAnsi="仿宋" w:eastAsia="仿宋" w:cs="宋体"/>
          <w:sz w:val="32"/>
          <w:szCs w:val="32"/>
        </w:rPr>
        <w:t>局成立于20</w:t>
      </w:r>
      <w:r>
        <w:rPr>
          <w:rFonts w:hint="eastAsia" w:ascii="仿宋" w:hAnsi="仿宋" w:eastAsia="仿宋" w:cs="宋体"/>
          <w:sz w:val="32"/>
          <w:szCs w:val="32"/>
          <w:lang w:val="en-US" w:eastAsia="zh-CN"/>
        </w:rPr>
        <w:t>19</w:t>
      </w:r>
      <w:r>
        <w:rPr>
          <w:rFonts w:hint="eastAsia" w:ascii="仿宋" w:hAnsi="仿宋" w:eastAsia="仿宋" w:cs="宋体"/>
          <w:sz w:val="32"/>
          <w:szCs w:val="32"/>
        </w:rPr>
        <w:t>年</w:t>
      </w:r>
      <w:r>
        <w:rPr>
          <w:rFonts w:hint="eastAsia" w:ascii="仿宋" w:hAnsi="仿宋" w:eastAsia="仿宋" w:cs="宋体"/>
          <w:sz w:val="32"/>
          <w:szCs w:val="32"/>
          <w:lang w:val="en-US" w:eastAsia="zh-CN"/>
        </w:rPr>
        <w:t>3</w:t>
      </w:r>
      <w:r>
        <w:rPr>
          <w:rFonts w:hint="eastAsia" w:ascii="仿宋" w:hAnsi="仿宋" w:eastAsia="仿宋" w:cs="宋体"/>
          <w:sz w:val="32"/>
          <w:szCs w:val="32"/>
        </w:rPr>
        <w:t>月，是</w:t>
      </w:r>
      <w:r>
        <w:rPr>
          <w:rFonts w:hint="eastAsia" w:ascii="仿宋" w:hAnsi="仿宋" w:eastAsia="仿宋" w:cs="宋体"/>
          <w:sz w:val="32"/>
          <w:szCs w:val="32"/>
          <w:lang w:eastAsia="zh-CN"/>
        </w:rPr>
        <w:t>正科级行政</w:t>
      </w:r>
      <w:r>
        <w:rPr>
          <w:rFonts w:hint="eastAsia" w:ascii="仿宋" w:hAnsi="仿宋" w:eastAsia="仿宋" w:cs="宋体"/>
          <w:sz w:val="32"/>
          <w:szCs w:val="32"/>
        </w:rPr>
        <w:t>单位，是有独立法人的县属一级预算单位。</w:t>
      </w:r>
      <w:r>
        <w:rPr>
          <w:rFonts w:hint="eastAsia" w:ascii="仿宋" w:hAnsi="仿宋" w:eastAsia="仿宋"/>
          <w:sz w:val="32"/>
          <w:szCs w:val="32"/>
        </w:rPr>
        <w:t>开江县医疗</w:t>
      </w:r>
      <w:r>
        <w:rPr>
          <w:rFonts w:hint="eastAsia" w:ascii="仿宋" w:hAnsi="仿宋" w:eastAsia="仿宋"/>
          <w:sz w:val="32"/>
          <w:szCs w:val="32"/>
          <w:lang w:eastAsia="zh-CN"/>
        </w:rPr>
        <w:t>保障局</w:t>
      </w:r>
      <w:r>
        <w:rPr>
          <w:rFonts w:hint="eastAsia" w:ascii="仿宋" w:hAnsi="仿宋" w:eastAsia="仿宋"/>
          <w:sz w:val="32"/>
          <w:szCs w:val="32"/>
        </w:rPr>
        <w:t>编制人数</w:t>
      </w:r>
      <w:r>
        <w:rPr>
          <w:rFonts w:hint="eastAsia" w:ascii="仿宋" w:hAnsi="仿宋" w:eastAsia="仿宋"/>
          <w:sz w:val="32"/>
          <w:szCs w:val="32"/>
          <w:lang w:val="en-US" w:eastAsia="zh-CN"/>
        </w:rPr>
        <w:t>10</w:t>
      </w:r>
      <w:r>
        <w:rPr>
          <w:rFonts w:hint="eastAsia" w:ascii="仿宋" w:hAnsi="仿宋" w:eastAsia="仿宋"/>
          <w:sz w:val="32"/>
          <w:szCs w:val="32"/>
        </w:rPr>
        <w:t>人，现有工作人员</w:t>
      </w:r>
      <w:r>
        <w:rPr>
          <w:rFonts w:hint="eastAsia" w:ascii="仿宋" w:hAnsi="仿宋" w:eastAsia="仿宋"/>
          <w:sz w:val="32"/>
          <w:szCs w:val="32"/>
          <w:lang w:val="en-US" w:eastAsia="zh-CN"/>
        </w:rPr>
        <w:t>21</w:t>
      </w:r>
      <w:r>
        <w:rPr>
          <w:rFonts w:hint="eastAsia" w:ascii="仿宋" w:hAnsi="仿宋" w:eastAsia="仿宋"/>
          <w:sz w:val="32"/>
          <w:szCs w:val="32"/>
        </w:rPr>
        <w:t>人。</w:t>
      </w:r>
    </w:p>
    <w:p w14:paraId="53B0992C">
      <w:pPr>
        <w:numPr>
          <w:ilvl w:val="0"/>
          <w:numId w:val="0"/>
        </w:numPr>
      </w:pPr>
    </w:p>
    <w:p w14:paraId="474EC342">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47F66758">
      <w:pPr>
        <w:pStyle w:val="3"/>
        <w:ind w:right="440"/>
        <w:jc w:val="center"/>
        <w:rPr>
          <w:rStyle w:val="26"/>
          <w:rFonts w:ascii="黑体" w:hAnsi="黑体" w:eastAsia="黑体"/>
          <w:b w:val="0"/>
          <w:bCs/>
          <w:color w:val="auto"/>
          <w:highlight w:val="none"/>
        </w:rPr>
      </w:pPr>
      <w:bookmarkStart w:id="24" w:name="_Toc15377204"/>
      <w:bookmarkStart w:id="25"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rPr>
        <w:t>部门决算情况说明</w:t>
      </w:r>
      <w:bookmarkEnd w:id="24"/>
      <w:bookmarkEnd w:id="25"/>
    </w:p>
    <w:p w14:paraId="5F0C21DD">
      <w:pPr>
        <w:rPr>
          <w:color w:val="auto"/>
          <w:highlight w:val="none"/>
        </w:rPr>
      </w:pPr>
    </w:p>
    <w:p w14:paraId="465EEC24">
      <w:pPr>
        <w:pStyle w:val="25"/>
        <w:numPr>
          <w:ilvl w:val="0"/>
          <w:numId w:val="2"/>
        </w:numPr>
        <w:spacing w:line="600" w:lineRule="exact"/>
        <w:ind w:firstLineChars="0"/>
        <w:outlineLvl w:val="1"/>
        <w:rPr>
          <w:rStyle w:val="27"/>
          <w:rFonts w:ascii="黑体" w:hAnsi="黑体" w:eastAsia="黑体"/>
          <w:b w:val="0"/>
          <w:color w:val="auto"/>
          <w:highlight w:val="none"/>
        </w:rPr>
      </w:pPr>
      <w:bookmarkStart w:id="26" w:name="_Toc15396603"/>
      <w:bookmarkStart w:id="27"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6"/>
      <w:bookmarkEnd w:id="27"/>
    </w:p>
    <w:p w14:paraId="0CCEF771">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380.36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4937.04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2595.98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2020年财政对个人医疗费补助5020.93万元计入部门的收入、支出，2021年财政对个人医疗费补助未计入部门收入、支出。</w:t>
      </w:r>
    </w:p>
    <w:p w14:paraId="3E074E58">
      <w:pPr>
        <w:pStyle w:val="25"/>
        <w:numPr>
          <w:ilvl w:val="0"/>
          <w:numId w:val="2"/>
        </w:numPr>
        <w:spacing w:line="600" w:lineRule="exact"/>
        <w:ind w:firstLineChars="0"/>
        <w:outlineLvl w:val="1"/>
        <w:rPr>
          <w:rStyle w:val="27"/>
          <w:rFonts w:ascii="黑体" w:hAnsi="黑体" w:eastAsia="黑体"/>
          <w:b w:val="0"/>
          <w:color w:val="auto"/>
          <w:highlight w:val="none"/>
        </w:rPr>
      </w:pPr>
      <w:bookmarkStart w:id="28" w:name="_Toc15396604"/>
      <w:bookmarkStart w:id="29"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8"/>
      <w:bookmarkEnd w:id="29"/>
    </w:p>
    <w:p w14:paraId="4C37D5BF">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190.18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190.18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2A65377">
      <w:pPr>
        <w:pStyle w:val="25"/>
        <w:numPr>
          <w:ilvl w:val="0"/>
          <w:numId w:val="2"/>
        </w:numPr>
        <w:spacing w:line="600" w:lineRule="exact"/>
        <w:ind w:firstLineChars="0"/>
        <w:outlineLvl w:val="1"/>
        <w:rPr>
          <w:rStyle w:val="27"/>
          <w:rFonts w:ascii="黑体" w:hAnsi="黑体" w:eastAsia="黑体"/>
          <w:b w:val="0"/>
          <w:color w:val="auto"/>
          <w:highlight w:val="none"/>
        </w:rPr>
      </w:pPr>
      <w:bookmarkStart w:id="30" w:name="_Toc15377207"/>
      <w:bookmarkStart w:id="31"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30"/>
      <w:bookmarkEnd w:id="31"/>
    </w:p>
    <w:p w14:paraId="558AD8EC">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190.18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103.68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54.52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86.49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45.48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7EA765A">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380.36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4937.04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2595.98%</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2020年财政对个人医疗费补助了5020.93万元计入部门收入、支出，2021年财政对个人医疗费补助未计入部门收入、支出。</w:t>
      </w:r>
    </w:p>
    <w:p w14:paraId="411CC385">
      <w:pPr>
        <w:spacing w:line="600" w:lineRule="exact"/>
        <w:ind w:firstLine="640" w:firstLineChars="200"/>
        <w:outlineLvl w:val="1"/>
        <w:rPr>
          <w:rStyle w:val="27"/>
          <w:rFonts w:ascii="黑体" w:hAnsi="黑体" w:eastAsia="黑体"/>
          <w:b w:val="0"/>
          <w:color w:val="auto"/>
          <w:highlight w:val="none"/>
        </w:rPr>
      </w:pPr>
      <w:bookmarkStart w:id="32" w:name="_Toc15377209"/>
      <w:bookmarkStart w:id="33"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2"/>
      <w:bookmarkEnd w:id="33"/>
    </w:p>
    <w:p w14:paraId="7BA392C5">
      <w:pPr>
        <w:spacing w:line="600" w:lineRule="exact"/>
        <w:ind w:firstLine="643" w:firstLineChars="200"/>
        <w:outlineLvl w:val="2"/>
        <w:rPr>
          <w:rFonts w:ascii="仿宋" w:hAnsi="仿宋" w:eastAsia="仿宋"/>
          <w:b/>
          <w:color w:val="auto"/>
          <w:sz w:val="32"/>
          <w:szCs w:val="32"/>
          <w:highlight w:val="none"/>
        </w:rPr>
      </w:pPr>
      <w:bookmarkStart w:id="34" w:name="_Toc15377210"/>
      <w:r>
        <w:rPr>
          <w:rFonts w:hint="eastAsia" w:ascii="仿宋" w:hAnsi="仿宋" w:eastAsia="仿宋"/>
          <w:b/>
          <w:color w:val="auto"/>
          <w:sz w:val="32"/>
          <w:szCs w:val="32"/>
          <w:highlight w:val="none"/>
        </w:rPr>
        <w:t>（一）一般公共预算财政拨款支出决算总体情况</w:t>
      </w:r>
      <w:bookmarkEnd w:id="34"/>
    </w:p>
    <w:p w14:paraId="1FB6656F">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190.18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4937.04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2595.98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2020年财政对个人医疗费补助了5020.93万元计入部门收入、支出，2021年财政对个人医疗费补助未计入部门收入、支出。</w:t>
      </w:r>
    </w:p>
    <w:p w14:paraId="7D9F842E">
      <w:pPr>
        <w:spacing w:line="600" w:lineRule="exact"/>
        <w:ind w:firstLine="643" w:firstLineChars="200"/>
        <w:outlineLvl w:val="2"/>
        <w:rPr>
          <w:rFonts w:ascii="仿宋" w:hAnsi="仿宋" w:eastAsia="仿宋"/>
          <w:b/>
          <w:color w:val="auto"/>
          <w:sz w:val="32"/>
          <w:szCs w:val="32"/>
          <w:highlight w:val="none"/>
        </w:rPr>
      </w:pPr>
      <w:bookmarkStart w:id="35" w:name="_Toc15377211"/>
      <w:r>
        <w:rPr>
          <w:rFonts w:hint="eastAsia" w:ascii="仿宋" w:hAnsi="仿宋" w:eastAsia="仿宋"/>
          <w:b/>
          <w:color w:val="auto"/>
          <w:sz w:val="32"/>
          <w:szCs w:val="32"/>
          <w:highlight w:val="none"/>
        </w:rPr>
        <w:t>（二）一般公共预算财政拨款支出决算结构情况</w:t>
      </w:r>
      <w:bookmarkEnd w:id="35"/>
    </w:p>
    <w:p w14:paraId="621E069C">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190.18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val="0"/>
          <w:bCs/>
          <w:color w:val="auto"/>
          <w:sz w:val="32"/>
          <w:szCs w:val="32"/>
          <w:highlight w:val="none"/>
        </w:rPr>
        <w:t>社会保障和就业（类）支出</w:t>
      </w:r>
      <w:r>
        <w:rPr>
          <w:rFonts w:hint="eastAsia" w:ascii="仿宋" w:hAnsi="仿宋" w:eastAsia="仿宋"/>
          <w:b w:val="0"/>
          <w:bCs/>
          <w:color w:val="auto"/>
          <w:sz w:val="32"/>
          <w:szCs w:val="32"/>
          <w:highlight w:val="none"/>
          <w:lang w:val="en-US" w:eastAsia="zh-CN"/>
        </w:rPr>
        <w:t>12.80</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6.73</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；卫生健康支出</w:t>
      </w:r>
      <w:r>
        <w:rPr>
          <w:rFonts w:hint="eastAsia" w:ascii="仿宋" w:hAnsi="仿宋" w:eastAsia="仿宋"/>
          <w:b w:val="0"/>
          <w:bCs/>
          <w:color w:val="auto"/>
          <w:sz w:val="32"/>
          <w:szCs w:val="32"/>
          <w:highlight w:val="none"/>
          <w:lang w:val="en-US" w:eastAsia="zh-CN"/>
        </w:rPr>
        <w:t>169.91</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89.34</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；住房保障支出</w:t>
      </w:r>
      <w:r>
        <w:rPr>
          <w:rFonts w:hint="eastAsia" w:ascii="仿宋" w:hAnsi="仿宋" w:eastAsia="仿宋"/>
          <w:b w:val="0"/>
          <w:bCs/>
          <w:color w:val="auto"/>
          <w:sz w:val="32"/>
          <w:szCs w:val="32"/>
          <w:highlight w:val="none"/>
          <w:lang w:val="en-US" w:eastAsia="zh-CN"/>
        </w:rPr>
        <w:t>7.47</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3.93</w:t>
      </w:r>
      <w:r>
        <w:rPr>
          <w:rFonts w:ascii="仿宋" w:hAnsi="仿宋" w:eastAsia="仿宋"/>
          <w:b w:val="0"/>
          <w:bCs/>
          <w:color w:val="auto"/>
          <w:sz w:val="32"/>
          <w:szCs w:val="32"/>
          <w:highlight w:val="none"/>
        </w:rPr>
        <w:t>%</w:t>
      </w:r>
      <w:r>
        <w:rPr>
          <w:rFonts w:hint="eastAsia" w:ascii="仿宋" w:hAnsi="仿宋" w:eastAsia="仿宋"/>
          <w:color w:val="auto"/>
          <w:sz w:val="32"/>
          <w:szCs w:val="32"/>
          <w:highlight w:val="none"/>
        </w:rPr>
        <w:t>。</w:t>
      </w:r>
    </w:p>
    <w:p w14:paraId="60FCA384">
      <w:pPr>
        <w:spacing w:line="600" w:lineRule="exact"/>
        <w:ind w:firstLine="643" w:firstLineChars="200"/>
        <w:outlineLvl w:val="2"/>
        <w:rPr>
          <w:rFonts w:ascii="仿宋" w:hAnsi="仿宋" w:eastAsia="仿宋"/>
          <w:b/>
          <w:color w:val="auto"/>
          <w:sz w:val="32"/>
          <w:szCs w:val="32"/>
          <w:highlight w:val="none"/>
        </w:rPr>
      </w:pPr>
      <w:bookmarkStart w:id="36" w:name="_Toc15377212"/>
      <w:r>
        <w:rPr>
          <w:rFonts w:hint="eastAsia" w:ascii="仿宋" w:hAnsi="仿宋" w:eastAsia="仿宋"/>
          <w:b/>
          <w:color w:val="auto"/>
          <w:sz w:val="32"/>
          <w:szCs w:val="32"/>
          <w:highlight w:val="none"/>
        </w:rPr>
        <w:t>（三）一般公共预算财政拨款支出决算具体情况</w:t>
      </w:r>
      <w:bookmarkEnd w:id="36"/>
    </w:p>
    <w:p w14:paraId="473D6A91">
      <w:pPr>
        <w:spacing w:line="600" w:lineRule="exact"/>
        <w:ind w:firstLine="643" w:firstLineChars="200"/>
        <w:outlineLvl w:val="2"/>
        <w:rPr>
          <w:rFonts w:ascii="仿宋" w:hAnsi="仿宋" w:eastAsia="仿宋"/>
          <w:color w:val="auto"/>
          <w:sz w:val="32"/>
          <w:szCs w:val="32"/>
          <w:highlight w:val="none"/>
        </w:rPr>
      </w:pPr>
      <w:bookmarkStart w:id="37" w:name="_Toc15378460"/>
      <w:bookmarkStart w:id="38" w:name="_Toc15377444"/>
      <w:bookmarkStart w:id="39"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190.18</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7"/>
      <w:bookmarkEnd w:id="38"/>
      <w:bookmarkEnd w:id="39"/>
    </w:p>
    <w:p w14:paraId="672088CF">
      <w:pPr>
        <w:spacing w:line="600" w:lineRule="exact"/>
        <w:ind w:firstLine="643" w:firstLineChars="200"/>
        <w:rPr>
          <w:rStyle w:val="16"/>
          <w:rFonts w:hint="default" w:ascii="仿宋" w:hAnsi="仿宋" w:eastAsia="仿宋"/>
          <w:b w:val="0"/>
          <w:bCs/>
          <w:color w:val="auto"/>
          <w:sz w:val="32"/>
          <w:szCs w:val="32"/>
          <w:highlight w:val="none"/>
          <w:lang w:val="en-US" w:eastAsia="zh-CN"/>
        </w:rPr>
      </w:pPr>
      <w:r>
        <w:rPr>
          <w:rStyle w:val="16"/>
          <w:rFonts w:hint="eastAsia" w:ascii="仿宋" w:hAnsi="仿宋" w:eastAsia="仿宋"/>
          <w:bCs/>
          <w:color w:val="auto"/>
          <w:sz w:val="32"/>
          <w:szCs w:val="32"/>
          <w:highlight w:val="none"/>
          <w:lang w:val="en-US" w:eastAsia="zh-CN"/>
        </w:rPr>
        <w:t>1</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w:t>
      </w:r>
      <w:r>
        <w:rPr>
          <w:rStyle w:val="16"/>
          <w:rFonts w:hint="eastAsia" w:ascii="仿宋" w:hAnsi="仿宋" w:eastAsia="仿宋"/>
          <w:bCs/>
          <w:color w:val="auto"/>
          <w:sz w:val="32"/>
          <w:szCs w:val="32"/>
          <w:highlight w:val="none"/>
          <w:lang w:eastAsia="zh-CN"/>
        </w:rPr>
        <w:t>支出</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12.8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其中其他人力资源和社会保障管理事务支出决算</w:t>
      </w:r>
      <w:r>
        <w:rPr>
          <w:rStyle w:val="16"/>
          <w:rFonts w:hint="eastAsia" w:ascii="仿宋" w:hAnsi="仿宋" w:eastAsia="仿宋"/>
          <w:b w:val="0"/>
          <w:bCs/>
          <w:color w:val="auto"/>
          <w:sz w:val="32"/>
          <w:szCs w:val="32"/>
          <w:highlight w:val="none"/>
          <w:lang w:val="en-US" w:eastAsia="zh-CN"/>
        </w:rPr>
        <w:t>3万元，完成预算100%；机关事业单位基本养老保险缴费支出9.8万元，完成预算100%。</w:t>
      </w:r>
    </w:p>
    <w:p w14:paraId="5A83ECA1">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2</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lang w:eastAsia="zh-CN"/>
        </w:rPr>
        <w:t>支出</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169.90</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hint="eastAsia"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其中行政事业单位医疗支出</w:t>
      </w:r>
      <w:r>
        <w:rPr>
          <w:rStyle w:val="16"/>
          <w:rFonts w:hint="eastAsia" w:ascii="仿宋" w:hAnsi="仿宋" w:eastAsia="仿宋"/>
          <w:b w:val="0"/>
          <w:bCs/>
          <w:color w:val="auto"/>
          <w:sz w:val="32"/>
          <w:szCs w:val="32"/>
          <w:highlight w:val="none"/>
          <w:lang w:val="en-US" w:eastAsia="zh-CN"/>
        </w:rPr>
        <w:t>6.41万元完成预算100%；医疗保障管理事务支出163.49万元完成预算100%（包括行政运行、一般行政事务管理、机关服务、信息化建设、医疗保障政策管理、医疗保障经办事务、其他医疗保障管理事务）</w:t>
      </w:r>
      <w:r>
        <w:rPr>
          <w:rStyle w:val="16"/>
          <w:rFonts w:hint="eastAsia" w:ascii="仿宋" w:hAnsi="仿宋" w:eastAsia="仿宋"/>
          <w:b w:val="0"/>
          <w:bCs/>
          <w:color w:val="auto"/>
          <w:sz w:val="32"/>
          <w:szCs w:val="32"/>
          <w:highlight w:val="none"/>
        </w:rPr>
        <w:t>。</w:t>
      </w:r>
    </w:p>
    <w:p w14:paraId="25D2DA95">
      <w:pPr>
        <w:pStyle w:val="11"/>
        <w:jc w:val="both"/>
        <w:rPr>
          <w:rFonts w:hint="default" w:eastAsia="仿宋"/>
          <w:lang w:val="en-US" w:eastAsia="zh-CN"/>
        </w:rPr>
      </w:pPr>
      <w:r>
        <w:rPr>
          <w:rStyle w:val="16"/>
          <w:rFonts w:hint="eastAsia"/>
          <w:b w:val="0"/>
          <w:bCs/>
          <w:color w:val="auto"/>
          <w:sz w:val="32"/>
          <w:szCs w:val="32"/>
          <w:highlight w:val="none"/>
          <w:lang w:val="en-US" w:eastAsia="zh-CN"/>
        </w:rPr>
        <w:t xml:space="preserve">   </w:t>
      </w:r>
      <w:r>
        <w:rPr>
          <w:rStyle w:val="16"/>
          <w:rFonts w:hint="eastAsia"/>
          <w:b/>
          <w:bCs w:val="0"/>
          <w:color w:val="auto"/>
          <w:sz w:val="32"/>
          <w:szCs w:val="32"/>
          <w:highlight w:val="none"/>
          <w:lang w:val="en-US" w:eastAsia="zh-CN"/>
        </w:rPr>
        <w:t>3、住房保障支出：</w:t>
      </w:r>
      <w:r>
        <w:rPr>
          <w:rStyle w:val="16"/>
          <w:rFonts w:hint="eastAsia" w:ascii="仿宋" w:hAnsi="仿宋" w:eastAsia="仿宋"/>
          <w:b w:val="0"/>
          <w:bCs/>
          <w:color w:val="auto"/>
          <w:sz w:val="32"/>
          <w:szCs w:val="32"/>
          <w:highlight w:val="none"/>
        </w:rPr>
        <w:t>支出决算为</w:t>
      </w:r>
      <w:r>
        <w:rPr>
          <w:rStyle w:val="16"/>
          <w:rFonts w:hint="eastAsia"/>
          <w:b w:val="0"/>
          <w:bCs/>
          <w:color w:val="auto"/>
          <w:sz w:val="32"/>
          <w:szCs w:val="32"/>
          <w:highlight w:val="none"/>
          <w:lang w:val="en-US" w:eastAsia="zh-CN"/>
        </w:rPr>
        <w:t>7.47</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hint="eastAsia"/>
          <w:b w:val="0"/>
          <w:bCs/>
          <w:color w:val="auto"/>
          <w:sz w:val="32"/>
          <w:szCs w:val="32"/>
          <w:highlight w:val="none"/>
          <w:lang w:val="en-US" w:eastAsia="zh-CN"/>
        </w:rPr>
        <w:t>，其中住房公积金支出7.47万元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hint="eastAsia"/>
          <w:b w:val="0"/>
          <w:bCs/>
          <w:color w:val="auto"/>
          <w:sz w:val="32"/>
          <w:szCs w:val="32"/>
          <w:highlight w:val="none"/>
          <w:lang w:val="en-US" w:eastAsia="zh-CN"/>
        </w:rPr>
        <w:t>。</w:t>
      </w:r>
    </w:p>
    <w:p w14:paraId="7DBE7936">
      <w:pPr>
        <w:tabs>
          <w:tab w:val="right" w:pos="8306"/>
        </w:tabs>
        <w:spacing w:line="600" w:lineRule="exact"/>
        <w:ind w:firstLine="640"/>
        <w:outlineLvl w:val="1"/>
        <w:rPr>
          <w:rStyle w:val="27"/>
          <w:color w:val="auto"/>
          <w:highlight w:val="none"/>
        </w:rPr>
      </w:pPr>
      <w:bookmarkStart w:id="40" w:name="_Toc15377214"/>
      <w:bookmarkStart w:id="4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40"/>
      <w:bookmarkEnd w:id="41"/>
      <w:r>
        <w:rPr>
          <w:rStyle w:val="27"/>
          <w:rFonts w:ascii="黑体" w:hAnsi="黑体" w:eastAsia="黑体"/>
          <w:b w:val="0"/>
          <w:color w:val="auto"/>
          <w:highlight w:val="none"/>
        </w:rPr>
        <w:tab/>
      </w:r>
    </w:p>
    <w:p w14:paraId="6387F9EB">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103.68</w:t>
      </w:r>
      <w:r>
        <w:rPr>
          <w:rFonts w:hint="eastAsia" w:ascii="仿宋" w:hAnsi="仿宋" w:eastAsia="仿宋"/>
          <w:color w:val="auto"/>
          <w:sz w:val="32"/>
          <w:szCs w:val="32"/>
          <w:highlight w:val="none"/>
        </w:rPr>
        <w:t>万元，其中：</w:t>
      </w:r>
    </w:p>
    <w:p w14:paraId="77B50691">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88.25</w:t>
      </w:r>
      <w:r>
        <w:rPr>
          <w:rFonts w:hint="eastAsia" w:ascii="仿宋" w:hAnsi="仿宋" w:eastAsia="仿宋"/>
          <w:color w:val="auto"/>
          <w:sz w:val="32"/>
          <w:szCs w:val="32"/>
          <w:highlight w:val="none"/>
        </w:rPr>
        <w:t>元，主要包括：基本工资、津贴补贴、奖金、机关事业单位基本养老保险缴费、其他社会保障缴费、奖励金、住房公积金、对个人和家庭的补助支出等。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15.43</w:t>
      </w:r>
      <w:r>
        <w:rPr>
          <w:rFonts w:hint="eastAsia" w:ascii="仿宋" w:hAnsi="仿宋" w:eastAsia="仿宋"/>
          <w:color w:val="auto"/>
          <w:sz w:val="32"/>
          <w:szCs w:val="32"/>
          <w:highlight w:val="none"/>
        </w:rPr>
        <w:t>万元，主要包括：办公费、邮电费、差旅费、维修（护）费、会议费、培训费、公务接待费、劳务费、工会经费、福利费、其他交通费等。</w:t>
      </w:r>
    </w:p>
    <w:p w14:paraId="10436060">
      <w:pPr>
        <w:spacing w:line="600" w:lineRule="exact"/>
        <w:ind w:firstLine="640"/>
        <w:outlineLvl w:val="1"/>
        <w:rPr>
          <w:rStyle w:val="27"/>
          <w:rFonts w:ascii="黑体" w:hAnsi="黑体" w:eastAsia="黑体"/>
          <w:b w:val="0"/>
          <w:color w:val="auto"/>
          <w:highlight w:val="none"/>
        </w:rPr>
      </w:pPr>
      <w:bookmarkStart w:id="42" w:name="_Toc15377215"/>
      <w:bookmarkStart w:id="43"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42"/>
      <w:bookmarkEnd w:id="43"/>
    </w:p>
    <w:p w14:paraId="2AC43A6A">
      <w:pPr>
        <w:spacing w:line="600" w:lineRule="exact"/>
        <w:ind w:firstLine="640"/>
        <w:outlineLvl w:val="2"/>
        <w:rPr>
          <w:rFonts w:ascii="仿宋" w:hAnsi="仿宋" w:eastAsia="仿宋"/>
          <w:b/>
          <w:color w:val="auto"/>
          <w:sz w:val="32"/>
          <w:szCs w:val="32"/>
          <w:highlight w:val="none"/>
        </w:rPr>
      </w:pPr>
      <w:bookmarkStart w:id="44" w:name="_Toc15377216"/>
      <w:r>
        <w:rPr>
          <w:rFonts w:hint="eastAsia" w:ascii="仿宋" w:hAnsi="仿宋" w:eastAsia="仿宋"/>
          <w:b/>
          <w:color w:val="auto"/>
          <w:sz w:val="32"/>
          <w:szCs w:val="32"/>
          <w:highlight w:val="none"/>
        </w:rPr>
        <w:t>（一）“三公”经费财政拨款支出决算总体情况说明</w:t>
      </w:r>
      <w:bookmarkEnd w:id="44"/>
    </w:p>
    <w:p w14:paraId="17CB2B6F">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0.17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89.47</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，决算数小于预算数（或与预算数持平）的主要原因是</w:t>
      </w:r>
      <w:r>
        <w:rPr>
          <w:rFonts w:hint="eastAsia" w:ascii="仿宋" w:hAnsi="仿宋" w:eastAsia="仿宋"/>
          <w:color w:val="auto"/>
          <w:sz w:val="32"/>
          <w:szCs w:val="32"/>
          <w:highlight w:val="none"/>
          <w:lang w:eastAsia="zh-CN"/>
        </w:rPr>
        <w:t>倡导厉行节约，</w:t>
      </w:r>
      <w:r>
        <w:rPr>
          <w:rFonts w:hint="eastAsia" w:ascii="仿宋" w:hAnsi="仿宋" w:eastAsia="仿宋"/>
          <w:color w:val="auto"/>
          <w:sz w:val="32"/>
          <w:szCs w:val="32"/>
          <w:highlight w:val="none"/>
          <w:lang w:val="en-US" w:eastAsia="zh-CN"/>
        </w:rPr>
        <w:t>2021年</w:t>
      </w:r>
      <w:r>
        <w:rPr>
          <w:rFonts w:hint="eastAsia" w:ascii="仿宋" w:hAnsi="仿宋" w:eastAsia="仿宋"/>
          <w:color w:val="auto"/>
          <w:sz w:val="32"/>
          <w:szCs w:val="32"/>
          <w:highlight w:val="none"/>
          <w:lang w:eastAsia="zh-CN"/>
        </w:rPr>
        <w:t>我局严控“三公”经费开支，比</w:t>
      </w:r>
      <w:r>
        <w:rPr>
          <w:rFonts w:hint="eastAsia" w:ascii="仿宋" w:hAnsi="仿宋" w:eastAsia="仿宋"/>
          <w:color w:val="auto"/>
          <w:sz w:val="32"/>
          <w:szCs w:val="32"/>
          <w:highlight w:val="none"/>
          <w:lang w:val="en-US" w:eastAsia="zh-CN"/>
        </w:rPr>
        <w:t>2020年少支出0.02万元</w:t>
      </w:r>
      <w:r>
        <w:rPr>
          <w:rFonts w:hint="eastAsia" w:ascii="仿宋" w:hAnsi="仿宋" w:eastAsia="仿宋"/>
          <w:color w:val="auto"/>
          <w:sz w:val="32"/>
          <w:szCs w:val="32"/>
          <w:highlight w:val="none"/>
        </w:rPr>
        <w:t>。</w:t>
      </w:r>
    </w:p>
    <w:p w14:paraId="6922C68C">
      <w:pPr>
        <w:spacing w:line="600" w:lineRule="exact"/>
        <w:ind w:firstLine="640"/>
        <w:outlineLvl w:val="2"/>
        <w:rPr>
          <w:rFonts w:ascii="仿宋" w:hAnsi="仿宋" w:eastAsia="仿宋"/>
          <w:b/>
          <w:color w:val="auto"/>
          <w:sz w:val="32"/>
          <w:szCs w:val="32"/>
          <w:highlight w:val="none"/>
        </w:rPr>
      </w:pPr>
      <w:bookmarkStart w:id="45" w:name="_Toc15377217"/>
      <w:r>
        <w:rPr>
          <w:rFonts w:hint="eastAsia" w:ascii="仿宋" w:hAnsi="仿宋" w:eastAsia="仿宋"/>
          <w:b/>
          <w:color w:val="auto"/>
          <w:sz w:val="32"/>
          <w:szCs w:val="32"/>
          <w:highlight w:val="none"/>
        </w:rPr>
        <w:t>（二）“三公”经费财政拨款支出决算具体情况说明</w:t>
      </w:r>
      <w:bookmarkEnd w:id="45"/>
    </w:p>
    <w:p w14:paraId="0D5DCEF8">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0.17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50A0D285">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w:t>
      </w:r>
    </w:p>
    <w:p w14:paraId="54E60863">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A776573">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0.17</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89.47</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10.53%</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倡导厉行节约，我局严控“三公”经费开支</w:t>
      </w:r>
      <w:r>
        <w:rPr>
          <w:rFonts w:hint="eastAsia" w:ascii="仿宋_GB2312" w:eastAsia="仿宋_GB2312"/>
          <w:color w:val="auto"/>
          <w:sz w:val="32"/>
          <w:szCs w:val="32"/>
          <w:highlight w:val="none"/>
        </w:rPr>
        <w:t>。其中：</w:t>
      </w:r>
    </w:p>
    <w:p w14:paraId="6C7A01E9">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0.17</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7841D3FB">
      <w:pPr>
        <w:spacing w:line="600" w:lineRule="exact"/>
        <w:ind w:firstLine="640"/>
        <w:outlineLvl w:val="1"/>
        <w:rPr>
          <w:rStyle w:val="27"/>
          <w:rFonts w:ascii="黑体" w:hAnsi="黑体" w:eastAsia="黑体"/>
          <w:color w:val="auto"/>
          <w:highlight w:val="none"/>
        </w:rPr>
      </w:pPr>
      <w:bookmarkStart w:id="46" w:name="_Toc15377218"/>
      <w:bookmarkStart w:id="47" w:name="_Toc15396610"/>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6"/>
      <w:bookmarkEnd w:id="47"/>
    </w:p>
    <w:p w14:paraId="7C3F084B">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A8C9ADE">
      <w:pPr>
        <w:numPr>
          <w:ilvl w:val="0"/>
          <w:numId w:val="3"/>
        </w:numPr>
        <w:spacing w:line="600" w:lineRule="exact"/>
        <w:ind w:firstLine="640"/>
        <w:outlineLvl w:val="1"/>
        <w:rPr>
          <w:rStyle w:val="27"/>
          <w:rFonts w:ascii="黑体" w:hAnsi="黑体" w:eastAsia="黑体"/>
          <w:b w:val="0"/>
          <w:color w:val="auto"/>
          <w:highlight w:val="none"/>
        </w:rPr>
      </w:pPr>
      <w:bookmarkStart w:id="48" w:name="_Toc15396611"/>
      <w:bookmarkStart w:id="49" w:name="_Toc15377219"/>
      <w:r>
        <w:rPr>
          <w:rStyle w:val="27"/>
          <w:rFonts w:hint="eastAsia" w:ascii="黑体" w:hAnsi="黑体" w:eastAsia="黑体"/>
          <w:b w:val="0"/>
          <w:color w:val="auto"/>
          <w:highlight w:val="none"/>
        </w:rPr>
        <w:t>国有资本经营预算支出决算情况说明</w:t>
      </w:r>
      <w:bookmarkEnd w:id="48"/>
      <w:bookmarkEnd w:id="49"/>
    </w:p>
    <w:p w14:paraId="099A6294">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94B8A53">
      <w:pPr>
        <w:numPr>
          <w:ilvl w:val="0"/>
          <w:numId w:val="3"/>
        </w:numPr>
        <w:spacing w:line="600" w:lineRule="exact"/>
        <w:ind w:firstLine="640"/>
        <w:outlineLvl w:val="1"/>
        <w:rPr>
          <w:rStyle w:val="27"/>
          <w:rFonts w:hint="eastAsia" w:ascii="黑体" w:hAnsi="黑体" w:eastAsia="黑体"/>
          <w:b w:val="0"/>
          <w:color w:val="auto"/>
          <w:highlight w:val="none"/>
        </w:rPr>
      </w:pPr>
      <w:bookmarkStart w:id="50" w:name="_Toc15377221"/>
      <w:bookmarkStart w:id="51" w:name="_Toc15396612"/>
      <w:r>
        <w:rPr>
          <w:rStyle w:val="27"/>
          <w:rFonts w:hint="eastAsia" w:ascii="黑体" w:hAnsi="黑体" w:eastAsia="黑体"/>
          <w:b w:val="0"/>
          <w:color w:val="auto"/>
          <w:highlight w:val="none"/>
        </w:rPr>
        <w:t>其他重要事项的情况说明</w:t>
      </w:r>
      <w:bookmarkEnd w:id="50"/>
      <w:bookmarkEnd w:id="51"/>
    </w:p>
    <w:p w14:paraId="77F2B075">
      <w:pPr>
        <w:spacing w:line="600" w:lineRule="exact"/>
        <w:ind w:firstLine="643" w:firstLineChars="200"/>
        <w:outlineLvl w:val="2"/>
        <w:rPr>
          <w:rFonts w:ascii="仿宋" w:hAnsi="仿宋" w:eastAsia="仿宋"/>
          <w:color w:val="auto"/>
          <w:sz w:val="32"/>
          <w:szCs w:val="32"/>
          <w:highlight w:val="none"/>
        </w:rPr>
      </w:pPr>
      <w:bookmarkStart w:id="52" w:name="_Toc15377222"/>
      <w:r>
        <w:rPr>
          <w:rFonts w:hint="eastAsia" w:ascii="仿宋" w:hAnsi="仿宋" w:eastAsia="仿宋"/>
          <w:b/>
          <w:color w:val="auto"/>
          <w:sz w:val="32"/>
          <w:szCs w:val="32"/>
          <w:highlight w:val="none"/>
        </w:rPr>
        <w:t>（一）机关运行经费支出情况</w:t>
      </w:r>
      <w:bookmarkEnd w:id="52"/>
    </w:p>
    <w:p w14:paraId="178AAA97">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 w:hAnsi="仿宋" w:eastAsia="仿宋"/>
          <w:b w:val="0"/>
          <w:bCs/>
          <w:color w:val="auto"/>
          <w:sz w:val="32"/>
          <w:szCs w:val="32"/>
          <w:highlight w:val="none"/>
        </w:rPr>
        <w:t>财决附</w:t>
      </w:r>
      <w:r>
        <w:rPr>
          <w:rFonts w:ascii="仿宋" w:hAnsi="仿宋" w:eastAsia="仿宋"/>
          <w:b w:val="0"/>
          <w:bCs/>
          <w:color w:val="auto"/>
          <w:sz w:val="32"/>
          <w:szCs w:val="32"/>
          <w:highlight w:val="none"/>
        </w:rPr>
        <w:t>03</w:t>
      </w:r>
      <w:r>
        <w:rPr>
          <w:rFonts w:hint="eastAsia" w:ascii="仿宋" w:hAnsi="仿宋" w:eastAsia="仿宋"/>
          <w:b w:val="0"/>
          <w:bCs/>
          <w:color w:val="auto"/>
          <w:sz w:val="32"/>
          <w:szCs w:val="32"/>
          <w:highlight w:val="none"/>
        </w:rPr>
        <w:t>表</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15.43万元，实际应是（</w:t>
      </w:r>
      <w:r>
        <w:rPr>
          <w:rFonts w:hint="eastAsia" w:ascii="仿宋" w:hAnsi="仿宋" w:eastAsia="仿宋"/>
          <w:b w:val="0"/>
          <w:bCs/>
          <w:color w:val="auto"/>
          <w:sz w:val="32"/>
          <w:szCs w:val="32"/>
          <w:highlight w:val="none"/>
        </w:rPr>
        <w:t>财决</w:t>
      </w:r>
      <w:r>
        <w:rPr>
          <w:rFonts w:hint="eastAsia" w:ascii="仿宋" w:hAnsi="仿宋" w:eastAsia="仿宋"/>
          <w:b w:val="0"/>
          <w:bCs/>
          <w:color w:val="auto"/>
          <w:sz w:val="32"/>
          <w:szCs w:val="32"/>
          <w:highlight w:val="none"/>
          <w:lang w:val="en-US" w:eastAsia="zh-CN"/>
        </w:rPr>
        <w:t>05</w:t>
      </w:r>
      <w:r>
        <w:rPr>
          <w:rFonts w:hint="eastAsia" w:ascii="仿宋" w:hAnsi="仿宋" w:eastAsia="仿宋"/>
          <w:b w:val="0"/>
          <w:bCs/>
          <w:color w:val="auto"/>
          <w:sz w:val="32"/>
          <w:szCs w:val="32"/>
          <w:highlight w:val="none"/>
        </w:rPr>
        <w:t>表</w:t>
      </w:r>
      <w:r>
        <w:rPr>
          <w:rFonts w:hint="eastAsia" w:ascii="仿宋" w:hAnsi="仿宋" w:eastAsia="仿宋"/>
          <w:b w:val="0"/>
          <w:bCs/>
          <w:color w:val="auto"/>
          <w:sz w:val="32"/>
          <w:szCs w:val="32"/>
          <w:highlight w:val="none"/>
          <w:lang w:eastAsia="zh-CN"/>
        </w:rPr>
        <w:t>）</w:t>
      </w:r>
      <w:r>
        <w:rPr>
          <w:rFonts w:hint="eastAsia" w:ascii="仿宋_GB2312" w:eastAsia="仿宋_GB2312"/>
          <w:color w:val="auto"/>
          <w:sz w:val="32"/>
          <w:szCs w:val="32"/>
          <w:highlight w:val="none"/>
          <w:lang w:val="en-US" w:eastAsia="zh-CN"/>
        </w:rPr>
        <w:t>基本支出15.43万元及项目支出86.50万元，小计</w:t>
      </w:r>
      <w:r>
        <w:rPr>
          <w:rFonts w:hint="eastAsia" w:ascii="仿宋" w:hAnsi="仿宋" w:eastAsia="仿宋"/>
          <w:color w:val="auto"/>
          <w:sz w:val="32"/>
          <w:szCs w:val="32"/>
          <w:highlight w:val="none"/>
          <w:lang w:val="en-US" w:eastAsia="zh-CN"/>
        </w:rPr>
        <w:t>101.93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42.88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72.62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资本性支出（办公设备购置）增加</w:t>
      </w:r>
      <w:r>
        <w:rPr>
          <w:rFonts w:hint="eastAsia" w:ascii="仿宋_GB2312" w:eastAsia="仿宋_GB2312"/>
          <w:color w:val="auto"/>
          <w:sz w:val="32"/>
          <w:szCs w:val="32"/>
          <w:highlight w:val="none"/>
          <w:lang w:val="en-US" w:eastAsia="zh-CN"/>
        </w:rPr>
        <w:t>30万元，工作量和工作人员的增加导致办公费增加3.59万元、差旅费增加3.97万元、咨询费增加0.04万元、设备维修（护）费增加2.46万元、邮电费增加0.09万元、劳务费增加0.53万元、其他交通费1.34万元、工会经费0.19万元、福利费0.1万元、培训费0.23万元、印刷费2.09万元、其他商品和服务支出减少1.23万元 、公务接待费减少0.02万元。</w:t>
      </w:r>
    </w:p>
    <w:p w14:paraId="66A19AE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3" w:name="_Toc15377223"/>
      <w:r>
        <w:rPr>
          <w:rFonts w:hint="eastAsia" w:ascii="仿宋" w:hAnsi="仿宋" w:eastAsia="仿宋"/>
          <w:b/>
          <w:color w:val="auto"/>
          <w:sz w:val="32"/>
          <w:szCs w:val="32"/>
          <w:highlight w:val="none"/>
        </w:rPr>
        <w:t>（二）政府采购支出情况</w:t>
      </w:r>
      <w:bookmarkEnd w:id="53"/>
    </w:p>
    <w:p w14:paraId="4FFCBD11">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67B828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4" w:name="_Toc15377224"/>
      <w:r>
        <w:rPr>
          <w:rFonts w:hint="eastAsia" w:ascii="仿宋" w:hAnsi="仿宋" w:eastAsia="仿宋"/>
          <w:b/>
          <w:color w:val="auto"/>
          <w:sz w:val="32"/>
          <w:szCs w:val="32"/>
          <w:highlight w:val="none"/>
        </w:rPr>
        <w:t>（三）国有资产占有使用情况</w:t>
      </w:r>
      <w:bookmarkEnd w:id="54"/>
    </w:p>
    <w:p w14:paraId="0B3A2811">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F61AA0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2537462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预算编制阶段，预算执行过程中，</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部门整体开展绩效监控，年终执行完毕后，对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医保局</w:t>
      </w:r>
      <w:r>
        <w:rPr>
          <w:rFonts w:hint="eastAsia" w:ascii="仿宋_GB2312" w:hAnsi="仿宋_GB2312" w:eastAsia="仿宋_GB2312" w:cs="仿宋_GB2312"/>
          <w:color w:val="auto"/>
          <w:sz w:val="32"/>
          <w:szCs w:val="32"/>
          <w:highlight w:val="none"/>
        </w:rPr>
        <w:t>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14:paraId="1289AD72">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4A701C4F">
      <w:pPr>
        <w:numPr>
          <w:ilvl w:val="0"/>
          <w:numId w:val="4"/>
        </w:numPr>
        <w:spacing w:line="600" w:lineRule="exact"/>
        <w:ind w:firstLine="660" w:firstLineChars="150"/>
        <w:jc w:val="center"/>
        <w:outlineLvl w:val="0"/>
        <w:rPr>
          <w:rStyle w:val="26"/>
          <w:rFonts w:ascii="黑体" w:hAnsi="黑体" w:eastAsia="黑体"/>
          <w:b w:val="0"/>
          <w:color w:val="auto"/>
          <w:highlight w:val="none"/>
        </w:rPr>
      </w:pPr>
      <w:bookmarkStart w:id="55" w:name="_Toc15396613"/>
      <w:bookmarkStart w:id="56"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55"/>
      <w:bookmarkEnd w:id="56"/>
    </w:p>
    <w:p w14:paraId="5A05ABDA">
      <w:pPr>
        <w:spacing w:line="600" w:lineRule="exact"/>
        <w:jc w:val="left"/>
        <w:rPr>
          <w:rFonts w:ascii="宋体"/>
          <w:b/>
          <w:color w:val="auto"/>
          <w:sz w:val="44"/>
          <w:szCs w:val="44"/>
          <w:highlight w:val="none"/>
        </w:rPr>
      </w:pPr>
    </w:p>
    <w:p w14:paraId="531E332D">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7BB74844">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243DE1F3">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15130299">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E9B4929">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75A5ECA">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A473DA3">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14:paraId="0B53FAF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人力资源和社会保障管理事务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其他人力资源和社会保障管理事务</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除行政运行、一般行政管理事务等项目以外的其他用于人力资源和社会保障管理事务方面的支出。</w:t>
      </w:r>
    </w:p>
    <w:p w14:paraId="08A2F9C9">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医疗卫生与计划生育（类）</w:t>
      </w:r>
      <w:r>
        <w:rPr>
          <w:rFonts w:hint="eastAsia" w:ascii="仿宋_GB2312" w:eastAsia="仿宋_GB2312"/>
          <w:color w:val="auto"/>
          <w:sz w:val="32"/>
          <w:szCs w:val="32"/>
          <w:highlight w:val="none"/>
          <w:lang w:eastAsia="zh-CN"/>
        </w:rPr>
        <w:t>医疗保障事务管理</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行政单位的基本支出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机关服务（项）指行政单位提供后勤服务的各类后勤服务中心、医务室等附属事业单位的支出。信息化建设（项）指医疗保障部门用于信息化建设、开发、运行维护和数据分析等方面支出。医疗保障政策管理（项）指医疗保障待遇管理、医药服务管理、医药价格和招标采购管理、医疗保障基金监管等支出。医疗保障经办事务（项）指医保基金核算、精算、参保登记、权益记录、转移接续等医疗保障经办支出。其他医疗保障管理事务支出（项）指除上述项目以外的其他用于医疗保障管理事务方面的支出。</w:t>
      </w:r>
    </w:p>
    <w:p w14:paraId="14B3549C">
      <w:pPr>
        <w:ind w:firstLine="640" w:firstLineChars="200"/>
        <w:rPr>
          <w:rFonts w:ascii="仿宋_GB2312" w:eastAsia="仿宋_GB2312"/>
          <w:color w:val="auto"/>
          <w:sz w:val="32"/>
          <w:szCs w:val="32"/>
          <w:highlight w:val="yellow"/>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为单位职工缴纳住房公积金支出</w:t>
      </w:r>
      <w:r>
        <w:rPr>
          <w:rFonts w:hint="eastAsia" w:ascii="仿宋_GB2312" w:eastAsia="仿宋_GB2312"/>
          <w:color w:val="auto"/>
          <w:sz w:val="32"/>
          <w:szCs w:val="32"/>
          <w:highlight w:val="none"/>
        </w:rPr>
        <w:t>。</w:t>
      </w:r>
    </w:p>
    <w:p w14:paraId="6F97AFA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基本支出：指为保障机构正常运转、完成日常工作任务而发生的人员支出和公用支出。</w:t>
      </w:r>
    </w:p>
    <w:p w14:paraId="086B02C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549538B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536EE172">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0CCF719">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3C4D8E">
      <w:pPr>
        <w:pStyle w:val="24"/>
        <w:spacing w:line="560" w:lineRule="exact"/>
        <w:ind w:firstLine="640" w:firstLineChars="200"/>
        <w:rPr>
          <w:rFonts w:ascii="仿宋_GB2312" w:eastAsia="仿宋_GB2312"/>
          <w:color w:val="auto"/>
          <w:sz w:val="32"/>
          <w:szCs w:val="32"/>
          <w:highlight w:val="none"/>
        </w:rPr>
      </w:pPr>
    </w:p>
    <w:p w14:paraId="555FBE7B">
      <w:pPr>
        <w:pStyle w:val="24"/>
        <w:spacing w:line="560" w:lineRule="exact"/>
        <w:ind w:firstLine="640" w:firstLineChars="200"/>
        <w:rPr>
          <w:rFonts w:ascii="仿宋_GB2312" w:eastAsia="仿宋_GB2312" w:cs="黑体"/>
          <w:color w:val="auto"/>
          <w:sz w:val="32"/>
          <w:szCs w:val="32"/>
          <w:highlight w:val="none"/>
        </w:rPr>
      </w:pPr>
    </w:p>
    <w:p w14:paraId="7B38671A">
      <w:pPr>
        <w:spacing w:line="600" w:lineRule="exact"/>
        <w:jc w:val="center"/>
        <w:outlineLvl w:val="0"/>
        <w:rPr>
          <w:rStyle w:val="26"/>
          <w:rFonts w:hint="eastAsia" w:ascii="黑体" w:hAnsi="黑体" w:eastAsia="黑体"/>
          <w:b w:val="0"/>
          <w:color w:val="auto"/>
          <w:highlight w:val="none"/>
          <w:lang w:eastAsia="zh-CN"/>
        </w:rPr>
      </w:pPr>
      <w:bookmarkStart w:id="57" w:name="_Toc15377226"/>
      <w:r>
        <w:rPr>
          <w:rFonts w:ascii="宋体"/>
          <w:b/>
          <w:color w:val="auto"/>
          <w:sz w:val="44"/>
          <w:szCs w:val="44"/>
          <w:highlight w:val="none"/>
        </w:rPr>
        <w:br w:type="page"/>
      </w:r>
      <w:bookmarkStart w:id="58"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8"/>
    </w:p>
    <w:p w14:paraId="71E27888">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2DBBAEF2">
      <w:pPr>
        <w:spacing w:line="60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开江县</w:t>
      </w:r>
      <w:r>
        <w:rPr>
          <w:rFonts w:hint="eastAsia" w:ascii="方正小标宋简体" w:eastAsia="方正小标宋简体"/>
          <w:sz w:val="44"/>
          <w:szCs w:val="44"/>
          <w:lang w:val="en-US" w:eastAsia="zh-CN"/>
        </w:rPr>
        <w:t>医疗保障局</w:t>
      </w:r>
    </w:p>
    <w:p w14:paraId="3932CCFF">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年部门整体支出绩效自评报告</w:t>
      </w:r>
    </w:p>
    <w:p w14:paraId="3F8ED2E9">
      <w:pPr>
        <w:spacing w:line="600" w:lineRule="exact"/>
        <w:jc w:val="center"/>
        <w:rPr>
          <w:rFonts w:ascii="方正小标宋简体" w:eastAsia="方正小标宋简体"/>
          <w:sz w:val="44"/>
          <w:szCs w:val="44"/>
        </w:rPr>
      </w:pPr>
    </w:p>
    <w:p w14:paraId="2706AFA6">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根据《开江县预算绩效管理工作考核办法》文件要求文件精神，对20</w:t>
      </w:r>
      <w:r>
        <w:rPr>
          <w:rFonts w:hint="eastAsia" w:ascii="仿宋" w:hAnsi="仿宋" w:eastAsia="仿宋" w:cs="仿宋"/>
          <w:sz w:val="32"/>
          <w:szCs w:val="32"/>
          <w:lang w:val="en-US" w:eastAsia="zh-CN"/>
        </w:rPr>
        <w:t>21</w:t>
      </w:r>
      <w:r>
        <w:rPr>
          <w:rFonts w:hint="eastAsia" w:ascii="仿宋" w:hAnsi="仿宋" w:eastAsia="仿宋" w:cs="仿宋"/>
          <w:sz w:val="32"/>
          <w:szCs w:val="32"/>
        </w:rPr>
        <w:t>年部门整体支出绩效进行了自评。现将自评情况报告如下：</w:t>
      </w:r>
    </w:p>
    <w:p w14:paraId="567F8A17">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一、部门概况</w:t>
      </w:r>
    </w:p>
    <w:p w14:paraId="3775F9F7">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(一）主要职能职责</w:t>
      </w:r>
    </w:p>
    <w:p w14:paraId="13472A7F">
      <w:pPr>
        <w:numPr>
          <w:ilvl w:val="0"/>
          <w:numId w:val="0"/>
        </w:numPr>
        <w:ind w:left="150" w:leftChars="0" w:firstLine="806" w:firstLineChars="252"/>
        <w:jc w:val="left"/>
        <w:rPr>
          <w:rFonts w:hint="eastAsia" w:ascii="仿宋" w:hAnsi="仿宋" w:eastAsia="仿宋" w:cs="仿宋"/>
          <w:b w:val="0"/>
          <w:bCs w:val="0"/>
          <w:color w:val="555555"/>
          <w:sz w:val="32"/>
          <w:szCs w:val="32"/>
          <w:shd w:val="clear" w:color="auto" w:fill="auto"/>
        </w:rPr>
      </w:pPr>
      <w:r>
        <w:rPr>
          <w:rFonts w:hint="eastAsia" w:ascii="仿宋" w:hAnsi="仿宋" w:eastAsia="仿宋" w:cs="仿宋"/>
          <w:b w:val="0"/>
          <w:bCs w:val="0"/>
          <w:color w:val="555555"/>
          <w:sz w:val="32"/>
          <w:szCs w:val="32"/>
          <w:shd w:val="clear" w:color="auto" w:fill="auto"/>
        </w:rPr>
        <w:t>开江县医疗保障局为</w:t>
      </w:r>
      <w:r>
        <w:rPr>
          <w:rFonts w:hint="eastAsia" w:ascii="仿宋" w:hAnsi="仿宋" w:eastAsia="仿宋" w:cs="仿宋"/>
          <w:b w:val="0"/>
          <w:bCs w:val="0"/>
          <w:color w:val="555555"/>
          <w:sz w:val="32"/>
          <w:szCs w:val="32"/>
          <w:shd w:val="clear" w:color="auto" w:fill="auto"/>
          <w:lang w:eastAsia="zh-CN"/>
        </w:rPr>
        <w:t>县</w:t>
      </w:r>
      <w:r>
        <w:rPr>
          <w:rFonts w:hint="eastAsia" w:ascii="仿宋" w:hAnsi="仿宋" w:eastAsia="仿宋" w:cs="仿宋"/>
          <w:b w:val="0"/>
          <w:bCs w:val="0"/>
          <w:color w:val="555555"/>
          <w:sz w:val="32"/>
          <w:szCs w:val="32"/>
          <w:shd w:val="clear" w:color="auto" w:fill="auto"/>
        </w:rPr>
        <w:t>政府</w:t>
      </w:r>
      <w:r>
        <w:rPr>
          <w:rFonts w:hint="eastAsia" w:ascii="仿宋" w:hAnsi="仿宋" w:eastAsia="仿宋" w:cs="仿宋"/>
          <w:b w:val="0"/>
          <w:bCs w:val="0"/>
          <w:color w:val="555555"/>
          <w:sz w:val="32"/>
          <w:szCs w:val="32"/>
          <w:shd w:val="clear" w:color="auto" w:fill="auto"/>
          <w:lang w:eastAsia="zh-CN"/>
        </w:rPr>
        <w:t>工作</w:t>
      </w:r>
      <w:r>
        <w:rPr>
          <w:rFonts w:hint="eastAsia" w:ascii="仿宋" w:hAnsi="仿宋" w:eastAsia="仿宋" w:cs="仿宋"/>
          <w:b w:val="0"/>
          <w:bCs w:val="0"/>
          <w:color w:val="555555"/>
          <w:sz w:val="32"/>
          <w:szCs w:val="32"/>
          <w:shd w:val="clear" w:color="auto" w:fill="auto"/>
        </w:rPr>
        <w:t>部门。</w:t>
      </w:r>
      <w:r>
        <w:rPr>
          <w:rFonts w:hint="eastAsia" w:ascii="仿宋" w:hAnsi="仿宋" w:eastAsia="仿宋" w:cs="仿宋"/>
          <w:b w:val="0"/>
          <w:bCs w:val="0"/>
          <w:color w:val="555555"/>
          <w:sz w:val="32"/>
          <w:szCs w:val="32"/>
          <w:shd w:val="clear" w:color="auto" w:fill="auto"/>
          <w:lang w:eastAsia="zh-CN"/>
        </w:rPr>
        <w:t>其</w:t>
      </w:r>
      <w:r>
        <w:rPr>
          <w:rFonts w:hint="eastAsia" w:ascii="仿宋" w:hAnsi="仿宋" w:eastAsia="仿宋" w:cs="仿宋"/>
          <w:b w:val="0"/>
          <w:bCs w:val="0"/>
          <w:color w:val="555555"/>
          <w:sz w:val="32"/>
          <w:szCs w:val="32"/>
          <w:shd w:val="clear" w:color="auto" w:fill="auto"/>
        </w:rPr>
        <w:t>主要职责</w:t>
      </w:r>
      <w:r>
        <w:rPr>
          <w:rFonts w:hint="eastAsia" w:ascii="仿宋" w:hAnsi="仿宋" w:eastAsia="仿宋" w:cs="仿宋"/>
          <w:b w:val="0"/>
          <w:bCs w:val="0"/>
          <w:color w:val="555555"/>
          <w:sz w:val="32"/>
          <w:szCs w:val="32"/>
          <w:shd w:val="clear" w:color="auto" w:fill="auto"/>
          <w:lang w:eastAsia="zh-CN"/>
        </w:rPr>
        <w:t>是</w:t>
      </w:r>
      <w:r>
        <w:rPr>
          <w:rFonts w:hint="eastAsia" w:ascii="仿宋" w:hAnsi="仿宋" w:eastAsia="仿宋" w:cs="仿宋"/>
          <w:b w:val="0"/>
          <w:bCs w:val="0"/>
          <w:color w:val="555555"/>
          <w:sz w:val="32"/>
          <w:szCs w:val="32"/>
          <w:shd w:val="clear" w:color="auto" w:fill="auto"/>
        </w:rPr>
        <w:t>：1.组织我县医疗保险、生育保险、医疗救助的政策制定、实施。2.组织医疗保险、生育保险、医疗救助的监督检查，进一步推进打击欺诈骗保专项行动。3.组织医疗保障筹资和待遇落实。4.推进医疗保障基金支付方式改革。5.组织建立医疗服务项目、设施价格确定、调整机制，负责药品、医用耗材采购政策的监督落实。6.推进医疗保障经办管理，公共服务体系建设。7.实施全县医疗保障信息化系统建设。8.广泛宣传医疗保障政策。9.县委、</w:t>
      </w:r>
      <w:r>
        <w:rPr>
          <w:rFonts w:hint="eastAsia" w:ascii="仿宋" w:hAnsi="仿宋" w:eastAsia="仿宋" w:cs="仿宋"/>
          <w:b w:val="0"/>
          <w:bCs w:val="0"/>
          <w:color w:val="555555"/>
          <w:sz w:val="32"/>
          <w:szCs w:val="32"/>
          <w:shd w:val="clear" w:color="auto" w:fill="auto"/>
          <w:lang w:val="en-US" w:eastAsia="zh-CN"/>
        </w:rPr>
        <w:t>县</w:t>
      </w:r>
      <w:bookmarkStart w:id="73" w:name="_GoBack"/>
      <w:bookmarkEnd w:id="73"/>
      <w:r>
        <w:rPr>
          <w:rFonts w:hint="eastAsia" w:ascii="仿宋" w:hAnsi="仿宋" w:eastAsia="仿宋" w:cs="仿宋"/>
          <w:b w:val="0"/>
          <w:bCs w:val="0"/>
          <w:color w:val="555555"/>
          <w:sz w:val="32"/>
          <w:szCs w:val="32"/>
          <w:shd w:val="clear" w:color="auto" w:fill="auto"/>
        </w:rPr>
        <w:t>政府交办的其他事项。</w:t>
      </w:r>
    </w:p>
    <w:p w14:paraId="36881643">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（二）机构、人员情况</w:t>
      </w:r>
    </w:p>
    <w:p w14:paraId="598ED4AA">
      <w:pPr>
        <w:pStyle w:val="13"/>
        <w:shd w:val="clear" w:color="auto" w:fill="FFFFFF"/>
        <w:spacing w:line="480" w:lineRule="auto"/>
        <w:ind w:firstLine="640" w:firstLineChars="200"/>
        <w:jc w:val="both"/>
        <w:rPr>
          <w:rFonts w:hint="eastAsia" w:ascii="仿宋" w:hAnsi="仿宋" w:eastAsia="仿宋" w:cs="仿宋"/>
          <w:sz w:val="30"/>
          <w:szCs w:val="30"/>
          <w:lang w:eastAsia="zh-CN"/>
        </w:rPr>
      </w:pPr>
      <w:r>
        <w:rPr>
          <w:rFonts w:hint="eastAsia" w:ascii="仿宋" w:hAnsi="仿宋" w:eastAsia="仿宋" w:cs="仿宋"/>
          <w:sz w:val="32"/>
          <w:szCs w:val="32"/>
        </w:rPr>
        <w:t>开江县</w:t>
      </w:r>
      <w:r>
        <w:rPr>
          <w:rFonts w:hint="eastAsia" w:ascii="仿宋" w:hAnsi="仿宋" w:eastAsia="仿宋" w:cs="仿宋"/>
          <w:sz w:val="32"/>
          <w:szCs w:val="32"/>
          <w:lang w:eastAsia="zh-CN"/>
        </w:rPr>
        <w:t>医疗保障局内设三股一室</w:t>
      </w:r>
      <w:r>
        <w:rPr>
          <w:rFonts w:hint="eastAsia" w:ascii="仿宋" w:hAnsi="仿宋" w:eastAsia="仿宋" w:cs="仿宋"/>
          <w:sz w:val="30"/>
          <w:szCs w:val="30"/>
          <w:lang w:eastAsia="zh-CN"/>
        </w:rPr>
        <w:t>，</w:t>
      </w:r>
      <w:r>
        <w:rPr>
          <w:rFonts w:hint="eastAsia" w:ascii="仿宋" w:hAnsi="仿宋" w:eastAsia="仿宋" w:cs="仿宋"/>
          <w:sz w:val="32"/>
          <w:szCs w:val="32"/>
        </w:rPr>
        <w:t>核定编制</w:t>
      </w:r>
      <w:r>
        <w:rPr>
          <w:rFonts w:hint="eastAsia" w:ascii="仿宋" w:hAnsi="仿宋" w:eastAsia="仿宋" w:cs="仿宋"/>
          <w:sz w:val="32"/>
          <w:szCs w:val="32"/>
          <w:lang w:val="en-US" w:eastAsia="zh-CN"/>
        </w:rPr>
        <w:t>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0"/>
          <w:szCs w:val="30"/>
        </w:rPr>
        <w:t>在职职工人数</w:t>
      </w:r>
      <w:r>
        <w:rPr>
          <w:rFonts w:hint="eastAsia" w:ascii="仿宋" w:hAnsi="仿宋" w:eastAsia="仿宋" w:cs="仿宋"/>
          <w:sz w:val="30"/>
          <w:szCs w:val="30"/>
          <w:lang w:val="en-US" w:eastAsia="zh-CN"/>
        </w:rPr>
        <w:t>10</w:t>
      </w:r>
      <w:r>
        <w:rPr>
          <w:rFonts w:hint="eastAsia" w:ascii="仿宋" w:hAnsi="仿宋" w:eastAsia="仿宋" w:cs="仿宋"/>
          <w:sz w:val="30"/>
          <w:szCs w:val="30"/>
          <w:lang w:eastAsia="zh-CN"/>
        </w:rPr>
        <w:t>人。</w:t>
      </w:r>
    </w:p>
    <w:p w14:paraId="5CDA58E9">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二、部门财政资金收支情况</w:t>
      </w:r>
    </w:p>
    <w:p w14:paraId="009A7BB9">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（一）部门财政资金收入情况</w:t>
      </w:r>
    </w:p>
    <w:p w14:paraId="57B695C3">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年财政资金</w:t>
      </w:r>
      <w:r>
        <w:rPr>
          <w:rFonts w:hint="eastAsia" w:ascii="仿宋" w:hAnsi="仿宋" w:eastAsia="仿宋" w:cs="仿宋"/>
          <w:sz w:val="32"/>
          <w:szCs w:val="32"/>
          <w:lang w:eastAsia="zh-CN"/>
        </w:rPr>
        <w:t>预算</w:t>
      </w:r>
      <w:r>
        <w:rPr>
          <w:rFonts w:hint="eastAsia" w:ascii="仿宋" w:hAnsi="仿宋" w:eastAsia="仿宋" w:cs="仿宋"/>
          <w:sz w:val="32"/>
          <w:szCs w:val="32"/>
        </w:rPr>
        <w:t>收入</w:t>
      </w:r>
      <w:r>
        <w:rPr>
          <w:rFonts w:hint="eastAsia" w:ascii="仿宋" w:hAnsi="仿宋" w:eastAsia="仿宋" w:cs="仿宋"/>
          <w:sz w:val="32"/>
          <w:szCs w:val="32"/>
          <w:lang w:val="en-US" w:eastAsia="zh-CN"/>
        </w:rPr>
        <w:t>190.18</w:t>
      </w:r>
      <w:r>
        <w:rPr>
          <w:rFonts w:hint="eastAsia" w:ascii="仿宋" w:hAnsi="仿宋" w:eastAsia="仿宋" w:cs="仿宋"/>
          <w:sz w:val="32"/>
          <w:szCs w:val="32"/>
        </w:rPr>
        <w:t>万元。</w:t>
      </w:r>
    </w:p>
    <w:p w14:paraId="46E40598">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（二）部门财政资金支出情况</w:t>
      </w:r>
    </w:p>
    <w:p w14:paraId="215A8A4A">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年财政资金基本支出</w:t>
      </w:r>
      <w:r>
        <w:rPr>
          <w:rFonts w:hint="eastAsia" w:ascii="仿宋" w:hAnsi="仿宋" w:eastAsia="仿宋" w:cs="仿宋"/>
          <w:sz w:val="32"/>
          <w:szCs w:val="32"/>
          <w:lang w:val="en-US" w:eastAsia="zh-CN"/>
        </w:rPr>
        <w:t>103.68</w:t>
      </w:r>
      <w:r>
        <w:rPr>
          <w:rFonts w:hint="eastAsia" w:ascii="仿宋" w:hAnsi="仿宋" w:eastAsia="仿宋" w:cs="仿宋"/>
          <w:sz w:val="32"/>
          <w:szCs w:val="32"/>
        </w:rPr>
        <w:t>万元，其中</w:t>
      </w:r>
      <w:r>
        <w:rPr>
          <w:rFonts w:hint="eastAsia" w:ascii="仿宋" w:hAnsi="仿宋" w:eastAsia="仿宋" w:cs="仿宋"/>
          <w:sz w:val="32"/>
          <w:szCs w:val="32"/>
          <w:lang w:eastAsia="zh-CN"/>
        </w:rPr>
        <w:t>人员</w:t>
      </w:r>
      <w:r>
        <w:rPr>
          <w:rFonts w:hint="eastAsia" w:ascii="仿宋" w:hAnsi="仿宋" w:eastAsia="仿宋" w:cs="仿宋"/>
          <w:sz w:val="32"/>
          <w:szCs w:val="32"/>
        </w:rPr>
        <w:t>工资及福利支出</w:t>
      </w:r>
      <w:r>
        <w:rPr>
          <w:rFonts w:hint="eastAsia" w:ascii="仿宋" w:hAnsi="仿宋" w:eastAsia="仿宋" w:cs="仿宋"/>
          <w:sz w:val="32"/>
          <w:szCs w:val="32"/>
          <w:lang w:val="en-US" w:eastAsia="zh-CN"/>
        </w:rPr>
        <w:t>88.24</w:t>
      </w:r>
      <w:r>
        <w:rPr>
          <w:rFonts w:hint="eastAsia" w:ascii="仿宋" w:hAnsi="仿宋" w:eastAsia="仿宋" w:cs="仿宋"/>
          <w:sz w:val="32"/>
          <w:szCs w:val="32"/>
        </w:rPr>
        <w:t>万元、</w:t>
      </w:r>
      <w:r>
        <w:rPr>
          <w:rFonts w:hint="eastAsia" w:ascii="仿宋" w:hAnsi="仿宋" w:eastAsia="仿宋" w:cs="仿宋"/>
          <w:sz w:val="32"/>
          <w:szCs w:val="32"/>
          <w:lang w:val="en-US" w:eastAsia="zh-CN"/>
        </w:rPr>
        <w:t>商品及服务支出15.43</w:t>
      </w:r>
      <w:r>
        <w:rPr>
          <w:rFonts w:hint="eastAsia" w:ascii="仿宋" w:hAnsi="仿宋" w:eastAsia="仿宋" w:cs="仿宋"/>
          <w:sz w:val="32"/>
          <w:szCs w:val="32"/>
        </w:rPr>
        <w:t>万元</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86.49万元。</w:t>
      </w:r>
      <w:r>
        <w:rPr>
          <w:rFonts w:hint="eastAsia" w:ascii="仿宋" w:hAnsi="仿宋" w:eastAsia="仿宋" w:cs="仿宋"/>
          <w:sz w:val="32"/>
          <w:szCs w:val="32"/>
        </w:rPr>
        <w:t xml:space="preserve"> </w:t>
      </w:r>
    </w:p>
    <w:p w14:paraId="227C5E99">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三、部门</w:t>
      </w:r>
      <w:r>
        <w:rPr>
          <w:rFonts w:hint="eastAsia" w:ascii="仿宋" w:hAnsi="仿宋" w:eastAsia="仿宋" w:cs="仿宋"/>
          <w:sz w:val="32"/>
          <w:szCs w:val="32"/>
          <w:lang w:eastAsia="zh-CN"/>
        </w:rPr>
        <w:t>整体预算绩效</w:t>
      </w:r>
      <w:r>
        <w:rPr>
          <w:rFonts w:hint="eastAsia" w:ascii="仿宋" w:hAnsi="仿宋" w:eastAsia="仿宋" w:cs="仿宋"/>
          <w:sz w:val="32"/>
          <w:szCs w:val="32"/>
        </w:rPr>
        <w:t>管理情况</w:t>
      </w:r>
    </w:p>
    <w:p w14:paraId="3A11C592">
      <w:pPr>
        <w:pStyle w:val="13"/>
        <w:shd w:val="clear" w:color="auto" w:fill="FFFFFF"/>
        <w:spacing w:line="48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部门预算项目绩效管理</w:t>
      </w:r>
    </w:p>
    <w:p w14:paraId="625CC30D">
      <w:pPr>
        <w:pStyle w:val="13"/>
        <w:shd w:val="clear" w:color="auto" w:fill="FFFFFF"/>
        <w:spacing w:line="48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1、目标制定：</w:t>
      </w:r>
      <w:r>
        <w:rPr>
          <w:rFonts w:hint="eastAsia" w:ascii="仿宋" w:hAnsi="仿宋" w:eastAsia="仿宋" w:cs="仿宋"/>
          <w:sz w:val="32"/>
          <w:szCs w:val="32"/>
          <w:lang w:eastAsia="zh-CN"/>
        </w:rPr>
        <w:t xml:space="preserve">绩效目标编制要素完整，绩效指标有细化量化，绩效目标纳入部门党组（委）会（办公会）集体决策范围。   </w:t>
      </w:r>
    </w:p>
    <w:p w14:paraId="2483A5F8">
      <w:pPr>
        <w:pStyle w:val="13"/>
        <w:shd w:val="clear" w:color="auto" w:fill="FFFFFF"/>
        <w:spacing w:line="48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2、目标实现：数量指标--2021年城乡居民医保人数46.2万人，医疗保险监督检查定点医疗机构30家，定点药店109家。可持续发展指标--打击欺诈骗保，</w:t>
      </w:r>
      <w:r>
        <w:rPr>
          <w:rFonts w:hint="eastAsia" w:ascii="仿宋" w:hAnsi="仿宋" w:eastAsia="仿宋" w:cs="仿宋"/>
          <w:color w:val="auto"/>
          <w:kern w:val="2"/>
          <w:sz w:val="32"/>
          <w:szCs w:val="32"/>
          <w:lang w:val="en-US" w:eastAsia="zh-CN" w:bidi="ar-SA"/>
        </w:rPr>
        <w:t>涉及违规医疗机构28家，追回全部违规资金125.21万元。利用大数据信息分析发现的线索和群众举报线索，对4家医院进行立案查处，行政处罚50.59万元，追缴基金15.53万元，并对3家情节严重的医院移交县纪委监委进一步调查处理</w:t>
      </w:r>
      <w:r>
        <w:rPr>
          <w:rFonts w:hint="eastAsia" w:ascii="仿宋" w:hAnsi="仿宋" w:eastAsia="仿宋" w:cs="仿宋"/>
          <w:sz w:val="32"/>
          <w:szCs w:val="32"/>
          <w:lang w:eastAsia="zh-CN"/>
        </w:rPr>
        <w:t xml:space="preserve"> 。质量指标</w:t>
      </w:r>
      <w:r>
        <w:rPr>
          <w:rFonts w:hint="eastAsia" w:ascii="仿宋" w:hAnsi="仿宋" w:eastAsia="仿宋" w:cs="仿宋"/>
          <w:sz w:val="32"/>
          <w:szCs w:val="32"/>
          <w:lang w:val="en-US" w:eastAsia="zh-CN"/>
        </w:rPr>
        <w:t>--监督检查和智能监控达100%。</w:t>
      </w:r>
    </w:p>
    <w:p w14:paraId="31D0C940">
      <w:pPr>
        <w:pStyle w:val="13"/>
        <w:shd w:val="clear" w:color="auto" w:fill="FFFFFF"/>
        <w:spacing w:line="480" w:lineRule="auto"/>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支出控制：</w:t>
      </w:r>
      <w:r>
        <w:rPr>
          <w:rFonts w:hint="eastAsia" w:ascii="仿宋" w:hAnsi="仿宋" w:eastAsia="仿宋" w:cs="仿宋"/>
          <w:sz w:val="32"/>
          <w:szCs w:val="32"/>
          <w:lang w:val="en-US" w:eastAsia="zh-CN"/>
        </w:rPr>
        <w:t>2021年未进行项目支出预算，年初预算与决算有偏差。</w:t>
      </w:r>
      <w:r>
        <w:rPr>
          <w:rFonts w:hint="eastAsia" w:ascii="仿宋" w:hAnsi="仿宋" w:eastAsia="仿宋" w:cs="仿宋"/>
          <w:sz w:val="32"/>
          <w:szCs w:val="32"/>
          <w:lang w:eastAsia="zh-CN"/>
        </w:rPr>
        <w:t xml:space="preserve">                                                                                                                                 </w:t>
      </w:r>
    </w:p>
    <w:p w14:paraId="5EFB970E">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4、执行进度：1-12月完成103.68万元，</w:t>
      </w:r>
      <w:r>
        <w:rPr>
          <w:rFonts w:hint="eastAsia" w:ascii="仿宋" w:hAnsi="仿宋" w:eastAsia="仿宋" w:cs="仿宋"/>
          <w:sz w:val="32"/>
          <w:szCs w:val="32"/>
          <w:lang w:eastAsia="zh-CN"/>
        </w:rPr>
        <w:t>其中一般公共预算经费包括</w:t>
      </w:r>
      <w:r>
        <w:rPr>
          <w:rFonts w:hint="eastAsia" w:ascii="仿宋" w:hAnsi="仿宋" w:eastAsia="仿宋" w:cs="仿宋"/>
          <w:sz w:val="32"/>
          <w:szCs w:val="32"/>
        </w:rPr>
        <w:t>工资及社会保障缴费、住房公积金等</w:t>
      </w:r>
      <w:r>
        <w:rPr>
          <w:rFonts w:hint="eastAsia" w:ascii="仿宋" w:hAnsi="仿宋" w:eastAsia="仿宋" w:cs="仿宋"/>
          <w:sz w:val="32"/>
          <w:szCs w:val="32"/>
          <w:lang w:val="en-US" w:eastAsia="zh-CN"/>
        </w:rPr>
        <w:t>88.24</w:t>
      </w:r>
      <w:r>
        <w:rPr>
          <w:rFonts w:hint="eastAsia" w:ascii="仿宋" w:hAnsi="仿宋" w:eastAsia="仿宋" w:cs="仿宋"/>
          <w:sz w:val="32"/>
          <w:szCs w:val="32"/>
        </w:rPr>
        <w:t>万元</w:t>
      </w:r>
      <w:r>
        <w:rPr>
          <w:rFonts w:hint="eastAsia" w:ascii="仿宋" w:hAnsi="仿宋" w:eastAsia="仿宋" w:cs="仿宋"/>
          <w:sz w:val="32"/>
          <w:szCs w:val="32"/>
          <w:lang w:eastAsia="zh-CN"/>
        </w:rPr>
        <w:t>员，</w:t>
      </w:r>
      <w:r>
        <w:rPr>
          <w:rFonts w:hint="eastAsia" w:ascii="仿宋" w:hAnsi="仿宋" w:eastAsia="仿宋" w:cs="仿宋"/>
          <w:sz w:val="32"/>
          <w:szCs w:val="32"/>
        </w:rPr>
        <w:t>工资及福利财政</w:t>
      </w:r>
      <w:r>
        <w:rPr>
          <w:rFonts w:hint="eastAsia" w:ascii="仿宋" w:hAnsi="仿宋" w:eastAsia="仿宋" w:cs="仿宋"/>
          <w:sz w:val="32"/>
          <w:szCs w:val="32"/>
          <w:lang w:eastAsia="zh-CN"/>
        </w:rPr>
        <w:t>足</w:t>
      </w:r>
      <w:r>
        <w:rPr>
          <w:rFonts w:hint="eastAsia" w:ascii="仿宋" w:hAnsi="仿宋" w:eastAsia="仿宋" w:cs="仿宋"/>
          <w:sz w:val="32"/>
          <w:szCs w:val="32"/>
        </w:rPr>
        <w:t>额拨付到位；全年</w:t>
      </w:r>
      <w:r>
        <w:rPr>
          <w:rFonts w:hint="eastAsia" w:ascii="仿宋" w:hAnsi="仿宋" w:eastAsia="仿宋" w:cs="仿宋"/>
          <w:sz w:val="32"/>
          <w:szCs w:val="32"/>
          <w:lang w:eastAsia="zh-CN"/>
        </w:rPr>
        <w:t>财政一般公共预算</w:t>
      </w:r>
      <w:r>
        <w:rPr>
          <w:rFonts w:hint="eastAsia" w:ascii="仿宋" w:hAnsi="仿宋" w:eastAsia="仿宋" w:cs="仿宋"/>
          <w:sz w:val="32"/>
          <w:szCs w:val="32"/>
        </w:rPr>
        <w:t>公用经费</w:t>
      </w:r>
      <w:r>
        <w:rPr>
          <w:rFonts w:hint="eastAsia" w:ascii="仿宋" w:hAnsi="仿宋" w:eastAsia="仿宋" w:cs="仿宋"/>
          <w:sz w:val="32"/>
          <w:szCs w:val="32"/>
          <w:lang w:val="en-US" w:eastAsia="zh-CN"/>
        </w:rPr>
        <w:t>15.43</w:t>
      </w:r>
      <w:r>
        <w:rPr>
          <w:rFonts w:hint="eastAsia" w:ascii="仿宋" w:hAnsi="仿宋" w:eastAsia="仿宋" w:cs="仿宋"/>
          <w:sz w:val="32"/>
          <w:szCs w:val="32"/>
        </w:rPr>
        <w:t>万元，在有限经费下厉行节约，降低行政运行成本，压缩三公经费开支</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依据我单位履职要求和各科室年度工作计划，认真征求统计各项经费需求，参考以前年度年初预算编审、预算执行中期评估、支出绩效评价成果、资产占有和使用情况等因素，按照综合预算要求，做到各项收入、支出预算的编制合理、完整、规范，确保不重不漏，无部门预算以外保留的其他收支项目。</w:t>
      </w:r>
      <w:r>
        <w:rPr>
          <w:rFonts w:hint="eastAsia" w:ascii="仿宋" w:hAnsi="仿宋" w:eastAsia="仿宋" w:cs="仿宋"/>
          <w:sz w:val="32"/>
          <w:szCs w:val="32"/>
        </w:rPr>
        <w:br w:type="textWrapping"/>
      </w:r>
      <w:r>
        <w:rPr>
          <w:rFonts w:hint="eastAsia" w:ascii="仿宋" w:hAnsi="仿宋" w:eastAsia="仿宋" w:cs="仿宋"/>
          <w:sz w:val="32"/>
          <w:szCs w:val="32"/>
        </w:rPr>
        <w:t>　　支出预算严格按照“零基预算”方法，人员经费按标准、日常公用经费按定额、专项支出按项目分别编制。</w:t>
      </w:r>
    </w:p>
    <w:p w14:paraId="5F977ABF">
      <w:pPr>
        <w:pStyle w:val="13"/>
        <w:shd w:val="clear" w:color="auto" w:fill="FFFFFF"/>
        <w:spacing w:line="48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5、预算完成：部门预算项目12月预算执行进度达到100%。</w:t>
      </w:r>
    </w:p>
    <w:p w14:paraId="16C7D708">
      <w:pPr>
        <w:pStyle w:val="13"/>
        <w:shd w:val="clear" w:color="auto" w:fill="FFFFFF"/>
        <w:spacing w:line="48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6、违规记录：无部门预算管理方面违纪违规问题。</w:t>
      </w:r>
    </w:p>
    <w:p w14:paraId="48821B38">
      <w:pPr>
        <w:pStyle w:val="13"/>
        <w:shd w:val="clear" w:color="auto" w:fill="FFFFFF"/>
        <w:spacing w:line="480" w:lineRule="auto"/>
        <w:jc w:val="both"/>
        <w:rPr>
          <w:rFonts w:hint="eastAsia" w:ascii="仿宋" w:hAnsi="仿宋" w:eastAsia="仿宋" w:cs="仿宋"/>
          <w:sz w:val="32"/>
          <w:szCs w:val="32"/>
          <w:lang w:eastAsia="zh-CN"/>
        </w:rPr>
      </w:pPr>
      <w:r>
        <w:rPr>
          <w:rFonts w:hint="eastAsia" w:ascii="仿宋" w:hAnsi="仿宋" w:eastAsia="仿宋" w:cs="仿宋"/>
          <w:sz w:val="32"/>
          <w:szCs w:val="32"/>
        </w:rPr>
        <w:t>　（二）</w:t>
      </w:r>
      <w:r>
        <w:rPr>
          <w:rFonts w:hint="eastAsia" w:ascii="仿宋" w:hAnsi="仿宋" w:eastAsia="仿宋" w:cs="仿宋"/>
          <w:sz w:val="32"/>
          <w:szCs w:val="32"/>
          <w:lang w:eastAsia="zh-CN"/>
        </w:rPr>
        <w:t>结果应用情况</w:t>
      </w:r>
    </w:p>
    <w:p w14:paraId="41DADE0C">
      <w:pPr>
        <w:pStyle w:val="13"/>
        <w:shd w:val="clear" w:color="auto" w:fill="FFFFFF"/>
        <w:spacing w:line="48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kern w:val="0"/>
          <w:sz w:val="32"/>
          <w:szCs w:val="32"/>
        </w:rPr>
        <w:t>按要求在开江县政府门户网站公开了我单位部门预算支出绩效自评报告，接受公众监督。</w:t>
      </w:r>
      <w:r>
        <w:rPr>
          <w:rFonts w:hint="eastAsia" w:ascii="仿宋" w:hAnsi="仿宋" w:eastAsia="仿宋" w:cs="仿宋"/>
          <w:sz w:val="32"/>
          <w:szCs w:val="32"/>
          <w:lang w:val="en-US" w:eastAsia="zh-CN"/>
        </w:rPr>
        <w:t>针对绩效管理过程中（包括绩效目标核查、绩效监控核查和重点绩效评价）提出的问题进行整改，规定时间内向财政部门反馈应用绩效结果报告。</w:t>
      </w:r>
    </w:p>
    <w:p w14:paraId="150E4CB6">
      <w:pPr>
        <w:pStyle w:val="13"/>
        <w:shd w:val="clear" w:color="auto" w:fill="FFFFFF"/>
        <w:spacing w:line="48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我单位加强预算执行管理，严格执行批复预算，按照收支平衡的原则，合理安排各项资金，根据执行进度对基本支出按照月度均衡原则、项目支出按实际需要及时申请用款计划，确保足额支出安排，无超预算支出。保证了部门的正常运行和专项工作任务的顺利开展。20</w:t>
      </w:r>
      <w:r>
        <w:rPr>
          <w:rFonts w:hint="eastAsia" w:ascii="仿宋" w:hAnsi="仿宋" w:eastAsia="仿宋" w:cs="仿宋"/>
          <w:sz w:val="32"/>
          <w:szCs w:val="32"/>
          <w:lang w:val="en-US" w:eastAsia="zh-CN"/>
        </w:rPr>
        <w:t>21</w:t>
      </w:r>
      <w:r>
        <w:rPr>
          <w:rFonts w:hint="eastAsia" w:ascii="仿宋" w:hAnsi="仿宋" w:eastAsia="仿宋" w:cs="仿宋"/>
          <w:sz w:val="32"/>
          <w:szCs w:val="32"/>
        </w:rPr>
        <w:t>年我单位继续认真贯彻中央八项规定</w:t>
      </w:r>
      <w:r>
        <w:rPr>
          <w:rFonts w:hint="eastAsia" w:ascii="仿宋" w:hAnsi="仿宋" w:eastAsia="仿宋" w:cs="仿宋"/>
          <w:sz w:val="32"/>
          <w:szCs w:val="32"/>
          <w:lang w:eastAsia="zh-CN"/>
        </w:rPr>
        <w:t>精神</w:t>
      </w:r>
      <w:r>
        <w:rPr>
          <w:rFonts w:hint="eastAsia" w:ascii="仿宋" w:hAnsi="仿宋" w:eastAsia="仿宋" w:cs="仿宋"/>
          <w:sz w:val="32"/>
          <w:szCs w:val="32"/>
        </w:rPr>
        <w:t>、省委省政府十项规定及《党政机关厉行节约反对浪费条例》，加强“三公”经费和会议费、培训费管理，使其支出得到有效控制。</w:t>
      </w:r>
    </w:p>
    <w:p w14:paraId="174F9A7C">
      <w:pPr>
        <w:widowControl/>
        <w:numPr>
          <w:ilvl w:val="0"/>
          <w:numId w:val="5"/>
        </w:numPr>
        <w:spacing w:line="540" w:lineRule="atLeast"/>
        <w:ind w:firstLine="720"/>
        <w:jc w:val="left"/>
        <w:rPr>
          <w:rFonts w:hint="eastAsia" w:ascii="仿宋" w:hAnsi="仿宋" w:eastAsia="仿宋" w:cs="仿宋"/>
          <w:kern w:val="0"/>
          <w:sz w:val="32"/>
          <w:szCs w:val="32"/>
          <w:shd w:val="clear" w:color="auto" w:fill="FFFFFF"/>
          <w:lang w:eastAsia="zh-CN"/>
        </w:rPr>
      </w:pPr>
      <w:r>
        <w:rPr>
          <w:rFonts w:hint="eastAsia" w:ascii="仿宋" w:hAnsi="仿宋" w:eastAsia="仿宋" w:cs="仿宋"/>
          <w:kern w:val="0"/>
          <w:sz w:val="32"/>
          <w:szCs w:val="32"/>
          <w:shd w:val="clear" w:color="auto" w:fill="FFFFFF"/>
          <w:lang w:eastAsia="zh-CN"/>
        </w:rPr>
        <w:t>自评质量</w:t>
      </w:r>
    </w:p>
    <w:p w14:paraId="78922CC1">
      <w:pPr>
        <w:pStyle w:val="11"/>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t xml:space="preserve">       </w:t>
      </w:r>
      <w:r>
        <w:rPr>
          <w:rFonts w:hint="eastAsia" w:ascii="仿宋" w:hAnsi="仿宋" w:eastAsia="仿宋" w:cs="仿宋"/>
          <w:kern w:val="0"/>
          <w:sz w:val="32"/>
          <w:szCs w:val="32"/>
        </w:rPr>
        <w:t>按照县财政局要求，对预决算编制情况、执行管理情况、支出绩效情况、财务管理情况、绩效管理工作开展情况认真进行了检查自评</w:t>
      </w:r>
      <w:r>
        <w:rPr>
          <w:rFonts w:hint="eastAsia" w:ascii="仿宋" w:hAnsi="仿宋" w:eastAsia="仿宋" w:cs="仿宋"/>
          <w:lang w:val="en-US" w:eastAsia="zh-CN"/>
        </w:rPr>
        <w:t>。</w:t>
      </w:r>
    </w:p>
    <w:p w14:paraId="61505B5E">
      <w:pPr>
        <w:pStyle w:val="11"/>
        <w:numPr>
          <w:ilvl w:val="0"/>
          <w:numId w:val="0"/>
        </w:numPr>
        <w:ind w:firstLine="960" w:firstLineChars="300"/>
        <w:jc w:val="left"/>
        <w:rPr>
          <w:rFonts w:hint="eastAsia"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我单位进一步加强财务管理工作，认真贯彻《会计法》、《预算法》，严格执行《政府会计制度》及各项费用管理办法，规范资金收支管理及会计核算，强化预算管理，加强项目经费支出绩效考核，从严从紧控制和节减经费支出，规范现金报销制度，进一步加强公务卡使用管理，严格执行政府采购政策。确保了厅机关及下属单位工作任务的顺利完成，推动了节约型机关的建设。</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、政府采购实施情况严格执行《政府采购法》及各项政府采购政策规定，严格按政府采购预算实施采购计划。</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、资产管理情况</w:t>
      </w:r>
    </w:p>
    <w:p w14:paraId="7E982CE7">
      <w:pPr>
        <w:keepNext w:val="0"/>
        <w:keepLines w:val="0"/>
        <w:pageBreakBefore w:val="0"/>
        <w:widowControl w:val="0"/>
        <w:kinsoku/>
        <w:overflowPunct/>
        <w:topLinePunct w:val="0"/>
        <w:autoSpaceDE/>
        <w:autoSpaceDN/>
        <w:bidi w:val="0"/>
        <w:adjustRightInd/>
        <w:snapToGrid/>
        <w:spacing w:line="574"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进一步加强单位资产管理，建立完善资产配置、审批、采购及报废相关制度，全面开展固定资产清查工作，把所有固定资产全部纳入资产信息系统管理，落实专人负责，规范程序，及时分类登记、建卡，确保账实一致，资产报表数据真实、准确、全面。</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shd w:val="clear" w:color="auto" w:fill="FFFFFF"/>
        </w:rPr>
        <w:t>四、评价结论及建议</w:t>
      </w:r>
    </w:p>
    <w:p w14:paraId="366EFD8E">
      <w:pPr>
        <w:widowControl/>
        <w:spacing w:line="540" w:lineRule="atLeast"/>
        <w:ind w:firstLine="645"/>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（一）整体绩效目标完成情况</w:t>
      </w:r>
    </w:p>
    <w:p w14:paraId="4940DA83">
      <w:pPr>
        <w:widowControl/>
        <w:spacing w:line="540" w:lineRule="atLeast"/>
        <w:ind w:firstLine="645"/>
        <w:jc w:val="left"/>
        <w:rPr>
          <w:rFonts w:hint="eastAsia"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认真做好财政资金的预算编制工作，按照政府采购目录及采购限额标准编制政府采购预算，做到应编尽编。在资金使用和管理方面，进一步强化资金统筹，优化资金结构，明确开支范围，细化资金用途，确保部门职责任务顺利完成。资金收支管理及会计核算较规范，能够按照相关会计制度和财务管理办法进行核算。</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全年基本支出保证了部门的正常运行和日常工作的正常开展。全年项目支出达到预期绩效目标。</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w:t>
      </w:r>
      <w:r>
        <w:rPr>
          <w:rFonts w:hint="eastAsia" w:ascii="仿宋" w:hAnsi="仿宋" w:eastAsia="仿宋" w:cs="仿宋"/>
          <w:kern w:val="0"/>
          <w:sz w:val="32"/>
          <w:szCs w:val="32"/>
          <w:lang w:eastAsia="zh-CN"/>
        </w:rPr>
        <w:t>二</w:t>
      </w:r>
      <w:r>
        <w:rPr>
          <w:rFonts w:hint="eastAsia" w:ascii="仿宋" w:hAnsi="仿宋" w:eastAsia="仿宋" w:cs="仿宋"/>
          <w:kern w:val="0"/>
          <w:sz w:val="32"/>
          <w:szCs w:val="32"/>
        </w:rPr>
        <w:t>）</w:t>
      </w:r>
      <w:r>
        <w:rPr>
          <w:rFonts w:hint="eastAsia" w:ascii="仿宋" w:hAnsi="仿宋" w:eastAsia="仿宋" w:cs="仿宋"/>
          <w:kern w:val="0"/>
          <w:sz w:val="32"/>
          <w:szCs w:val="32"/>
          <w:shd w:val="clear" w:color="auto" w:fill="FFFFFF"/>
        </w:rPr>
        <w:t>改进措施及建议</w:t>
      </w:r>
    </w:p>
    <w:p w14:paraId="545719EB">
      <w:pPr>
        <w:pStyle w:val="13"/>
        <w:shd w:val="clear" w:color="auto" w:fill="FFFFFF"/>
        <w:spacing w:line="480" w:lineRule="auto"/>
        <w:ind w:firstLine="1049" w:firstLineChars="328"/>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完善相关制度，推进制度落实。依据相关法律、法规及管理办法，建立分级分类、使用高效、便于操作的实施细则及业务规范，制定绩效问责制度、公开制度。</w:t>
      </w:r>
    </w:p>
    <w:p w14:paraId="5633B0DC">
      <w:pPr>
        <w:pStyle w:val="13"/>
        <w:shd w:val="clear" w:color="auto" w:fill="FFFFFF"/>
        <w:spacing w:line="480" w:lineRule="auto"/>
        <w:ind w:firstLine="1049" w:firstLineChars="328"/>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科学组织预算绩效评价工作,完善预算绩效管理指标数据库。</w:t>
      </w:r>
    </w:p>
    <w:p w14:paraId="61441D3C">
      <w:pPr>
        <w:pStyle w:val="13"/>
        <w:shd w:val="clear" w:color="auto" w:fill="FFFFFF"/>
        <w:spacing w:line="480" w:lineRule="auto"/>
        <w:ind w:firstLine="1049" w:firstLineChars="328"/>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3、建议</w:t>
      </w:r>
      <w:r>
        <w:rPr>
          <w:rFonts w:hint="eastAsia" w:ascii="仿宋" w:hAnsi="仿宋" w:eastAsia="仿宋" w:cs="仿宋"/>
          <w:kern w:val="0"/>
          <w:sz w:val="32"/>
          <w:szCs w:val="32"/>
        </w:rPr>
        <w:t>引入第三方评价机制，形成内外部评价相互补充，财政部门、预算单位和受托第三方评价机构各司其职、密切配合的机制，提高评价结果的权威性和公正性。</w:t>
      </w:r>
    </w:p>
    <w:p w14:paraId="43DDF5A4">
      <w:pPr>
        <w:pStyle w:val="13"/>
        <w:shd w:val="clear" w:color="auto" w:fill="FFFFFF"/>
        <w:spacing w:line="480" w:lineRule="auto"/>
        <w:ind w:firstLine="1049" w:firstLineChars="328"/>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组织业务培训，提高业务水平和能力，培养一批专业人才队伍。</w:t>
      </w:r>
    </w:p>
    <w:p w14:paraId="355D5C0F">
      <w:pPr>
        <w:pStyle w:val="13"/>
        <w:shd w:val="clear" w:color="auto" w:fill="FFFFFF"/>
        <w:spacing w:line="480" w:lineRule="auto"/>
        <w:ind w:firstLine="480"/>
        <w:jc w:val="both"/>
        <w:rPr>
          <w:rFonts w:hint="eastAsia" w:ascii="仿宋" w:hAnsi="仿宋" w:eastAsia="仿宋" w:cs="仿宋"/>
          <w:sz w:val="32"/>
          <w:szCs w:val="32"/>
        </w:rPr>
      </w:pPr>
    </w:p>
    <w:p w14:paraId="102B8F7C">
      <w:pPr>
        <w:pStyle w:val="13"/>
        <w:shd w:val="clear" w:color="auto" w:fill="FFFFFF"/>
        <w:spacing w:line="480" w:lineRule="auto"/>
        <w:ind w:firstLine="5120" w:firstLineChars="1600"/>
        <w:jc w:val="both"/>
        <w:rPr>
          <w:rFonts w:hint="eastAsia" w:ascii="仿宋" w:hAnsi="仿宋" w:eastAsia="仿宋"/>
          <w:sz w:val="32"/>
          <w:szCs w:val="32"/>
          <w:lang w:eastAsia="zh-CN"/>
        </w:rPr>
      </w:pPr>
      <w:r>
        <w:rPr>
          <w:rFonts w:hint="eastAsia" w:ascii="仿宋" w:hAnsi="仿宋" w:eastAsia="仿宋"/>
          <w:sz w:val="32"/>
          <w:szCs w:val="32"/>
        </w:rPr>
        <w:t>开江县</w:t>
      </w:r>
      <w:r>
        <w:rPr>
          <w:rFonts w:hint="eastAsia" w:ascii="仿宋" w:hAnsi="仿宋" w:eastAsia="仿宋"/>
          <w:sz w:val="32"/>
          <w:szCs w:val="32"/>
          <w:lang w:eastAsia="zh-CN"/>
        </w:rPr>
        <w:t>医疗保障局</w:t>
      </w:r>
    </w:p>
    <w:p w14:paraId="14E2C631">
      <w:pPr>
        <w:pStyle w:val="13"/>
        <w:shd w:val="clear" w:color="auto" w:fill="FFFFFF"/>
        <w:spacing w:line="480" w:lineRule="auto"/>
        <w:ind w:firstLine="4960" w:firstLineChars="1550"/>
        <w:jc w:val="both"/>
        <w:rPr>
          <w:rFonts w:ascii="仿宋" w:hAnsi="仿宋" w:eastAsia="仿宋"/>
          <w:sz w:val="32"/>
          <w:szCs w:val="32"/>
        </w:rPr>
      </w:pPr>
      <w:r>
        <w:rPr>
          <w:rFonts w:hint="eastAsia" w:ascii="仿宋" w:hAnsi="仿宋" w:eastAsia="仿宋"/>
          <w:sz w:val="32"/>
          <w:szCs w:val="32"/>
        </w:rPr>
        <w:t>二〇二</w:t>
      </w:r>
      <w:r>
        <w:rPr>
          <w:rFonts w:hint="eastAsia" w:ascii="仿宋" w:hAnsi="仿宋" w:eastAsia="仿宋"/>
          <w:sz w:val="32"/>
          <w:szCs w:val="32"/>
          <w:lang w:val="en-US" w:eastAsia="zh-CN"/>
        </w:rPr>
        <w:t>二</w:t>
      </w:r>
      <w:r>
        <w:rPr>
          <w:rFonts w:hint="eastAsia" w:ascii="仿宋" w:hAnsi="仿宋" w:eastAsia="仿宋"/>
          <w:sz w:val="32"/>
          <w:szCs w:val="32"/>
        </w:rPr>
        <w:t>年</w:t>
      </w:r>
      <w:r>
        <w:rPr>
          <w:rFonts w:hint="eastAsia" w:ascii="仿宋" w:hAnsi="仿宋" w:eastAsia="仿宋"/>
          <w:sz w:val="32"/>
          <w:szCs w:val="32"/>
          <w:lang w:eastAsia="zh-CN"/>
        </w:rPr>
        <w:t>六</w:t>
      </w:r>
      <w:r>
        <w:rPr>
          <w:rFonts w:hint="eastAsia" w:ascii="仿宋" w:hAnsi="仿宋" w:eastAsia="仿宋"/>
          <w:sz w:val="32"/>
          <w:szCs w:val="32"/>
        </w:rPr>
        <w:t>月</w:t>
      </w:r>
      <w:r>
        <w:rPr>
          <w:rFonts w:hint="eastAsia" w:ascii="仿宋" w:hAnsi="仿宋" w:eastAsia="仿宋"/>
          <w:sz w:val="32"/>
          <w:szCs w:val="32"/>
          <w:lang w:eastAsia="zh-CN"/>
        </w:rPr>
        <w:t>二十</w:t>
      </w:r>
      <w:r>
        <w:rPr>
          <w:rFonts w:hint="eastAsia" w:ascii="仿宋" w:hAnsi="仿宋" w:eastAsia="仿宋"/>
          <w:sz w:val="32"/>
          <w:szCs w:val="32"/>
        </w:rPr>
        <w:t>日</w:t>
      </w:r>
    </w:p>
    <w:p w14:paraId="64F629BD">
      <w:pPr>
        <w:pStyle w:val="6"/>
        <w:rPr>
          <w:rFonts w:hint="eastAsia" w:hAnsi="宋体" w:cs="宋体"/>
          <w:color w:val="auto"/>
          <w:kern w:val="0"/>
          <w:sz w:val="32"/>
          <w:szCs w:val="32"/>
          <w:highlight w:val="none"/>
          <w:shd w:val="clear" w:color="auto" w:fill="FFFFFF"/>
          <w:lang w:val="zh-CN"/>
        </w:rPr>
      </w:pPr>
    </w:p>
    <w:p w14:paraId="12F3D36C">
      <w:pPr>
        <w:pStyle w:val="6"/>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14:paraId="666909F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开江县医疗保障局</w:t>
      </w:r>
    </w:p>
    <w:p w14:paraId="229094A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年度医疗服务与保障能力提升</w:t>
      </w:r>
    </w:p>
    <w:p w14:paraId="5EC8D08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中央财政补助资金转移支付绩效自评报告</w:t>
      </w:r>
    </w:p>
    <w:p w14:paraId="5D2EBC0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sz w:val="32"/>
          <w:szCs w:val="32"/>
        </w:rPr>
      </w:pPr>
    </w:p>
    <w:p w14:paraId="323EEBD7">
      <w:pPr>
        <w:spacing w:line="578" w:lineRule="exac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开江县财政局：</w:t>
      </w:r>
    </w:p>
    <w:p w14:paraId="4656C3A5">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default"/>
          <w:lang w:val="en-US" w:eastAsia="zh-CN"/>
        </w:rPr>
      </w:pPr>
      <w:r>
        <w:rPr>
          <w:rFonts w:hint="eastAsia" w:ascii="宋体" w:hAnsi="宋体" w:eastAsia="宋体" w:cs="宋体"/>
          <w:sz w:val="32"/>
          <w:szCs w:val="32"/>
          <w:lang w:val="en-US" w:eastAsia="zh-CN"/>
        </w:rPr>
        <w:t>根据《开江县财政局关于开展2022年部门（单位）政策和项目绩效评价工作的通知》开财绩〔2022〕2号文件，就医疗救助补助资金支付情况，自评如下：</w:t>
      </w:r>
    </w:p>
    <w:p w14:paraId="46C4BE16">
      <w:pPr>
        <w:keepNext w:val="0"/>
        <w:keepLines w:val="0"/>
        <w:pageBreakBefore w:val="0"/>
        <w:kinsoku/>
        <w:wordWrap/>
        <w:overflowPunct/>
        <w:topLinePunct w:val="0"/>
        <w:autoSpaceDE/>
        <w:autoSpaceDN/>
        <w:bidi w:val="0"/>
        <w:spacing w:line="57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基本情况</w:t>
      </w:r>
    </w:p>
    <w:p w14:paraId="0FDE4F38">
      <w:pPr>
        <w:keepNext w:val="0"/>
        <w:keepLines w:val="0"/>
        <w:pageBreakBefore w:val="0"/>
        <w:kinsoku/>
        <w:wordWrap/>
        <w:overflowPunct/>
        <w:topLinePunct w:val="0"/>
        <w:autoSpaceDE/>
        <w:autoSpaceDN/>
        <w:bidi w:val="0"/>
        <w:spacing w:line="578" w:lineRule="exact"/>
        <w:ind w:firstLine="480" w:firstLineChars="150"/>
        <w:rPr>
          <w:rFonts w:hint="eastAsia" w:ascii="宋体" w:hAnsi="宋体" w:eastAsia="宋体" w:cs="宋体"/>
          <w:b/>
          <w:bCs/>
          <w:sz w:val="32"/>
          <w:szCs w:val="32"/>
          <w:lang w:eastAsia="zh-CN"/>
        </w:rPr>
      </w:pPr>
      <w:r>
        <w:rPr>
          <w:rFonts w:hint="eastAsia" w:ascii="宋体" w:hAnsi="宋体" w:eastAsia="宋体" w:cs="宋体"/>
          <w:sz w:val="32"/>
          <w:szCs w:val="32"/>
        </w:rPr>
        <w:t>（一）</w:t>
      </w:r>
      <w:r>
        <w:rPr>
          <w:rFonts w:hint="eastAsia" w:ascii="宋体" w:hAnsi="宋体" w:eastAsia="宋体" w:cs="宋体"/>
          <w:sz w:val="32"/>
          <w:szCs w:val="32"/>
          <w:lang w:eastAsia="zh-CN"/>
        </w:rPr>
        <w:t>项目概况</w:t>
      </w:r>
    </w:p>
    <w:p w14:paraId="40A8A0C4">
      <w:pPr>
        <w:keepNext w:val="0"/>
        <w:keepLines w:val="0"/>
        <w:pageBreakBefore w:val="0"/>
        <w:kinsoku/>
        <w:wordWrap/>
        <w:overflowPunct/>
        <w:topLinePunct w:val="0"/>
        <w:autoSpaceDE/>
        <w:autoSpaceDN/>
        <w:bidi w:val="0"/>
        <w:spacing w:line="578"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1</w:t>
      </w:r>
      <w:r>
        <w:rPr>
          <w:rFonts w:hint="eastAsia" w:ascii="宋体" w:hAnsi="宋体" w:eastAsia="宋体" w:cs="宋体"/>
          <w:sz w:val="32"/>
          <w:szCs w:val="32"/>
        </w:rPr>
        <w:t>年</w:t>
      </w:r>
      <w:r>
        <w:rPr>
          <w:rFonts w:hint="eastAsia" w:ascii="宋体" w:hAnsi="宋体" w:cs="宋体"/>
          <w:sz w:val="32"/>
          <w:szCs w:val="32"/>
          <w:lang w:val="en-US" w:eastAsia="zh-CN"/>
        </w:rPr>
        <w:t>1</w:t>
      </w:r>
      <w:r>
        <w:rPr>
          <w:rFonts w:hint="eastAsia" w:ascii="宋体" w:hAnsi="宋体" w:eastAsia="宋体" w:cs="宋体"/>
          <w:sz w:val="32"/>
          <w:szCs w:val="32"/>
        </w:rPr>
        <w:t>月</w:t>
      </w:r>
      <w:r>
        <w:rPr>
          <w:rFonts w:hint="eastAsia" w:ascii="宋体" w:hAnsi="宋体" w:eastAsia="宋体" w:cs="宋体"/>
          <w:sz w:val="32"/>
          <w:szCs w:val="32"/>
          <w:lang w:eastAsia="zh-CN"/>
        </w:rPr>
        <w:t>、</w:t>
      </w:r>
      <w:r>
        <w:rPr>
          <w:rFonts w:hint="eastAsia" w:ascii="宋体" w:hAnsi="宋体" w:cs="宋体"/>
          <w:sz w:val="32"/>
          <w:szCs w:val="32"/>
          <w:lang w:val="en-US" w:eastAsia="zh-CN"/>
        </w:rPr>
        <w:t>6</w:t>
      </w:r>
      <w:r>
        <w:rPr>
          <w:rFonts w:hint="eastAsia" w:ascii="宋体" w:hAnsi="宋体" w:eastAsia="宋体" w:cs="宋体"/>
          <w:sz w:val="32"/>
          <w:szCs w:val="32"/>
          <w:lang w:val="en-US" w:eastAsia="zh-CN"/>
        </w:rPr>
        <w:t>月</w:t>
      </w:r>
      <w:r>
        <w:rPr>
          <w:rFonts w:hint="eastAsia" w:ascii="宋体" w:hAnsi="宋体" w:eastAsia="宋体" w:cs="宋体"/>
          <w:sz w:val="32"/>
          <w:szCs w:val="32"/>
        </w:rPr>
        <w:t>根据</w:t>
      </w:r>
      <w:r>
        <w:rPr>
          <w:rFonts w:hint="eastAsia" w:ascii="宋体" w:hAnsi="宋体" w:eastAsia="宋体" w:cs="宋体"/>
          <w:sz w:val="32"/>
          <w:szCs w:val="32"/>
          <w:lang w:eastAsia="zh-CN"/>
        </w:rPr>
        <w:t>达州市</w:t>
      </w:r>
      <w:r>
        <w:rPr>
          <w:rFonts w:hint="eastAsia" w:ascii="宋体" w:hAnsi="宋体" w:eastAsia="宋体" w:cs="宋体"/>
          <w:sz w:val="32"/>
          <w:szCs w:val="32"/>
        </w:rPr>
        <w:t>财政</w:t>
      </w:r>
      <w:r>
        <w:rPr>
          <w:rFonts w:hint="eastAsia" w:ascii="宋体" w:hAnsi="宋体" w:eastAsia="宋体" w:cs="宋体"/>
          <w:sz w:val="32"/>
          <w:szCs w:val="32"/>
          <w:lang w:eastAsia="zh-CN"/>
        </w:rPr>
        <w:t>局、达州市</w:t>
      </w:r>
      <w:r>
        <w:rPr>
          <w:rFonts w:hint="eastAsia" w:ascii="宋体" w:hAnsi="宋体" w:eastAsia="宋体" w:cs="宋体"/>
          <w:sz w:val="32"/>
          <w:szCs w:val="32"/>
        </w:rPr>
        <w:t>医疗保障局</w:t>
      </w:r>
      <w:r>
        <w:rPr>
          <w:rFonts w:hint="eastAsia" w:ascii="宋体" w:hAnsi="宋体" w:eastAsia="宋体" w:cs="宋体"/>
          <w:sz w:val="32"/>
          <w:szCs w:val="32"/>
          <w:lang w:eastAsia="zh-CN"/>
        </w:rPr>
        <w:t>《</w:t>
      </w:r>
      <w:r>
        <w:rPr>
          <w:rFonts w:hint="eastAsia" w:ascii="宋体" w:hAnsi="宋体" w:eastAsia="宋体" w:cs="宋体"/>
          <w:sz w:val="32"/>
          <w:szCs w:val="32"/>
        </w:rPr>
        <w:t>关于下达20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1</w:t>
      </w:r>
      <w:r>
        <w:rPr>
          <w:rFonts w:hint="eastAsia" w:ascii="宋体" w:hAnsi="宋体" w:eastAsia="宋体" w:cs="宋体"/>
          <w:sz w:val="32"/>
          <w:szCs w:val="32"/>
        </w:rPr>
        <w:t>年医疗服务与保障能力提升中央财政补助资金的通知》</w:t>
      </w:r>
      <w:r>
        <w:rPr>
          <w:rFonts w:hint="eastAsia" w:ascii="宋体" w:hAnsi="宋体" w:eastAsia="宋体" w:cs="宋体"/>
          <w:sz w:val="32"/>
          <w:szCs w:val="32"/>
          <w:lang w:eastAsia="zh-CN"/>
        </w:rPr>
        <w:t>（达市财社</w:t>
      </w:r>
      <w:r>
        <w:rPr>
          <w:rFonts w:hint="eastAsia" w:ascii="宋体" w:hAnsi="宋体" w:eastAsia="宋体" w:cs="宋体"/>
          <w:sz w:val="32"/>
          <w:szCs w:val="32"/>
        </w:rPr>
        <w:t>〔20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1</w:t>
      </w:r>
      <w:r>
        <w:rPr>
          <w:rFonts w:hint="eastAsia" w:ascii="宋体" w:hAnsi="宋体" w:eastAsia="宋体" w:cs="宋体"/>
          <w:sz w:val="32"/>
          <w:szCs w:val="32"/>
        </w:rPr>
        <w:t>〕</w:t>
      </w:r>
      <w:r>
        <w:rPr>
          <w:rFonts w:hint="eastAsia" w:ascii="宋体" w:hAnsi="宋体" w:cs="宋体"/>
          <w:sz w:val="32"/>
          <w:szCs w:val="32"/>
          <w:lang w:val="en-US" w:eastAsia="zh-CN"/>
        </w:rPr>
        <w:t>25</w:t>
      </w:r>
      <w:r>
        <w:rPr>
          <w:rFonts w:hint="eastAsia" w:ascii="宋体" w:hAnsi="宋体" w:eastAsia="宋体" w:cs="宋体"/>
          <w:sz w:val="32"/>
          <w:szCs w:val="32"/>
        </w:rPr>
        <w:t>号</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达市财社[202</w:t>
      </w:r>
      <w:r>
        <w:rPr>
          <w:rFonts w:hint="eastAsia" w:ascii="宋体" w:hAnsi="宋体" w:cs="宋体"/>
          <w:sz w:val="32"/>
          <w:szCs w:val="32"/>
          <w:lang w:val="en-US" w:eastAsia="zh-CN"/>
        </w:rPr>
        <w:t>1</w:t>
      </w:r>
      <w:r>
        <w:rPr>
          <w:rFonts w:hint="eastAsia" w:ascii="宋体" w:hAnsi="宋体" w:eastAsia="宋体" w:cs="宋体"/>
          <w:sz w:val="32"/>
          <w:szCs w:val="32"/>
          <w:lang w:val="en-US" w:eastAsia="zh-CN"/>
        </w:rPr>
        <w:t>]</w:t>
      </w:r>
      <w:r>
        <w:rPr>
          <w:rFonts w:hint="eastAsia" w:ascii="宋体" w:hAnsi="宋体" w:cs="宋体"/>
          <w:sz w:val="32"/>
          <w:szCs w:val="32"/>
          <w:lang w:val="en-US" w:eastAsia="zh-CN"/>
        </w:rPr>
        <w:t>52</w:t>
      </w:r>
      <w:r>
        <w:rPr>
          <w:rFonts w:hint="eastAsia" w:ascii="宋体" w:hAnsi="宋体" w:eastAsia="宋体" w:cs="宋体"/>
          <w:sz w:val="32"/>
          <w:szCs w:val="32"/>
          <w:lang w:val="en-US" w:eastAsia="zh-CN"/>
        </w:rPr>
        <w:t>号）文件</w:t>
      </w:r>
      <w:r>
        <w:rPr>
          <w:rFonts w:hint="eastAsia" w:ascii="宋体" w:hAnsi="宋体" w:eastAsia="宋体" w:cs="宋体"/>
          <w:sz w:val="32"/>
          <w:szCs w:val="32"/>
        </w:rPr>
        <w:t>，下达我市20</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1</w:t>
      </w:r>
      <w:r>
        <w:rPr>
          <w:rFonts w:hint="eastAsia" w:ascii="宋体" w:hAnsi="宋体" w:eastAsia="宋体" w:cs="宋体"/>
          <w:sz w:val="32"/>
          <w:szCs w:val="32"/>
        </w:rPr>
        <w:t>年医疗服务与保障能力提升中央财政补助资金</w:t>
      </w:r>
      <w:r>
        <w:rPr>
          <w:rFonts w:hint="eastAsia" w:ascii="宋体" w:hAnsi="宋体" w:cs="宋体"/>
          <w:sz w:val="32"/>
          <w:szCs w:val="32"/>
          <w:lang w:val="en-US" w:eastAsia="zh-CN"/>
        </w:rPr>
        <w:t>81.4</w:t>
      </w:r>
      <w:r>
        <w:rPr>
          <w:rFonts w:hint="eastAsia" w:ascii="宋体" w:hAnsi="宋体" w:eastAsia="宋体" w:cs="宋体"/>
          <w:sz w:val="32"/>
          <w:szCs w:val="32"/>
        </w:rPr>
        <w:t>万元</w:t>
      </w:r>
      <w:r>
        <w:rPr>
          <w:rFonts w:hint="eastAsia" w:ascii="宋体" w:hAnsi="宋体" w:eastAsia="宋体" w:cs="宋体"/>
          <w:sz w:val="32"/>
          <w:szCs w:val="32"/>
          <w:lang w:eastAsia="zh-CN"/>
        </w:rPr>
        <w:t>。</w:t>
      </w:r>
    </w:p>
    <w:p w14:paraId="6EBDBB78">
      <w:pPr>
        <w:keepNext w:val="0"/>
        <w:keepLines w:val="0"/>
        <w:pageBreakBefore w:val="0"/>
        <w:numPr>
          <w:ilvl w:val="0"/>
          <w:numId w:val="6"/>
        </w:numPr>
        <w:kinsoku/>
        <w:wordWrap/>
        <w:overflowPunct/>
        <w:topLinePunct w:val="0"/>
        <w:autoSpaceDE/>
        <w:autoSpaceDN/>
        <w:bidi w:val="0"/>
        <w:spacing w:line="578" w:lineRule="exact"/>
        <w:ind w:firstLine="630" w:firstLineChars="196"/>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绩效评价工作开展情况</w:t>
      </w:r>
    </w:p>
    <w:p w14:paraId="608469C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right="0" w:firstLine="640" w:firstLineChars="200"/>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color="auto" w:fill="FFFFFF"/>
        </w:rPr>
        <w:t>成立项目绩效评价组，负责绩效自评工作，工作组的主要成员及职责如下：</w:t>
      </w:r>
    </w:p>
    <w:p w14:paraId="6E34E9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left="0" w:right="0" w:firstLine="420"/>
        <w:rPr>
          <w:rFonts w:hint="eastAsia" w:ascii="宋体" w:hAnsi="宋体" w:eastAsia="宋体" w:cs="宋体"/>
          <w:i w:val="0"/>
          <w:caps w:val="0"/>
          <w:color w:val="333333"/>
          <w:spacing w:val="0"/>
          <w:sz w:val="32"/>
          <w:szCs w:val="32"/>
          <w:lang w:eastAsia="zh-CN"/>
        </w:rPr>
      </w:pPr>
      <w:r>
        <w:rPr>
          <w:rFonts w:hint="eastAsia" w:ascii="宋体" w:hAnsi="宋体" w:eastAsia="宋体" w:cs="宋体"/>
          <w:i w:val="0"/>
          <w:caps w:val="0"/>
          <w:color w:val="333333"/>
          <w:spacing w:val="0"/>
          <w:sz w:val="32"/>
          <w:szCs w:val="32"/>
          <w:shd w:val="clear" w:color="auto" w:fill="FFFFFF"/>
        </w:rPr>
        <w:t>1、</w:t>
      </w:r>
      <w:r>
        <w:rPr>
          <w:rFonts w:hint="eastAsia" w:ascii="宋体" w:hAnsi="宋体" w:eastAsia="宋体" w:cs="宋体"/>
          <w:i w:val="0"/>
          <w:caps w:val="0"/>
          <w:color w:val="333333"/>
          <w:spacing w:val="0"/>
          <w:sz w:val="32"/>
          <w:szCs w:val="32"/>
          <w:shd w:val="clear" w:color="auto" w:fill="FFFFFF"/>
          <w:lang w:eastAsia="zh-CN"/>
        </w:rPr>
        <w:t>成员</w:t>
      </w:r>
    </w:p>
    <w:p w14:paraId="67C4D7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left="0" w:right="0" w:firstLine="420"/>
        <w:rPr>
          <w:rFonts w:hint="eastAsia" w:ascii="宋体" w:hAnsi="宋体" w:eastAsia="宋体" w:cs="宋体"/>
          <w:i w:val="0"/>
          <w:caps w:val="0"/>
          <w:color w:val="333333"/>
          <w:spacing w:val="0"/>
          <w:sz w:val="32"/>
          <w:szCs w:val="32"/>
          <w:shd w:val="clear" w:color="auto" w:fill="FFFFFF"/>
          <w:lang w:eastAsia="zh-CN"/>
        </w:rPr>
      </w:pPr>
      <w:r>
        <w:rPr>
          <w:rFonts w:hint="eastAsia" w:ascii="宋体" w:hAnsi="宋体" w:eastAsia="宋体" w:cs="宋体"/>
          <w:i w:val="0"/>
          <w:caps w:val="0"/>
          <w:color w:val="333333"/>
          <w:spacing w:val="0"/>
          <w:sz w:val="32"/>
          <w:szCs w:val="32"/>
          <w:shd w:val="clear" w:color="auto" w:fill="FFFFFF"/>
        </w:rPr>
        <w:t xml:space="preserve">组 长： </w:t>
      </w:r>
      <w:r>
        <w:rPr>
          <w:rFonts w:hint="eastAsia" w:ascii="宋体" w:hAnsi="宋体" w:eastAsia="宋体" w:cs="宋体"/>
          <w:i w:val="0"/>
          <w:caps w:val="0"/>
          <w:color w:val="333333"/>
          <w:spacing w:val="0"/>
          <w:sz w:val="32"/>
          <w:szCs w:val="32"/>
          <w:shd w:val="clear" w:color="auto" w:fill="FFFFFF"/>
          <w:lang w:eastAsia="zh-CN"/>
        </w:rPr>
        <w:t>李一峰</w:t>
      </w:r>
    </w:p>
    <w:p w14:paraId="621CE2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left="0" w:right="0" w:firstLine="420"/>
        <w:rPr>
          <w:rFonts w:hint="eastAsia" w:ascii="宋体" w:hAnsi="宋体" w:eastAsia="宋体" w:cs="宋体"/>
          <w:i w:val="0"/>
          <w:caps w:val="0"/>
          <w:color w:val="333333"/>
          <w:spacing w:val="0"/>
          <w:sz w:val="32"/>
          <w:szCs w:val="32"/>
          <w:shd w:val="clear" w:color="auto" w:fill="FFFFFF"/>
          <w:lang w:eastAsia="zh-CN"/>
        </w:rPr>
      </w:pPr>
      <w:r>
        <w:rPr>
          <w:rFonts w:hint="eastAsia" w:ascii="宋体" w:hAnsi="宋体" w:eastAsia="宋体" w:cs="宋体"/>
          <w:i w:val="0"/>
          <w:caps w:val="0"/>
          <w:color w:val="333333"/>
          <w:spacing w:val="0"/>
          <w:sz w:val="32"/>
          <w:szCs w:val="32"/>
          <w:shd w:val="clear" w:color="auto" w:fill="FFFFFF"/>
        </w:rPr>
        <w:t>副组长：</w:t>
      </w:r>
      <w:r>
        <w:rPr>
          <w:rFonts w:hint="eastAsia" w:ascii="宋体" w:hAnsi="宋体" w:eastAsia="宋体" w:cs="宋体"/>
          <w:i w:val="0"/>
          <w:caps w:val="0"/>
          <w:color w:val="333333"/>
          <w:spacing w:val="0"/>
          <w:sz w:val="32"/>
          <w:szCs w:val="32"/>
          <w:shd w:val="clear" w:color="auto" w:fill="FFFFFF"/>
          <w:lang w:eastAsia="zh-CN"/>
        </w:rPr>
        <w:t>龙洁娟、汤代英</w:t>
      </w:r>
    </w:p>
    <w:p w14:paraId="19118B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left="0" w:right="0" w:firstLine="420"/>
        <w:rPr>
          <w:rFonts w:hint="eastAsia" w:ascii="宋体" w:hAnsi="宋体" w:eastAsia="宋体" w:cs="宋体"/>
          <w:i w:val="0"/>
          <w:caps w:val="0"/>
          <w:color w:val="333333"/>
          <w:spacing w:val="0"/>
          <w:sz w:val="32"/>
          <w:szCs w:val="32"/>
          <w:shd w:val="clear" w:color="auto" w:fill="FFFFFF"/>
          <w:lang w:eastAsia="zh-CN"/>
        </w:rPr>
      </w:pPr>
      <w:r>
        <w:rPr>
          <w:rFonts w:hint="eastAsia" w:ascii="宋体" w:hAnsi="宋体" w:eastAsia="宋体" w:cs="宋体"/>
          <w:i w:val="0"/>
          <w:caps w:val="0"/>
          <w:color w:val="333333"/>
          <w:spacing w:val="0"/>
          <w:sz w:val="32"/>
          <w:szCs w:val="32"/>
          <w:shd w:val="clear" w:color="auto" w:fill="FFFFFF"/>
        </w:rPr>
        <w:t>成 员：</w:t>
      </w:r>
      <w:r>
        <w:rPr>
          <w:rFonts w:hint="eastAsia" w:ascii="宋体" w:hAnsi="宋体" w:eastAsia="宋体" w:cs="宋体"/>
          <w:i w:val="0"/>
          <w:caps w:val="0"/>
          <w:color w:val="333333"/>
          <w:spacing w:val="0"/>
          <w:sz w:val="32"/>
          <w:szCs w:val="32"/>
          <w:shd w:val="clear" w:color="auto" w:fill="FFFFFF"/>
          <w:lang w:eastAsia="zh-CN"/>
        </w:rPr>
        <w:t>钟芳、郑炳娅、李启均、谭勇</w:t>
      </w:r>
    </w:p>
    <w:p w14:paraId="7975DC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left="0" w:right="0" w:firstLine="420"/>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color="auto" w:fill="FFFFFF"/>
        </w:rPr>
        <w:t>办公室设在局办公室。</w:t>
      </w:r>
    </w:p>
    <w:p w14:paraId="59C2A2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left="0" w:right="0" w:firstLine="420"/>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color="auto" w:fill="FFFFFF"/>
        </w:rPr>
        <w:t>2、工作职责。</w:t>
      </w:r>
    </w:p>
    <w:p w14:paraId="44D6D8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left="0" w:right="0" w:firstLine="420"/>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color="auto" w:fill="FFFFFF"/>
        </w:rPr>
        <w:t>（1）组长职责：审批绩效自评方案，监督、检查、核实绩效自评结果；</w:t>
      </w:r>
    </w:p>
    <w:p w14:paraId="1FF53DC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left="0" w:right="0" w:firstLine="420"/>
        <w:rPr>
          <w:rFonts w:hint="eastAsia" w:ascii="宋体" w:hAnsi="宋体" w:eastAsia="宋体" w:cs="宋体"/>
          <w:i w:val="0"/>
          <w:caps w:val="0"/>
          <w:color w:val="333333"/>
          <w:spacing w:val="0"/>
          <w:sz w:val="32"/>
          <w:szCs w:val="32"/>
          <w:shd w:val="clear" w:color="auto" w:fill="FFFFFF"/>
        </w:rPr>
      </w:pPr>
      <w:r>
        <w:rPr>
          <w:rFonts w:hint="eastAsia" w:ascii="宋体" w:hAnsi="宋体" w:eastAsia="宋体" w:cs="宋体"/>
          <w:i w:val="0"/>
          <w:caps w:val="0"/>
          <w:color w:val="333333"/>
          <w:spacing w:val="0"/>
          <w:sz w:val="32"/>
          <w:szCs w:val="32"/>
          <w:shd w:val="clear" w:color="auto" w:fill="FFFFFF"/>
        </w:rPr>
        <w:t>（2）副组长职责：审核修改拟定的绩效自评方案，并提交考评工作组会议讨论通过；监督、部署、确认绩效自评过程及反馈意见的处理。</w:t>
      </w:r>
    </w:p>
    <w:p w14:paraId="6024C1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left="0" w:right="0" w:firstLine="420"/>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color="auto" w:fill="FFFFFF"/>
        </w:rPr>
        <w:t>（3）工作组成员职责：起草和修改绩效考评方案报自评领导工作组会议讨论通过，实施执行绩效自评方案；牵头组织并实施年度绩效自评，对考评结果进行复核，完成绩效自核工作组安排的其他工作。</w:t>
      </w:r>
    </w:p>
    <w:p w14:paraId="532C870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left="0" w:right="0" w:firstLine="420"/>
        <w:rPr>
          <w:rFonts w:hint="eastAsia" w:ascii="方正舒体" w:hAnsi="方正舒体" w:eastAsia="方正舒体" w:cs="方正舒体"/>
          <w:i w:val="0"/>
          <w:caps w:val="0"/>
          <w:color w:val="333333"/>
          <w:spacing w:val="0"/>
          <w:sz w:val="32"/>
          <w:szCs w:val="32"/>
        </w:rPr>
      </w:pPr>
      <w:r>
        <w:rPr>
          <w:rFonts w:hint="eastAsia" w:ascii="宋体" w:hAnsi="宋体" w:eastAsia="宋体" w:cs="宋体"/>
          <w:i w:val="0"/>
          <w:caps w:val="0"/>
          <w:color w:val="333333"/>
          <w:spacing w:val="0"/>
          <w:sz w:val="32"/>
          <w:szCs w:val="32"/>
          <w:shd w:val="clear" w:color="auto" w:fill="FFFFFF"/>
        </w:rPr>
        <w:t>按照项目批复文件，开展自评检查工作，对项目整体实施情况和质量进行评定，核实资金</w:t>
      </w:r>
      <w:r>
        <w:rPr>
          <w:rFonts w:hint="eastAsia" w:ascii="宋体" w:hAnsi="宋体" w:eastAsia="宋体" w:cs="宋体"/>
          <w:i w:val="0"/>
          <w:caps w:val="0"/>
          <w:color w:val="333333"/>
          <w:spacing w:val="0"/>
          <w:sz w:val="32"/>
          <w:szCs w:val="32"/>
          <w:shd w:val="clear" w:color="auto" w:fill="FFFFFF"/>
          <w:lang w:eastAsia="zh-CN"/>
        </w:rPr>
        <w:t>使用</w:t>
      </w:r>
      <w:r>
        <w:rPr>
          <w:rFonts w:hint="eastAsia" w:ascii="宋体" w:hAnsi="宋体" w:eastAsia="宋体" w:cs="宋体"/>
          <w:i w:val="0"/>
          <w:caps w:val="0"/>
          <w:color w:val="333333"/>
          <w:spacing w:val="0"/>
          <w:sz w:val="32"/>
          <w:szCs w:val="32"/>
          <w:shd w:val="clear" w:color="auto" w:fill="FFFFFF"/>
        </w:rPr>
        <w:t>拨付情况。</w:t>
      </w:r>
    </w:p>
    <w:p w14:paraId="6447841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78" w:lineRule="exact"/>
        <w:ind w:leftChars="196" w:right="0" w:rightChars="0"/>
        <w:rPr>
          <w:rFonts w:hint="eastAsia" w:ascii="仿宋" w:hAnsi="仿宋" w:eastAsia="仿宋" w:cs="仿宋"/>
          <w:b/>
          <w:bCs/>
          <w:i w:val="0"/>
          <w:caps w:val="0"/>
          <w:color w:val="333333"/>
          <w:spacing w:val="0"/>
          <w:sz w:val="32"/>
          <w:szCs w:val="32"/>
          <w:shd w:val="clear" w:color="auto" w:fill="FFFFFF"/>
        </w:rPr>
      </w:pPr>
      <w:r>
        <w:rPr>
          <w:rFonts w:hint="eastAsia" w:ascii="仿宋" w:hAnsi="仿宋" w:eastAsia="仿宋" w:cs="仿宋"/>
          <w:b/>
          <w:bCs/>
          <w:i w:val="0"/>
          <w:caps w:val="0"/>
          <w:color w:val="333333"/>
          <w:spacing w:val="0"/>
          <w:sz w:val="32"/>
          <w:szCs w:val="32"/>
          <w:shd w:val="clear" w:color="auto" w:fill="FFFFFF"/>
          <w:lang w:eastAsia="zh-CN"/>
        </w:rPr>
        <w:t>三、</w:t>
      </w:r>
      <w:r>
        <w:rPr>
          <w:rFonts w:hint="eastAsia" w:ascii="仿宋" w:hAnsi="仿宋" w:eastAsia="仿宋" w:cs="仿宋"/>
          <w:b/>
          <w:bCs/>
          <w:i w:val="0"/>
          <w:caps w:val="0"/>
          <w:color w:val="333333"/>
          <w:spacing w:val="0"/>
          <w:sz w:val="32"/>
          <w:szCs w:val="32"/>
          <w:shd w:val="clear" w:color="auto" w:fill="FFFFFF"/>
        </w:rPr>
        <w:t>绩效分析及评价结论</w:t>
      </w:r>
    </w:p>
    <w:p w14:paraId="2780B3BD">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rPr>
        <w:t>省级下达医疗服务与保障能力提升中央财政补助资金转移支付预算和绩效目标情况</w:t>
      </w:r>
    </w:p>
    <w:p w14:paraId="5FAFF9C9">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20</w:t>
      </w:r>
      <w:r>
        <w:rPr>
          <w:rFonts w:hint="eastAsia" w:asciiTheme="majorEastAsia" w:hAnsiTheme="majorEastAsia" w:eastAsiaTheme="majorEastAsia" w:cstheme="majorEastAsia"/>
          <w:sz w:val="32"/>
          <w:szCs w:val="32"/>
          <w:lang w:val="en-US" w:eastAsia="zh-CN"/>
        </w:rPr>
        <w:t>21</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eastAsia="zh-CN"/>
        </w:rPr>
        <w:t>和</w:t>
      </w:r>
      <w:r>
        <w:rPr>
          <w:rFonts w:hint="eastAsia" w:asciiTheme="majorEastAsia" w:hAnsiTheme="majorEastAsia" w:eastAsiaTheme="majorEastAsia" w:cstheme="majorEastAsia"/>
          <w:sz w:val="32"/>
          <w:szCs w:val="32"/>
          <w:lang w:val="en-US" w:eastAsia="zh-CN"/>
        </w:rPr>
        <w:t>6月</w:t>
      </w:r>
      <w:r>
        <w:rPr>
          <w:rFonts w:hint="eastAsia" w:asciiTheme="majorEastAsia" w:hAnsiTheme="majorEastAsia" w:eastAsiaTheme="majorEastAsia" w:cstheme="majorEastAsia"/>
          <w:sz w:val="32"/>
          <w:szCs w:val="32"/>
        </w:rPr>
        <w:t>根据《四川省财政厅 四川省医疗保障局关于下达20</w:t>
      </w:r>
      <w:r>
        <w:rPr>
          <w:rFonts w:hint="eastAsia" w:asciiTheme="majorEastAsia" w:hAnsiTheme="majorEastAsia" w:eastAsiaTheme="majorEastAsia" w:cstheme="majorEastAsia"/>
          <w:sz w:val="32"/>
          <w:szCs w:val="32"/>
          <w:lang w:val="en-US" w:eastAsia="zh-CN"/>
        </w:rPr>
        <w:t>21</w:t>
      </w:r>
      <w:r>
        <w:rPr>
          <w:rFonts w:hint="eastAsia" w:asciiTheme="majorEastAsia" w:hAnsiTheme="majorEastAsia" w:eastAsiaTheme="majorEastAsia" w:cstheme="majorEastAsia"/>
          <w:sz w:val="32"/>
          <w:szCs w:val="32"/>
        </w:rPr>
        <w:t>年医疗服务与保障能力提升中央财政补助资金</w:t>
      </w:r>
      <w:r>
        <w:rPr>
          <w:rFonts w:hint="eastAsia" w:asciiTheme="majorEastAsia" w:hAnsiTheme="majorEastAsia" w:eastAsiaTheme="majorEastAsia" w:cstheme="majorEastAsia"/>
          <w:sz w:val="32"/>
          <w:szCs w:val="32"/>
          <w:lang w:eastAsia="zh-CN"/>
        </w:rPr>
        <w:t>（医疗保障服务能力提升部分）预算</w:t>
      </w:r>
      <w:r>
        <w:rPr>
          <w:rFonts w:hint="eastAsia" w:asciiTheme="majorEastAsia" w:hAnsiTheme="majorEastAsia" w:eastAsiaTheme="majorEastAsia" w:cstheme="majorEastAsia"/>
          <w:sz w:val="32"/>
          <w:szCs w:val="32"/>
        </w:rPr>
        <w:t>的通知》（川财社〔20</w:t>
      </w:r>
      <w:r>
        <w:rPr>
          <w:rFonts w:hint="eastAsia" w:asciiTheme="majorEastAsia" w:hAnsiTheme="majorEastAsia" w:eastAsiaTheme="majorEastAsia" w:cstheme="majorEastAsia"/>
          <w:sz w:val="32"/>
          <w:szCs w:val="32"/>
          <w:lang w:val="en-US" w:eastAsia="zh-CN"/>
        </w:rPr>
        <w:t>21</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45</w:t>
      </w:r>
      <w:r>
        <w:rPr>
          <w:rFonts w:hint="eastAsia" w:asciiTheme="majorEastAsia" w:hAnsiTheme="majorEastAsia" w:eastAsiaTheme="majorEastAsia" w:cstheme="majorEastAsia"/>
          <w:sz w:val="32"/>
          <w:szCs w:val="32"/>
        </w:rPr>
        <w:t>号）文件，下达我</w:t>
      </w:r>
      <w:r>
        <w:rPr>
          <w:rFonts w:hint="eastAsia" w:asciiTheme="majorEastAsia" w:hAnsiTheme="majorEastAsia" w:eastAsiaTheme="majorEastAsia" w:cstheme="majorEastAsia"/>
          <w:sz w:val="32"/>
          <w:szCs w:val="32"/>
          <w:lang w:eastAsia="zh-CN"/>
        </w:rPr>
        <w:t>县</w:t>
      </w:r>
      <w:r>
        <w:rPr>
          <w:rFonts w:hint="eastAsia" w:asciiTheme="majorEastAsia" w:hAnsiTheme="majorEastAsia" w:eastAsiaTheme="majorEastAsia" w:cstheme="majorEastAsia"/>
          <w:sz w:val="32"/>
          <w:szCs w:val="32"/>
        </w:rPr>
        <w:t>20</w:t>
      </w:r>
      <w:r>
        <w:rPr>
          <w:rFonts w:hint="eastAsia" w:asciiTheme="majorEastAsia" w:hAnsiTheme="majorEastAsia" w:eastAsiaTheme="majorEastAsia" w:cstheme="majorEastAsia"/>
          <w:sz w:val="32"/>
          <w:szCs w:val="32"/>
          <w:lang w:val="en-US" w:eastAsia="zh-CN"/>
        </w:rPr>
        <w:t>21</w:t>
      </w:r>
      <w:r>
        <w:rPr>
          <w:rFonts w:hint="eastAsia" w:asciiTheme="majorEastAsia" w:hAnsiTheme="majorEastAsia" w:eastAsiaTheme="majorEastAsia" w:cstheme="majorEastAsia"/>
          <w:sz w:val="32"/>
          <w:szCs w:val="32"/>
        </w:rPr>
        <w:t>年医疗服务与保障能力提升中央财政补助资金</w:t>
      </w:r>
      <w:r>
        <w:rPr>
          <w:rFonts w:hint="eastAsia" w:asciiTheme="majorEastAsia" w:hAnsiTheme="majorEastAsia" w:eastAsiaTheme="majorEastAsia" w:cstheme="majorEastAsia"/>
          <w:sz w:val="32"/>
          <w:szCs w:val="32"/>
          <w:lang w:val="en-US" w:eastAsia="zh-CN"/>
        </w:rPr>
        <w:t>81.4</w:t>
      </w:r>
      <w:r>
        <w:rPr>
          <w:rFonts w:hint="eastAsia" w:asciiTheme="majorEastAsia" w:hAnsiTheme="majorEastAsia" w:eastAsiaTheme="majorEastAsia" w:cstheme="majorEastAsia"/>
          <w:sz w:val="32"/>
          <w:szCs w:val="32"/>
        </w:rPr>
        <w:t>万元，并同时下达了绩效目标。年度总体目标是：提升医保信息化水平，加强网络、信息安全、基础设施等方面建设，进一步夯实技术基础，切实保障医保信息系统高效、安全运行，提高数据采集质量和速度。加强打击欺诈骗保工作力度，切实保障医保基金合理有效使用。加快推进医保支付方式改革</w:t>
      </w:r>
      <w:r>
        <w:rPr>
          <w:rFonts w:hint="eastAsia" w:asciiTheme="majorEastAsia" w:hAnsiTheme="majorEastAsia" w:eastAsiaTheme="majorEastAsia" w:cstheme="majorEastAsia"/>
          <w:sz w:val="32"/>
          <w:szCs w:val="32"/>
          <w:lang w:eastAsia="zh-CN"/>
        </w:rPr>
        <w:t>疾病诊断组（</w:t>
      </w:r>
      <w:r>
        <w:rPr>
          <w:rFonts w:hint="eastAsia" w:asciiTheme="majorEastAsia" w:hAnsiTheme="majorEastAsia" w:eastAsiaTheme="majorEastAsia" w:cstheme="majorEastAsia"/>
          <w:sz w:val="32"/>
          <w:szCs w:val="32"/>
        </w:rPr>
        <w:t>DRG</w:t>
      </w:r>
      <w:r>
        <w:rPr>
          <w:rFonts w:hint="eastAsia" w:asciiTheme="majorEastAsia" w:hAnsiTheme="majorEastAsia" w:eastAsiaTheme="majorEastAsia" w:cstheme="majorEastAsia"/>
          <w:sz w:val="32"/>
          <w:szCs w:val="32"/>
          <w:lang w:eastAsia="zh-CN"/>
        </w:rPr>
        <w:t>）付费</w:t>
      </w:r>
      <w:r>
        <w:rPr>
          <w:rFonts w:hint="eastAsia" w:asciiTheme="majorEastAsia" w:hAnsiTheme="majorEastAsia" w:eastAsiaTheme="majorEastAsia" w:cstheme="majorEastAsia"/>
          <w:sz w:val="32"/>
          <w:szCs w:val="32"/>
        </w:rPr>
        <w:t>试点工作</w:t>
      </w:r>
      <w:r>
        <w:rPr>
          <w:rFonts w:hint="eastAsia" w:asciiTheme="majorEastAsia" w:hAnsiTheme="majorEastAsia" w:eastAsiaTheme="majorEastAsia" w:cstheme="majorEastAsia"/>
          <w:sz w:val="32"/>
          <w:szCs w:val="32"/>
          <w:lang w:eastAsia="zh-CN"/>
        </w:rPr>
        <w:t>和医共体改革</w:t>
      </w:r>
      <w:r>
        <w:rPr>
          <w:rFonts w:hint="eastAsia" w:asciiTheme="majorEastAsia" w:hAnsiTheme="majorEastAsia" w:eastAsiaTheme="majorEastAsia" w:cstheme="majorEastAsia"/>
          <w:sz w:val="32"/>
          <w:szCs w:val="32"/>
        </w:rPr>
        <w:t>。4.有效提升综合监管、宣传引导、经办服务、人才队伍建设等医疗保障服务能力。同时还通过产出指标、满意度等以及指标分设二级指标和三级指标对此进行绩效目标的量化。</w:t>
      </w:r>
    </w:p>
    <w:p w14:paraId="4B4AD0F4">
      <w:pPr>
        <w:keepNext w:val="0"/>
        <w:keepLines w:val="0"/>
        <w:pageBreakBefore w:val="0"/>
        <w:widowControl w:val="0"/>
        <w:kinsoku/>
        <w:wordWrap/>
        <w:overflowPunct/>
        <w:topLinePunct w:val="0"/>
        <w:autoSpaceDE/>
        <w:autoSpaceDN/>
        <w:bidi w:val="0"/>
        <w:adjustRightInd/>
        <w:snapToGrid/>
        <w:spacing w:line="578" w:lineRule="atLeast"/>
        <w:ind w:firstLine="627" w:firstLineChars="196"/>
        <w:textAlignment w:val="auto"/>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lang w:eastAsia="zh-CN"/>
        </w:rPr>
        <w:t>四</w:t>
      </w:r>
      <w:r>
        <w:rPr>
          <w:rFonts w:hint="eastAsia" w:asciiTheme="majorEastAsia" w:hAnsiTheme="majorEastAsia" w:eastAsiaTheme="majorEastAsia" w:cstheme="majorEastAsia"/>
          <w:b w:val="0"/>
          <w:bCs w:val="0"/>
          <w:sz w:val="32"/>
          <w:szCs w:val="32"/>
        </w:rPr>
        <w:t>、绩效目标完成情况分析</w:t>
      </w:r>
    </w:p>
    <w:p w14:paraId="53B442F0">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lang w:eastAsia="zh-CN"/>
        </w:rPr>
        <w:t>（一）</w:t>
      </w:r>
      <w:r>
        <w:rPr>
          <w:rFonts w:hint="eastAsia" w:asciiTheme="majorEastAsia" w:hAnsiTheme="majorEastAsia" w:eastAsiaTheme="majorEastAsia" w:cstheme="majorEastAsia"/>
          <w:b w:val="0"/>
          <w:bCs w:val="0"/>
          <w:sz w:val="32"/>
          <w:szCs w:val="32"/>
        </w:rPr>
        <w:t>资金投入情况分析</w:t>
      </w:r>
    </w:p>
    <w:p w14:paraId="5C467FD5">
      <w:pPr>
        <w:keepNext w:val="0"/>
        <w:keepLines w:val="0"/>
        <w:pageBreakBefore w:val="0"/>
        <w:widowControl w:val="0"/>
        <w:tabs>
          <w:tab w:val="left" w:pos="312"/>
        </w:tabs>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1.项目资金到位情况分析</w:t>
      </w:r>
    </w:p>
    <w:p w14:paraId="361C3B7B">
      <w:pPr>
        <w:keepNext w:val="0"/>
        <w:keepLines w:val="0"/>
        <w:pageBreakBefore w:val="0"/>
        <w:widowControl w:val="0"/>
        <w:tabs>
          <w:tab w:val="left" w:pos="312"/>
        </w:tabs>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该项资金于20</w:t>
      </w:r>
      <w:r>
        <w:rPr>
          <w:rFonts w:hint="eastAsia" w:asciiTheme="majorEastAsia" w:hAnsiTheme="majorEastAsia" w:eastAsiaTheme="majorEastAsia" w:cstheme="majorEastAsia"/>
          <w:sz w:val="32"/>
          <w:szCs w:val="32"/>
          <w:lang w:val="en-US" w:eastAsia="zh-CN"/>
        </w:rPr>
        <w:t>21</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12</w:t>
      </w:r>
      <w:r>
        <w:rPr>
          <w:rFonts w:hint="eastAsia" w:asciiTheme="majorEastAsia" w:hAnsiTheme="majorEastAsia" w:eastAsiaTheme="majorEastAsia" w:cstheme="majorEastAsia"/>
          <w:sz w:val="32"/>
          <w:szCs w:val="32"/>
        </w:rPr>
        <w:t>月到位。</w:t>
      </w:r>
    </w:p>
    <w:p w14:paraId="6EF65B68">
      <w:pPr>
        <w:keepNext w:val="0"/>
        <w:keepLines w:val="0"/>
        <w:pageBreakBefore w:val="0"/>
        <w:widowControl w:val="0"/>
        <w:tabs>
          <w:tab w:val="left" w:pos="312"/>
        </w:tabs>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2.项目资金执行情况分析</w:t>
      </w:r>
    </w:p>
    <w:p w14:paraId="23515A7D">
      <w:pPr>
        <w:keepNext w:val="0"/>
        <w:keepLines w:val="0"/>
        <w:pageBreakBefore w:val="0"/>
        <w:widowControl w:val="0"/>
        <w:tabs>
          <w:tab w:val="left" w:pos="312"/>
        </w:tabs>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eastAsia="zh-CN"/>
        </w:rPr>
        <w:t>我县</w:t>
      </w:r>
      <w:r>
        <w:rPr>
          <w:rFonts w:hint="eastAsia" w:asciiTheme="majorEastAsia" w:hAnsiTheme="majorEastAsia" w:eastAsiaTheme="majorEastAsia" w:cstheme="majorEastAsia"/>
          <w:sz w:val="32"/>
          <w:szCs w:val="32"/>
        </w:rPr>
        <w:t>分配资金</w:t>
      </w:r>
      <w:r>
        <w:rPr>
          <w:rFonts w:hint="eastAsia" w:asciiTheme="majorEastAsia" w:hAnsiTheme="majorEastAsia" w:eastAsiaTheme="majorEastAsia" w:cstheme="majorEastAsia"/>
          <w:sz w:val="32"/>
          <w:szCs w:val="32"/>
          <w:lang w:val="en-US" w:eastAsia="zh-CN"/>
        </w:rPr>
        <w:t>81.4</w:t>
      </w:r>
      <w:r>
        <w:rPr>
          <w:rFonts w:hint="eastAsia" w:asciiTheme="majorEastAsia" w:hAnsiTheme="majorEastAsia" w:eastAsiaTheme="majorEastAsia" w:cstheme="majorEastAsia"/>
          <w:sz w:val="32"/>
          <w:szCs w:val="32"/>
        </w:rPr>
        <w:t>万元，用于</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打击欺诈骗保</w:t>
      </w:r>
      <w:r>
        <w:rPr>
          <w:rFonts w:hint="eastAsia" w:asciiTheme="majorEastAsia" w:hAnsiTheme="majorEastAsia" w:eastAsiaTheme="majorEastAsia" w:cstheme="majorEastAsia"/>
          <w:sz w:val="32"/>
          <w:szCs w:val="32"/>
          <w:lang w:eastAsia="zh-CN"/>
        </w:rPr>
        <w:t>、基本医疗保险筹资与服务、加强</w:t>
      </w:r>
      <w:r>
        <w:rPr>
          <w:rFonts w:hint="eastAsia" w:asciiTheme="majorEastAsia" w:hAnsiTheme="majorEastAsia" w:eastAsiaTheme="majorEastAsia" w:cstheme="majorEastAsia"/>
          <w:sz w:val="32"/>
          <w:szCs w:val="32"/>
        </w:rPr>
        <w:t>医保信息</w:t>
      </w:r>
      <w:r>
        <w:rPr>
          <w:rFonts w:hint="eastAsia" w:asciiTheme="majorEastAsia" w:hAnsiTheme="majorEastAsia" w:eastAsiaTheme="majorEastAsia" w:cstheme="majorEastAsia"/>
          <w:sz w:val="32"/>
          <w:szCs w:val="32"/>
          <w:lang w:eastAsia="zh-CN"/>
        </w:rPr>
        <w:t>系统建设</w:t>
      </w:r>
      <w:r>
        <w:rPr>
          <w:rFonts w:hint="eastAsia" w:asciiTheme="majorEastAsia" w:hAnsiTheme="majorEastAsia" w:eastAsiaTheme="majorEastAsia" w:cstheme="majorEastAsia"/>
          <w:sz w:val="32"/>
          <w:szCs w:val="32"/>
        </w:rPr>
        <w:t>、加强信息安全</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GRG付费改革试点</w:t>
      </w:r>
      <w:r>
        <w:rPr>
          <w:rFonts w:hint="eastAsia" w:asciiTheme="majorEastAsia" w:hAnsiTheme="majorEastAsia" w:eastAsiaTheme="majorEastAsia" w:cstheme="majorEastAsia"/>
          <w:sz w:val="32"/>
          <w:szCs w:val="32"/>
        </w:rPr>
        <w:t>等方面建设。</w:t>
      </w:r>
    </w:p>
    <w:p w14:paraId="0C03CD52">
      <w:pPr>
        <w:keepNext w:val="0"/>
        <w:keepLines w:val="0"/>
        <w:pageBreakBefore w:val="0"/>
        <w:widowControl w:val="0"/>
        <w:tabs>
          <w:tab w:val="left" w:pos="312"/>
        </w:tabs>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3.项目资金管理情况分析</w:t>
      </w:r>
    </w:p>
    <w:p w14:paraId="4E0D95D0">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加强该项目资金的使用管理，统一按财务管理要求进行财务核算。根据《关于下达20</w:t>
      </w:r>
      <w:r>
        <w:rPr>
          <w:rFonts w:hint="eastAsia" w:asciiTheme="majorEastAsia" w:hAnsiTheme="majorEastAsia" w:eastAsiaTheme="majorEastAsia" w:cstheme="majorEastAsia"/>
          <w:sz w:val="32"/>
          <w:szCs w:val="32"/>
          <w:lang w:val="en-US" w:eastAsia="zh-CN"/>
        </w:rPr>
        <w:t>21</w:t>
      </w:r>
      <w:r>
        <w:rPr>
          <w:rFonts w:hint="eastAsia" w:asciiTheme="majorEastAsia" w:hAnsiTheme="majorEastAsia" w:eastAsiaTheme="majorEastAsia" w:cstheme="majorEastAsia"/>
          <w:sz w:val="32"/>
          <w:szCs w:val="32"/>
        </w:rPr>
        <w:t>年医疗服务与保障能力提升中央财政补助资金</w:t>
      </w:r>
      <w:r>
        <w:rPr>
          <w:rFonts w:hint="eastAsia" w:asciiTheme="majorEastAsia" w:hAnsiTheme="majorEastAsia" w:eastAsiaTheme="majorEastAsia" w:cstheme="majorEastAsia"/>
          <w:sz w:val="32"/>
          <w:szCs w:val="32"/>
          <w:lang w:eastAsia="zh-CN"/>
        </w:rPr>
        <w:t>（医疗保障服务能力提升部分）预算</w:t>
      </w:r>
      <w:r>
        <w:rPr>
          <w:rFonts w:hint="eastAsia" w:asciiTheme="majorEastAsia" w:hAnsiTheme="majorEastAsia" w:eastAsiaTheme="majorEastAsia" w:cstheme="majorEastAsia"/>
          <w:sz w:val="32"/>
          <w:szCs w:val="32"/>
        </w:rPr>
        <w:t>的通知》</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达市财社〔20</w:t>
      </w:r>
      <w:r>
        <w:rPr>
          <w:rFonts w:hint="eastAsia" w:asciiTheme="majorEastAsia" w:hAnsiTheme="majorEastAsia" w:eastAsiaTheme="majorEastAsia" w:cstheme="majorEastAsia"/>
          <w:sz w:val="32"/>
          <w:szCs w:val="32"/>
          <w:lang w:val="en-US" w:eastAsia="zh-CN"/>
        </w:rPr>
        <w:t>21</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号</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（达市财社</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2021</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52号）</w:t>
      </w:r>
      <w:r>
        <w:rPr>
          <w:rFonts w:hint="eastAsia" w:asciiTheme="majorEastAsia" w:hAnsiTheme="majorEastAsia" w:eastAsiaTheme="majorEastAsia" w:cstheme="majorEastAsia"/>
          <w:sz w:val="32"/>
          <w:szCs w:val="32"/>
        </w:rPr>
        <w:t>文件文件要求，支出列入“21015-医疗保障管理事务”科目</w:t>
      </w:r>
      <w:r>
        <w:rPr>
          <w:rFonts w:hint="eastAsia" w:asciiTheme="majorEastAsia" w:hAnsiTheme="majorEastAsia" w:eastAsiaTheme="majorEastAsia" w:cstheme="majorEastAsia"/>
          <w:sz w:val="32"/>
          <w:szCs w:val="32"/>
          <w:lang w:eastAsia="zh-CN"/>
        </w:rPr>
        <w:t>，并按支出用途列入相关项级科</w:t>
      </w:r>
      <w:r>
        <w:rPr>
          <w:rFonts w:hint="eastAsia" w:asciiTheme="majorEastAsia" w:hAnsiTheme="majorEastAsia" w:eastAsiaTheme="majorEastAsia" w:cstheme="majorEastAsia"/>
          <w:sz w:val="32"/>
          <w:szCs w:val="32"/>
        </w:rPr>
        <w:t>。</w:t>
      </w:r>
    </w:p>
    <w:p w14:paraId="1AA20373">
      <w:pPr>
        <w:keepNext w:val="0"/>
        <w:keepLines w:val="0"/>
        <w:pageBreakBefore w:val="0"/>
        <w:widowControl w:val="0"/>
        <w:kinsoku/>
        <w:wordWrap/>
        <w:overflowPunct/>
        <w:topLinePunct w:val="0"/>
        <w:autoSpaceDE/>
        <w:autoSpaceDN/>
        <w:bidi w:val="0"/>
        <w:adjustRightInd/>
        <w:snapToGrid/>
        <w:spacing w:line="578" w:lineRule="atLeast"/>
        <w:ind w:firstLine="470" w:firstLineChars="147"/>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val="0"/>
          <w:bCs w:val="0"/>
          <w:sz w:val="32"/>
          <w:szCs w:val="32"/>
          <w:lang w:eastAsia="zh-CN"/>
        </w:rPr>
        <w:t>（二）总体绩效目标完成情况分析</w:t>
      </w:r>
    </w:p>
    <w:p w14:paraId="4B99C217">
      <w:pPr>
        <w:keepNext w:val="0"/>
        <w:keepLines w:val="0"/>
        <w:pageBreakBefore w:val="0"/>
        <w:widowControl w:val="0"/>
        <w:kinsoku/>
        <w:wordWrap/>
        <w:overflowPunct/>
        <w:topLinePunct w:val="0"/>
        <w:autoSpaceDE/>
        <w:autoSpaceDN/>
        <w:bidi w:val="0"/>
        <w:adjustRightInd/>
        <w:snapToGrid/>
        <w:spacing w:line="578" w:lineRule="atLeast"/>
        <w:ind w:firstLine="627" w:firstLineChars="196"/>
        <w:textAlignment w:val="auto"/>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20</w:t>
      </w:r>
      <w:r>
        <w:rPr>
          <w:rFonts w:hint="eastAsia" w:asciiTheme="majorEastAsia" w:hAnsiTheme="majorEastAsia" w:eastAsiaTheme="majorEastAsia" w:cstheme="majorEastAsia"/>
          <w:bCs/>
          <w:sz w:val="32"/>
          <w:szCs w:val="32"/>
          <w:lang w:val="en-US" w:eastAsia="zh-CN"/>
        </w:rPr>
        <w:t>21</w:t>
      </w:r>
      <w:r>
        <w:rPr>
          <w:rFonts w:hint="eastAsia" w:asciiTheme="majorEastAsia" w:hAnsiTheme="majorEastAsia" w:eastAsiaTheme="majorEastAsia" w:cstheme="majorEastAsia"/>
          <w:bCs/>
          <w:sz w:val="32"/>
          <w:szCs w:val="32"/>
        </w:rPr>
        <w:t>年我</w:t>
      </w:r>
      <w:r>
        <w:rPr>
          <w:rFonts w:hint="eastAsia" w:asciiTheme="majorEastAsia" w:hAnsiTheme="majorEastAsia" w:eastAsiaTheme="majorEastAsia" w:cstheme="majorEastAsia"/>
          <w:bCs/>
          <w:sz w:val="32"/>
          <w:szCs w:val="32"/>
          <w:lang w:eastAsia="zh-CN"/>
        </w:rPr>
        <w:t>县</w:t>
      </w:r>
      <w:r>
        <w:rPr>
          <w:rFonts w:hint="eastAsia" w:asciiTheme="majorEastAsia" w:hAnsiTheme="majorEastAsia" w:eastAsiaTheme="majorEastAsia" w:cstheme="majorEastAsia"/>
          <w:bCs/>
          <w:sz w:val="32"/>
          <w:szCs w:val="32"/>
        </w:rPr>
        <w:t>开展大规模的打击欺诈骗保</w:t>
      </w:r>
      <w:r>
        <w:rPr>
          <w:rFonts w:hint="eastAsia" w:asciiTheme="majorEastAsia" w:hAnsiTheme="majorEastAsia" w:eastAsiaTheme="majorEastAsia" w:cstheme="majorEastAsia"/>
          <w:bCs/>
          <w:sz w:val="32"/>
          <w:szCs w:val="32"/>
          <w:lang w:eastAsia="zh-CN"/>
        </w:rPr>
        <w:t>专项治理活动</w:t>
      </w:r>
      <w:r>
        <w:rPr>
          <w:rFonts w:hint="eastAsia" w:asciiTheme="majorEastAsia" w:hAnsiTheme="majorEastAsia" w:eastAsiaTheme="majorEastAsia" w:cstheme="majorEastAsia"/>
          <w:bCs/>
          <w:sz w:val="32"/>
          <w:szCs w:val="32"/>
        </w:rPr>
        <w:t>；</w:t>
      </w:r>
      <w:r>
        <w:rPr>
          <w:rFonts w:hint="eastAsia" w:asciiTheme="majorEastAsia" w:hAnsiTheme="majorEastAsia" w:eastAsiaTheme="majorEastAsia" w:cstheme="majorEastAsia"/>
          <w:sz w:val="32"/>
        </w:rPr>
        <w:t>运用群众喜闻乐见、通俗易懂、印象深刻的形式进行了医保政策宣传；</w:t>
      </w:r>
      <w:r>
        <w:rPr>
          <w:rFonts w:hint="eastAsia" w:asciiTheme="majorEastAsia" w:hAnsiTheme="majorEastAsia" w:eastAsiaTheme="majorEastAsia" w:cstheme="majorEastAsia"/>
          <w:bCs/>
          <w:sz w:val="32"/>
          <w:szCs w:val="32"/>
        </w:rPr>
        <w:t>定点医药机构监督检查覆盖率达到100%；</w:t>
      </w:r>
      <w:r>
        <w:rPr>
          <w:rFonts w:hint="eastAsia" w:asciiTheme="majorEastAsia" w:hAnsiTheme="majorEastAsia" w:eastAsiaTheme="majorEastAsia" w:cstheme="majorEastAsia"/>
          <w:sz w:val="32"/>
        </w:rPr>
        <w:t>注重舆论正面引导结合典型案例警示进行宣传。</w:t>
      </w:r>
      <w:r>
        <w:rPr>
          <w:rFonts w:hint="eastAsia" w:asciiTheme="majorEastAsia" w:hAnsiTheme="majorEastAsia" w:eastAsiaTheme="majorEastAsia" w:cstheme="majorEastAsia"/>
          <w:bCs/>
          <w:sz w:val="32"/>
          <w:szCs w:val="32"/>
          <w:lang w:eastAsia="zh-CN"/>
        </w:rPr>
        <w:t>参加市</w:t>
      </w:r>
      <w:r>
        <w:rPr>
          <w:rFonts w:hint="eastAsia" w:asciiTheme="majorEastAsia" w:hAnsiTheme="majorEastAsia" w:eastAsiaTheme="majorEastAsia" w:cstheme="majorEastAsia"/>
          <w:bCs/>
          <w:sz w:val="32"/>
          <w:szCs w:val="32"/>
        </w:rPr>
        <w:t>医保系统培训</w:t>
      </w:r>
      <w:r>
        <w:rPr>
          <w:rFonts w:hint="eastAsia" w:asciiTheme="majorEastAsia" w:hAnsiTheme="majorEastAsia" w:eastAsiaTheme="majorEastAsia" w:cstheme="majorEastAsia"/>
          <w:bCs/>
          <w:sz w:val="32"/>
          <w:szCs w:val="32"/>
          <w:lang w:val="en-US" w:eastAsia="zh-CN"/>
        </w:rPr>
        <w:t>10余人</w:t>
      </w:r>
      <w:r>
        <w:rPr>
          <w:rFonts w:hint="eastAsia" w:asciiTheme="majorEastAsia" w:hAnsiTheme="majorEastAsia" w:eastAsiaTheme="majorEastAsia" w:cstheme="majorEastAsia"/>
          <w:bCs/>
          <w:sz w:val="32"/>
          <w:szCs w:val="32"/>
        </w:rPr>
        <w:t>次，培训合格率达100%；外出学习</w:t>
      </w:r>
      <w:r>
        <w:rPr>
          <w:rFonts w:hint="eastAsia" w:asciiTheme="majorEastAsia" w:hAnsiTheme="majorEastAsia" w:eastAsiaTheme="majorEastAsia" w:cstheme="majorEastAsia"/>
          <w:bCs/>
          <w:sz w:val="32"/>
          <w:szCs w:val="32"/>
          <w:lang w:val="en-US" w:eastAsia="zh-CN"/>
        </w:rPr>
        <w:t>4人</w:t>
      </w:r>
      <w:r>
        <w:rPr>
          <w:rFonts w:hint="eastAsia" w:asciiTheme="majorEastAsia" w:hAnsiTheme="majorEastAsia" w:eastAsiaTheme="majorEastAsia" w:cstheme="majorEastAsia"/>
          <w:bCs/>
          <w:sz w:val="32"/>
          <w:szCs w:val="32"/>
        </w:rPr>
        <w:t>次。基本实现了年度总体目标。</w:t>
      </w:r>
    </w:p>
    <w:p w14:paraId="75BD16BF">
      <w:pPr>
        <w:keepNext w:val="0"/>
        <w:keepLines w:val="0"/>
        <w:pageBreakBefore w:val="0"/>
        <w:widowControl w:val="0"/>
        <w:kinsoku/>
        <w:wordWrap/>
        <w:overflowPunct/>
        <w:topLinePunct w:val="0"/>
        <w:autoSpaceDE/>
        <w:autoSpaceDN/>
        <w:bidi w:val="0"/>
        <w:adjustRightInd/>
        <w:snapToGrid/>
        <w:spacing w:line="578" w:lineRule="atLeast"/>
        <w:ind w:firstLine="470" w:firstLineChars="147"/>
        <w:textAlignment w:val="auto"/>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（三）绩效指标完成情况分析</w:t>
      </w:r>
    </w:p>
    <w:p w14:paraId="1B04B988">
      <w:pPr>
        <w:keepNext w:val="0"/>
        <w:keepLines w:val="0"/>
        <w:pageBreakBefore w:val="0"/>
        <w:widowControl w:val="0"/>
        <w:tabs>
          <w:tab w:val="left" w:pos="312"/>
        </w:tabs>
        <w:kinsoku/>
        <w:wordWrap/>
        <w:overflowPunct/>
        <w:topLinePunct w:val="0"/>
        <w:autoSpaceDE/>
        <w:autoSpaceDN/>
        <w:bidi w:val="0"/>
        <w:adjustRightInd/>
        <w:snapToGrid/>
        <w:spacing w:line="578" w:lineRule="atLeast"/>
        <w:ind w:firstLine="630" w:firstLineChars="196"/>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1.产出指标完成情况分析</w:t>
      </w:r>
    </w:p>
    <w:p w14:paraId="16F95589">
      <w:pPr>
        <w:keepNext w:val="0"/>
        <w:keepLines w:val="0"/>
        <w:pageBreakBefore w:val="0"/>
        <w:widowControl w:val="0"/>
        <w:kinsoku/>
        <w:wordWrap/>
        <w:overflowPunct/>
        <w:topLinePunct w:val="0"/>
        <w:autoSpaceDE/>
        <w:autoSpaceDN/>
        <w:bidi w:val="0"/>
        <w:adjustRightInd/>
        <w:snapToGrid/>
        <w:spacing w:line="578" w:lineRule="atLeast"/>
        <w:ind w:firstLine="480" w:firstLineChars="15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（1）数量指标</w:t>
      </w:r>
    </w:p>
    <w:p w14:paraId="1B508C8A">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我局制作20</w:t>
      </w:r>
      <w:r>
        <w:rPr>
          <w:rFonts w:hint="eastAsia" w:asciiTheme="majorEastAsia" w:hAnsiTheme="majorEastAsia" w:eastAsiaTheme="majorEastAsia" w:cstheme="majorEastAsia"/>
          <w:sz w:val="32"/>
          <w:szCs w:val="32"/>
          <w:lang w:val="en-US" w:eastAsia="zh-CN"/>
        </w:rPr>
        <w:t>21</w:t>
      </w:r>
      <w:r>
        <w:rPr>
          <w:rFonts w:hint="eastAsia" w:asciiTheme="majorEastAsia" w:hAnsiTheme="majorEastAsia" w:eastAsiaTheme="majorEastAsia" w:cstheme="majorEastAsia"/>
          <w:sz w:val="32"/>
          <w:szCs w:val="32"/>
        </w:rPr>
        <w:t>年医保政策宣传片</w:t>
      </w:r>
      <w:r>
        <w:rPr>
          <w:rFonts w:hint="eastAsia" w:asciiTheme="majorEastAsia" w:hAnsiTheme="majorEastAsia" w:eastAsiaTheme="majorEastAsia" w:cstheme="majorEastAsia"/>
          <w:sz w:val="32"/>
          <w:szCs w:val="32"/>
          <w:lang w:eastAsia="zh-CN"/>
        </w:rPr>
        <w:t>、视频，</w:t>
      </w:r>
      <w:r>
        <w:rPr>
          <w:rFonts w:hint="eastAsia" w:asciiTheme="majorEastAsia" w:hAnsiTheme="majorEastAsia" w:eastAsiaTheme="majorEastAsia" w:cstheme="majorEastAsia"/>
          <w:sz w:val="32"/>
          <w:szCs w:val="32"/>
        </w:rPr>
        <w:t>在开江电视台、政府门户网站、开江发布等平台广泛宣传，同时印发各类医保宣传资料</w:t>
      </w:r>
      <w:r>
        <w:rPr>
          <w:rFonts w:hint="eastAsia" w:asciiTheme="majorEastAsia" w:hAnsiTheme="majorEastAsia" w:eastAsiaTheme="majorEastAsia" w:cstheme="majorEastAsia"/>
          <w:sz w:val="32"/>
          <w:szCs w:val="32"/>
          <w:lang w:val="en-US" w:eastAsia="zh-CN"/>
        </w:rPr>
        <w:t>30</w:t>
      </w:r>
      <w:r>
        <w:rPr>
          <w:rFonts w:hint="eastAsia" w:asciiTheme="majorEastAsia" w:hAnsiTheme="majorEastAsia" w:eastAsiaTheme="majorEastAsia" w:cstheme="majorEastAsia"/>
          <w:sz w:val="32"/>
          <w:szCs w:val="32"/>
        </w:rPr>
        <w:t>万份，交由乡镇进村入户宣传，尽最大程度消除政策变化带来的不利影响。</w:t>
      </w:r>
      <w:r>
        <w:rPr>
          <w:rFonts w:hint="eastAsia" w:asciiTheme="majorEastAsia" w:hAnsiTheme="majorEastAsia" w:eastAsiaTheme="majorEastAsia" w:cstheme="majorEastAsia"/>
          <w:sz w:val="32"/>
          <w:szCs w:val="32"/>
          <w:lang w:eastAsia="zh-CN"/>
        </w:rPr>
        <w:t>对</w:t>
      </w:r>
      <w:r>
        <w:rPr>
          <w:rFonts w:hint="eastAsia" w:asciiTheme="majorEastAsia" w:hAnsiTheme="majorEastAsia" w:eastAsiaTheme="majorEastAsia" w:cstheme="majorEastAsia"/>
          <w:sz w:val="32"/>
          <w:szCs w:val="32"/>
        </w:rPr>
        <w:t>30家定点医院、2家综合门诊部以及</w:t>
      </w:r>
      <w:r>
        <w:rPr>
          <w:rFonts w:hint="eastAsia" w:asciiTheme="majorEastAsia" w:hAnsiTheme="majorEastAsia" w:eastAsiaTheme="majorEastAsia" w:cstheme="majorEastAsia"/>
          <w:sz w:val="32"/>
          <w:szCs w:val="32"/>
          <w:lang w:val="en-US" w:eastAsia="zh-CN"/>
        </w:rPr>
        <w:t>109</w:t>
      </w:r>
      <w:r>
        <w:rPr>
          <w:rFonts w:hint="eastAsia" w:asciiTheme="majorEastAsia" w:hAnsiTheme="majorEastAsia" w:eastAsiaTheme="majorEastAsia" w:cstheme="majorEastAsia"/>
          <w:sz w:val="32"/>
          <w:szCs w:val="32"/>
        </w:rPr>
        <w:t>家定点零售药店进行了考核检查和专项巡查，涉及违规医疗机构28家，涉及违规资金</w:t>
      </w:r>
      <w:r>
        <w:rPr>
          <w:rFonts w:hint="eastAsia" w:asciiTheme="majorEastAsia" w:hAnsiTheme="majorEastAsia" w:eastAsiaTheme="majorEastAsia" w:cstheme="majorEastAsia"/>
          <w:color w:val="auto"/>
          <w:kern w:val="2"/>
          <w:sz w:val="32"/>
          <w:szCs w:val="32"/>
          <w:lang w:val="en-US" w:eastAsia="zh-CN" w:bidi="ar-SA"/>
        </w:rPr>
        <w:t>125.21</w:t>
      </w:r>
      <w:r>
        <w:rPr>
          <w:rFonts w:hint="eastAsia" w:asciiTheme="majorEastAsia" w:hAnsiTheme="majorEastAsia" w:eastAsiaTheme="majorEastAsia" w:cstheme="majorEastAsia"/>
          <w:sz w:val="32"/>
          <w:szCs w:val="32"/>
        </w:rPr>
        <w:t>万元已经全部追回</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守好了群众的“救命钱”</w:t>
      </w:r>
      <w:r>
        <w:rPr>
          <w:rFonts w:hint="eastAsia" w:asciiTheme="majorEastAsia" w:hAnsiTheme="majorEastAsia" w:eastAsiaTheme="majorEastAsia" w:cstheme="majorEastAsia"/>
          <w:sz w:val="32"/>
          <w:szCs w:val="32"/>
        </w:rPr>
        <w:t>。对</w:t>
      </w: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家医院进行了立案调查，行政处罚</w:t>
      </w:r>
      <w:r>
        <w:rPr>
          <w:rFonts w:hint="eastAsia" w:asciiTheme="majorEastAsia" w:hAnsiTheme="majorEastAsia" w:eastAsiaTheme="majorEastAsia" w:cstheme="majorEastAsia"/>
          <w:color w:val="auto"/>
          <w:kern w:val="2"/>
          <w:sz w:val="32"/>
          <w:szCs w:val="32"/>
          <w:lang w:val="en-US" w:eastAsia="zh-CN" w:bidi="ar-SA"/>
        </w:rPr>
        <w:t>50.59</w:t>
      </w:r>
      <w:r>
        <w:rPr>
          <w:rFonts w:hint="eastAsia" w:asciiTheme="majorEastAsia" w:hAnsiTheme="majorEastAsia" w:eastAsiaTheme="majorEastAsia" w:cstheme="majorEastAsia"/>
          <w:sz w:val="32"/>
          <w:szCs w:val="32"/>
        </w:rPr>
        <w:t>万元，拒付和追回基金</w:t>
      </w:r>
      <w:r>
        <w:rPr>
          <w:rFonts w:hint="eastAsia" w:asciiTheme="majorEastAsia" w:hAnsiTheme="majorEastAsia" w:eastAsiaTheme="majorEastAsia" w:cstheme="majorEastAsia"/>
          <w:color w:val="auto"/>
          <w:kern w:val="2"/>
          <w:sz w:val="32"/>
          <w:szCs w:val="32"/>
          <w:lang w:val="en-US" w:eastAsia="zh-CN" w:bidi="ar-SA"/>
        </w:rPr>
        <w:t>15.53</w:t>
      </w:r>
      <w:r>
        <w:rPr>
          <w:rFonts w:hint="eastAsia" w:asciiTheme="majorEastAsia" w:hAnsiTheme="majorEastAsia" w:eastAsiaTheme="majorEastAsia" w:cstheme="majorEastAsia"/>
          <w:sz w:val="32"/>
          <w:szCs w:val="32"/>
        </w:rPr>
        <w:t>万元，并对</w:t>
      </w: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家情节严重的医院移交县纪委监委进一步调查处理</w:t>
      </w:r>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sz w:val="32"/>
          <w:szCs w:val="32"/>
        </w:rPr>
        <w:t>进一步规范了医疗服务行为，有力遏制了医保基金使用的乱象。</w:t>
      </w:r>
    </w:p>
    <w:p w14:paraId="49362536">
      <w:pPr>
        <w:keepNext w:val="0"/>
        <w:keepLines w:val="0"/>
        <w:pageBreakBefore w:val="0"/>
        <w:widowControl w:val="0"/>
        <w:kinsoku/>
        <w:wordWrap/>
        <w:overflowPunct/>
        <w:topLinePunct w:val="0"/>
        <w:autoSpaceDE/>
        <w:autoSpaceDN/>
        <w:bidi w:val="0"/>
        <w:adjustRightInd/>
        <w:snapToGrid/>
        <w:spacing w:line="578" w:lineRule="atLeast"/>
        <w:ind w:firstLine="480" w:firstLineChars="15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（2）质量指标</w:t>
      </w:r>
    </w:p>
    <w:p w14:paraId="79FCBAA9">
      <w:pPr>
        <w:keepNext w:val="0"/>
        <w:keepLines w:val="0"/>
        <w:pageBreakBefore w:val="0"/>
        <w:widowControl w:val="0"/>
        <w:kinsoku/>
        <w:wordWrap/>
        <w:overflowPunct/>
        <w:topLinePunct w:val="0"/>
        <w:autoSpaceDE/>
        <w:autoSpaceDN/>
        <w:bidi w:val="0"/>
        <w:adjustRightInd/>
        <w:snapToGrid/>
        <w:spacing w:line="578" w:lineRule="atLeast"/>
        <w:ind w:firstLine="480" w:firstLineChars="15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医保经办服务能力较上年明显提升，医保综合监管能力显著提升，医保宣传能力显著提升。</w:t>
      </w:r>
    </w:p>
    <w:p w14:paraId="7716B80B">
      <w:pPr>
        <w:keepNext w:val="0"/>
        <w:keepLines w:val="0"/>
        <w:pageBreakBefore w:val="0"/>
        <w:widowControl w:val="0"/>
        <w:kinsoku/>
        <w:wordWrap/>
        <w:overflowPunct/>
        <w:topLinePunct w:val="0"/>
        <w:autoSpaceDE/>
        <w:autoSpaceDN/>
        <w:bidi w:val="0"/>
        <w:adjustRightInd/>
        <w:snapToGrid/>
        <w:spacing w:line="578" w:lineRule="atLeast"/>
        <w:ind w:firstLine="480" w:firstLineChars="15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（3）时效指标</w:t>
      </w:r>
    </w:p>
    <w:p w14:paraId="30775676">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20</w:t>
      </w:r>
      <w:r>
        <w:rPr>
          <w:rFonts w:hint="eastAsia" w:asciiTheme="majorEastAsia" w:hAnsiTheme="majorEastAsia" w:eastAsiaTheme="majorEastAsia" w:cstheme="majorEastAsia"/>
          <w:sz w:val="32"/>
          <w:szCs w:val="32"/>
          <w:lang w:val="en-US" w:eastAsia="zh-CN"/>
        </w:rPr>
        <w:t>21</w:t>
      </w:r>
      <w:r>
        <w:rPr>
          <w:rFonts w:hint="eastAsia" w:asciiTheme="majorEastAsia" w:hAnsiTheme="majorEastAsia" w:eastAsiaTheme="majorEastAsia" w:cstheme="majorEastAsia"/>
          <w:sz w:val="32"/>
          <w:szCs w:val="32"/>
        </w:rPr>
        <w:t>年全域完成绩效指标。</w:t>
      </w:r>
    </w:p>
    <w:p w14:paraId="7EEBE87F">
      <w:pPr>
        <w:keepNext w:val="0"/>
        <w:keepLines w:val="0"/>
        <w:pageBreakBefore w:val="0"/>
        <w:widowControl w:val="0"/>
        <w:tabs>
          <w:tab w:val="left" w:pos="312"/>
        </w:tabs>
        <w:kinsoku/>
        <w:wordWrap/>
        <w:overflowPunct/>
        <w:topLinePunct w:val="0"/>
        <w:autoSpaceDE/>
        <w:autoSpaceDN/>
        <w:bidi w:val="0"/>
        <w:adjustRightInd/>
        <w:snapToGrid/>
        <w:spacing w:line="578" w:lineRule="atLeast"/>
        <w:ind w:firstLine="472" w:firstLineChars="147"/>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2.效益指标完成情况分析</w:t>
      </w:r>
    </w:p>
    <w:p w14:paraId="58FC4E44">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是通过广泛宣传及政策培训，让广大参保群众对医疗保险政策的知晓率得到普遍提高。同时也让医疗机构及医保经办部门对医保政策有了全面掌握，在执行医保政策过程中遵章守纪，参保群众、医药机构遵法守法意识明显增强。</w:t>
      </w:r>
    </w:p>
    <w:p w14:paraId="785AE536">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二是通过</w:t>
      </w:r>
      <w:r>
        <w:rPr>
          <w:rFonts w:hint="eastAsia" w:asciiTheme="majorEastAsia" w:hAnsiTheme="majorEastAsia" w:eastAsiaTheme="majorEastAsia" w:cstheme="majorEastAsia"/>
          <w:sz w:val="32"/>
          <w:szCs w:val="32"/>
          <w:lang w:eastAsia="zh-CN"/>
        </w:rPr>
        <w:t>加强</w:t>
      </w:r>
      <w:r>
        <w:rPr>
          <w:rFonts w:hint="eastAsia" w:asciiTheme="majorEastAsia" w:hAnsiTheme="majorEastAsia" w:eastAsiaTheme="majorEastAsia" w:cstheme="majorEastAsia"/>
          <w:sz w:val="32"/>
          <w:szCs w:val="32"/>
        </w:rPr>
        <w:t>医保信息化建设，医保信息系统正常运行率普遍提高，医保经办服务信息化支撑能力明显提升。</w:t>
      </w:r>
    </w:p>
    <w:p w14:paraId="79C6DE9F">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三是通过推广跨省异地就医直接结算，20</w:t>
      </w:r>
      <w:r>
        <w:rPr>
          <w:rFonts w:hint="eastAsia" w:asciiTheme="majorEastAsia" w:hAnsiTheme="majorEastAsia" w:eastAsiaTheme="majorEastAsia" w:cstheme="majorEastAsia"/>
          <w:sz w:val="32"/>
          <w:szCs w:val="32"/>
          <w:lang w:val="en-US" w:eastAsia="zh-CN"/>
        </w:rPr>
        <w:t>21</w:t>
      </w:r>
      <w:r>
        <w:rPr>
          <w:rFonts w:hint="eastAsia" w:asciiTheme="majorEastAsia" w:hAnsiTheme="majorEastAsia" w:eastAsiaTheme="majorEastAsia" w:cstheme="majorEastAsia"/>
          <w:sz w:val="32"/>
          <w:szCs w:val="32"/>
        </w:rPr>
        <w:t>年跨省异地就医直接结算率明显提高，极大方便了广大参保群众异地就医报账需求。</w:t>
      </w:r>
    </w:p>
    <w:p w14:paraId="73550E7D">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四是通过对医药机构的监督检查及违规处罚，对医疗机构小病大治、多计费、不合理检查、不合理用药等现象进行有效遏制，确保医保基金安全、高效运行。</w:t>
      </w:r>
    </w:p>
    <w:p w14:paraId="1CD145D7">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五是通过经办服务与保障能力提升建设，切实提高了我</w:t>
      </w:r>
      <w:r>
        <w:rPr>
          <w:rFonts w:hint="eastAsia" w:asciiTheme="majorEastAsia" w:hAnsiTheme="majorEastAsia" w:eastAsiaTheme="majorEastAsia" w:cstheme="majorEastAsia"/>
          <w:sz w:val="32"/>
          <w:szCs w:val="32"/>
          <w:lang w:eastAsia="zh-CN"/>
        </w:rPr>
        <w:t>县</w:t>
      </w:r>
      <w:r>
        <w:rPr>
          <w:rFonts w:hint="eastAsia" w:asciiTheme="majorEastAsia" w:hAnsiTheme="majorEastAsia" w:eastAsiaTheme="majorEastAsia" w:cstheme="majorEastAsia"/>
          <w:sz w:val="32"/>
          <w:szCs w:val="32"/>
        </w:rPr>
        <w:t>经办服务与保障能力，参保群众的满意度、获得感明显提升。</w:t>
      </w:r>
    </w:p>
    <w:p w14:paraId="67526D04">
      <w:pPr>
        <w:pStyle w:val="2"/>
        <w:ind w:firstLine="64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32"/>
          <w:szCs w:val="32"/>
          <w:lang w:eastAsia="zh-CN"/>
        </w:rPr>
        <w:t>六是</w:t>
      </w:r>
      <w:r>
        <w:rPr>
          <w:rFonts w:hint="eastAsia" w:asciiTheme="majorEastAsia" w:hAnsiTheme="majorEastAsia" w:eastAsiaTheme="majorEastAsia" w:cstheme="majorEastAsia"/>
          <w:sz w:val="32"/>
          <w:szCs w:val="32"/>
        </w:rPr>
        <w:t>全面推进药械集中招标采购</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全县所有定点公立医疗机构100%签订三方购销合同</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采购药品平均降幅59%，最高降幅98.36%，群众得到实惠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全面启动基本医疗保险总额预付并积极做好按病种付费、单病种限费等基本医疗保险支付方式的实施。</w:t>
      </w:r>
    </w:p>
    <w:p w14:paraId="52315D8C">
      <w:pPr>
        <w:keepNext w:val="0"/>
        <w:keepLines w:val="0"/>
        <w:pageBreakBefore w:val="0"/>
        <w:widowControl w:val="0"/>
        <w:tabs>
          <w:tab w:val="left" w:pos="312"/>
        </w:tabs>
        <w:kinsoku/>
        <w:wordWrap/>
        <w:overflowPunct/>
        <w:topLinePunct w:val="0"/>
        <w:autoSpaceDE/>
        <w:autoSpaceDN/>
        <w:bidi w:val="0"/>
        <w:adjustRightInd/>
        <w:snapToGrid/>
        <w:spacing w:line="578" w:lineRule="atLeast"/>
        <w:ind w:firstLine="630" w:firstLineChars="196"/>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3.绩效满意度指标完成情况分析</w:t>
      </w:r>
    </w:p>
    <w:p w14:paraId="0AE67153">
      <w:pPr>
        <w:keepNext w:val="0"/>
        <w:keepLines w:val="0"/>
        <w:pageBreakBefore w:val="0"/>
        <w:widowControl w:val="0"/>
        <w:tabs>
          <w:tab w:val="left" w:pos="312"/>
        </w:tabs>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参保人员对医保服务的满意度达9</w:t>
      </w:r>
      <w:r>
        <w:rPr>
          <w:rFonts w:hint="eastAsia" w:asciiTheme="majorEastAsia" w:hAnsiTheme="majorEastAsia" w:eastAsiaTheme="majorEastAsia" w:cstheme="majorEastAsia"/>
          <w:bCs/>
          <w:sz w:val="32"/>
          <w:szCs w:val="32"/>
          <w:lang w:val="en-US" w:eastAsia="zh-CN"/>
        </w:rPr>
        <w:t>0</w:t>
      </w:r>
      <w:r>
        <w:rPr>
          <w:rFonts w:hint="eastAsia" w:asciiTheme="majorEastAsia" w:hAnsiTheme="majorEastAsia" w:eastAsiaTheme="majorEastAsia" w:cstheme="majorEastAsia"/>
          <w:bCs/>
          <w:sz w:val="32"/>
          <w:szCs w:val="32"/>
        </w:rPr>
        <w:t>%</w:t>
      </w:r>
      <w:r>
        <w:rPr>
          <w:rFonts w:hint="eastAsia" w:asciiTheme="majorEastAsia" w:hAnsiTheme="majorEastAsia" w:eastAsiaTheme="majorEastAsia" w:cstheme="majorEastAsia"/>
          <w:bCs/>
          <w:sz w:val="32"/>
          <w:szCs w:val="32"/>
          <w:lang w:eastAsia="zh-CN"/>
        </w:rPr>
        <w:t>以上</w:t>
      </w:r>
      <w:r>
        <w:rPr>
          <w:rFonts w:hint="eastAsia" w:asciiTheme="majorEastAsia" w:hAnsiTheme="majorEastAsia" w:eastAsiaTheme="majorEastAsia" w:cstheme="majorEastAsia"/>
          <w:bCs/>
          <w:sz w:val="32"/>
          <w:szCs w:val="32"/>
        </w:rPr>
        <w:t>。</w:t>
      </w:r>
    </w:p>
    <w:p w14:paraId="505D08F5">
      <w:pPr>
        <w:keepNext w:val="0"/>
        <w:keepLines w:val="0"/>
        <w:pageBreakBefore w:val="0"/>
        <w:numPr>
          <w:ilvl w:val="0"/>
          <w:numId w:val="0"/>
        </w:numPr>
        <w:kinsoku/>
        <w:wordWrap/>
        <w:overflowPunct/>
        <w:topLinePunct w:val="0"/>
        <w:autoSpaceDE/>
        <w:autoSpaceDN/>
        <w:bidi w:val="0"/>
        <w:spacing w:line="578" w:lineRule="exact"/>
        <w:ind w:firstLine="602" w:firstLineChars="200"/>
        <w:rPr>
          <w:rFonts w:hint="eastAsia" w:asciiTheme="majorEastAsia" w:hAnsiTheme="majorEastAsia" w:eastAsiaTheme="majorEastAsia" w:cstheme="majorEastAsia"/>
          <w:b/>
          <w:bCs/>
          <w:i w:val="0"/>
          <w:caps w:val="0"/>
          <w:color w:val="auto"/>
          <w:spacing w:val="0"/>
          <w:sz w:val="30"/>
          <w:szCs w:val="30"/>
          <w:shd w:val="clear" w:color="auto" w:fill="FFFFFF"/>
          <w:lang w:val="en-US" w:eastAsia="zh-CN"/>
        </w:rPr>
      </w:pPr>
      <w:r>
        <w:rPr>
          <w:rFonts w:hint="eastAsia" w:asciiTheme="majorEastAsia" w:hAnsiTheme="majorEastAsia" w:eastAsiaTheme="majorEastAsia" w:cstheme="majorEastAsia"/>
          <w:b/>
          <w:bCs/>
          <w:i w:val="0"/>
          <w:caps w:val="0"/>
          <w:color w:val="auto"/>
          <w:spacing w:val="0"/>
          <w:sz w:val="30"/>
          <w:szCs w:val="30"/>
          <w:shd w:val="clear" w:color="auto" w:fill="FFFFFF"/>
          <w:lang w:val="en-US" w:eastAsia="zh-CN"/>
        </w:rPr>
        <w:t>五、评价结果和结论</w:t>
      </w:r>
    </w:p>
    <w:p w14:paraId="735117F8">
      <w:pPr>
        <w:pStyle w:val="2"/>
        <w:ind w:firstLine="600" w:firstLineChars="200"/>
        <w:rPr>
          <w:rFonts w:hint="eastAsia"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i w:val="0"/>
          <w:caps w:val="0"/>
          <w:color w:val="auto"/>
          <w:spacing w:val="0"/>
          <w:sz w:val="30"/>
          <w:szCs w:val="30"/>
          <w:shd w:val="clear" w:color="auto" w:fill="FFFFFF"/>
        </w:rPr>
        <w:t>本项目自评分为9</w:t>
      </w:r>
      <w:r>
        <w:rPr>
          <w:rFonts w:hint="eastAsia" w:asciiTheme="majorEastAsia" w:hAnsiTheme="majorEastAsia" w:eastAsiaTheme="majorEastAsia" w:cstheme="majorEastAsia"/>
          <w:b w:val="0"/>
          <w:bCs w:val="0"/>
          <w:i w:val="0"/>
          <w:caps w:val="0"/>
          <w:color w:val="auto"/>
          <w:spacing w:val="0"/>
          <w:sz w:val="30"/>
          <w:szCs w:val="30"/>
          <w:shd w:val="clear" w:color="auto" w:fill="FFFFFF"/>
          <w:lang w:val="en-US" w:eastAsia="zh-CN"/>
        </w:rPr>
        <w:t>5</w:t>
      </w:r>
      <w:r>
        <w:rPr>
          <w:rFonts w:hint="eastAsia" w:asciiTheme="majorEastAsia" w:hAnsiTheme="majorEastAsia" w:eastAsiaTheme="majorEastAsia" w:cstheme="majorEastAsia"/>
          <w:b w:val="0"/>
          <w:bCs w:val="0"/>
          <w:i w:val="0"/>
          <w:caps w:val="0"/>
          <w:color w:val="auto"/>
          <w:spacing w:val="0"/>
          <w:sz w:val="30"/>
          <w:szCs w:val="30"/>
          <w:shd w:val="clear" w:color="auto" w:fill="FFFFFF"/>
        </w:rPr>
        <w:t>分，达到预期绩效目标。</w:t>
      </w:r>
    </w:p>
    <w:p w14:paraId="2D2DF772">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eastAsia="zh-CN"/>
        </w:rPr>
        <w:t>六</w:t>
      </w:r>
      <w:r>
        <w:rPr>
          <w:rFonts w:hint="eastAsia" w:asciiTheme="majorEastAsia" w:hAnsiTheme="majorEastAsia" w:eastAsiaTheme="majorEastAsia" w:cstheme="majorEastAsia"/>
          <w:sz w:val="32"/>
          <w:szCs w:val="32"/>
        </w:rPr>
        <w:t>、绩效自评结果拟应用和公开情况</w:t>
      </w:r>
    </w:p>
    <w:p w14:paraId="26E19635">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高度重视绩效评价结果的应用工作，积极探索和建立一套与预算管理相结合、多渠道应用评价结果的有效机制，着力提高绩效意识和财政资金使用效益。按照信息公开时间要求，将该项目资金使用情况、绩效目标自评报告和单位经费年度决算报表同步在单位门户网站公开，广泛接受社会监督。</w:t>
      </w:r>
    </w:p>
    <w:p w14:paraId="1FAB9480">
      <w:pPr>
        <w:keepNext w:val="0"/>
        <w:keepLines w:val="0"/>
        <w:pageBreakBefore w:val="0"/>
        <w:widowControl w:val="0"/>
        <w:kinsoku/>
        <w:wordWrap/>
        <w:overflowPunct/>
        <w:topLinePunct w:val="0"/>
        <w:autoSpaceDE/>
        <w:autoSpaceDN/>
        <w:bidi w:val="0"/>
        <w:adjustRightInd/>
        <w:snapToGrid/>
        <w:spacing w:line="578" w:lineRule="atLeast"/>
        <w:ind w:firstLine="640" w:firstLineChars="200"/>
        <w:textAlignment w:val="bottom"/>
        <w:rPr>
          <w:rFonts w:hint="eastAsia" w:asciiTheme="majorEastAsia" w:hAnsiTheme="majorEastAsia" w:eastAsiaTheme="majorEastAsia" w:cstheme="majorEastAsia"/>
          <w:sz w:val="32"/>
          <w:szCs w:val="32"/>
        </w:rPr>
      </w:pPr>
    </w:p>
    <w:p w14:paraId="3A93775C">
      <w:pPr>
        <w:keepNext w:val="0"/>
        <w:keepLines w:val="0"/>
        <w:pageBreakBefore w:val="0"/>
        <w:widowControl w:val="0"/>
        <w:tabs>
          <w:tab w:val="left" w:pos="7335"/>
        </w:tabs>
        <w:kinsoku/>
        <w:wordWrap/>
        <w:overflowPunct/>
        <w:topLinePunct w:val="0"/>
        <w:autoSpaceDE/>
        <w:autoSpaceDN/>
        <w:bidi w:val="0"/>
        <w:adjustRightInd/>
        <w:snapToGrid/>
        <w:spacing w:line="578" w:lineRule="atLeast"/>
        <w:ind w:right="0" w:rightChars="0" w:firstLine="640" w:firstLineChars="200"/>
        <w:textAlignment w:val="auto"/>
        <w:rPr>
          <w:rFonts w:hint="default" w:ascii="Times New Roman" w:hAnsi="Times New Roman" w:eastAsia="方正仿宋简体" w:cs="Times New Roman"/>
          <w:b w:val="0"/>
          <w:bCs/>
          <w:sz w:val="32"/>
          <w:szCs w:val="32"/>
          <w:lang w:val="en-US" w:eastAsia="zh-CN"/>
        </w:rPr>
      </w:pPr>
    </w:p>
    <w:p w14:paraId="538DB19E">
      <w:pPr>
        <w:keepNext w:val="0"/>
        <w:keepLines w:val="0"/>
        <w:pageBreakBefore w:val="0"/>
        <w:widowControl w:val="0"/>
        <w:tabs>
          <w:tab w:val="left" w:pos="7335"/>
        </w:tabs>
        <w:kinsoku/>
        <w:wordWrap/>
        <w:overflowPunct/>
        <w:topLinePunct w:val="0"/>
        <w:autoSpaceDE/>
        <w:autoSpaceDN/>
        <w:bidi w:val="0"/>
        <w:adjustRightInd/>
        <w:snapToGrid/>
        <w:spacing w:line="578" w:lineRule="atLeast"/>
        <w:ind w:right="0" w:rightChars="0" w:firstLine="640" w:firstLineChars="200"/>
        <w:textAlignment w:val="auto"/>
        <w:rPr>
          <w:rFonts w:hint="default" w:ascii="Times New Roman" w:hAnsi="Times New Roman" w:eastAsia="方正仿宋简体" w:cs="Times New Roman"/>
          <w:b w:val="0"/>
          <w:bCs/>
          <w:sz w:val="32"/>
          <w:szCs w:val="32"/>
          <w:lang w:val="en-US" w:eastAsia="zh-CN"/>
        </w:rPr>
      </w:pPr>
    </w:p>
    <w:p w14:paraId="7BD699B2">
      <w:pPr>
        <w:keepNext w:val="0"/>
        <w:keepLines w:val="0"/>
        <w:pageBreakBefore w:val="0"/>
        <w:widowControl w:val="0"/>
        <w:tabs>
          <w:tab w:val="left" w:pos="7335"/>
        </w:tabs>
        <w:kinsoku/>
        <w:wordWrap/>
        <w:overflowPunct/>
        <w:topLinePunct w:val="0"/>
        <w:autoSpaceDE/>
        <w:autoSpaceDN/>
        <w:bidi w:val="0"/>
        <w:adjustRightInd/>
        <w:snapToGrid/>
        <w:spacing w:line="578" w:lineRule="atLeast"/>
        <w:ind w:right="0" w:rightChars="0" w:firstLine="640" w:firstLineChars="200"/>
        <w:textAlignment w:val="auto"/>
        <w:rPr>
          <w:rFonts w:hint="default" w:ascii="Times New Roman" w:hAnsi="Times New Roman" w:eastAsia="仿宋" w:cs="Times New Roman"/>
          <w:b w:val="0"/>
          <w:bCs/>
          <w:sz w:val="32"/>
          <w:szCs w:val="32"/>
        </w:rPr>
      </w:pPr>
      <w:r>
        <w:rPr>
          <w:rFonts w:hint="default" w:ascii="Times New Roman" w:hAnsi="Times New Roman" w:eastAsia="方正仿宋简体" w:cs="Times New Roman"/>
          <w:b w:val="0"/>
          <w:bCs/>
          <w:sz w:val="32"/>
          <w:szCs w:val="32"/>
          <w:lang w:val="en-US" w:eastAsia="zh-CN"/>
        </w:rPr>
        <w:t xml:space="preserve">                           </w:t>
      </w:r>
      <w:r>
        <w:rPr>
          <w:rFonts w:hint="default" w:ascii="Times New Roman" w:hAnsi="Times New Roman" w:eastAsia="仿宋" w:cs="Times New Roman"/>
          <w:b w:val="0"/>
          <w:bCs/>
          <w:sz w:val="32"/>
          <w:szCs w:val="32"/>
          <w:lang w:val="en-US" w:eastAsia="zh-CN"/>
        </w:rPr>
        <w:t>开江县医疗保障局</w:t>
      </w:r>
      <w:r>
        <w:rPr>
          <w:rFonts w:hint="default" w:ascii="Times New Roman" w:hAnsi="Times New Roman" w:eastAsia="仿宋" w:cs="Times New Roman"/>
          <w:b w:val="0"/>
          <w:bCs/>
          <w:sz w:val="32"/>
          <w:szCs w:val="32"/>
        </w:rPr>
        <w:t xml:space="preserve">                                                            </w:t>
      </w:r>
    </w:p>
    <w:p w14:paraId="3AE7BD55">
      <w:pPr>
        <w:keepNext w:val="0"/>
        <w:keepLines w:val="0"/>
        <w:pageBreakBefore w:val="0"/>
        <w:widowControl w:val="0"/>
        <w:pBdr>
          <w:bottom w:val="none" w:color="auto" w:sz="0" w:space="0"/>
        </w:pBdr>
        <w:kinsoku/>
        <w:wordWrap/>
        <w:overflowPunct/>
        <w:topLinePunct w:val="0"/>
        <w:autoSpaceDE/>
        <w:autoSpaceDN/>
        <w:bidi w:val="0"/>
        <w:adjustRightInd/>
        <w:snapToGrid/>
        <w:spacing w:line="578" w:lineRule="atLeast"/>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rPr>
        <w:t xml:space="preserve">                       </w:t>
      </w:r>
      <w:r>
        <w:rPr>
          <w:rFonts w:hint="default" w:ascii="Times New Roman" w:hAnsi="Times New Roman" w:eastAsia="仿宋" w:cs="Times New Roman"/>
          <w:b w:val="0"/>
          <w:bCs/>
          <w:sz w:val="32"/>
          <w:szCs w:val="32"/>
          <w:lang w:val="en-US" w:eastAsia="zh-CN"/>
        </w:rPr>
        <w:t xml:space="preserve">  </w:t>
      </w:r>
      <w:r>
        <w:rPr>
          <w:rFonts w:hint="default" w:ascii="Times New Roman" w:hAnsi="Times New Roman" w:eastAsia="仿宋" w:cs="Times New Roman"/>
          <w:b w:val="0"/>
          <w:bCs/>
          <w:sz w:val="32"/>
          <w:szCs w:val="32"/>
        </w:rPr>
        <w:t xml:space="preserve"> </w:t>
      </w:r>
      <w:r>
        <w:rPr>
          <w:rFonts w:hint="default" w:ascii="Times New Roman" w:hAnsi="Times New Roman" w:eastAsia="仿宋" w:cs="Times New Roman"/>
          <w:b w:val="0"/>
          <w:bCs/>
          <w:sz w:val="32"/>
          <w:szCs w:val="32"/>
          <w:lang w:val="en-US" w:eastAsia="zh-CN"/>
        </w:rPr>
        <w:t xml:space="preserve">      202</w:t>
      </w:r>
      <w:r>
        <w:rPr>
          <w:rFonts w:hint="eastAsia" w:eastAsia="仿宋" w:cs="Times New Roman"/>
          <w:b w:val="0"/>
          <w:bCs/>
          <w:sz w:val="32"/>
          <w:szCs w:val="32"/>
          <w:lang w:val="en-US" w:eastAsia="zh-CN"/>
        </w:rPr>
        <w:t>2</w:t>
      </w:r>
      <w:r>
        <w:rPr>
          <w:rFonts w:hint="default" w:ascii="Times New Roman" w:hAnsi="Times New Roman" w:eastAsia="仿宋" w:cs="Times New Roman"/>
          <w:b w:val="0"/>
          <w:bCs/>
          <w:sz w:val="32"/>
          <w:szCs w:val="32"/>
          <w:lang w:val="en-US" w:eastAsia="zh-CN"/>
        </w:rPr>
        <w:t>年</w:t>
      </w:r>
      <w:r>
        <w:rPr>
          <w:rFonts w:hint="eastAsia" w:eastAsia="仿宋" w:cs="Times New Roman"/>
          <w:b w:val="0"/>
          <w:bCs/>
          <w:sz w:val="32"/>
          <w:szCs w:val="32"/>
          <w:lang w:val="en-US" w:eastAsia="zh-CN"/>
        </w:rPr>
        <w:t>6</w:t>
      </w:r>
      <w:r>
        <w:rPr>
          <w:rFonts w:hint="default" w:ascii="Times New Roman" w:hAnsi="Times New Roman" w:eastAsia="仿宋" w:cs="Times New Roman"/>
          <w:b w:val="0"/>
          <w:bCs/>
          <w:sz w:val="32"/>
          <w:szCs w:val="32"/>
          <w:lang w:val="en-US" w:eastAsia="zh-CN"/>
        </w:rPr>
        <w:t>月</w:t>
      </w:r>
      <w:r>
        <w:rPr>
          <w:rFonts w:hint="eastAsia" w:eastAsia="仿宋" w:cs="Times New Roman"/>
          <w:b w:val="0"/>
          <w:bCs/>
          <w:sz w:val="32"/>
          <w:szCs w:val="32"/>
          <w:lang w:val="en-US" w:eastAsia="zh-CN"/>
        </w:rPr>
        <w:t>23</w:t>
      </w:r>
      <w:r>
        <w:rPr>
          <w:rFonts w:hint="default" w:ascii="Times New Roman" w:hAnsi="Times New Roman" w:eastAsia="仿宋" w:cs="Times New Roman"/>
          <w:b w:val="0"/>
          <w:bCs/>
          <w:sz w:val="32"/>
          <w:szCs w:val="32"/>
          <w:lang w:val="en-US" w:eastAsia="zh-CN"/>
        </w:rPr>
        <w:t>日</w:t>
      </w:r>
    </w:p>
    <w:p w14:paraId="2A875F71">
      <w:pPr>
        <w:pStyle w:val="11"/>
        <w:rPr>
          <w:rFonts w:hint="default" w:ascii="Times New Roman" w:hAnsi="Times New Roman" w:eastAsia="仿宋" w:cs="Times New Roman"/>
          <w:b w:val="0"/>
          <w:bCs/>
          <w:sz w:val="32"/>
          <w:szCs w:val="32"/>
          <w:lang w:val="en-US" w:eastAsia="zh-CN"/>
        </w:rPr>
      </w:pPr>
    </w:p>
    <w:p w14:paraId="4D37579B">
      <w:pPr>
        <w:pStyle w:val="6"/>
        <w:rPr>
          <w:rFonts w:hint="eastAsia" w:hAnsi="宋体" w:cs="宋体"/>
          <w:color w:val="auto"/>
          <w:kern w:val="0"/>
          <w:sz w:val="32"/>
          <w:szCs w:val="32"/>
          <w:highlight w:val="none"/>
          <w:shd w:val="clear" w:color="auto" w:fill="FFFFFF"/>
          <w:lang w:val="en-US" w:eastAsia="zh-CN"/>
        </w:rPr>
      </w:pPr>
    </w:p>
    <w:p w14:paraId="0587B376">
      <w:pPr>
        <w:pStyle w:val="6"/>
        <w:rPr>
          <w:rFonts w:hint="eastAsia"/>
          <w:color w:val="auto"/>
          <w:highlight w:val="none"/>
          <w:lang w:val="zh-CN"/>
        </w:rPr>
      </w:pPr>
    </w:p>
    <w:p w14:paraId="191DD748">
      <w:pPr>
        <w:pStyle w:val="6"/>
        <w:rPr>
          <w:rFonts w:hint="eastAsia"/>
          <w:color w:val="auto"/>
          <w:highlight w:val="none"/>
          <w:lang w:val="zh-CN"/>
        </w:rPr>
      </w:pPr>
    </w:p>
    <w:p w14:paraId="53C34C9E">
      <w:pPr>
        <w:pStyle w:val="6"/>
        <w:rPr>
          <w:rFonts w:hint="eastAsia"/>
          <w:color w:val="auto"/>
          <w:highlight w:val="none"/>
          <w:lang w:val="zh-CN"/>
        </w:rPr>
      </w:pPr>
    </w:p>
    <w:p w14:paraId="5CD8AB52">
      <w:pPr>
        <w:pStyle w:val="6"/>
        <w:rPr>
          <w:rFonts w:hint="eastAsia"/>
          <w:color w:val="auto"/>
          <w:highlight w:val="none"/>
          <w:lang w:val="zh-CN"/>
        </w:rPr>
      </w:pPr>
    </w:p>
    <w:p w14:paraId="6BF8DA27">
      <w:pPr>
        <w:pStyle w:val="6"/>
        <w:rPr>
          <w:rFonts w:hint="eastAsia"/>
          <w:color w:val="auto"/>
          <w:highlight w:val="none"/>
          <w:lang w:val="zh-CN"/>
        </w:rPr>
      </w:pPr>
    </w:p>
    <w:p w14:paraId="5D885E10">
      <w:pPr>
        <w:pStyle w:val="6"/>
        <w:rPr>
          <w:rFonts w:hint="eastAsia"/>
          <w:color w:val="auto"/>
          <w:highlight w:val="none"/>
          <w:lang w:val="zh-CN"/>
        </w:rPr>
      </w:pPr>
    </w:p>
    <w:p w14:paraId="1B8D94FD">
      <w:pPr>
        <w:pStyle w:val="6"/>
        <w:rPr>
          <w:rFonts w:hint="eastAsia"/>
          <w:color w:val="auto"/>
          <w:highlight w:val="none"/>
          <w:lang w:val="zh-CN"/>
        </w:rPr>
      </w:pPr>
    </w:p>
    <w:p w14:paraId="507E62A5">
      <w:pPr>
        <w:pStyle w:val="6"/>
        <w:rPr>
          <w:rFonts w:hint="eastAsia"/>
          <w:color w:val="auto"/>
          <w:highlight w:val="none"/>
          <w:lang w:val="zh-CN"/>
        </w:rPr>
      </w:pPr>
    </w:p>
    <w:p w14:paraId="63F9855C">
      <w:pPr>
        <w:pStyle w:val="6"/>
        <w:rPr>
          <w:rFonts w:hint="eastAsia"/>
          <w:color w:val="auto"/>
          <w:highlight w:val="none"/>
          <w:lang w:val="zh-CN"/>
        </w:rPr>
      </w:pPr>
    </w:p>
    <w:p w14:paraId="6DE6CFF5">
      <w:pPr>
        <w:pStyle w:val="6"/>
        <w:rPr>
          <w:rFonts w:hint="eastAsia"/>
          <w:color w:val="auto"/>
          <w:highlight w:val="none"/>
          <w:lang w:val="zh-CN"/>
        </w:rPr>
      </w:pPr>
    </w:p>
    <w:p w14:paraId="4DAF14AC">
      <w:pPr>
        <w:pStyle w:val="6"/>
        <w:rPr>
          <w:rFonts w:hint="eastAsia"/>
          <w:color w:val="auto"/>
          <w:highlight w:val="none"/>
          <w:lang w:val="zh-CN"/>
        </w:rPr>
      </w:pPr>
    </w:p>
    <w:p w14:paraId="6CF3E9A2">
      <w:pPr>
        <w:widowControl/>
        <w:jc w:val="left"/>
        <w:rPr>
          <w:rStyle w:val="26"/>
          <w:rFonts w:ascii="黑体" w:hAnsi="黑体" w:eastAsia="黑体"/>
          <w:b w:val="0"/>
          <w:color w:val="auto"/>
          <w:highlight w:val="none"/>
        </w:rPr>
      </w:pPr>
      <w:r>
        <w:rPr>
          <w:rStyle w:val="26"/>
          <w:rFonts w:ascii="黑体" w:hAnsi="黑体" w:eastAsia="黑体"/>
          <w:b w:val="0"/>
          <w:color w:val="auto"/>
          <w:highlight w:val="none"/>
        </w:rPr>
        <w:br w:type="page"/>
      </w:r>
    </w:p>
    <w:p w14:paraId="1F7B0EDF">
      <w:pPr>
        <w:spacing w:line="600" w:lineRule="exact"/>
        <w:jc w:val="center"/>
        <w:outlineLvl w:val="0"/>
        <w:rPr>
          <w:rFonts w:hint="eastAsia" w:ascii="仿宋" w:hAnsi="仿宋" w:eastAsia="仿宋"/>
          <w:b w:val="0"/>
          <w:color w:val="auto"/>
          <w:highlight w:val="none"/>
        </w:rPr>
      </w:pPr>
      <w:bookmarkStart w:id="59" w:name="_Toc15396618"/>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7"/>
      <w:bookmarkEnd w:id="59"/>
      <w:bookmarkStart w:id="60" w:name="_Toc15396619"/>
    </w:p>
    <w:p w14:paraId="64BE6EBA">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60"/>
    </w:p>
    <w:p w14:paraId="1151AA8D">
      <w:pPr>
        <w:pStyle w:val="4"/>
        <w:rPr>
          <w:rFonts w:ascii="仿宋" w:hAnsi="仿宋" w:eastAsia="仿宋"/>
          <w:color w:val="auto"/>
          <w:highlight w:val="none"/>
        </w:rPr>
      </w:pPr>
      <w:bookmarkStart w:id="61"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61"/>
    </w:p>
    <w:p w14:paraId="74EA1DEC">
      <w:pPr>
        <w:pStyle w:val="4"/>
        <w:rPr>
          <w:rFonts w:ascii="仿宋" w:hAnsi="仿宋" w:eastAsia="仿宋"/>
          <w:color w:val="auto"/>
          <w:highlight w:val="none"/>
        </w:rPr>
      </w:pPr>
      <w:bookmarkStart w:id="62"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62"/>
    </w:p>
    <w:p w14:paraId="79AD1EE4">
      <w:pPr>
        <w:pStyle w:val="4"/>
        <w:rPr>
          <w:rFonts w:ascii="仿宋" w:hAnsi="仿宋" w:eastAsia="仿宋"/>
          <w:b w:val="0"/>
          <w:color w:val="auto"/>
          <w:highlight w:val="none"/>
        </w:rPr>
      </w:pPr>
      <w:bookmarkStart w:id="63"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63"/>
    </w:p>
    <w:p w14:paraId="4337FC2E">
      <w:pPr>
        <w:pStyle w:val="4"/>
        <w:rPr>
          <w:rStyle w:val="27"/>
          <w:rFonts w:ascii="仿宋" w:hAnsi="仿宋" w:eastAsia="仿宋"/>
          <w:b w:val="0"/>
          <w:bCs w:val="0"/>
          <w:color w:val="auto"/>
          <w:highlight w:val="none"/>
        </w:rPr>
      </w:pPr>
      <w:bookmarkStart w:id="64"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64"/>
      <w:bookmarkStart w:id="65" w:name="_Toc15396624"/>
    </w:p>
    <w:p w14:paraId="7F1CD9D3">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65"/>
    </w:p>
    <w:p w14:paraId="290D29EC">
      <w:pPr>
        <w:pStyle w:val="4"/>
        <w:rPr>
          <w:rFonts w:ascii="仿宋" w:hAnsi="仿宋" w:eastAsia="仿宋"/>
          <w:color w:val="auto"/>
          <w:highlight w:val="none"/>
        </w:rPr>
      </w:pPr>
      <w:bookmarkStart w:id="66"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6"/>
    </w:p>
    <w:p w14:paraId="4E0D35C5">
      <w:pPr>
        <w:pStyle w:val="4"/>
        <w:rPr>
          <w:rFonts w:ascii="仿宋" w:hAnsi="仿宋" w:eastAsia="仿宋"/>
          <w:color w:val="auto"/>
          <w:highlight w:val="none"/>
        </w:rPr>
      </w:pPr>
      <w:bookmarkStart w:id="67"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7"/>
    </w:p>
    <w:p w14:paraId="7D8D9F3E">
      <w:pPr>
        <w:pStyle w:val="4"/>
        <w:rPr>
          <w:rFonts w:ascii="仿宋" w:hAnsi="仿宋" w:eastAsia="仿宋"/>
          <w:color w:val="auto"/>
          <w:highlight w:val="none"/>
        </w:rPr>
      </w:pPr>
      <w:bookmarkStart w:id="68"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8"/>
    </w:p>
    <w:p w14:paraId="1D01D1A2">
      <w:pPr>
        <w:pStyle w:val="4"/>
        <w:rPr>
          <w:rFonts w:ascii="仿宋" w:hAnsi="仿宋" w:eastAsia="仿宋"/>
          <w:color w:val="auto"/>
          <w:highlight w:val="none"/>
        </w:rPr>
      </w:pPr>
      <w:bookmarkStart w:id="69"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9"/>
    </w:p>
    <w:p w14:paraId="4DE32DAE">
      <w:pPr>
        <w:pStyle w:val="4"/>
        <w:rPr>
          <w:rFonts w:ascii="仿宋" w:hAnsi="仿宋" w:eastAsia="仿宋"/>
          <w:color w:val="auto"/>
          <w:highlight w:val="none"/>
        </w:rPr>
      </w:pPr>
      <w:bookmarkStart w:id="70"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70"/>
    </w:p>
    <w:p w14:paraId="6F4FD934">
      <w:pPr>
        <w:pStyle w:val="4"/>
        <w:rPr>
          <w:rFonts w:ascii="仿宋" w:hAnsi="仿宋" w:eastAsia="仿宋"/>
          <w:color w:val="auto"/>
          <w:highlight w:val="none"/>
        </w:rPr>
      </w:pPr>
      <w:bookmarkStart w:id="71"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71"/>
    </w:p>
    <w:p w14:paraId="78C8A361">
      <w:pPr>
        <w:pStyle w:val="4"/>
        <w:rPr>
          <w:rStyle w:val="27"/>
          <w:rFonts w:hint="eastAsia" w:ascii="仿宋" w:hAnsi="仿宋" w:eastAsia="仿宋"/>
          <w:b w:val="0"/>
          <w:bCs w:val="0"/>
          <w:color w:val="auto"/>
          <w:highlight w:val="none"/>
        </w:rPr>
      </w:pPr>
      <w:bookmarkStart w:id="72"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72"/>
    </w:p>
    <w:p w14:paraId="0FE7EF59">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446" w:bottom="1440" w:left="142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3722D9F">
        <w:pPr>
          <w:pStyle w:val="9"/>
          <w:jc w:val="center"/>
        </w:pPr>
        <w:r>
          <w:fldChar w:fldCharType="begin"/>
        </w:r>
        <w:r>
          <w:instrText xml:space="preserve">PAGE   \* MERGEFORMAT</w:instrText>
        </w:r>
        <w:r>
          <w:fldChar w:fldCharType="separate"/>
        </w:r>
        <w:r>
          <w:rPr>
            <w:lang w:val="zh-CN"/>
          </w:rPr>
          <w:t>8</w:t>
        </w:r>
        <w:r>
          <w:fldChar w:fldCharType="end"/>
        </w:r>
      </w:p>
    </w:sdtContent>
  </w:sdt>
  <w:p w14:paraId="0EF2367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8FEA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0845A"/>
    <w:multiLevelType w:val="singleLevel"/>
    <w:tmpl w:val="CCA0845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BA3812B"/>
    <w:multiLevelType w:val="singleLevel"/>
    <w:tmpl w:val="0BA3812B"/>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9EEE1D4"/>
    <w:multiLevelType w:val="singleLevel"/>
    <w:tmpl w:val="19EEE1D4"/>
    <w:lvl w:ilvl="0" w:tentative="0">
      <w:start w:val="3"/>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7B23"/>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E255C5"/>
    <w:rsid w:val="066E0107"/>
    <w:rsid w:val="07996F6E"/>
    <w:rsid w:val="0A2032A3"/>
    <w:rsid w:val="0C414AA8"/>
    <w:rsid w:val="0DA51790"/>
    <w:rsid w:val="101860EC"/>
    <w:rsid w:val="10BD1C2C"/>
    <w:rsid w:val="10C055FF"/>
    <w:rsid w:val="118107EC"/>
    <w:rsid w:val="13D50BC4"/>
    <w:rsid w:val="16BB723D"/>
    <w:rsid w:val="16EA7283"/>
    <w:rsid w:val="17D13AF8"/>
    <w:rsid w:val="1BE8440E"/>
    <w:rsid w:val="1D155CEE"/>
    <w:rsid w:val="1DB146AD"/>
    <w:rsid w:val="1F6B3C50"/>
    <w:rsid w:val="1F8401E3"/>
    <w:rsid w:val="23860B96"/>
    <w:rsid w:val="240371BF"/>
    <w:rsid w:val="25137104"/>
    <w:rsid w:val="29FD04D3"/>
    <w:rsid w:val="2B486EC5"/>
    <w:rsid w:val="2B646884"/>
    <w:rsid w:val="2C8A61B5"/>
    <w:rsid w:val="2DF04E50"/>
    <w:rsid w:val="31687395"/>
    <w:rsid w:val="319F7F4E"/>
    <w:rsid w:val="32C54444"/>
    <w:rsid w:val="32DA28F3"/>
    <w:rsid w:val="3392275C"/>
    <w:rsid w:val="36AA5135"/>
    <w:rsid w:val="37E16F03"/>
    <w:rsid w:val="3A61399F"/>
    <w:rsid w:val="3D98207C"/>
    <w:rsid w:val="404D426A"/>
    <w:rsid w:val="44490705"/>
    <w:rsid w:val="44AB543F"/>
    <w:rsid w:val="44E268DA"/>
    <w:rsid w:val="488B41AA"/>
    <w:rsid w:val="4A627F82"/>
    <w:rsid w:val="4A8F6DA1"/>
    <w:rsid w:val="4B4F25DA"/>
    <w:rsid w:val="4BE068DB"/>
    <w:rsid w:val="4CA32449"/>
    <w:rsid w:val="4D577224"/>
    <w:rsid w:val="4EAB630A"/>
    <w:rsid w:val="4ECE2238"/>
    <w:rsid w:val="4F3E511B"/>
    <w:rsid w:val="53CA2FD2"/>
    <w:rsid w:val="54733B1E"/>
    <w:rsid w:val="5AF92295"/>
    <w:rsid w:val="5CD71FC4"/>
    <w:rsid w:val="64BD7E61"/>
    <w:rsid w:val="6B8F75A0"/>
    <w:rsid w:val="6BC7780F"/>
    <w:rsid w:val="6C4A05C8"/>
    <w:rsid w:val="6E7E3605"/>
    <w:rsid w:val="6E9954D1"/>
    <w:rsid w:val="6EE05AC0"/>
    <w:rsid w:val="6FF5CC65"/>
    <w:rsid w:val="715C0E4B"/>
    <w:rsid w:val="716B2B1D"/>
    <w:rsid w:val="72734D90"/>
    <w:rsid w:val="73AD73D5"/>
    <w:rsid w:val="73B6EB34"/>
    <w:rsid w:val="783509E0"/>
    <w:rsid w:val="79EE5BA4"/>
    <w:rsid w:val="79FC350B"/>
    <w:rsid w:val="7A894339"/>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jc w:val="left"/>
    </w:pPr>
    <w:rPr>
      <w:rFonts w:ascii="微软雅黑" w:hAnsi="微软雅黑" w:eastAsia="宋体" w:cs="宋体"/>
      <w:kern w:val="0"/>
      <w:sz w:val="24"/>
      <w:szCs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9983</Words>
  <Characters>10749</Characters>
  <Lines>61</Lines>
  <Paragraphs>17</Paragraphs>
  <TotalTime>1</TotalTime>
  <ScaleCrop>false</ScaleCrop>
  <LinksUpToDate>false</LinksUpToDate>
  <CharactersWithSpaces>10934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雪梅</cp:lastModifiedBy>
  <cp:lastPrinted>2022-10-11T06:23:00Z</cp:lastPrinted>
  <dcterms:modified xsi:type="dcterms:W3CDTF">2025-11-26T02:57:59Z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eyJoZGlkIjoiZWE4NmQ4ZmE0ODE5ZDBkMmIyZjc1Njk0MjFmODRjMGEiLCJ1c2VySWQiOiI2OTAyMjE4NTcifQ==</vt:lpwstr>
  </property>
  <property fmtid="{D5CDD505-2E9C-101B-9397-08002B2CF9AE}" pid="4" name="ICV">
    <vt:lpwstr>0BA871035DD2403D8B54BB17234312A7_12</vt:lpwstr>
  </property>
</Properties>
</file>