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088B7">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475"/>
      <w:bookmarkStart w:id="2" w:name="_Toc15377425"/>
      <w:bookmarkStart w:id="3" w:name="_Toc15396597"/>
      <w:bookmarkStart w:id="4" w:name="_Toc15378441"/>
      <w:bookmarkStart w:id="5" w:name="_Toc15306267"/>
    </w:p>
    <w:p w14:paraId="39E740A9">
      <w:pPr>
        <w:pStyle w:val="6"/>
        <w:rPr>
          <w:rFonts w:hint="eastAsia" w:ascii="Times New Roman" w:hAnsi="Times New Roman" w:eastAsia="方正小标宋简体" w:cs="Times New Roman"/>
          <w:color w:val="auto"/>
          <w:kern w:val="2"/>
          <w:sz w:val="72"/>
          <w:szCs w:val="72"/>
          <w:highlight w:val="none"/>
          <w:lang w:val="en-US" w:eastAsia="zh-CN" w:bidi="ar-SA"/>
        </w:rPr>
      </w:pPr>
    </w:p>
    <w:p w14:paraId="36872309">
      <w:pPr>
        <w:pStyle w:val="6"/>
        <w:rPr>
          <w:rFonts w:hint="eastAsia" w:ascii="Times New Roman" w:hAnsi="Times New Roman" w:eastAsia="方正小标宋简体" w:cs="Times New Roman"/>
          <w:color w:val="auto"/>
          <w:kern w:val="2"/>
          <w:sz w:val="72"/>
          <w:szCs w:val="72"/>
          <w:highlight w:val="none"/>
          <w:lang w:val="en-US" w:eastAsia="zh-CN" w:bidi="ar-SA"/>
        </w:rPr>
      </w:pPr>
    </w:p>
    <w:p w14:paraId="199A83BE">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2024年度省级部门（单位）决算</w:t>
      </w:r>
    </w:p>
    <w:p w14:paraId="7B56BD2B">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公开文字说明范本</w:t>
      </w:r>
    </w:p>
    <w:p w14:paraId="6633AFE9">
      <w:pPr>
        <w:spacing w:line="600" w:lineRule="exact"/>
        <w:jc w:val="center"/>
        <w:outlineLvl w:val="0"/>
        <w:rPr>
          <w:rFonts w:ascii="Times New Roman" w:hAnsi="Times New Roman" w:eastAsia="方正小标宋简体"/>
          <w:color w:val="auto"/>
          <w:sz w:val="72"/>
          <w:szCs w:val="72"/>
          <w:highlight w:val="none"/>
        </w:rPr>
      </w:pPr>
    </w:p>
    <w:p w14:paraId="27A7DC04">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B87D6AA">
      <w:pPr>
        <w:rPr>
          <w:rFonts w:ascii="Times New Roman" w:hAnsi="Times New Roman"/>
        </w:rPr>
      </w:pPr>
    </w:p>
    <w:p w14:paraId="38EB7A5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45B6AE3">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AF83DC9">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7AA6D718">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B0F223E">
      <w:pPr>
        <w:pStyle w:val="6"/>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8442"/>
      <w:bookmarkStart w:id="8" w:name="_Toc15396476"/>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开江县国有林场</w:t>
      </w:r>
    </w:p>
    <w:p w14:paraId="1FD85D47">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642EB3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378CD9F3">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62A9A1F">
      <w:pPr>
        <w:widowControl/>
        <w:jc w:val="center"/>
        <w:rPr>
          <w:rFonts w:ascii="Times New Roman" w:hAnsi="Times New Roman" w:eastAsia="黑体" w:cstheme="minorBidi"/>
          <w:color w:val="auto"/>
          <w:sz w:val="28"/>
          <w:szCs w:val="28"/>
          <w:highlight w:val="none"/>
        </w:rPr>
      </w:pPr>
    </w:p>
    <w:p w14:paraId="2E4355D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280FDF84">
      <w:pPr>
        <w:rPr>
          <w:rFonts w:ascii="Times New Roman" w:hAnsi="Times New Roman"/>
          <w:color w:val="auto"/>
          <w:highlight w:val="none"/>
        </w:rPr>
      </w:pPr>
    </w:p>
    <w:p w14:paraId="3E9BC11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2450F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8D369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788EC4D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154EE8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7E7253D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DA177E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2F527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2813E8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40B1A4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10FBB8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D19531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051986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0852233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4091424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9974BD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365D5BC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14CE0FC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3DC029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66F8B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88A9F8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62EBFF2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26295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E393B0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7BA117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5103D5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60C774B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7B501A8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BE5BF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165292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0D6D23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09ACC2C0">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64662D60">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1E5B53A1">
      <w:pPr>
        <w:widowControl/>
        <w:jc w:val="left"/>
        <w:rPr>
          <w:rFonts w:ascii="Times New Roman" w:hAnsi="Times New Roman" w:eastAsia="黑体"/>
          <w:color w:val="auto"/>
          <w:sz w:val="32"/>
          <w:szCs w:val="32"/>
          <w:highlight w:val="none"/>
        </w:rPr>
      </w:pPr>
    </w:p>
    <w:p w14:paraId="5589C13D">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625FCD4">
      <w:pPr>
        <w:numPr>
          <w:ilvl w:val="0"/>
          <w:numId w:val="0"/>
        </w:numPr>
        <w:ind w:firstLine="640" w:firstLineChars="200"/>
        <w:rPr>
          <w:rFonts w:hint="eastAsia"/>
          <w:lang w:eastAsia="zh-CN"/>
        </w:rPr>
      </w:pPr>
      <w:r>
        <w:rPr>
          <w:rFonts w:hint="eastAsia" w:ascii="Times New Roman" w:hAnsi="Times New Roman" w:eastAsia="仿宋_GB2312" w:cs="Times New Roman"/>
          <w:sz w:val="32"/>
          <w:szCs w:val="32"/>
          <w:lang w:val="en-US" w:eastAsia="zh-CN"/>
        </w:rPr>
        <w:t>主要负责贯彻执行党的林业方针、政策，宣传林业生产技术、政策及法律法规知识。承担植树造林、培育森林资源、维护国有林生态安全和提供生态公益服务等任务。</w:t>
      </w:r>
    </w:p>
    <w:p w14:paraId="42714062">
      <w:pPr>
        <w:pStyle w:val="4"/>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0BF5049D">
      <w:pPr>
        <w:pStyle w:val="6"/>
        <w:adjustRightInd w:val="0"/>
        <w:snapToGrid w:val="0"/>
        <w:spacing w:before="93"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开江县国有林场，由开江县林业局管理，属公益一类事业单位，核编31人，设4个内设机构和13个森林管护工区，</w:t>
      </w:r>
      <w:r>
        <w:rPr>
          <w:rFonts w:hint="eastAsia" w:ascii="Times New Roman" w:hAnsi="Times New Roman" w:cs="Times New Roman"/>
          <w:kern w:val="2"/>
          <w:sz w:val="32"/>
          <w:szCs w:val="32"/>
          <w:lang w:val="en-US" w:eastAsia="zh-CN" w:bidi="ar-SA"/>
        </w:rPr>
        <w:t>管护森林面积35737亩。</w:t>
      </w:r>
      <w:r>
        <w:rPr>
          <w:rFonts w:hint="eastAsia" w:ascii="Times New Roman" w:hAnsi="Times New Roman" w:eastAsia="仿宋_GB2312" w:cs="Times New Roman"/>
          <w:kern w:val="2"/>
          <w:sz w:val="32"/>
          <w:szCs w:val="32"/>
          <w:lang w:val="en-US" w:eastAsia="zh-CN" w:bidi="ar-SA"/>
        </w:rPr>
        <w:t>现有正式职工31人、国有林保护中心人员3</w:t>
      </w:r>
      <w:r>
        <w:rPr>
          <w:rFonts w:hint="eastAsia" w:ascii="Times New Roman" w:hAnsi="Times New Roman"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人（原天保管护人员）、代管生态护林员426人。</w:t>
      </w:r>
    </w:p>
    <w:p w14:paraId="79255DD7">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8FEB169">
      <w:pPr>
        <w:pStyle w:val="3"/>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7D59AAE3">
      <w:pPr>
        <w:rPr>
          <w:rFonts w:ascii="Times New Roman" w:hAnsi="Times New Roman"/>
          <w:color w:val="auto"/>
          <w:highlight w:val="none"/>
        </w:rPr>
      </w:pPr>
    </w:p>
    <w:p w14:paraId="1D67F33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3827FA1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675.16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419.36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38.31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实施项目减少。</w:t>
      </w:r>
    </w:p>
    <w:p w14:paraId="31C5D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default" w:ascii="Times New Roman" w:hAnsi="Times New Roman" w:eastAsia="仿宋_GB2312" w:cs="仿宋_GB2312"/>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142875</wp:posOffset>
            </wp:positionV>
            <wp:extent cx="5256530" cy="2988310"/>
            <wp:effectExtent l="5080" t="4445" r="15240" b="17145"/>
            <wp:wrapTight wrapText="bothSides">
              <wp:wrapPolygon>
                <wp:start x="-21" y="-32"/>
                <wp:lineTo x="-21" y="21449"/>
                <wp:lineTo x="21506" y="21449"/>
                <wp:lineTo x="21506" y="-32"/>
                <wp:lineTo x="-21" y="-32"/>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8E7A0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2491D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6758C1F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675.16万元，其中：一般公共预算财政拨款收入675.16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AAEA4CC">
      <w:pPr>
        <w:ind w:firstLine="803"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-42545</wp:posOffset>
            </wp:positionH>
            <wp:positionV relativeFrom="paragraph">
              <wp:posOffset>90805</wp:posOffset>
            </wp:positionV>
            <wp:extent cx="5256530" cy="2988310"/>
            <wp:effectExtent l="5080" t="4445" r="15240" b="17145"/>
            <wp:wrapTight wrapText="bothSides">
              <wp:wrapPolygon>
                <wp:start x="-21" y="-32"/>
                <wp:lineTo x="-21" y="21449"/>
                <wp:lineTo x="21506" y="21449"/>
                <wp:lineTo x="21506" y="-32"/>
                <wp:lineTo x="-21" y="-32"/>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sz w:val="32"/>
          <w:szCs w:val="32"/>
          <w:highlight w:val="none"/>
          <w:lang w:eastAsia="zh-CN"/>
        </w:rPr>
        <w:t>（图2：收入决算结构图）（饼状图）</w:t>
      </w:r>
    </w:p>
    <w:p w14:paraId="19720C0A">
      <w:pPr>
        <w:ind w:firstLine="800" w:firstLineChars="250"/>
        <w:rPr>
          <w:rFonts w:hint="eastAsia" w:ascii="Times New Roman" w:hAnsi="Times New Roman" w:eastAsia="仿宋_GB2312" w:cs="仿宋_GB2312"/>
          <w:color w:val="auto"/>
          <w:sz w:val="32"/>
          <w:szCs w:val="32"/>
          <w:highlight w:val="none"/>
          <w:lang w:eastAsia="zh-CN"/>
        </w:rPr>
      </w:pPr>
    </w:p>
    <w:p w14:paraId="1B9A548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2C462E5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675.16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455.49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67.46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219.67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32.53</w:t>
      </w:r>
      <w:r>
        <w:rPr>
          <w:rFonts w:hint="eastAsia" w:ascii="仿宋_GB2312" w:hAnsi="仿宋_GB2312" w:eastAsia="仿宋_GB2312" w:cs="仿宋_GB2312"/>
          <w:color w:val="auto"/>
          <w:sz w:val="32"/>
          <w:szCs w:val="32"/>
          <w:highlight w:val="none"/>
          <w:lang w:eastAsia="zh-CN"/>
        </w:rPr>
        <w:t>%。</w:t>
      </w:r>
    </w:p>
    <w:p w14:paraId="1462327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-69215</wp:posOffset>
            </wp:positionH>
            <wp:positionV relativeFrom="paragraph">
              <wp:posOffset>99695</wp:posOffset>
            </wp:positionV>
            <wp:extent cx="5256530" cy="2988310"/>
            <wp:effectExtent l="5080" t="4445" r="15240" b="17145"/>
            <wp:wrapTight wrapText="bothSides">
              <wp:wrapPolygon>
                <wp:start x="-21" y="-32"/>
                <wp:lineTo x="-21" y="21449"/>
                <wp:lineTo x="21506" y="21449"/>
                <wp:lineTo x="21506" y="-32"/>
                <wp:lineTo x="-21" y="-32"/>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7AA50DE5">
      <w:pPr>
        <w:ind w:firstLine="800" w:firstLineChars="250"/>
        <w:rPr>
          <w:rFonts w:hint="eastAsia" w:ascii="Times New Roman" w:hAnsi="Times New Roman" w:eastAsia="仿宋_GB2312" w:cs="仿宋_GB2312"/>
          <w:color w:val="auto"/>
          <w:sz w:val="32"/>
          <w:szCs w:val="32"/>
          <w:highlight w:val="none"/>
          <w:lang w:eastAsia="zh-CN"/>
        </w:rPr>
      </w:pPr>
    </w:p>
    <w:p w14:paraId="28908450">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2BDFC3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675.16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419.36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38.31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实施项目减少。</w:t>
      </w:r>
    </w:p>
    <w:p w14:paraId="2B93302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sz w:val="32"/>
          <w:szCs w:val="32"/>
          <w:highlight w:val="none"/>
          <w:lang w:val="en-US" w:eastAsia="zh-CN"/>
        </w:rPr>
        <w:drawing>
          <wp:anchor distT="0" distB="0" distL="114300" distR="114300" simplePos="0" relativeHeight="251663360" behindDoc="1" locked="0" layoutInCell="1" allowOverlap="1">
            <wp:simplePos x="0" y="0"/>
            <wp:positionH relativeFrom="column">
              <wp:posOffset>-55880</wp:posOffset>
            </wp:positionH>
            <wp:positionV relativeFrom="paragraph">
              <wp:posOffset>176530</wp:posOffset>
            </wp:positionV>
            <wp:extent cx="5256530" cy="2988310"/>
            <wp:effectExtent l="5080" t="4445" r="15240" b="17145"/>
            <wp:wrapTight wrapText="bothSides">
              <wp:wrapPolygon>
                <wp:start x="-21" y="-32"/>
                <wp:lineTo x="-21" y="21449"/>
                <wp:lineTo x="21506" y="21449"/>
                <wp:lineTo x="21506" y="-32"/>
                <wp:lineTo x="-21" y="-32"/>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C95B8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A947C3">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4861EA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1D80DE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675.16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减少</w:t>
      </w:r>
      <w:r>
        <w:rPr>
          <w:rFonts w:hint="eastAsia" w:eastAsia="仿宋_GB2312" w:cs="仿宋_GB2312"/>
          <w:color w:val="auto"/>
          <w:kern w:val="2"/>
          <w:sz w:val="32"/>
          <w:szCs w:val="32"/>
          <w:highlight w:val="none"/>
          <w:lang w:val="en-US" w:eastAsia="zh-CN" w:bidi="ar-SA"/>
        </w:rPr>
        <w:t>419.36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38.31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实施项目减少。</w:t>
      </w:r>
    </w:p>
    <w:p w14:paraId="6B944F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sz w:val="32"/>
          <w:szCs w:val="32"/>
          <w:highlight w:val="none"/>
          <w:lang w:val="en-US" w:eastAsia="zh-CN"/>
        </w:rPr>
        <w:drawing>
          <wp:anchor distT="0" distB="0" distL="114300" distR="114300" simplePos="0" relativeHeight="251664384" behindDoc="1" locked="0" layoutInCell="1" allowOverlap="1">
            <wp:simplePos x="0" y="0"/>
            <wp:positionH relativeFrom="column">
              <wp:posOffset>41275</wp:posOffset>
            </wp:positionH>
            <wp:positionV relativeFrom="paragraph">
              <wp:posOffset>173355</wp:posOffset>
            </wp:positionV>
            <wp:extent cx="5256530" cy="2988310"/>
            <wp:effectExtent l="5080" t="4445" r="15240" b="17145"/>
            <wp:wrapTight wrapText="bothSides">
              <wp:wrapPolygon>
                <wp:start x="-21" y="-32"/>
                <wp:lineTo x="-21" y="21449"/>
                <wp:lineTo x="21506" y="21449"/>
                <wp:lineTo x="21506" y="-32"/>
                <wp:lineTo x="-21" y="-3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CBF14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747B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D2C0E0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675.16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44.85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20.27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3.01</w:t>
      </w:r>
      <w:r>
        <w:rPr>
          <w:rFonts w:hint="eastAsia" w:ascii="Times New Roman" w:hAnsi="Times New Roman" w:eastAsia="仿宋_GB2312" w:cs="仿宋_GB2312"/>
          <w:color w:val="auto"/>
          <w:kern w:val="2"/>
          <w:sz w:val="32"/>
          <w:szCs w:val="32"/>
          <w:highlight w:val="none"/>
          <w:lang w:val="en-US" w:eastAsia="zh-CN" w:bidi="ar-SA"/>
        </w:rPr>
        <w:t>%；节能环保支出</w:t>
      </w:r>
      <w:r>
        <w:rPr>
          <w:rFonts w:hint="eastAsia" w:eastAsia="仿宋_GB2312" w:cs="仿宋_GB2312"/>
          <w:color w:val="auto"/>
          <w:kern w:val="2"/>
          <w:sz w:val="32"/>
          <w:szCs w:val="32"/>
          <w:highlight w:val="none"/>
          <w:lang w:val="en-US" w:eastAsia="zh-CN" w:bidi="ar-SA"/>
        </w:rPr>
        <w:t>151.19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22.39</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426.36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63.15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32.48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4.81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drawing>
          <wp:anchor distT="0" distB="0" distL="114300" distR="114300" simplePos="0" relativeHeight="251665408" behindDoc="1" locked="0" layoutInCell="1" allowOverlap="1">
            <wp:simplePos x="0" y="0"/>
            <wp:positionH relativeFrom="column">
              <wp:posOffset>5080</wp:posOffset>
            </wp:positionH>
            <wp:positionV relativeFrom="paragraph">
              <wp:posOffset>-795655</wp:posOffset>
            </wp:positionV>
            <wp:extent cx="5256530" cy="2988310"/>
            <wp:effectExtent l="5080" t="4445" r="15240" b="17145"/>
            <wp:wrapTight wrapText="bothSides">
              <wp:wrapPolygon>
                <wp:start x="-21" y="-32"/>
                <wp:lineTo x="-21" y="21449"/>
                <wp:lineTo x="21506" y="21449"/>
                <wp:lineTo x="21506" y="-32"/>
                <wp:lineTo x="-21" y="-32"/>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0D942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4D57312">
      <w:pPr>
        <w:pStyle w:val="14"/>
        <w:rPr>
          <w:rFonts w:hint="eastAsia"/>
          <w:lang w:val="en-US" w:eastAsia="zh-CN"/>
        </w:rPr>
      </w:pPr>
    </w:p>
    <w:p w14:paraId="1D415A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746C85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675.16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7437A6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44.81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BBC38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2.卫生健康支出（类）行政事业单位医疗（款）事业单位医疗（项）: 支出决算为</w:t>
      </w:r>
      <w:r>
        <w:rPr>
          <w:rFonts w:hint="eastAsia" w:eastAsia="仿宋_GB2312" w:cs="仿宋_GB2312"/>
          <w:color w:val="auto"/>
          <w:kern w:val="2"/>
          <w:sz w:val="32"/>
          <w:szCs w:val="32"/>
          <w:highlight w:val="none"/>
          <w:lang w:val="en-US" w:eastAsia="zh-CN" w:bidi="ar-SA"/>
        </w:rPr>
        <w:t>20.27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7195C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3.节能环保支出（类）自然生态保护（款）生态保护（项）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节能环保支出（类）森林保护修复（款）社会保险补助（项）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0906C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4.农林水支出（类）农业农村（款）事业运行（项）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321.88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农林水支出（类）林业和草原（款）事业机构（项）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农林水支出（类）林业和草原（款）森林资源管理（项）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eastAsia="仿宋_GB2312" w:cs="仿宋_GB2312"/>
          <w:color w:val="auto"/>
          <w:kern w:val="2"/>
          <w:sz w:val="32"/>
          <w:szCs w:val="32"/>
          <w:highlight w:val="none"/>
          <w:lang w:val="en-US" w:eastAsia="zh-CN" w:bidi="ar-SA"/>
        </w:rPr>
        <w:t>中央财政</w:t>
      </w:r>
      <w:r>
        <w:rPr>
          <w:rFonts w:hint="eastAsia" w:ascii="Times New Roman" w:hAnsi="Times New Roman" w:eastAsia="仿宋_GB2312" w:cs="仿宋_GB2312"/>
          <w:color w:val="auto"/>
          <w:kern w:val="2"/>
          <w:sz w:val="32"/>
          <w:szCs w:val="32"/>
          <w:highlight w:val="none"/>
          <w:lang w:val="en-US" w:eastAsia="zh-CN" w:bidi="ar-SA"/>
        </w:rPr>
        <w:t>衔接乡村振兴</w:t>
      </w:r>
      <w:r>
        <w:rPr>
          <w:rFonts w:hint="eastAsia" w:eastAsia="仿宋_GB2312" w:cs="仿宋_GB2312"/>
          <w:color w:val="auto"/>
          <w:kern w:val="2"/>
          <w:sz w:val="32"/>
          <w:szCs w:val="32"/>
          <w:highlight w:val="none"/>
          <w:lang w:val="en-US" w:eastAsia="zh-CN" w:bidi="ar-SA"/>
        </w:rPr>
        <w:t>补助资金（欠发达国有林场巩固提升任务）</w:t>
      </w:r>
      <w:r>
        <w:rPr>
          <w:rFonts w:hint="eastAsia" w:ascii="Times New Roman" w:hAnsi="Times New Roman" w:eastAsia="仿宋_GB2312" w:cs="仿宋_GB2312"/>
          <w:color w:val="auto"/>
          <w:kern w:val="2"/>
          <w:sz w:val="32"/>
          <w:szCs w:val="32"/>
          <w:highlight w:val="none"/>
          <w:lang w:val="en-US" w:eastAsia="zh-CN" w:bidi="ar-SA"/>
        </w:rPr>
        <w:t>（款）农村基础设施建设（项）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CE2D9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5.住房保障支出（类）住房改革支出（款）住房</w:t>
      </w:r>
      <w:bookmarkStart w:id="68" w:name="_GoBack"/>
      <w:bookmarkEnd w:id="68"/>
      <w:r>
        <w:rPr>
          <w:rFonts w:hint="eastAsia" w:ascii="Times New Roman" w:hAnsi="Times New Roman" w:eastAsia="仿宋_GB2312" w:cs="仿宋_GB2312"/>
          <w:color w:val="auto"/>
          <w:kern w:val="2"/>
          <w:sz w:val="32"/>
          <w:szCs w:val="32"/>
          <w:highlight w:val="none"/>
          <w:lang w:val="en-US" w:eastAsia="zh-CN" w:bidi="ar-SA"/>
        </w:rPr>
        <w:t>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A2EB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24215E">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6305BD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455.49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82062D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418.24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元，主要包括：办公费、水费、电费、邮电费、差旅费、委托业务费、福利费、公务用车运行维护费、其他商品和服务支出、其他对个人和家庭的补助支出</w:t>
      </w:r>
      <w:r>
        <w:rPr>
          <w:rFonts w:hint="eastAsia" w:eastAsia="仿宋_GB2312" w:cs="仿宋_GB2312"/>
          <w:color w:val="auto"/>
          <w:kern w:val="2"/>
          <w:sz w:val="32"/>
          <w:szCs w:val="32"/>
          <w:highlight w:val="none"/>
          <w:lang w:val="en-US" w:eastAsia="zh-CN" w:bidi="ar-SA"/>
        </w:rPr>
        <w:t>、奖励金等。</w:t>
      </w:r>
    </w:p>
    <w:p w14:paraId="30EBE9DA">
      <w:pPr>
        <w:spacing w:line="600" w:lineRule="exact"/>
        <w:ind w:firstLine="640"/>
        <w:outlineLvl w:val="1"/>
        <w:rPr>
          <w:rStyle w:val="29"/>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75FEEE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6B7EE1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1.37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万元，决算数与预算数持平</w:t>
      </w:r>
      <w:r>
        <w:rPr>
          <w:rFonts w:hint="eastAsia" w:eastAsia="仿宋_GB2312" w:cs="仿宋_GB2312"/>
          <w:color w:val="auto"/>
          <w:kern w:val="2"/>
          <w:sz w:val="32"/>
          <w:szCs w:val="32"/>
          <w:highlight w:val="none"/>
          <w:lang w:val="en-US" w:eastAsia="zh-CN" w:bidi="ar-SA"/>
        </w:rPr>
        <w:t>。</w:t>
      </w:r>
    </w:p>
    <w:p w14:paraId="6EDB61A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2D1A78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1.37</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万元，具体情况如下：</w:t>
      </w:r>
    </w:p>
    <w:p w14:paraId="44A873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6432" behindDoc="1" locked="0" layoutInCell="1" allowOverlap="1">
            <wp:simplePos x="0" y="0"/>
            <wp:positionH relativeFrom="column">
              <wp:posOffset>71120</wp:posOffset>
            </wp:positionH>
            <wp:positionV relativeFrom="paragraph">
              <wp:posOffset>128270</wp:posOffset>
            </wp:positionV>
            <wp:extent cx="5256530" cy="2988310"/>
            <wp:effectExtent l="5080" t="4445" r="15240" b="17145"/>
            <wp:wrapTight wrapText="bothSides">
              <wp:wrapPolygon>
                <wp:start x="-21" y="-32"/>
                <wp:lineTo x="-21" y="21449"/>
                <wp:lineTo x="21506" y="21449"/>
                <wp:lineTo x="21506" y="-32"/>
                <wp:lineTo x="-21" y="-32"/>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3F5F02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万元。主要原因是</w:t>
      </w:r>
      <w:r>
        <w:rPr>
          <w:rFonts w:hint="eastAsia" w:eastAsia="仿宋_GB2312" w:cs="仿宋_GB2312"/>
          <w:color w:val="auto"/>
          <w:kern w:val="2"/>
          <w:sz w:val="32"/>
          <w:szCs w:val="32"/>
          <w:highlight w:val="none"/>
          <w:lang w:val="en-US" w:eastAsia="zh-CN" w:bidi="ar-SA"/>
        </w:rPr>
        <w:t>新增了公务用车购买保险及燃料费、维修费。</w:t>
      </w:r>
    </w:p>
    <w:p w14:paraId="05F7B6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2B6EA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1.37</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万元。主要用于所需的公务用车燃料费、维修费、保险费等支出。</w:t>
      </w:r>
    </w:p>
    <w:p w14:paraId="7FD532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p>
    <w:p w14:paraId="4D758880">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1646871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与上年持平。</w:t>
      </w:r>
    </w:p>
    <w:p w14:paraId="4F89B8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1668AD">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6EB573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与上年持平。</w:t>
      </w:r>
    </w:p>
    <w:p w14:paraId="5FA6A95E">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704442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41D3D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开江县国有林场</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元，比2023年度与2023年度决算数持平</w:t>
      </w:r>
      <w:r>
        <w:rPr>
          <w:rFonts w:hint="eastAsia" w:eastAsia="仿宋_GB2312" w:cs="仿宋_GB2312"/>
          <w:color w:val="auto"/>
          <w:kern w:val="2"/>
          <w:sz w:val="32"/>
          <w:szCs w:val="32"/>
          <w:highlight w:val="none"/>
          <w:lang w:val="en-US" w:eastAsia="zh-CN" w:bidi="ar-SA"/>
        </w:rPr>
        <w:t>。</w:t>
      </w:r>
    </w:p>
    <w:p w14:paraId="1910B7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8E8F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4DA6AE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开江县国有林场</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585D05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739D78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开江县国有林场</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辆、其他用车1辆，其他用车主要是用于</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val="en-US" w:eastAsia="zh-CN"/>
        </w:rPr>
        <w:t>特种专业技术用车</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2882E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A8DF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0A636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开江县国有林场</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在编人员工资</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6B0B07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组织对2024年度一般公共预算等全面开展绩效自评，形成</w:t>
      </w:r>
      <w:r>
        <w:rPr>
          <w:rFonts w:hint="eastAsia" w:eastAsia="仿宋_GB2312" w:cs="仿宋_GB2312"/>
          <w:color w:val="auto"/>
          <w:kern w:val="2"/>
          <w:sz w:val="32"/>
          <w:szCs w:val="32"/>
          <w:highlight w:val="none"/>
          <w:lang w:val="en-US" w:eastAsia="zh-CN" w:bidi="ar-SA"/>
        </w:rPr>
        <w:t>开江县国有林场</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开江县国有临城</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92.4</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2024年度开江县国有林场在履职效能、预算管理、部门管理方面完成情况良好，三项重点工作任务有效完成</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76DE28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A517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B4973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02C57425">
      <w:pPr>
        <w:spacing w:line="600" w:lineRule="exact"/>
        <w:jc w:val="left"/>
        <w:rPr>
          <w:rFonts w:ascii="Times New Roman" w:hAnsi="Times New Roman"/>
          <w:b/>
          <w:color w:val="auto"/>
          <w:sz w:val="44"/>
          <w:szCs w:val="44"/>
          <w:highlight w:val="none"/>
        </w:rPr>
      </w:pPr>
    </w:p>
    <w:p w14:paraId="132DE7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B5347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p>
    <w:p w14:paraId="79CF29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2.社会保障和就业支出：指为促进社会保障和就业机会而进行的资金支出。</w:t>
      </w:r>
    </w:p>
    <w:p w14:paraId="777851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指卫生健康方面的支出，包括卫生健康管理事务、公立医院、基层医疗卫生机构、公共卫生、中医药、计划生育事务、行政事业单位医疗、财政对基本医疗保险基金的补助、医疗救助、优抚对象医疗、医疗保障管理事务、老龄卫生健康事务等支出。</w:t>
      </w:r>
    </w:p>
    <w:p w14:paraId="023056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4.节能环保支出：指环境保护管理事务支出、环境监测与监察支出、污染治理支出等支出。</w:t>
      </w:r>
    </w:p>
    <w:p w14:paraId="4B936A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5.农林水：指用于农林水事务支出,包括保障机构正常运转、完成日常和特定的工作任务或事业发展目标的支出。</w:t>
      </w:r>
    </w:p>
    <w:p w14:paraId="66C85C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6.住房保障支出：指主要用于保障性安居工程支出、住房改革支出（住房公积金、提租补贴、购房补贴）和城乡社区住宅（如公有住房建设和维修改造支出）</w:t>
      </w:r>
    </w:p>
    <w:p w14:paraId="00ED60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14:paraId="4DCE92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8.项目支出：指在基本支出之外为完成特定行政任务和事业发展目标所发生的支出。</w:t>
      </w:r>
    </w:p>
    <w:p w14:paraId="7140E7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376D5B">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45A61E4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B8655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DE02DD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F961E62">
      <w:pPr>
        <w:widowControl/>
        <w:spacing w:line="578" w:lineRule="exact"/>
        <w:contextualSpacing/>
        <w:jc w:val="center"/>
        <w:rPr>
          <w:rFonts w:hint="eastAsia" w:ascii="Times New Roman" w:hAnsi="Times New Roman" w:eastAsia="方正小标宋简体" w:cs="Times New Roman"/>
          <w:bCs/>
          <w:sz w:val="44"/>
          <w:szCs w:val="44"/>
          <w:shd w:val="clear" w:color="auto" w:fill="FFFFFF"/>
          <w:lang w:val="en-US" w:eastAsia="zh-CN"/>
        </w:rPr>
      </w:pPr>
      <w:bookmarkStart w:id="53" w:name="_Hlk110546638"/>
      <w:r>
        <w:rPr>
          <w:rFonts w:hint="eastAsia" w:ascii="Times New Roman" w:hAnsi="Times New Roman" w:eastAsia="方正小标宋简体" w:cs="Times New Roman"/>
          <w:bCs/>
          <w:sz w:val="44"/>
          <w:szCs w:val="44"/>
          <w:shd w:val="clear" w:color="auto" w:fill="FFFFFF"/>
          <w:lang w:val="en-US" w:eastAsia="zh-CN"/>
        </w:rPr>
        <w:t>开江县国有林场</w:t>
      </w:r>
    </w:p>
    <w:p w14:paraId="2199E406">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ascii="Times New Roman" w:hAnsi="Times New Roman" w:eastAsia="方正小标宋简体" w:cs="Times New Roman"/>
          <w:bCs/>
          <w:sz w:val="44"/>
          <w:szCs w:val="44"/>
          <w:shd w:val="clear" w:color="auto" w:fill="FFFFFF"/>
        </w:rPr>
        <w:t>部门预算绩效</w:t>
      </w:r>
      <w:r>
        <w:rPr>
          <w:rFonts w:hint="eastAsia" w:ascii="Times New Roman" w:hAnsi="Times New Roman" w:eastAsia="方正小标宋简体" w:cs="Times New Roman"/>
          <w:bCs/>
          <w:sz w:val="44"/>
          <w:szCs w:val="44"/>
          <w:shd w:val="clear" w:color="auto" w:fill="FFFFFF"/>
        </w:rPr>
        <w:t>评价</w:t>
      </w:r>
      <w:r>
        <w:rPr>
          <w:rFonts w:ascii="Times New Roman" w:hAnsi="Times New Roman" w:eastAsia="方正小标宋简体" w:cs="Times New Roman"/>
          <w:bCs/>
          <w:sz w:val="44"/>
          <w:szCs w:val="44"/>
          <w:shd w:val="clear" w:color="auto" w:fill="FFFFFF"/>
        </w:rPr>
        <w:t>报告</w:t>
      </w:r>
    </w:p>
    <w:p w14:paraId="03C037DE">
      <w:pPr>
        <w:widowControl/>
        <w:adjustRightInd w:val="0"/>
        <w:snapToGrid w:val="0"/>
        <w:spacing w:line="578" w:lineRule="exact"/>
        <w:ind w:firstLine="480" w:firstLineChars="200"/>
        <w:contextualSpacing/>
        <w:jc w:val="left"/>
        <w:rPr>
          <w:rFonts w:ascii="Times New Roman" w:hAnsi="Times New Roman" w:eastAsia="黑体" w:cs="Times New Roman"/>
          <w:color w:val="000000"/>
          <w:kern w:val="0"/>
          <w:sz w:val="24"/>
          <w:szCs w:val="32"/>
          <w:shd w:val="clear" w:color="auto" w:fill="FFFFFF"/>
        </w:rPr>
      </w:pPr>
    </w:p>
    <w:p w14:paraId="3CAE261B">
      <w:pPr>
        <w:widowControl/>
        <w:adjustRightInd w:val="0"/>
        <w:snapToGrid w:val="0"/>
        <w:spacing w:line="578" w:lineRule="exact"/>
        <w:ind w:firstLine="640" w:firstLineChars="200"/>
        <w:contextualSpacing/>
        <w:jc w:val="left"/>
        <w:rPr>
          <w:rFonts w:ascii="Times New Roman" w:hAnsi="Times New Roman" w:eastAsia="仿宋_GB2312" w:cs="Times New Roman"/>
          <w:sz w:val="32"/>
          <w:szCs w:val="32"/>
        </w:rPr>
      </w:pPr>
      <w:r>
        <w:rPr>
          <w:rFonts w:hint="eastAsia" w:ascii="Times New Roman" w:hAnsi="Times New Roman" w:eastAsia="黑体" w:cs="Times New Roman"/>
          <w:color w:val="000000"/>
          <w:kern w:val="0"/>
          <w:sz w:val="32"/>
          <w:szCs w:val="32"/>
          <w:shd w:val="clear" w:color="auto" w:fill="FFFFFF"/>
          <w:lang w:val="zh-CN"/>
        </w:rPr>
        <w:t>一、</w:t>
      </w:r>
      <w:r>
        <w:rPr>
          <w:rFonts w:ascii="Times New Roman" w:hAnsi="Times New Roman" w:eastAsia="黑体" w:cs="Times New Roman"/>
          <w:color w:val="000000"/>
          <w:kern w:val="0"/>
          <w:sz w:val="32"/>
          <w:szCs w:val="32"/>
          <w:shd w:val="clear" w:color="auto" w:fill="FFFFFF"/>
          <w:lang w:val="zh-CN"/>
        </w:rPr>
        <w:t>部门（单位）基本情况</w:t>
      </w:r>
    </w:p>
    <w:p w14:paraId="49B76296">
      <w:pPr>
        <w:widowControl/>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机构组成。</w:t>
      </w:r>
    </w:p>
    <w:p w14:paraId="01376B47">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江县国有林场隶属于开江县林业局（原开江县林业发展和保护中心），是全额财政拨款，具有独立法人资格，独立核算的公益一类事业单位。内设综合办公室、计划财务办公室、营林造林办公室、森林管护办公室4个内设机构以及13个森林管护工区，即：白蜡园、大茅坪、三台寺、三宝堂、黎山、明桥、斑竹山、观音盘、白杨坪、回龙、麻湾、凉风垭、观音山。场机关位于开江县新宁镇古镇路190号。</w:t>
      </w:r>
    </w:p>
    <w:p w14:paraId="7C24060F">
      <w:pPr>
        <w:widowControl/>
        <w:numPr>
          <w:ilvl w:val="0"/>
          <w:numId w:val="2"/>
        </w:numPr>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机构职能</w:t>
      </w:r>
      <w:r>
        <w:rPr>
          <w:rFonts w:hint="eastAsia" w:ascii="Times New Roman" w:hAnsi="Times New Roman" w:eastAsia="楷体_GB2312" w:cs="Times New Roman"/>
          <w:b/>
          <w:bCs/>
          <w:color w:val="000000"/>
          <w:kern w:val="0"/>
          <w:sz w:val="32"/>
          <w:szCs w:val="32"/>
          <w:shd w:val="clear" w:color="auto" w:fill="FFFFFF"/>
          <w:lang w:val="zh-CN"/>
        </w:rPr>
        <w:t>。</w:t>
      </w:r>
    </w:p>
    <w:p w14:paraId="429D5A15">
      <w:pPr>
        <w:widowControl/>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b/>
          <w:bCs/>
          <w:color w:val="000000"/>
          <w:kern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主要负责贯彻执行党的林业方针、政策，宣传林业生产技术、政策及法律法规知识。承担植树造林、培育森林资源、维护国有林生态安全和提供生态公益服务等任务。</w:t>
      </w:r>
    </w:p>
    <w:p w14:paraId="57D113FC">
      <w:pPr>
        <w:numPr>
          <w:ilvl w:val="0"/>
          <w:numId w:val="2"/>
        </w:numPr>
        <w:spacing w:line="600" w:lineRule="exact"/>
        <w:ind w:left="0" w:leftChars="0" w:firstLine="643" w:firstLineChars="200"/>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人员概况</w:t>
      </w:r>
      <w:r>
        <w:rPr>
          <w:rFonts w:hint="eastAsia" w:ascii="Times New Roman" w:hAnsi="Times New Roman" w:eastAsia="楷体_GB2312" w:cs="Times New Roman"/>
          <w:b/>
          <w:bCs/>
          <w:color w:val="000000"/>
          <w:kern w:val="0"/>
          <w:sz w:val="32"/>
          <w:szCs w:val="32"/>
          <w:shd w:val="clear" w:color="auto" w:fill="FFFFFF"/>
          <w:lang w:val="zh-CN"/>
        </w:rPr>
        <w:t>。</w:t>
      </w:r>
    </w:p>
    <w:p w14:paraId="02A9A3D1">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截至2024年末，</w:t>
      </w:r>
      <w:r>
        <w:rPr>
          <w:rFonts w:hint="eastAsia" w:ascii="Times New Roman" w:hAnsi="Times New Roman" w:eastAsia="仿宋_GB2312" w:cs="Times New Roman"/>
          <w:sz w:val="32"/>
          <w:szCs w:val="32"/>
          <w:lang w:val="en-US" w:eastAsia="zh-CN"/>
        </w:rPr>
        <w:t>开江县国有林场</w:t>
      </w:r>
      <w:r>
        <w:rPr>
          <w:rFonts w:ascii="Times New Roman" w:hAnsi="Times New Roman" w:eastAsia="仿宋_GB2312" w:cs="Times New Roman"/>
          <w:sz w:val="32"/>
          <w:szCs w:val="32"/>
        </w:rPr>
        <w:t>及下属单位</w:t>
      </w:r>
      <w:r>
        <w:rPr>
          <w:rFonts w:hint="eastAsia" w:ascii="Times New Roman" w:hAnsi="Times New Roman" w:eastAsia="仿宋_GB2312" w:cs="Times New Roman"/>
          <w:sz w:val="32"/>
          <w:szCs w:val="32"/>
          <w:lang w:val="en-US" w:eastAsia="zh-CN"/>
        </w:rPr>
        <w:t>核定事业编制41名，设正职1名，副职1名。现有正式职工32人、国有林保护中心人员31人（原天保管护人员）、代管生态护林员426人。</w:t>
      </w:r>
    </w:p>
    <w:p w14:paraId="70E28245">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二、部门资金收支情况</w:t>
      </w:r>
    </w:p>
    <w:p w14:paraId="4F358B9B">
      <w:pPr>
        <w:widowControl/>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收入情况</w:t>
      </w:r>
      <w:r>
        <w:rPr>
          <w:rFonts w:ascii="Times New Roman" w:hAnsi="Times New Roman" w:eastAsia="楷体_GB2312" w:cs="Times New Roman"/>
          <w:b/>
          <w:bCs/>
          <w:color w:val="000000"/>
          <w:kern w:val="0"/>
          <w:sz w:val="32"/>
          <w:szCs w:val="32"/>
          <w:shd w:val="clear" w:color="auto" w:fill="FFFFFF"/>
          <w:lang w:val="zh-CN"/>
        </w:rPr>
        <w:t>。</w:t>
      </w:r>
    </w:p>
    <w:p w14:paraId="02859272">
      <w:pPr>
        <w:widowControl/>
        <w:adjustRightInd w:val="0"/>
        <w:snapToGrid w:val="0"/>
        <w:spacing w:line="578" w:lineRule="exact"/>
        <w:ind w:firstLine="640" w:firstLineChars="200"/>
        <w:contextualSpacing/>
        <w:jc w:val="left"/>
        <w:rPr>
          <w:rFonts w:hint="default" w:ascii="Times New Roman" w:hAnsi="Times New Roman" w:eastAsia="仿宋_GB2312" w:cs="Times New Roman"/>
          <w:b/>
          <w:bCs/>
          <w:color w:val="000000"/>
          <w:kern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根据决算报表，开江县国有林场2024年收入年初预算数862.49万元，全年预算数为675.16万元，决算数为675.16万元，收入来源为一般公共预算财政拨款收入。</w:t>
      </w:r>
    </w:p>
    <w:p w14:paraId="0E082FEC">
      <w:pPr>
        <w:widowControl/>
        <w:numPr>
          <w:ilvl w:val="0"/>
          <w:numId w:val="3"/>
        </w:numPr>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支出情况</w:t>
      </w:r>
      <w:r>
        <w:rPr>
          <w:rFonts w:ascii="Times New Roman" w:hAnsi="Times New Roman" w:eastAsia="楷体_GB2312" w:cs="Times New Roman"/>
          <w:b/>
          <w:bCs/>
          <w:color w:val="000000"/>
          <w:kern w:val="0"/>
          <w:sz w:val="32"/>
          <w:szCs w:val="32"/>
          <w:shd w:val="clear" w:color="auto" w:fill="FFFFFF"/>
          <w:lang w:val="zh-CN"/>
        </w:rPr>
        <w:t>。</w:t>
      </w:r>
    </w:p>
    <w:p w14:paraId="1595B12F">
      <w:pPr>
        <w:widowControl/>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根据决算报表，开江县国有林场2024年支出年初预算数为862.49万元，全年预算数为675.16万元，决算数为675.16万元。其中基本支出455.49万元，项目支出为219.67万元。</w:t>
      </w:r>
    </w:p>
    <w:p w14:paraId="029AFC5A">
      <w:pPr>
        <w:widowControl/>
        <w:numPr>
          <w:ilvl w:val="0"/>
          <w:numId w:val="3"/>
        </w:numPr>
        <w:adjustRightInd w:val="0"/>
        <w:snapToGrid w:val="0"/>
        <w:spacing w:line="578" w:lineRule="exact"/>
        <w:ind w:left="0" w:leftChars="0" w:firstLine="643" w:firstLineChars="200"/>
        <w:contextualSpacing/>
        <w:jc w:val="left"/>
        <w:rPr>
          <w:rFonts w:hint="eastAsia" w:ascii="Times New Roman" w:hAnsi="Times New Roman" w:eastAsia="楷体_GB2312" w:cs="Times New Roman"/>
          <w:b/>
          <w:sz w:val="32"/>
          <w:szCs w:val="32"/>
        </w:rPr>
      </w:pPr>
      <w:r>
        <w:rPr>
          <w:rFonts w:ascii="Times New Roman" w:hAnsi="Times New Roman" w:eastAsia="楷体_GB2312" w:cs="Times New Roman"/>
          <w:b/>
          <w:sz w:val="32"/>
          <w:szCs w:val="32"/>
        </w:rPr>
        <w:t>结余分配和结转结余情况</w:t>
      </w:r>
      <w:r>
        <w:rPr>
          <w:rFonts w:hint="eastAsia" w:ascii="Times New Roman" w:hAnsi="Times New Roman" w:eastAsia="楷体_GB2312" w:cs="Times New Roman"/>
          <w:b/>
          <w:sz w:val="32"/>
          <w:szCs w:val="32"/>
        </w:rPr>
        <w:t>。</w:t>
      </w:r>
    </w:p>
    <w:p w14:paraId="2DCB2359">
      <w:pPr>
        <w:widowControl/>
        <w:numPr>
          <w:ilvl w:val="0"/>
          <w:numId w:val="0"/>
        </w:numPr>
        <w:adjustRightInd w:val="0"/>
        <w:snapToGrid w:val="0"/>
        <w:spacing w:line="578" w:lineRule="exact"/>
        <w:ind w:leftChars="200"/>
        <w:contextualSpacing/>
        <w:jc w:val="left"/>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开江县国有林场2024年决算报表年末结转结余为零。</w:t>
      </w:r>
    </w:p>
    <w:p w14:paraId="54E3FB21">
      <w:pPr>
        <w:widowControl/>
        <w:adjustRightInd w:val="0"/>
        <w:snapToGrid w:val="0"/>
        <w:spacing w:line="578" w:lineRule="exact"/>
        <w:ind w:firstLine="640" w:firstLineChars="200"/>
        <w:contextualSpacing/>
        <w:jc w:val="left"/>
        <w:rPr>
          <w:rFonts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kern w:val="0"/>
          <w:sz w:val="32"/>
          <w:szCs w:val="32"/>
          <w:shd w:val="clear" w:color="auto" w:fill="FFFFFF"/>
        </w:rPr>
        <w:t>三、部门预算绩效分析</w:t>
      </w:r>
    </w:p>
    <w:p w14:paraId="23223689">
      <w:pPr>
        <w:adjustRightInd w:val="0"/>
        <w:snapToGrid w:val="0"/>
        <w:spacing w:line="578" w:lineRule="exact"/>
        <w:ind w:firstLine="643"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部门预算</w:t>
      </w:r>
      <w:r>
        <w:rPr>
          <w:rFonts w:ascii="Times New Roman" w:hAnsi="Times New Roman" w:eastAsia="楷体_GB2312" w:cs="Times New Roman"/>
          <w:b/>
          <w:bCs/>
          <w:color w:val="000000"/>
          <w:kern w:val="0"/>
          <w:sz w:val="32"/>
          <w:szCs w:val="32"/>
          <w:shd w:val="clear" w:color="auto" w:fill="FFFFFF"/>
          <w:lang w:val="zh-CN"/>
        </w:rPr>
        <w:t>总体绩效分析。</w:t>
      </w:r>
      <w:r>
        <w:rPr>
          <w:rFonts w:ascii="Times New Roman" w:hAnsi="Times New Roman" w:eastAsia="仿宋_GB2312" w:cs="Times New Roman"/>
          <w:color w:val="000000"/>
          <w:kern w:val="0"/>
          <w:sz w:val="32"/>
          <w:szCs w:val="32"/>
          <w:shd w:val="clear" w:color="auto" w:fill="FFFFFF"/>
          <w:lang w:val="zh-CN"/>
        </w:rPr>
        <w:t>根据部门预算绩效评价指标体系“总体绩效”涉及</w:t>
      </w:r>
      <w:r>
        <w:rPr>
          <w:rFonts w:hint="eastAsia" w:ascii="Times New Roman" w:hAnsi="Times New Roman" w:eastAsia="仿宋_GB2312" w:cs="Times New Roman"/>
          <w:color w:val="000000"/>
          <w:kern w:val="0"/>
          <w:sz w:val="32"/>
          <w:szCs w:val="32"/>
          <w:shd w:val="clear" w:color="auto" w:fill="FFFFFF"/>
          <w:lang w:val="zh-CN"/>
        </w:rPr>
        <w:t>二、三级</w:t>
      </w:r>
      <w:r>
        <w:rPr>
          <w:rFonts w:ascii="Times New Roman" w:hAnsi="Times New Roman" w:eastAsia="仿宋_GB2312" w:cs="Times New Roman"/>
          <w:color w:val="000000"/>
          <w:kern w:val="0"/>
          <w:sz w:val="32"/>
          <w:szCs w:val="32"/>
          <w:shd w:val="clear" w:color="auto" w:fill="FFFFFF"/>
          <w:lang w:val="zh-CN"/>
        </w:rPr>
        <w:t>指标进行</w:t>
      </w:r>
      <w:r>
        <w:rPr>
          <w:rFonts w:hint="eastAsia" w:ascii="Times New Roman" w:hAnsi="Times New Roman" w:eastAsia="仿宋_GB2312" w:cs="Times New Roman"/>
          <w:color w:val="000000"/>
          <w:kern w:val="0"/>
          <w:sz w:val="32"/>
          <w:szCs w:val="32"/>
          <w:shd w:val="clear" w:color="auto" w:fill="FFFFFF"/>
          <w:lang w:val="zh-CN"/>
        </w:rPr>
        <w:t>逐项</w:t>
      </w:r>
      <w:r>
        <w:rPr>
          <w:rFonts w:ascii="Times New Roman" w:hAnsi="Times New Roman" w:eastAsia="仿宋_GB2312" w:cs="Times New Roman"/>
          <w:color w:val="000000"/>
          <w:kern w:val="0"/>
          <w:sz w:val="32"/>
          <w:szCs w:val="32"/>
          <w:shd w:val="clear" w:color="auto" w:fill="FFFFFF"/>
          <w:lang w:val="zh-CN"/>
        </w:rPr>
        <w:t>绩效分析</w:t>
      </w:r>
      <w:r>
        <w:rPr>
          <w:rFonts w:hint="eastAsia" w:ascii="Times New Roman" w:hAnsi="Times New Roman" w:eastAsia="仿宋_GB2312" w:cs="Times New Roman"/>
          <w:color w:val="000000"/>
          <w:kern w:val="0"/>
          <w:sz w:val="32"/>
          <w:szCs w:val="32"/>
          <w:shd w:val="clear" w:color="auto" w:fill="FFFFFF"/>
          <w:lang w:val="zh-CN"/>
        </w:rPr>
        <w:t>并评分</w:t>
      </w:r>
      <w:r>
        <w:rPr>
          <w:rFonts w:ascii="Times New Roman" w:hAnsi="Times New Roman" w:eastAsia="仿宋_GB2312" w:cs="Times New Roman"/>
          <w:color w:val="000000"/>
          <w:kern w:val="0"/>
          <w:sz w:val="32"/>
          <w:szCs w:val="32"/>
          <w:shd w:val="clear" w:color="auto" w:fill="FFFFFF"/>
          <w:lang w:val="zh-CN"/>
        </w:rPr>
        <w:t>，依次包括履职效能、预算管理、财务管理、资产管理、采购管理等情况。</w:t>
      </w:r>
    </w:p>
    <w:p w14:paraId="71E76BEA">
      <w:pPr>
        <w:adjustRightInd w:val="0"/>
        <w:snapToGrid w:val="0"/>
        <w:spacing w:line="578"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p>
    <w:p w14:paraId="32F6D88B">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2024年，保护森林资源面积达到49732亩，设置有11个森林防火检查点，我场应急小分队每年开展四次以上森林防火演练，并组织日常巡查超</w:t>
      </w:r>
      <w:r>
        <w:rPr>
          <w:rFonts w:hint="eastAsia" w:ascii="Times New Roman" w:hAnsi="Times New Roman" w:eastAsia="仿宋_GB2312" w:cs="Times New Roman"/>
          <w:color w:val="000000"/>
          <w:kern w:val="0"/>
          <w:sz w:val="32"/>
          <w:szCs w:val="32"/>
          <w:shd w:val="clear" w:color="auto" w:fill="FFFFFF"/>
          <w:lang w:val="en-US" w:eastAsia="zh-CN"/>
        </w:rPr>
        <w:t>11160</w:t>
      </w:r>
      <w:r>
        <w:rPr>
          <w:rFonts w:hint="eastAsia" w:ascii="Times New Roman" w:hAnsi="Times New Roman" w:eastAsia="仿宋_GB2312" w:cs="Times New Roman"/>
          <w:color w:val="000000"/>
          <w:kern w:val="0"/>
          <w:sz w:val="32"/>
          <w:szCs w:val="32"/>
          <w:shd w:val="clear" w:color="auto" w:fill="FFFFFF"/>
          <w:lang w:val="zh-CN"/>
        </w:rPr>
        <w:t>次。常年采取广播、电视、网络、标语等多种形式开展森林防灭火宣传教育，常态化排查整治风险隐患，高火险期全体干部职工下沉一线参与森林火灾防控，工作成效明显，全年未发生任何火险火情和大的森林病虫害。</w:t>
      </w:r>
    </w:p>
    <w:p w14:paraId="37F7595F">
      <w:pPr>
        <w:numPr>
          <w:ilvl w:val="0"/>
          <w:numId w:val="4"/>
        </w:numPr>
        <w:adjustRightInd w:val="0"/>
        <w:snapToGrid w:val="0"/>
        <w:spacing w:line="578"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ascii="楷体_GB2312" w:hAnsi="楷体_GB2312" w:eastAsia="楷体_GB2312" w:cs="楷体_GB2312"/>
          <w:color w:val="000000"/>
          <w:kern w:val="0"/>
          <w:sz w:val="32"/>
          <w:szCs w:val="32"/>
          <w:shd w:val="clear" w:color="auto" w:fill="FFFFFF"/>
          <w:lang w:val="zh-CN"/>
        </w:rPr>
        <w:t>预算管理</w:t>
      </w:r>
      <w:r>
        <w:rPr>
          <w:rFonts w:hint="eastAsia" w:ascii="楷体_GB2312" w:hAnsi="楷体_GB2312" w:eastAsia="楷体_GB2312" w:cs="楷体_GB2312"/>
          <w:color w:val="000000"/>
          <w:kern w:val="0"/>
          <w:sz w:val="32"/>
          <w:szCs w:val="32"/>
          <w:shd w:val="clear" w:color="auto" w:fill="FFFFFF"/>
          <w:lang w:val="zh-CN"/>
        </w:rPr>
        <w:t>。</w:t>
      </w:r>
    </w:p>
    <w:p w14:paraId="1F7C89BE">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部门财务管理制度建立情况，已结合单位工作职责和财务工作实际，制定了财务管理办法、预算管理办法等内部控制制度，并严格遵照执行，对差旅费等易发多发项目进行自查自纠，较好地维护了财务制度的严肃性和有效性。</w:t>
      </w:r>
    </w:p>
    <w:p w14:paraId="0E855D3E">
      <w:pPr>
        <w:numPr>
          <w:ilvl w:val="0"/>
          <w:numId w:val="4"/>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ascii="楷体_GB2312" w:hAnsi="楷体_GB2312" w:eastAsia="楷体_GB2312" w:cs="楷体_GB2312"/>
          <w:color w:val="000000"/>
          <w:kern w:val="0"/>
          <w:sz w:val="32"/>
          <w:szCs w:val="32"/>
          <w:shd w:val="clear" w:color="auto" w:fill="FFFFFF"/>
          <w:lang w:val="zh-CN"/>
        </w:rPr>
        <w:t>财务管理</w:t>
      </w:r>
      <w:r>
        <w:rPr>
          <w:rFonts w:hint="eastAsia" w:ascii="楷体_GB2312" w:hAnsi="楷体_GB2312" w:eastAsia="楷体_GB2312" w:cs="楷体_GB2312"/>
          <w:color w:val="000000"/>
          <w:kern w:val="0"/>
          <w:sz w:val="32"/>
          <w:szCs w:val="32"/>
          <w:shd w:val="clear" w:color="auto" w:fill="FFFFFF"/>
          <w:lang w:val="zh-CN"/>
        </w:rPr>
        <w:t>。</w:t>
      </w:r>
    </w:p>
    <w:p w14:paraId="767AA2D8">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部门内部合理设置财务工作岗位，明确职责权限，财务审核程序，并严格实行不相容岗位分离。</w:t>
      </w:r>
    </w:p>
    <w:p w14:paraId="616072A1">
      <w:pPr>
        <w:adjustRightInd w:val="0"/>
        <w:snapToGrid w:val="0"/>
        <w:spacing w:line="578" w:lineRule="exact"/>
        <w:ind w:firstLine="640"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部门资金使用严格相关财务管理制度规定执行，没有出现违规使用资金的行为。</w:t>
      </w:r>
    </w:p>
    <w:p w14:paraId="5A3CB3BC">
      <w:pPr>
        <w:numPr>
          <w:ilvl w:val="0"/>
          <w:numId w:val="4"/>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ascii="楷体_GB2312" w:hAnsi="楷体_GB2312" w:eastAsia="楷体_GB2312" w:cs="楷体_GB2312"/>
          <w:color w:val="000000"/>
          <w:kern w:val="0"/>
          <w:sz w:val="32"/>
          <w:szCs w:val="32"/>
          <w:shd w:val="clear" w:color="auto" w:fill="FFFFFF"/>
          <w:lang w:val="zh-CN"/>
        </w:rPr>
        <w:t>资产管理</w:t>
      </w:r>
      <w:r>
        <w:rPr>
          <w:rFonts w:hint="eastAsia" w:ascii="楷体_GB2312" w:hAnsi="楷体_GB2312" w:eastAsia="楷体_GB2312" w:cs="楷体_GB2312"/>
          <w:color w:val="000000"/>
          <w:kern w:val="0"/>
          <w:sz w:val="32"/>
          <w:szCs w:val="32"/>
          <w:shd w:val="clear" w:color="auto" w:fill="FFFFFF"/>
          <w:lang w:val="zh-CN"/>
        </w:rPr>
        <w:t>。</w:t>
      </w:r>
    </w:p>
    <w:p w14:paraId="2E9EF5E3">
      <w:pPr>
        <w:numPr>
          <w:ilvl w:val="0"/>
          <w:numId w:val="0"/>
        </w:numPr>
        <w:adjustRightInd w:val="0"/>
        <w:snapToGrid w:val="0"/>
        <w:spacing w:line="578" w:lineRule="exact"/>
        <w:ind w:firstLine="640" w:firstLineChars="200"/>
        <w:contextualSpacing/>
        <w:jc w:val="left"/>
        <w:rPr>
          <w:rFonts w:hint="eastAsia" w:ascii="楷体_GB2312" w:hAnsi="楷体_GB2312" w:eastAsia="仿宋_GB2312" w:cs="楷体_GB2312"/>
          <w:color w:val="000000"/>
          <w:kern w:val="0"/>
          <w:sz w:val="32"/>
          <w:szCs w:val="32"/>
          <w:shd w:val="clear" w:color="auto" w:fill="FFFFFF"/>
          <w:lang w:val="zh-CN" w:eastAsia="zh-CN"/>
        </w:rPr>
      </w:pPr>
      <w:r>
        <w:rPr>
          <w:rFonts w:hint="eastAsia" w:ascii="Times New Roman" w:hAnsi="Times New Roman" w:eastAsia="仿宋_GB2312" w:cs="Times New Roman"/>
          <w:sz w:val="32"/>
        </w:rPr>
        <w:t>部门资产超最低使用年限情况，资产利用率较高</w:t>
      </w:r>
      <w:r>
        <w:rPr>
          <w:rFonts w:hint="eastAsia" w:ascii="Times New Roman" w:hAnsi="Times New Roman" w:eastAsia="仿宋_GB2312" w:cs="Times New Roman"/>
          <w:sz w:val="32"/>
          <w:lang w:eastAsia="zh-CN"/>
        </w:rPr>
        <w:t>。</w:t>
      </w:r>
    </w:p>
    <w:p w14:paraId="21A0F085">
      <w:pPr>
        <w:numPr>
          <w:ilvl w:val="0"/>
          <w:numId w:val="4"/>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ascii="楷体_GB2312" w:hAnsi="楷体_GB2312" w:eastAsia="楷体_GB2312" w:cs="楷体_GB2312"/>
          <w:color w:val="000000"/>
          <w:kern w:val="0"/>
          <w:sz w:val="32"/>
          <w:szCs w:val="32"/>
          <w:shd w:val="clear" w:color="auto" w:fill="FFFFFF"/>
          <w:lang w:val="zh-CN"/>
        </w:rPr>
        <w:t>采购管理</w:t>
      </w:r>
      <w:r>
        <w:rPr>
          <w:rFonts w:hint="eastAsia" w:ascii="楷体_GB2312" w:hAnsi="楷体_GB2312" w:eastAsia="楷体_GB2312" w:cs="楷体_GB2312"/>
          <w:color w:val="000000"/>
          <w:kern w:val="0"/>
          <w:sz w:val="32"/>
          <w:szCs w:val="32"/>
          <w:shd w:val="clear" w:color="auto" w:fill="FFFFFF"/>
          <w:lang w:val="zh-CN"/>
        </w:rPr>
        <w:t>。</w:t>
      </w:r>
    </w:p>
    <w:p w14:paraId="1BA51531">
      <w:pPr>
        <w:numPr>
          <w:ilvl w:val="0"/>
          <w:numId w:val="0"/>
        </w:numPr>
        <w:adjustRightInd w:val="0"/>
        <w:snapToGrid w:val="0"/>
        <w:spacing w:line="578" w:lineRule="exact"/>
        <w:ind w:firstLine="640" w:firstLineChars="200"/>
        <w:contextualSpacing/>
        <w:jc w:val="left"/>
        <w:rPr>
          <w:rFonts w:hint="eastAsia" w:ascii="楷体_GB2312" w:hAnsi="楷体_GB2312" w:eastAsia="仿宋_GB2312" w:cs="楷体_GB2312"/>
          <w:color w:val="000000"/>
          <w:kern w:val="0"/>
          <w:sz w:val="32"/>
          <w:szCs w:val="32"/>
          <w:shd w:val="clear" w:color="auto" w:fill="FFFFFF"/>
          <w:lang w:val="zh-CN" w:eastAsia="zh-CN"/>
        </w:rPr>
      </w:pPr>
      <w:r>
        <w:rPr>
          <w:rFonts w:hint="eastAsia" w:ascii="Times New Roman" w:hAnsi="Times New Roman" w:eastAsia="仿宋_GB2312" w:cs="Times New Roman"/>
          <w:sz w:val="32"/>
        </w:rPr>
        <w:t>支持中小企业发展，严格执行政府采购促进中小企业发展相关管理办法，对适宜由中小企业提供的采购项目和采购包，预留采购份额专门面向中小企业采购，并在采购预算中单独列示</w:t>
      </w:r>
      <w:r>
        <w:rPr>
          <w:rFonts w:hint="eastAsia" w:ascii="Times New Roman" w:hAnsi="Times New Roman" w:eastAsia="仿宋_GB2312" w:cs="Times New Roman"/>
          <w:sz w:val="32"/>
          <w:lang w:eastAsia="zh-CN"/>
        </w:rPr>
        <w:t>。</w:t>
      </w:r>
    </w:p>
    <w:p w14:paraId="621988D2">
      <w:pPr>
        <w:widowControl/>
        <w:adjustRightInd w:val="0"/>
        <w:snapToGrid w:val="0"/>
        <w:spacing w:line="578" w:lineRule="exact"/>
        <w:ind w:firstLine="643" w:firstLineChars="200"/>
        <w:contextualSpacing/>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楷体_GB2312" w:cs="Times New Roman"/>
          <w:b/>
          <w:bCs/>
          <w:color w:val="000000"/>
          <w:kern w:val="0"/>
          <w:sz w:val="32"/>
          <w:szCs w:val="32"/>
          <w:shd w:val="clear" w:color="auto" w:fill="FFFFFF"/>
          <w:lang w:val="zh-CN"/>
        </w:rPr>
        <w:t>（二）部门预算项目绩效分析。</w:t>
      </w:r>
    </w:p>
    <w:p w14:paraId="0915A3ED">
      <w:pPr>
        <w:adjustRightInd w:val="0"/>
        <w:snapToGrid w:val="0"/>
        <w:spacing w:line="578"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常年项目绩效分析。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ascii="Times New Roman" w:hAnsi="Times New Roman" w:eastAsia="仿宋_GB2312" w:cs="Times New Roman"/>
          <w:color w:val="000000"/>
          <w:kern w:val="0"/>
          <w:sz w:val="32"/>
          <w:szCs w:val="32"/>
          <w:shd w:val="clear" w:color="auto" w:fill="FFFFFF"/>
        </w:rPr>
        <w:t xml:space="preserve"> </w:t>
      </w:r>
      <w:r>
        <w:rPr>
          <w:rFonts w:hint="eastAsia" w:ascii="Times New Roman" w:hAnsi="Times New Roman" w:eastAsia="仿宋_GB2312" w:cs="Times New Roman"/>
          <w:color w:val="000000"/>
          <w:kern w:val="0"/>
          <w:sz w:val="32"/>
          <w:szCs w:val="32"/>
          <w:shd w:val="clear" w:color="auto" w:fill="FFFFFF"/>
          <w:lang w:val="en-US" w:eastAsia="zh-CN"/>
        </w:rPr>
        <w:t>34</w:t>
      </w:r>
      <w:r>
        <w:rPr>
          <w:rFonts w:ascii="Times New Roman" w:hAnsi="Times New Roman" w:eastAsia="仿宋_GB2312" w:cs="Times New Roman"/>
          <w:color w:val="000000"/>
          <w:kern w:val="0"/>
          <w:sz w:val="32"/>
          <w:szCs w:val="32"/>
          <w:shd w:val="clear" w:color="auto" w:fill="FFFFFF"/>
          <w:lang w:val="zh-CN"/>
        </w:rPr>
        <w:t>个，涉及预算总金额</w:t>
      </w:r>
      <w:r>
        <w:rPr>
          <w:rFonts w:ascii="Times New Roman" w:hAnsi="Times New Roman" w:eastAsia="仿宋_GB2312" w:cs="Times New Roman"/>
          <w:color w:val="000000"/>
          <w:kern w:val="0"/>
          <w:sz w:val="32"/>
          <w:szCs w:val="32"/>
          <w:shd w:val="clear" w:color="auto" w:fill="FFFFFF"/>
        </w:rPr>
        <w:t xml:space="preserve">   </w:t>
      </w:r>
      <w:r>
        <w:rPr>
          <w:rFonts w:hint="eastAsia" w:ascii="Times New Roman" w:hAnsi="Times New Roman" w:eastAsia="仿宋_GB2312" w:cs="Times New Roman"/>
          <w:color w:val="000000"/>
          <w:kern w:val="0"/>
          <w:sz w:val="32"/>
          <w:szCs w:val="32"/>
          <w:shd w:val="clear" w:color="auto" w:fill="FFFFFF"/>
          <w:lang w:val="en-US" w:eastAsia="zh-CN"/>
        </w:rPr>
        <w:t>1257.14</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月预算执行总体进度为</w:t>
      </w:r>
      <w:r>
        <w:rPr>
          <w:rFonts w:ascii="Times New Roman" w:hAnsi="Times New Roman" w:eastAsia="仿宋_GB2312" w:cs="Times New Roman"/>
          <w:color w:val="000000"/>
          <w:kern w:val="0"/>
          <w:sz w:val="32"/>
          <w:szCs w:val="32"/>
          <w:shd w:val="clear" w:color="auto" w:fill="FFFFFF"/>
        </w:rPr>
        <w:t xml:space="preserve"> </w:t>
      </w:r>
      <w:r>
        <w:rPr>
          <w:rFonts w:hint="eastAsia" w:ascii="Times New Roman" w:hAnsi="Times New Roman" w:eastAsia="仿宋_GB2312" w:cs="Times New Roman"/>
          <w:color w:val="000000"/>
          <w:kern w:val="0"/>
          <w:sz w:val="32"/>
          <w:szCs w:val="32"/>
          <w:shd w:val="clear" w:color="auto" w:fill="FFFFFF"/>
          <w:lang w:val="en-US" w:eastAsia="zh-CN"/>
        </w:rPr>
        <w:t>61.5</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ascii="Times New Roman" w:hAnsi="Times New Roman" w:eastAsia="仿宋_GB2312" w:cs="Times New Roman"/>
          <w:color w:val="000000"/>
          <w:kern w:val="0"/>
          <w:sz w:val="32"/>
          <w:szCs w:val="32"/>
          <w:shd w:val="clear" w:color="auto" w:fill="FFFFFF"/>
        </w:rPr>
        <w:t xml:space="preserve"> </w:t>
      </w:r>
      <w:r>
        <w:rPr>
          <w:rFonts w:hint="eastAsia" w:ascii="Times New Roman" w:hAnsi="Times New Roman" w:eastAsia="仿宋_GB2312" w:cs="Times New Roman"/>
          <w:color w:val="000000"/>
          <w:kern w:val="0"/>
          <w:sz w:val="32"/>
          <w:szCs w:val="32"/>
          <w:shd w:val="clear" w:color="auto" w:fill="FFFFFF"/>
          <w:lang w:val="en-US" w:eastAsia="zh-CN"/>
        </w:rPr>
        <w:t>3</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仿宋_GB2312" w:cs="Times New Roman"/>
          <w:color w:val="000000"/>
          <w:kern w:val="0"/>
          <w:sz w:val="32"/>
          <w:szCs w:val="32"/>
          <w:shd w:val="clear" w:color="auto" w:fill="FFFFFF"/>
          <w:lang w:val="zh-CN"/>
        </w:rPr>
        <w:t>个。</w:t>
      </w:r>
    </w:p>
    <w:p w14:paraId="5B012E91">
      <w:pPr>
        <w:numPr>
          <w:ilvl w:val="0"/>
          <w:numId w:val="5"/>
        </w:numPr>
        <w:adjustRightInd w:val="0"/>
        <w:snapToGrid w:val="0"/>
        <w:spacing w:line="578"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项目决策。</w:t>
      </w:r>
    </w:p>
    <w:p w14:paraId="3251A188">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决策程序，部门预算项目设立按规定履行评估论证、申报程序，先上会，讨论通过后，向政府书面请示同意后，申请项目登记设定绩效目标再入库。</w:t>
      </w:r>
    </w:p>
    <w:p w14:paraId="436AA689">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目标设置，部门预算项目绩效目标由业务股室和财务股共同根据计划期内的任务量、预算安排的资金量匹配情况，设置绩效目标，做到科学合理、规范完整、易量化细化、预算匹配度高。</w:t>
      </w:r>
    </w:p>
    <w:p w14:paraId="3FF0830D">
      <w:pPr>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项目入库，绝大部分部门预算项目是在规定时间完成项</w:t>
      </w:r>
      <w:r>
        <w:rPr>
          <w:rFonts w:hint="eastAsia" w:ascii="Times New Roman" w:hAnsi="Times New Roman" w:eastAsia="仿宋_GB2312" w:cs="Times New Roman"/>
          <w:color w:val="000000"/>
          <w:kern w:val="0"/>
          <w:sz w:val="32"/>
          <w:szCs w:val="32"/>
          <w:shd w:val="clear" w:color="auto" w:fill="FFFFFF"/>
          <w:lang w:val="en-US" w:eastAsia="zh-CN"/>
        </w:rPr>
        <w:t>目入库。</w:t>
      </w:r>
    </w:p>
    <w:p w14:paraId="72204C6C">
      <w:pPr>
        <w:numPr>
          <w:ilvl w:val="0"/>
          <w:numId w:val="5"/>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项目执行</w:t>
      </w:r>
      <w:r>
        <w:rPr>
          <w:rFonts w:hint="eastAsia" w:ascii="楷体_GB2312" w:hAnsi="楷体_GB2312" w:eastAsia="楷体_GB2312" w:cs="楷体_GB2312"/>
          <w:color w:val="000000"/>
          <w:kern w:val="0"/>
          <w:sz w:val="32"/>
          <w:szCs w:val="32"/>
          <w:shd w:val="clear" w:color="auto" w:fill="FFFFFF"/>
          <w:lang w:val="zh-CN"/>
        </w:rPr>
        <w:t>。</w:t>
      </w:r>
    </w:p>
    <w:p w14:paraId="6C35C2A7">
      <w:pPr>
        <w:numPr>
          <w:ilvl w:val="0"/>
          <w:numId w:val="0"/>
        </w:numPr>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部门预算项目实际列支内容与绩效目标设置方向相符，及时采取绩效监控，部门预算项目均采取了对应调整措施，采取收回预算、调整目标等处置措施。</w:t>
      </w:r>
    </w:p>
    <w:p w14:paraId="7E76257C">
      <w:pPr>
        <w:numPr>
          <w:ilvl w:val="0"/>
          <w:numId w:val="5"/>
        </w:numPr>
        <w:adjustRightInd w:val="0"/>
        <w:snapToGrid w:val="0"/>
        <w:spacing w:line="578" w:lineRule="exact"/>
        <w:ind w:left="0"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目标实现。</w:t>
      </w:r>
    </w:p>
    <w:p w14:paraId="0E9D36BF">
      <w:pPr>
        <w:numPr>
          <w:ilvl w:val="0"/>
          <w:numId w:val="0"/>
        </w:numPr>
        <w:adjustRightInd w:val="0"/>
        <w:snapToGrid w:val="0"/>
        <w:spacing w:line="578" w:lineRule="exact"/>
        <w:ind w:firstLine="640" w:firstLineChars="200"/>
        <w:contextualSpacing/>
        <w:jc w:val="left"/>
        <w:rPr>
          <w:rFonts w:hint="default" w:ascii="楷体_GB2312" w:hAnsi="楷体_GB2312" w:eastAsia="仿宋_GB2312" w:cs="楷体_GB2312"/>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部门预算项目绩效目标数量指标全部完成，与预期目标无较大偏离。</w:t>
      </w:r>
    </w:p>
    <w:p w14:paraId="073B6580">
      <w:pPr>
        <w:widowControl/>
        <w:numPr>
          <w:ilvl w:val="0"/>
          <w:numId w:val="3"/>
        </w:numPr>
        <w:adjustRightInd w:val="0"/>
        <w:snapToGrid w:val="0"/>
        <w:spacing w:line="578" w:lineRule="exact"/>
        <w:ind w:left="0" w:leftChars="0"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重点领域绩效分析。</w:t>
      </w:r>
    </w:p>
    <w:p w14:paraId="177077DC">
      <w:pPr>
        <w:numPr>
          <w:ilvl w:val="0"/>
          <w:numId w:val="0"/>
        </w:numPr>
        <w:adjustRightInd w:val="0"/>
        <w:snapToGrid w:val="0"/>
        <w:spacing w:line="578" w:lineRule="exact"/>
        <w:ind w:firstLine="640" w:firstLineChars="200"/>
        <w:contextualSpacing/>
        <w:jc w:val="left"/>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开江县国有林场2024年度不涉及国有资本、行政事业性国有资产、债券资金、政府采购和政府购买服务等重点领域。</w:t>
      </w:r>
    </w:p>
    <w:p w14:paraId="58D5DD33">
      <w:pPr>
        <w:numPr>
          <w:ilvl w:val="0"/>
          <w:numId w:val="3"/>
        </w:numPr>
        <w:snapToGrid w:val="0"/>
        <w:spacing w:line="600" w:lineRule="exact"/>
        <w:ind w:left="0" w:leftChars="0" w:firstLine="643" w:firstLineChars="200"/>
        <w:rPr>
          <w:rFonts w:hint="eastAsia"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绩效结果应用情况</w:t>
      </w:r>
      <w:r>
        <w:rPr>
          <w:rFonts w:hint="eastAsia" w:ascii="Times New Roman" w:hAnsi="Times New Roman" w:eastAsia="楷体_GB2312" w:cs="Times New Roman"/>
          <w:b/>
          <w:bCs/>
          <w:sz w:val="32"/>
          <w:szCs w:val="32"/>
          <w:lang w:val="zh-CN"/>
        </w:rPr>
        <w:t>。</w:t>
      </w:r>
    </w:p>
    <w:p w14:paraId="06B800FB">
      <w:pPr>
        <w:numPr>
          <w:ilvl w:val="0"/>
          <w:numId w:val="0"/>
        </w:numPr>
        <w:snapToGrid w:val="0"/>
        <w:spacing w:line="600" w:lineRule="exact"/>
        <w:ind w:firstLine="640" w:firstLineChars="200"/>
        <w:rPr>
          <w:rFonts w:hint="default" w:ascii="仿宋_GB2312" w:hAnsi="仿宋_GB2312" w:eastAsia="仿宋_GB2312" w:cs="仿宋_GB2312"/>
          <w:b/>
          <w:sz w:val="32"/>
          <w:szCs w:val="32"/>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严格按照信息公开要求在开江县人民政府公开网站对2024年度部门整体支出绩效目标进行公开。</w:t>
      </w:r>
    </w:p>
    <w:p w14:paraId="00BFA715">
      <w:pPr>
        <w:widowControl/>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四、评价结论及建议</w:t>
      </w:r>
    </w:p>
    <w:p w14:paraId="6C90C739">
      <w:pPr>
        <w:widowControl/>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（一）评价结论。</w:t>
      </w:r>
    </w:p>
    <w:p w14:paraId="50763058">
      <w:pPr>
        <w:widowControl/>
        <w:adjustRightInd w:val="0"/>
        <w:snapToGrid w:val="0"/>
        <w:spacing w:line="578" w:lineRule="exact"/>
        <w:ind w:firstLine="640" w:firstLineChars="200"/>
        <w:contextualSpacing/>
        <w:jc w:val="left"/>
        <w:rPr>
          <w:rFonts w:hint="default" w:ascii="Times New Roman" w:hAnsi="Times New Roman" w:eastAsia="仿宋_GB2312" w:cs="Times New Roman"/>
          <w:b/>
          <w:bCs/>
          <w:color w:val="000000"/>
          <w:kern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rPr>
        <w:t>2024年度开江县国有林场在履职效能、预算管理、部门管理方面完成情况良好，三项重点工作任务有效完成，自评得分92.4分。</w:t>
      </w:r>
    </w:p>
    <w:p w14:paraId="399399F1">
      <w:pPr>
        <w:widowControl/>
        <w:numPr>
          <w:ilvl w:val="0"/>
          <w:numId w:val="6"/>
        </w:numPr>
        <w:adjustRightInd w:val="0"/>
        <w:snapToGrid w:val="0"/>
        <w:spacing w:line="578" w:lineRule="exact"/>
        <w:ind w:firstLine="643" w:firstLineChars="200"/>
        <w:contextualSpacing/>
        <w:jc w:val="left"/>
        <w:rPr>
          <w:rFonts w:hint="default" w:ascii="Times New Roman" w:hAnsi="Times New Roman" w:eastAsia="黑体" w:cs="Times New Roman"/>
          <w:sz w:val="32"/>
          <w:lang w:val="en-US" w:eastAsia="zh-CN"/>
        </w:rPr>
      </w:pPr>
      <w:r>
        <w:rPr>
          <w:rFonts w:ascii="Times New Roman" w:hAnsi="Times New Roman" w:eastAsia="楷体_GB2312" w:cs="Times New Roman"/>
          <w:b/>
          <w:bCs/>
          <w:color w:val="000000"/>
          <w:kern w:val="0"/>
          <w:sz w:val="32"/>
          <w:szCs w:val="32"/>
          <w:shd w:val="clear" w:color="auto" w:fill="FFFFFF"/>
          <w:lang w:val="zh-CN"/>
        </w:rPr>
        <w:t>存在问题。</w:t>
      </w:r>
    </w:p>
    <w:p w14:paraId="5159CC62">
      <w:pPr>
        <w:widowControl/>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sz w:val="32"/>
          <w:lang w:val="en-US" w:eastAsia="zh-CN"/>
        </w:rPr>
      </w:pPr>
      <w:r>
        <w:rPr>
          <w:rFonts w:hint="eastAsia" w:ascii="仿宋_GB2312" w:hAnsi="仿宋_GB2312" w:eastAsia="仿宋_GB2312" w:cs="仿宋_GB2312"/>
          <w:kern w:val="0"/>
          <w:sz w:val="32"/>
          <w:szCs w:val="32"/>
          <w:lang w:val="en-US" w:eastAsia="zh-CN"/>
        </w:rPr>
        <w:t>存在绩效指标设置不明晰等问题绩效编制不规范，部分绩效指标未细化，不利于后续绩效监控考核。</w:t>
      </w:r>
    </w:p>
    <w:p w14:paraId="223C2961">
      <w:pPr>
        <w:widowControl/>
        <w:numPr>
          <w:ilvl w:val="0"/>
          <w:numId w:val="6"/>
        </w:numPr>
        <w:adjustRightInd w:val="0"/>
        <w:snapToGrid w:val="0"/>
        <w:spacing w:line="578" w:lineRule="exact"/>
        <w:ind w:left="0" w:leftChars="0"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改进建议。</w:t>
      </w:r>
    </w:p>
    <w:p w14:paraId="19B96EF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仿宋_GB2312" w:hAnsi="仿宋_GB2312" w:eastAsia="仿宋_GB2312" w:cs="仿宋_GB2312"/>
          <w:kern w:val="0"/>
          <w:sz w:val="32"/>
          <w:szCs w:val="32"/>
        </w:rPr>
        <w:t>增强绩效管理意识，提升绩效编制能力。一是深化预算绩效管理制度建设，优化管理流程，可将绩效目标管理的具体目的、范围、程序、要求等纳入制度内容；二是单位组织开展绩效管理相关知识培训或学习活动，定期或不定期内部组织学习小组进行学习等，深化绩效管理意识，提升绩效编制能力；三是建议编制绩效指标时，坚持绩效指标明确具体，可量化、可实现等原则，指标设置以定量为主，使指标更加明确、具体。</w:t>
      </w:r>
    </w:p>
    <w:bookmarkEnd w:id="53"/>
    <w:p w14:paraId="23D4E7B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2E6D5AA">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682D9D53">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6995E5B2">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B84A835">
      <w:pPr>
        <w:pStyle w:val="6"/>
        <w:rPr>
          <w:rFonts w:hint="eastAsia" w:ascii="Times New Roman" w:hAnsi="Times New Roman" w:cs="宋体"/>
          <w:color w:val="FF0000"/>
          <w:kern w:val="0"/>
          <w:sz w:val="32"/>
          <w:szCs w:val="32"/>
          <w:highlight w:val="yellow"/>
          <w:shd w:val="clear" w:color="auto" w:fill="FFFFFF"/>
          <w:lang w:val="zh-CN"/>
        </w:rPr>
      </w:pPr>
    </w:p>
    <w:p w14:paraId="18ECC149">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4CCD93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p>
    <w:p w14:paraId="03B5D02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4"/>
      <w:bookmarkStart w:id="55" w:name="_Toc15396619"/>
    </w:p>
    <w:p w14:paraId="5F97326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6FE1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0DED43F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2FCCDA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513847B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69B24C4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155ADCC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69E332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724741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795048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0C03D0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635D87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630EB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5F114D6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28051343">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17FA">
    <w:pPr>
      <w:pStyle w:val="11"/>
      <w:jc w:val="center"/>
    </w:pPr>
  </w:p>
  <w:p w14:paraId="52B1C9F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D9C4">
    <w:pPr>
      <w:pStyle w:val="11"/>
      <w:jc w:val="center"/>
    </w:pPr>
  </w:p>
  <w:p w14:paraId="40F3D634">
    <w:pPr>
      <w:pStyle w:val="11"/>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D88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023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9ED5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79ED5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BD945C0">
    <w:pPr>
      <w:pStyle w:val="11"/>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828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C1E8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3C1E85">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9A5C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649E"/>
    <w:multiLevelType w:val="singleLevel"/>
    <w:tmpl w:val="CAC7649E"/>
    <w:lvl w:ilvl="0" w:tentative="0">
      <w:start w:val="2"/>
      <w:numFmt w:val="chineseCounting"/>
      <w:suff w:val="nothing"/>
      <w:lvlText w:val="（%1）"/>
      <w:lvlJc w:val="left"/>
      <w:rPr>
        <w:rFonts w:hint="eastAsia"/>
      </w:rPr>
    </w:lvl>
  </w:abstractNum>
  <w:abstractNum w:abstractNumId="1">
    <w:nsid w:val="176B8798"/>
    <w:multiLevelType w:val="singleLevel"/>
    <w:tmpl w:val="176B8798"/>
    <w:lvl w:ilvl="0" w:tentative="0">
      <w:start w:val="2"/>
      <w:numFmt w:val="chineseCounting"/>
      <w:suff w:val="nothing"/>
      <w:lvlText w:val="（%1）"/>
      <w:lvlJc w:val="left"/>
      <w:rPr>
        <w:rFonts w:hint="eastAsia"/>
      </w:rPr>
    </w:lvl>
  </w:abstractNum>
  <w:abstractNum w:abstractNumId="2">
    <w:nsid w:val="2D997DF2"/>
    <w:multiLevelType w:val="singleLevel"/>
    <w:tmpl w:val="2D997DF2"/>
    <w:lvl w:ilvl="0" w:tentative="0">
      <w:start w:val="1"/>
      <w:numFmt w:val="chineseCounting"/>
      <w:suff w:val="nothing"/>
      <w:lvlText w:val="%1、"/>
      <w:lvlJc w:val="left"/>
      <w:rPr>
        <w:rFonts w:hint="eastAsia"/>
      </w:rPr>
    </w:lvl>
  </w:abstractNum>
  <w:abstractNum w:abstractNumId="3">
    <w:nsid w:val="3F9AFB88"/>
    <w:multiLevelType w:val="singleLevel"/>
    <w:tmpl w:val="3F9AFB88"/>
    <w:lvl w:ilvl="0" w:tentative="0">
      <w:start w:val="1"/>
      <w:numFmt w:val="decimal"/>
      <w:lvlText w:val="%1."/>
      <w:lvlJc w:val="left"/>
      <w:pPr>
        <w:tabs>
          <w:tab w:val="left" w:pos="312"/>
        </w:tabs>
      </w:pPr>
    </w:lvl>
  </w:abstractNum>
  <w:abstractNum w:abstractNumId="4">
    <w:nsid w:val="442D6526"/>
    <w:multiLevelType w:val="singleLevel"/>
    <w:tmpl w:val="442D6526"/>
    <w:lvl w:ilvl="0" w:tentative="0">
      <w:start w:val="2"/>
      <w:numFmt w:val="decimal"/>
      <w:lvlText w:val="%1."/>
      <w:lvlJc w:val="left"/>
      <w:pPr>
        <w:tabs>
          <w:tab w:val="left" w:pos="312"/>
        </w:tabs>
      </w:pPr>
    </w:lvl>
  </w:abstractNum>
  <w:abstractNum w:abstractNumId="5">
    <w:nsid w:val="604203A0"/>
    <w:multiLevelType w:val="singleLevel"/>
    <w:tmpl w:val="604203A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123DCA"/>
    <w:rsid w:val="04916F1E"/>
    <w:rsid w:val="060161A4"/>
    <w:rsid w:val="061E35DE"/>
    <w:rsid w:val="066E0107"/>
    <w:rsid w:val="07996F6E"/>
    <w:rsid w:val="07DFD8BA"/>
    <w:rsid w:val="09867E8F"/>
    <w:rsid w:val="0A2032A3"/>
    <w:rsid w:val="0C7E1941"/>
    <w:rsid w:val="0CA8290A"/>
    <w:rsid w:val="0D35B1ED"/>
    <w:rsid w:val="0E254B6B"/>
    <w:rsid w:val="0F98263C"/>
    <w:rsid w:val="101860EC"/>
    <w:rsid w:val="101F47CC"/>
    <w:rsid w:val="10C055FF"/>
    <w:rsid w:val="11694EBD"/>
    <w:rsid w:val="11772AA4"/>
    <w:rsid w:val="118107EC"/>
    <w:rsid w:val="12E24EE2"/>
    <w:rsid w:val="13D50BC4"/>
    <w:rsid w:val="14946AA9"/>
    <w:rsid w:val="14B17F78"/>
    <w:rsid w:val="1529102D"/>
    <w:rsid w:val="15DD0556"/>
    <w:rsid w:val="165E0673"/>
    <w:rsid w:val="16B831D5"/>
    <w:rsid w:val="16BB723D"/>
    <w:rsid w:val="17E50567"/>
    <w:rsid w:val="186504BB"/>
    <w:rsid w:val="19A445FC"/>
    <w:rsid w:val="19E63E8D"/>
    <w:rsid w:val="1BE8440E"/>
    <w:rsid w:val="1D155CEE"/>
    <w:rsid w:val="1D1638FE"/>
    <w:rsid w:val="1E312DEB"/>
    <w:rsid w:val="1E740ACF"/>
    <w:rsid w:val="1FF35744"/>
    <w:rsid w:val="1FF6BC77"/>
    <w:rsid w:val="206876FD"/>
    <w:rsid w:val="2186353C"/>
    <w:rsid w:val="23860B96"/>
    <w:rsid w:val="240371BF"/>
    <w:rsid w:val="244F3473"/>
    <w:rsid w:val="24C97D99"/>
    <w:rsid w:val="25A718F0"/>
    <w:rsid w:val="25BB59F6"/>
    <w:rsid w:val="260F557C"/>
    <w:rsid w:val="26970054"/>
    <w:rsid w:val="281408E2"/>
    <w:rsid w:val="29FD04D3"/>
    <w:rsid w:val="2B3D3EAF"/>
    <w:rsid w:val="2BFF7BC6"/>
    <w:rsid w:val="2C8A61B5"/>
    <w:rsid w:val="2DF04E50"/>
    <w:rsid w:val="2E586DFA"/>
    <w:rsid w:val="2F040D46"/>
    <w:rsid w:val="2F6B035B"/>
    <w:rsid w:val="2FAE5751"/>
    <w:rsid w:val="2FB1A395"/>
    <w:rsid w:val="2FD9A7D8"/>
    <w:rsid w:val="2FDBF714"/>
    <w:rsid w:val="30455890"/>
    <w:rsid w:val="30AB6865"/>
    <w:rsid w:val="319F7F4E"/>
    <w:rsid w:val="32313075"/>
    <w:rsid w:val="32BD1EF1"/>
    <w:rsid w:val="3304709D"/>
    <w:rsid w:val="33A773CB"/>
    <w:rsid w:val="349D6851"/>
    <w:rsid w:val="36AA5135"/>
    <w:rsid w:val="36BE0DA7"/>
    <w:rsid w:val="376B6AA6"/>
    <w:rsid w:val="376D39B2"/>
    <w:rsid w:val="37E16F03"/>
    <w:rsid w:val="37F53A3B"/>
    <w:rsid w:val="389B6C89"/>
    <w:rsid w:val="38D469F0"/>
    <w:rsid w:val="39627CCD"/>
    <w:rsid w:val="397BAF1F"/>
    <w:rsid w:val="39F96B6F"/>
    <w:rsid w:val="3AA47615"/>
    <w:rsid w:val="3AB79AF3"/>
    <w:rsid w:val="3AE834C0"/>
    <w:rsid w:val="3B7EF35A"/>
    <w:rsid w:val="3B9FDB6C"/>
    <w:rsid w:val="3BF5BC2F"/>
    <w:rsid w:val="3CEBA265"/>
    <w:rsid w:val="3D98207C"/>
    <w:rsid w:val="3DEC6ECF"/>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AE3146"/>
    <w:rsid w:val="561F248A"/>
    <w:rsid w:val="567E1AA5"/>
    <w:rsid w:val="56E47B74"/>
    <w:rsid w:val="57175D52"/>
    <w:rsid w:val="57BD3DD4"/>
    <w:rsid w:val="58F83DA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B82859"/>
    <w:rsid w:val="62BF3928"/>
    <w:rsid w:val="63B3701E"/>
    <w:rsid w:val="647F5392"/>
    <w:rsid w:val="65E66580"/>
    <w:rsid w:val="664B1D71"/>
    <w:rsid w:val="664B4E8E"/>
    <w:rsid w:val="67277B67"/>
    <w:rsid w:val="67AA3209"/>
    <w:rsid w:val="698D0931"/>
    <w:rsid w:val="6A7FE5F3"/>
    <w:rsid w:val="6ABA7508"/>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E67C97"/>
    <w:rsid w:val="7AFF7572"/>
    <w:rsid w:val="7B6C7DFB"/>
    <w:rsid w:val="7BBFBED0"/>
    <w:rsid w:val="7BC3E394"/>
    <w:rsid w:val="7BC76C7D"/>
    <w:rsid w:val="7C1F3737"/>
    <w:rsid w:val="7CBFC87B"/>
    <w:rsid w:val="7CFE0F48"/>
    <w:rsid w:val="7D0B062D"/>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675.16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1094.52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63486957"/>
        <c:axId val="171945455"/>
      </c:barChart>
      <c:catAx>
        <c:axId val="863486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945455"/>
        <c:crosses val="autoZero"/>
        <c:auto val="1"/>
        <c:lblAlgn val="ctr"/>
        <c:lblOffset val="100"/>
        <c:noMultiLvlLbl val="0"/>
      </c:catAx>
      <c:valAx>
        <c:axId val="1719454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8695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ed9321-1a44-4052-b423-1a73820c25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675.16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e94aea-9b56-4b67-acc6-4a75fbb031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455.49</c:v>
                </c:pt>
                <c:pt idx="1">
                  <c:v>219.67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929aa7-4c7c-4556-9a00-98237acdb0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675.16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1094.52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63486957"/>
        <c:axId val="171945455"/>
      </c:barChart>
      <c:catAx>
        <c:axId val="863486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945455"/>
        <c:crosses val="autoZero"/>
        <c:auto val="1"/>
        <c:lblAlgn val="ctr"/>
        <c:lblOffset val="100"/>
        <c:noMultiLvlLbl val="0"/>
      </c:catAx>
      <c:valAx>
        <c:axId val="1719454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8695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ed9321-1a44-4052-b423-1a73820c25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numRef>
              <c:f>Sheet1!$A$2</c:f>
              <c:numCache>
                <c:formatCode>General</c:formatCode>
                <c:ptCount val="1"/>
              </c:numCache>
            </c:numRef>
          </c:cat>
          <c:val>
            <c:numRef>
              <c:f>Sheet1!$B$2</c:f>
              <c:numCache>
                <c:formatCode>General</c:formatCode>
                <c:ptCount val="1"/>
                <c:pt idx="0">
                  <c:v>675.16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numRef>
              <c:f>Sheet1!$A$2</c:f>
              <c:numCache>
                <c:formatCode>General</c:formatCode>
                <c:ptCount val="1"/>
              </c:numCache>
            </c:numRef>
          </c:cat>
          <c:val>
            <c:numRef>
              <c:f>Sheet1!$C$2</c:f>
              <c:numCache>
                <c:formatCode>General</c:formatCode>
                <c:ptCount val="1"/>
                <c:pt idx="0">
                  <c:v>1094.52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c:f>
              <c:numCache>
                <c:formatCode>General</c:formatCode>
                <c:ptCount val="1"/>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63486957"/>
        <c:axId val="171945455"/>
      </c:barChart>
      <c:catAx>
        <c:axId val="8634869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945455"/>
        <c:crosses val="autoZero"/>
        <c:auto val="1"/>
        <c:lblAlgn val="ctr"/>
        <c:lblOffset val="100"/>
        <c:noMultiLvlLbl val="0"/>
      </c:catAx>
      <c:valAx>
        <c:axId val="1719454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48695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ed9321-1a44-4052-b423-1a73820c25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社会保障和就业</c:v>
                </c:pt>
                <c:pt idx="1">
                  <c:v>卫生健康</c:v>
                </c:pt>
                <c:pt idx="2">
                  <c:v>节能环保</c:v>
                </c:pt>
                <c:pt idx="3">
                  <c:v>农林水</c:v>
                </c:pt>
                <c:pt idx="4">
                  <c:v>住房保障</c:v>
                </c:pt>
              </c:strCache>
            </c:strRef>
          </c:cat>
          <c:val>
            <c:numRef>
              <c:f>Sheet1!$B$2:$B$6</c:f>
              <c:numCache>
                <c:formatCode>#,##0.000000</c:formatCode>
                <c:ptCount val="5"/>
                <c:pt idx="0">
                  <c:v>44.85</c:v>
                </c:pt>
                <c:pt idx="1">
                  <c:v>20.27</c:v>
                </c:pt>
                <c:pt idx="2">
                  <c:v>151.19</c:v>
                </c:pt>
                <c:pt idx="3">
                  <c:v>426.36</c:v>
                </c:pt>
                <c:pt idx="4">
                  <c:v>32.48</c:v>
                </c:pt>
              </c:numCache>
            </c:numRef>
          </c:val>
        </c:ser>
        <c:ser>
          <c:idx val="1"/>
          <c:order val="1"/>
          <c:tx>
            <c:strRef>
              <c:f>Sheet1!#REF!</c:f>
              <c:strCache>
                <c:ptCount val="1"/>
                <c:pt idx="0">
                  <c:v/>
                </c:pt>
              </c:strCache>
            </c:strRef>
          </c:tx>
          <c:spPr/>
          <c:explosion val="0"/>
          <c:dPt>
            <c:idx val="0"/>
            <c:bubble3D val="0"/>
            <c:spPr>
              <a:solidFill>
                <a:schemeClr val="accent1"/>
              </a:solidFill>
              <a:ln>
                <a:solidFill>
                  <a:schemeClr val="bg1"/>
                </a:solidFill>
              </a:ln>
              <a:effectLst/>
            </c:spPr>
          </c:dPt>
          <c:dLbls>
            <c:delete val="1"/>
          </c:dLbls>
          <c:cat>
            <c:strRef>
              <c:f>Sheet1!$A$2:$A$6</c:f>
              <c:strCache>
                <c:ptCount val="5"/>
                <c:pt idx="0">
                  <c:v>社会保障和就业</c:v>
                </c:pt>
                <c:pt idx="1">
                  <c:v>卫生健康</c:v>
                </c:pt>
                <c:pt idx="2">
                  <c:v>节能环保</c:v>
                </c:pt>
                <c:pt idx="3">
                  <c:v>农林水</c:v>
                </c:pt>
                <c:pt idx="4">
                  <c:v>住房保障</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e150cd2-cf65-4f3a-abb6-11239cf8b7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1.37</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2fa168-848d-4320-966d-7d577a3ad9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5784</Words>
  <Characters>6271</Characters>
  <Lines>61</Lines>
  <Paragraphs>17</Paragraphs>
  <TotalTime>5</TotalTime>
  <ScaleCrop>false</ScaleCrop>
  <LinksUpToDate>false</LinksUpToDate>
  <CharactersWithSpaces>6303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不困于心15082321628</cp:lastModifiedBy>
  <cp:lastPrinted>2025-08-06T17:34:00Z</cp:lastPrinted>
  <dcterms:modified xsi:type="dcterms:W3CDTF">2025-10-27T03:28:42Z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0426D1F205414997B259D7D99050552B_13</vt:lpwstr>
  </property>
  <property fmtid="{D5CDD505-2E9C-101B-9397-08002B2CF9AE}" pid="4" name="KSOTemplateDocerSaveRecord">
    <vt:lpwstr>eyJoZGlkIjoiNjc2ZmJkODljZWJlOGUwZTkzNzQzNzAyMjMwMDE5YWQiLCJ1c2VySWQiOiI1Njc4ODgzMDMifQ==</vt:lpwstr>
  </property>
</Properties>
</file>