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bidi w:val="0"/>
        <w:adjustRightInd/>
        <w:snapToGrid/>
        <w:spacing w:line="578"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开江县医疗保障局涉企行政检查事项清单</w:t>
      </w:r>
    </w:p>
    <w:p>
      <w:pPr>
        <w:keepNext w:val="0"/>
        <w:keepLines w:val="0"/>
        <w:pageBreakBefore w:val="0"/>
        <w:kinsoku/>
        <w:wordWrap w:val="0"/>
        <w:overflowPunct/>
        <w:topLinePunct w:val="0"/>
        <w:autoSpaceDE/>
        <w:bidi w:val="0"/>
        <w:adjustRightInd/>
        <w:snapToGrid/>
        <w:spacing w:line="578" w:lineRule="exact"/>
        <w:jc w:val="center"/>
        <w:textAlignment w:val="auto"/>
        <w:rPr>
          <w:rFonts w:hint="default" w:ascii="Times New Roman" w:hAnsi="Times New Roman" w:eastAsia="方正小标宋简体" w:cs="Times New Roman"/>
          <w:sz w:val="44"/>
          <w:szCs w:val="44"/>
          <w:lang w:val="en-US" w:eastAsia="zh-CN"/>
        </w:rPr>
      </w:pPr>
      <w:bookmarkStart w:id="0" w:name="_GoBack"/>
      <w:bookmarkEnd w:id="0"/>
    </w:p>
    <w:tbl>
      <w:tblPr>
        <w:tblStyle w:val="4"/>
        <w:tblW w:w="12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520"/>
        <w:gridCol w:w="2115"/>
        <w:gridCol w:w="598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98" w:hRule="atLeast"/>
          <w:jc w:val="center"/>
        </w:trPr>
        <w:tc>
          <w:tcPr>
            <w:tcW w:w="742" w:type="dxa"/>
            <w:noWrap w:val="0"/>
            <w:vAlign w:val="center"/>
          </w:tcPr>
          <w:p>
            <w:pPr>
              <w:widowControl/>
              <w:jc w:val="center"/>
              <w:rPr>
                <w:rFonts w:hint="default" w:ascii="宋体" w:hAnsi="宋体" w:eastAsia="宋体" w:cs="宋体"/>
                <w:bCs/>
                <w:snapToGrid w:val="0"/>
                <w:kern w:val="0"/>
                <w:sz w:val="28"/>
                <w:szCs w:val="28"/>
                <w:lang w:val="en-US" w:eastAsia="zh-CN"/>
              </w:rPr>
            </w:pPr>
            <w:r>
              <w:rPr>
                <w:rFonts w:hint="eastAsia" w:ascii="宋体" w:hAnsi="宋体" w:eastAsia="宋体" w:cs="宋体"/>
                <w:bCs/>
                <w:snapToGrid w:val="0"/>
                <w:kern w:val="0"/>
                <w:sz w:val="28"/>
                <w:szCs w:val="28"/>
                <w:lang w:val="en-US" w:eastAsia="zh-CN"/>
              </w:rPr>
              <w:t>序号</w:t>
            </w:r>
          </w:p>
        </w:tc>
        <w:tc>
          <w:tcPr>
            <w:tcW w:w="2520" w:type="dxa"/>
            <w:noWrap w:val="0"/>
            <w:vAlign w:val="center"/>
          </w:tcPr>
          <w:p>
            <w:pPr>
              <w:widowControl/>
              <w:jc w:val="center"/>
              <w:rPr>
                <w:rFonts w:hint="default" w:ascii="宋体" w:hAnsi="宋体" w:eastAsia="宋体" w:cs="宋体"/>
                <w:bCs/>
                <w:snapToGrid w:val="0"/>
                <w:kern w:val="0"/>
                <w:sz w:val="28"/>
                <w:szCs w:val="28"/>
                <w:lang w:val="en-US" w:eastAsia="zh-CN"/>
              </w:rPr>
            </w:pPr>
            <w:r>
              <w:rPr>
                <w:rFonts w:hint="eastAsia" w:ascii="宋体" w:hAnsi="宋体" w:cs="宋体"/>
                <w:bCs/>
                <w:snapToGrid w:val="0"/>
                <w:kern w:val="0"/>
                <w:sz w:val="28"/>
                <w:szCs w:val="28"/>
                <w:lang w:val="en-US" w:eastAsia="zh-CN"/>
              </w:rPr>
              <w:t>行政检查主体</w:t>
            </w:r>
          </w:p>
        </w:tc>
        <w:tc>
          <w:tcPr>
            <w:tcW w:w="2115" w:type="dxa"/>
            <w:noWrap w:val="0"/>
            <w:vAlign w:val="center"/>
          </w:tcPr>
          <w:p>
            <w:pPr>
              <w:widowControl/>
              <w:jc w:val="center"/>
              <w:rPr>
                <w:rFonts w:hint="eastAsia" w:ascii="宋体" w:hAnsi="宋体" w:eastAsia="宋体" w:cs="宋体"/>
                <w:bCs/>
                <w:snapToGrid w:val="0"/>
                <w:kern w:val="0"/>
                <w:sz w:val="28"/>
                <w:szCs w:val="28"/>
                <w:lang w:val="en-US" w:eastAsia="zh-CN"/>
              </w:rPr>
            </w:pPr>
            <w:r>
              <w:rPr>
                <w:rFonts w:hint="eastAsia" w:ascii="宋体" w:hAnsi="宋体" w:cs="宋体"/>
                <w:bCs/>
                <w:snapToGrid w:val="0"/>
                <w:kern w:val="0"/>
                <w:sz w:val="28"/>
                <w:szCs w:val="28"/>
                <w:lang w:val="en-US" w:eastAsia="zh-CN"/>
              </w:rPr>
              <w:t>涉企</w:t>
            </w:r>
            <w:r>
              <w:rPr>
                <w:rFonts w:hint="eastAsia" w:ascii="宋体" w:hAnsi="宋体" w:eastAsia="宋体" w:cs="宋体"/>
                <w:bCs/>
                <w:snapToGrid w:val="0"/>
                <w:kern w:val="0"/>
                <w:sz w:val="28"/>
                <w:szCs w:val="28"/>
                <w:lang w:val="en-US" w:eastAsia="zh-CN"/>
              </w:rPr>
              <w:t>行政检查</w:t>
            </w:r>
            <w:r>
              <w:rPr>
                <w:rFonts w:hint="eastAsia" w:ascii="宋体" w:hAnsi="宋体" w:cs="宋体"/>
                <w:bCs/>
                <w:snapToGrid w:val="0"/>
                <w:kern w:val="0"/>
                <w:sz w:val="28"/>
                <w:szCs w:val="28"/>
                <w:lang w:val="en-US" w:eastAsia="zh-CN"/>
              </w:rPr>
              <w:t>权力</w:t>
            </w:r>
            <w:r>
              <w:rPr>
                <w:rFonts w:hint="eastAsia" w:ascii="宋体" w:hAnsi="宋体" w:eastAsia="宋体" w:cs="宋体"/>
                <w:bCs/>
                <w:snapToGrid w:val="0"/>
                <w:kern w:val="0"/>
                <w:sz w:val="28"/>
                <w:szCs w:val="28"/>
                <w:lang w:val="en-US" w:eastAsia="zh-CN"/>
              </w:rPr>
              <w:t>名称</w:t>
            </w:r>
          </w:p>
        </w:tc>
        <w:tc>
          <w:tcPr>
            <w:tcW w:w="5985" w:type="dxa"/>
            <w:noWrap w:val="0"/>
            <w:vAlign w:val="center"/>
          </w:tcPr>
          <w:p>
            <w:pPr>
              <w:widowControl/>
              <w:jc w:val="center"/>
              <w:rPr>
                <w:rFonts w:hint="default" w:ascii="宋体" w:hAnsi="宋体" w:eastAsia="宋体" w:cs="宋体"/>
                <w:bCs/>
                <w:snapToGrid w:val="0"/>
                <w:kern w:val="0"/>
                <w:sz w:val="28"/>
                <w:szCs w:val="28"/>
                <w:lang w:val="en-US" w:eastAsia="zh-CN"/>
              </w:rPr>
            </w:pPr>
            <w:r>
              <w:rPr>
                <w:rFonts w:hint="eastAsia" w:ascii="宋体" w:hAnsi="宋体" w:cs="宋体"/>
                <w:bCs/>
                <w:snapToGrid w:val="0"/>
                <w:kern w:val="0"/>
                <w:sz w:val="28"/>
                <w:szCs w:val="28"/>
                <w:lang w:val="en-US" w:eastAsia="zh-CN"/>
              </w:rPr>
              <w:t>设定依据</w:t>
            </w:r>
          </w:p>
        </w:tc>
        <w:tc>
          <w:tcPr>
            <w:tcW w:w="1213" w:type="dxa"/>
            <w:noWrap w:val="0"/>
            <w:vAlign w:val="center"/>
          </w:tcPr>
          <w:p>
            <w:pPr>
              <w:widowControl/>
              <w:jc w:val="center"/>
              <w:rPr>
                <w:rFonts w:hint="default" w:ascii="宋体" w:hAnsi="宋体" w:eastAsia="宋体" w:cs="宋体"/>
                <w:bCs/>
                <w:snapToGrid w:val="0"/>
                <w:kern w:val="0"/>
                <w:sz w:val="28"/>
                <w:szCs w:val="28"/>
                <w:lang w:val="en-US" w:eastAsia="zh-CN"/>
              </w:rPr>
            </w:pPr>
            <w:r>
              <w:rPr>
                <w:rFonts w:hint="eastAsia" w:ascii="宋体" w:hAnsi="宋体" w:cs="宋体"/>
                <w:bCs/>
                <w:snapToGrid w:val="0"/>
                <w:kern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98" w:hRule="atLeast"/>
          <w:jc w:val="center"/>
        </w:trPr>
        <w:tc>
          <w:tcPr>
            <w:tcW w:w="742" w:type="dxa"/>
            <w:noWrap w:val="0"/>
            <w:vAlign w:val="center"/>
          </w:tcPr>
          <w:p>
            <w:pPr>
              <w:widowControl/>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2520" w:type="dxa"/>
            <w:noWrap w:val="0"/>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开江县医疗保障局</w:t>
            </w:r>
          </w:p>
        </w:tc>
        <w:tc>
          <w:tcPr>
            <w:tcW w:w="2115" w:type="dxa"/>
            <w:noWrap w:val="0"/>
            <w:vAlign w:val="center"/>
          </w:tcPr>
          <w:p>
            <w:pPr>
              <w:pStyle w:val="6"/>
              <w:spacing w:line="278" w:lineRule="auto"/>
              <w:ind w:right="91" w:firstLine="105"/>
              <w:jc w:val="center"/>
              <w:rPr>
                <w:rFonts w:hint="eastAsia" w:ascii="宋体" w:hAnsi="宋体" w:eastAsia="宋体" w:cs="宋体"/>
                <w:bCs/>
                <w:snapToGrid w:val="0"/>
                <w:kern w:val="0"/>
                <w:sz w:val="24"/>
                <w:szCs w:val="24"/>
                <w:lang w:val="en-US" w:eastAsia="zh-CN"/>
              </w:rPr>
            </w:pPr>
            <w:r>
              <w:rPr>
                <w:rFonts w:hint="eastAsia" w:ascii="Calibri" w:hAnsi="Calibri" w:eastAsia="宋体" w:cs="Times New Roman"/>
                <w:kern w:val="2"/>
                <w:sz w:val="21"/>
                <w:szCs w:val="24"/>
                <w:lang w:val="en-US" w:eastAsia="zh-CN" w:bidi="ar-SA"/>
              </w:rPr>
              <w:t>对纳入基本医疗保险基金支付范围的医疗服务行为和费用进行监督</w:t>
            </w:r>
            <w:r>
              <w:rPr>
                <w:rFonts w:hint="eastAsia" w:ascii="Calibri" w:hAnsi="Calibri" w:cs="Times New Roman"/>
                <w:kern w:val="2"/>
                <w:sz w:val="21"/>
                <w:szCs w:val="24"/>
                <w:lang w:val="en-US" w:eastAsia="zh-CN" w:bidi="ar-SA"/>
              </w:rPr>
              <w:t>检查</w:t>
            </w:r>
          </w:p>
        </w:tc>
        <w:tc>
          <w:tcPr>
            <w:tcW w:w="5985" w:type="dxa"/>
            <w:noWrap w:val="0"/>
            <w:vAlign w:val="top"/>
          </w:tcPr>
          <w:p>
            <w:pPr>
              <w:widowControl/>
              <w:jc w:val="both"/>
              <w:rPr>
                <w:rFonts w:hint="eastAsia" w:ascii="宋体" w:hAnsi="宋体" w:eastAsia="宋体" w:cs="宋体"/>
                <w:bCs/>
                <w:snapToGrid w:val="0"/>
                <w:kern w:val="0"/>
                <w:sz w:val="24"/>
                <w:szCs w:val="24"/>
                <w:lang w:val="en-US" w:eastAsia="zh-CN"/>
              </w:rPr>
            </w:pPr>
            <w:r>
              <w:rPr>
                <w:rFonts w:hint="eastAsia"/>
                <w:sz w:val="21"/>
                <w:lang w:val="en-US" w:eastAsia="zh-CN"/>
              </w:rPr>
              <w:t>1.</w:t>
            </w:r>
            <w:r>
              <w:rPr>
                <w:sz w:val="21"/>
              </w:rPr>
              <w:t>《社会保险法》第</w:t>
            </w:r>
            <w:r>
              <w:rPr>
                <w:rFonts w:hint="eastAsia"/>
                <w:sz w:val="21"/>
                <w:lang w:eastAsia="zh-CN"/>
              </w:rPr>
              <w:t>一章第</w:t>
            </w:r>
            <w:r>
              <w:rPr>
                <w:sz w:val="21"/>
              </w:rPr>
              <w:t>七条：</w:t>
            </w:r>
            <w:r>
              <w:rPr>
                <w:rFonts w:hint="eastAsia" w:cs="Times New Roman"/>
                <w:sz w:val="21"/>
                <w:lang w:eastAsia="zh-CN"/>
              </w:rPr>
              <w:t>县级以上地方人民政府社会保险行政部门负责本行政区域的社会保险管理工作，县级以上地方人民政府其他有关部门在各自的职责范围内负责有关的社会保险工作。</w:t>
            </w:r>
            <w:r>
              <w:rPr>
                <w:rFonts w:hint="eastAsia"/>
                <w:sz w:val="21"/>
                <w:lang w:val="en-US" w:eastAsia="zh-CN"/>
              </w:rPr>
              <w:t>2.</w:t>
            </w:r>
            <w:r>
              <w:rPr>
                <w:sz w:val="21"/>
              </w:rPr>
              <w:t>《</w:t>
            </w:r>
            <w:r>
              <w:rPr>
                <w:rFonts w:hint="eastAsia"/>
                <w:sz w:val="21"/>
                <w:lang w:eastAsia="zh-CN"/>
              </w:rPr>
              <w:t>医疗保障基金使用监督管理条例</w:t>
            </w:r>
            <w:r>
              <w:rPr>
                <w:sz w:val="21"/>
              </w:rPr>
              <w:t>》</w:t>
            </w:r>
            <w:r>
              <w:rPr>
                <w:rFonts w:hint="eastAsia"/>
                <w:sz w:val="21"/>
                <w:lang w:eastAsia="zh-CN"/>
              </w:rPr>
              <w:t>第一章第六条：</w:t>
            </w:r>
            <w:r>
              <w:rPr>
                <w:spacing w:val="9"/>
                <w:sz w:val="21"/>
              </w:rPr>
              <w:t>县级以上</w:t>
            </w:r>
            <w:r>
              <w:rPr>
                <w:rFonts w:hint="eastAsia"/>
                <w:spacing w:val="9"/>
                <w:sz w:val="21"/>
                <w:lang w:eastAsia="zh-CN"/>
              </w:rPr>
              <w:t>地方</w:t>
            </w:r>
            <w:r>
              <w:rPr>
                <w:spacing w:val="9"/>
                <w:sz w:val="21"/>
              </w:rPr>
              <w:t>人民政府医疗保障</w:t>
            </w:r>
            <w:r>
              <w:rPr>
                <w:rFonts w:hint="eastAsia"/>
                <w:spacing w:val="9"/>
                <w:sz w:val="21"/>
                <w:lang w:eastAsia="zh-CN"/>
              </w:rPr>
              <w:t>行政</w:t>
            </w:r>
            <w:r>
              <w:rPr>
                <w:spacing w:val="9"/>
                <w:sz w:val="21"/>
              </w:rPr>
              <w:t>部门</w:t>
            </w:r>
            <w:r>
              <w:rPr>
                <w:rFonts w:hint="eastAsia"/>
                <w:spacing w:val="9"/>
                <w:sz w:val="21"/>
                <w:lang w:eastAsia="zh-CN"/>
              </w:rPr>
              <w:t>负责本行政区域的医疗保障基金使用监督管理工作。</w:t>
            </w:r>
          </w:p>
        </w:tc>
        <w:tc>
          <w:tcPr>
            <w:tcW w:w="1213" w:type="dxa"/>
            <w:noWrap w:val="0"/>
            <w:vAlign w:val="top"/>
          </w:tcPr>
          <w:p>
            <w:pPr>
              <w:widowControl/>
              <w:jc w:val="both"/>
              <w:rPr>
                <w:rFonts w:hint="eastAsia" w:ascii="宋体" w:hAnsi="宋体" w:eastAsia="宋体" w:cs="宋体"/>
                <w:bCs/>
                <w:snapToGrid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742" w:type="dxa"/>
            <w:noWrap w:val="0"/>
            <w:vAlign w:val="center"/>
          </w:tcPr>
          <w:p>
            <w:pPr>
              <w:widowControl/>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2520" w:type="dxa"/>
            <w:noWrap w:val="0"/>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开江县医疗保障局</w:t>
            </w:r>
          </w:p>
        </w:tc>
        <w:tc>
          <w:tcPr>
            <w:tcW w:w="2115" w:type="dxa"/>
            <w:noWrap w:val="0"/>
            <w:vAlign w:val="center"/>
          </w:tcPr>
          <w:p>
            <w:pPr>
              <w:widowControl/>
              <w:jc w:val="center"/>
              <w:rPr>
                <w:rFonts w:hint="eastAsia" w:ascii="宋体" w:hAnsi="宋体" w:eastAsia="宋体" w:cs="宋体"/>
                <w:sz w:val="24"/>
                <w:szCs w:val="24"/>
                <w:vertAlign w:val="baseline"/>
                <w:lang w:val="en-US" w:eastAsia="zh-CN"/>
              </w:rPr>
            </w:pPr>
            <w:r>
              <w:rPr>
                <w:spacing w:val="-2"/>
                <w:sz w:val="21"/>
              </w:rPr>
              <w:t>医</w:t>
            </w:r>
            <w:r>
              <w:rPr>
                <w:rFonts w:hint="eastAsia"/>
                <w:spacing w:val="-2"/>
                <w:sz w:val="21"/>
                <w:lang w:eastAsia="zh-CN"/>
              </w:rPr>
              <w:t>保基金</w:t>
            </w:r>
            <w:r>
              <w:rPr>
                <w:spacing w:val="-2"/>
                <w:sz w:val="21"/>
              </w:rPr>
              <w:t>稽核</w:t>
            </w:r>
          </w:p>
        </w:tc>
        <w:tc>
          <w:tcPr>
            <w:tcW w:w="5985" w:type="dxa"/>
            <w:noWrap w:val="0"/>
            <w:vAlign w:val="top"/>
          </w:tcPr>
          <w:p>
            <w:pPr>
              <w:pStyle w:val="6"/>
              <w:numPr>
                <w:ilvl w:val="0"/>
                <w:numId w:val="0"/>
              </w:numPr>
              <w:tabs>
                <w:tab w:val="left" w:pos="371"/>
              </w:tabs>
              <w:spacing w:before="23" w:after="0" w:line="278" w:lineRule="auto"/>
              <w:ind w:left="108" w:leftChars="0" w:right="75" w:rightChars="0" w:firstLine="0" w:firstLineChars="0"/>
              <w:jc w:val="both"/>
              <w:rPr>
                <w:sz w:val="21"/>
              </w:rPr>
            </w:pPr>
            <w:r>
              <w:rPr>
                <w:rFonts w:hint="default" w:ascii="Calibri" w:hAnsi="Calibri" w:eastAsia="Calibri" w:cs="Calibri"/>
                <w:b w:val="0"/>
                <w:bCs w:val="0"/>
                <w:i w:val="0"/>
                <w:iCs w:val="0"/>
                <w:spacing w:val="-1"/>
                <w:w w:val="100"/>
                <w:kern w:val="2"/>
                <w:sz w:val="21"/>
                <w:szCs w:val="21"/>
                <w:lang w:val="en-US" w:eastAsia="zh-CN" w:bidi="ar-SA"/>
              </w:rPr>
              <w:t>1.</w:t>
            </w:r>
            <w:r>
              <w:rPr>
                <w:spacing w:val="-4"/>
                <w:sz w:val="21"/>
              </w:rPr>
              <w:t>《社会保险法》第三十一条：社会保险经办机构根</w:t>
            </w:r>
            <w:r>
              <w:rPr>
                <w:spacing w:val="-2"/>
                <w:sz w:val="21"/>
              </w:rPr>
              <w:t>据管理服务的需要，可以与医疗机构、药品经营单位签订服务协议，规范医疗服务行为。医疗机构应当为参保人员提供合理、必要的医疗服务。</w:t>
            </w:r>
          </w:p>
          <w:p>
            <w:pPr>
              <w:pStyle w:val="6"/>
              <w:numPr>
                <w:ilvl w:val="0"/>
                <w:numId w:val="0"/>
              </w:numPr>
              <w:tabs>
                <w:tab w:val="left" w:pos="371"/>
              </w:tabs>
              <w:spacing w:before="0" w:after="0" w:line="269" w:lineRule="exact"/>
              <w:ind w:left="371" w:leftChars="0" w:right="0" w:rightChars="0" w:hanging="263" w:firstLineChars="0"/>
              <w:jc w:val="both"/>
              <w:rPr>
                <w:sz w:val="21"/>
              </w:rPr>
            </w:pPr>
            <w:r>
              <w:rPr>
                <w:rFonts w:hint="default" w:ascii="Calibri" w:hAnsi="Calibri" w:eastAsia="Calibri" w:cs="Calibri"/>
                <w:b w:val="0"/>
                <w:bCs w:val="0"/>
                <w:i w:val="0"/>
                <w:iCs w:val="0"/>
                <w:spacing w:val="-1"/>
                <w:w w:val="100"/>
                <w:kern w:val="2"/>
                <w:sz w:val="21"/>
                <w:szCs w:val="21"/>
                <w:lang w:val="en-US" w:eastAsia="zh-CN" w:bidi="ar-SA"/>
              </w:rPr>
              <w:t>2.</w:t>
            </w:r>
            <w:r>
              <w:rPr>
                <w:spacing w:val="-11"/>
                <w:sz w:val="21"/>
              </w:rPr>
              <w:t>《社会保险稽核办法》</w:t>
            </w:r>
            <w:r>
              <w:rPr>
                <w:sz w:val="21"/>
              </w:rPr>
              <w:t>（</w:t>
            </w:r>
            <w:r>
              <w:rPr>
                <w:spacing w:val="-11"/>
                <w:sz w:val="21"/>
              </w:rPr>
              <w:t xml:space="preserve">劳动令第 </w:t>
            </w:r>
            <w:r>
              <w:rPr>
                <w:rFonts w:ascii="Calibri" w:eastAsia="Calibri"/>
                <w:sz w:val="21"/>
              </w:rPr>
              <w:t>16</w:t>
            </w:r>
            <w:r>
              <w:rPr>
                <w:rFonts w:ascii="Calibri" w:eastAsia="Calibri"/>
                <w:spacing w:val="5"/>
                <w:sz w:val="21"/>
              </w:rPr>
              <w:t xml:space="preserve"> </w:t>
            </w:r>
            <w:r>
              <w:rPr>
                <w:sz w:val="21"/>
              </w:rPr>
              <w:t>号</w:t>
            </w:r>
            <w:r>
              <w:rPr>
                <w:spacing w:val="-10"/>
                <w:sz w:val="21"/>
              </w:rPr>
              <w:t>）</w:t>
            </w:r>
          </w:p>
          <w:p>
            <w:pPr>
              <w:pStyle w:val="6"/>
              <w:spacing w:before="43" w:line="278" w:lineRule="auto"/>
              <w:ind w:right="86"/>
              <w:jc w:val="both"/>
              <w:rPr>
                <w:sz w:val="21"/>
              </w:rPr>
            </w:pPr>
            <w:r>
              <w:rPr>
                <w:spacing w:val="-2"/>
                <w:sz w:val="21"/>
              </w:rPr>
              <w:t>第二条：本办法所称稽核是指社会保险经办机构依法</w:t>
            </w:r>
            <w:r>
              <w:rPr>
                <w:spacing w:val="9"/>
                <w:sz w:val="21"/>
              </w:rPr>
              <w:t>对社会保险费缴纳情况和社会保险待遇领取情况进</w:t>
            </w:r>
            <w:r>
              <w:rPr>
                <w:sz w:val="21"/>
              </w:rPr>
              <w:t>行的核查。</w:t>
            </w:r>
          </w:p>
          <w:p>
            <w:pPr>
              <w:pStyle w:val="6"/>
              <w:spacing w:before="0" w:line="278" w:lineRule="auto"/>
              <w:ind w:right="96"/>
              <w:jc w:val="both"/>
              <w:rPr>
                <w:sz w:val="21"/>
              </w:rPr>
            </w:pPr>
            <w:r>
              <w:rPr>
                <w:spacing w:val="-2"/>
                <w:sz w:val="21"/>
              </w:rPr>
              <w:t>第三条：县级以上社会保险经办机构负责社会保险稽</w:t>
            </w:r>
            <w:r>
              <w:rPr>
                <w:spacing w:val="-4"/>
                <w:sz w:val="21"/>
              </w:rPr>
              <w:t>核工作。</w:t>
            </w:r>
          </w:p>
          <w:p>
            <w:pPr>
              <w:pStyle w:val="6"/>
              <w:spacing w:before="0" w:line="278" w:lineRule="auto"/>
              <w:ind w:right="96"/>
              <w:jc w:val="both"/>
              <w:rPr>
                <w:sz w:val="21"/>
              </w:rPr>
            </w:pPr>
            <w:r>
              <w:rPr>
                <w:spacing w:val="-2"/>
                <w:sz w:val="21"/>
              </w:rPr>
              <w:t>第五条：社会保险经办机构及社会保险稽核人员开展稽核工作，行使下列职权：</w:t>
            </w:r>
          </w:p>
          <w:p>
            <w:pPr>
              <w:pStyle w:val="6"/>
              <w:spacing w:before="0" w:line="278" w:lineRule="auto"/>
              <w:ind w:right="-15"/>
              <w:jc w:val="both"/>
              <w:rPr>
                <w:sz w:val="21"/>
              </w:rPr>
            </w:pPr>
            <w:r>
              <w:rPr>
                <w:spacing w:val="-2"/>
                <w:sz w:val="21"/>
              </w:rPr>
              <w:t>（一</w:t>
            </w:r>
            <w:r>
              <w:rPr>
                <w:spacing w:val="-56"/>
                <w:sz w:val="21"/>
              </w:rPr>
              <w:t>）</w:t>
            </w:r>
            <w:r>
              <w:rPr>
                <w:spacing w:val="-6"/>
                <w:sz w:val="21"/>
              </w:rPr>
              <w:t>要求被稽核单位提供用人情况、工资收入情况、</w:t>
            </w:r>
            <w:r>
              <w:rPr>
                <w:spacing w:val="-2"/>
                <w:sz w:val="21"/>
              </w:rPr>
              <w:t>财务报表、统计报表、缴费数据和相关帐册、会计凭证等与缴纳社会保险费有关的情况和资料；</w:t>
            </w:r>
          </w:p>
          <w:p>
            <w:pPr>
              <w:pStyle w:val="6"/>
              <w:spacing w:before="0" w:line="278" w:lineRule="auto"/>
              <w:ind w:right="96"/>
              <w:jc w:val="both"/>
              <w:rPr>
                <w:sz w:val="21"/>
              </w:rPr>
            </w:pPr>
            <w:r>
              <w:rPr>
                <w:spacing w:val="-2"/>
                <w:sz w:val="21"/>
              </w:rPr>
              <w:t>（二）可以记录、录音、录像、照相和复制与缴纳社会保险费有关的资料，对被稽核对象的参保情况和缴纳社会保险费等方面的情况进行调查、询问；</w:t>
            </w:r>
          </w:p>
          <w:p>
            <w:pPr>
              <w:widowControl/>
              <w:jc w:val="both"/>
              <w:rPr>
                <w:rFonts w:hint="eastAsia" w:ascii="宋体" w:hAnsi="宋体" w:eastAsia="宋体" w:cs="宋体"/>
                <w:sz w:val="24"/>
                <w:szCs w:val="24"/>
                <w:vertAlign w:val="baseline"/>
                <w:lang w:val="en-US" w:eastAsia="zh-CN"/>
              </w:rPr>
            </w:pPr>
            <w:r>
              <w:rPr>
                <w:sz w:val="21"/>
              </w:rPr>
              <w:t>（三）</w:t>
            </w:r>
            <w:r>
              <w:rPr>
                <w:spacing w:val="-1"/>
                <w:sz w:val="21"/>
              </w:rPr>
              <w:t>要求被稽核对象提供与稽核事项有关的资料。</w:t>
            </w:r>
            <w:r>
              <w:rPr>
                <w:spacing w:val="-2"/>
                <w:sz w:val="21"/>
              </w:rPr>
              <w:t>第十二条：社会保险经办机构应当对参保个人领取社</w:t>
            </w:r>
            <w:r>
              <w:rPr>
                <w:spacing w:val="-3"/>
                <w:sz w:val="21"/>
              </w:rPr>
              <w:t>会保险待遇情况进行核查，发现社会保险待遇领取人</w:t>
            </w:r>
            <w:r>
              <w:rPr>
                <w:spacing w:val="9"/>
                <w:sz w:val="21"/>
              </w:rPr>
              <w:t>丧失待遇领取资格后本人或他人继续领取待遇或以</w:t>
            </w:r>
            <w:r>
              <w:rPr>
                <w:spacing w:val="-1"/>
                <w:sz w:val="21"/>
              </w:rPr>
              <w:t>其他形式骗取社会保险待遇的，社会保险经办机构应当立即停止待遇的支付并责令退还</w:t>
            </w:r>
            <w:r>
              <w:rPr>
                <w:rFonts w:hint="eastAsia"/>
                <w:spacing w:val="-1"/>
                <w:sz w:val="21"/>
                <w:lang w:eastAsia="zh-CN"/>
              </w:rPr>
              <w:t>。</w:t>
            </w:r>
          </w:p>
        </w:tc>
        <w:tc>
          <w:tcPr>
            <w:tcW w:w="1213" w:type="dxa"/>
            <w:noWrap w:val="0"/>
            <w:vAlign w:val="top"/>
          </w:tcPr>
          <w:p>
            <w:pPr>
              <w:widowControl/>
              <w:jc w:val="both"/>
              <w:rPr>
                <w:rFonts w:hint="eastAsia" w:ascii="宋体" w:hAnsi="宋体" w:eastAsia="宋体" w:cs="宋体"/>
                <w:bCs/>
                <w:snapToGrid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742" w:type="dxa"/>
            <w:noWrap w:val="0"/>
            <w:vAlign w:val="center"/>
          </w:tcPr>
          <w:p>
            <w:pPr>
              <w:widowControl/>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3</w:t>
            </w:r>
          </w:p>
        </w:tc>
        <w:tc>
          <w:tcPr>
            <w:tcW w:w="2520" w:type="dxa"/>
            <w:noWrap w:val="0"/>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开江县医疗保障局</w:t>
            </w:r>
          </w:p>
        </w:tc>
        <w:tc>
          <w:tcPr>
            <w:tcW w:w="2115" w:type="dxa"/>
            <w:noWrap w:val="0"/>
            <w:vAlign w:val="center"/>
          </w:tcPr>
          <w:p>
            <w:pPr>
              <w:widowControl/>
              <w:jc w:val="center"/>
              <w:rPr>
                <w:spacing w:val="-2"/>
                <w:sz w:val="21"/>
              </w:rPr>
            </w:pPr>
            <w:r>
              <w:rPr>
                <w:spacing w:val="-2"/>
                <w:sz w:val="21"/>
              </w:rPr>
              <w:t>医疗救助的监</w:t>
            </w:r>
            <w:r>
              <w:rPr>
                <w:spacing w:val="-4"/>
                <w:sz w:val="21"/>
              </w:rPr>
              <w:t>督检查</w:t>
            </w:r>
          </w:p>
        </w:tc>
        <w:tc>
          <w:tcPr>
            <w:tcW w:w="5985" w:type="dxa"/>
            <w:noWrap w:val="0"/>
            <w:vAlign w:val="top"/>
          </w:tcPr>
          <w:p>
            <w:pPr>
              <w:widowControl/>
              <w:jc w:val="both"/>
              <w:rPr>
                <w:spacing w:val="-1"/>
                <w:sz w:val="21"/>
              </w:rPr>
            </w:pPr>
            <w:r>
              <w:rPr>
                <w:spacing w:val="-13"/>
                <w:sz w:val="21"/>
              </w:rPr>
              <w:t>《社会救助暂行办法》</w:t>
            </w:r>
            <w:r>
              <w:rPr>
                <w:spacing w:val="-2"/>
                <w:sz w:val="21"/>
              </w:rPr>
              <w:t>（中华人民共和国国务院令第</w:t>
            </w:r>
            <w:r>
              <w:rPr>
                <w:rFonts w:ascii="Calibri" w:eastAsia="Calibri"/>
                <w:sz w:val="21"/>
              </w:rPr>
              <w:t>649</w:t>
            </w:r>
            <w:r>
              <w:rPr>
                <w:sz w:val="21"/>
              </w:rPr>
              <w:t>号）第五十七条：县级以上人民政府及其社会救</w:t>
            </w:r>
            <w:r>
              <w:rPr>
                <w:spacing w:val="-2"/>
                <w:sz w:val="21"/>
              </w:rPr>
              <w:t>助管理部门应当加强对社会救助工作的监督检查，完善相关监督管理制度。</w:t>
            </w:r>
          </w:p>
        </w:tc>
        <w:tc>
          <w:tcPr>
            <w:tcW w:w="1213" w:type="dxa"/>
            <w:noWrap w:val="0"/>
            <w:vAlign w:val="top"/>
          </w:tcPr>
          <w:p>
            <w:pPr>
              <w:widowControl/>
              <w:jc w:val="both"/>
              <w:rPr>
                <w:rFonts w:hint="eastAsia" w:ascii="宋体" w:hAnsi="宋体" w:eastAsia="宋体" w:cs="宋体"/>
                <w:bCs/>
                <w:snapToGrid w:val="0"/>
                <w:kern w:val="0"/>
                <w:sz w:val="24"/>
                <w:szCs w:val="24"/>
                <w:lang w:val="en-US" w:eastAsia="zh-CN"/>
              </w:rPr>
            </w:pPr>
          </w:p>
        </w:tc>
      </w:tr>
    </w:tbl>
    <w:p>
      <w:pPr>
        <w:jc w:val="center"/>
        <w:rPr>
          <w:rFonts w:hint="eastAsia" w:ascii="宋体" w:hAnsi="宋体" w:eastAsia="宋体" w:cs="宋体"/>
          <w:sz w:val="24"/>
          <w:szCs w:val="24"/>
          <w:lang w:val="en-US" w:eastAsia="zh-CN"/>
        </w:rPr>
      </w:pPr>
    </w:p>
    <w:p>
      <w:pPr>
        <w:rPr>
          <w:rFonts w:hint="default"/>
          <w:sz w:val="32"/>
          <w:szCs w:val="40"/>
          <w:lang w:val="en-US" w:eastAsia="zh-CN"/>
        </w:rPr>
      </w:pPr>
      <w:r>
        <w:rPr>
          <w:rFonts w:hint="eastAsia"/>
          <w:sz w:val="32"/>
          <w:szCs w:val="40"/>
          <w:lang w:val="en-US" w:eastAsia="zh-CN"/>
        </w:rPr>
        <w:t>说明：1.行政检查事项名称应当与权责清单名称一致，对违法线索实施核查、调查等行政检查事项不在本次清理范围内；2.设定依据内容应当引用完整。</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32E20"/>
    <w:rsid w:val="074F306F"/>
    <w:rsid w:val="0BBA6DAD"/>
    <w:rsid w:val="1C9176B6"/>
    <w:rsid w:val="1E917603"/>
    <w:rsid w:val="24013373"/>
    <w:rsid w:val="26D20FF7"/>
    <w:rsid w:val="27D35027"/>
    <w:rsid w:val="28577A06"/>
    <w:rsid w:val="2AA42CAA"/>
    <w:rsid w:val="2D712401"/>
    <w:rsid w:val="35DB2760"/>
    <w:rsid w:val="3F9D7F9C"/>
    <w:rsid w:val="441B5933"/>
    <w:rsid w:val="49621DDF"/>
    <w:rsid w:val="60575AEE"/>
    <w:rsid w:val="63182B1F"/>
    <w:rsid w:val="63554566"/>
    <w:rsid w:val="65804F2D"/>
    <w:rsid w:val="6C332E20"/>
    <w:rsid w:val="6ECB3E84"/>
    <w:rsid w:val="73117D7E"/>
    <w:rsid w:val="73D83687"/>
    <w:rsid w:val="74D6619C"/>
    <w:rsid w:val="78762B5D"/>
    <w:rsid w:val="7B8A2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unhideWhenUsed/>
    <w:qFormat/>
    <w:uiPriority w:val="99"/>
    <w:rPr>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Table Paragraph"/>
    <w:basedOn w:val="1"/>
    <w:qFormat/>
    <w:uiPriority w:val="1"/>
    <w:pPr>
      <w:spacing w:before="23"/>
      <w:ind w:left="108"/>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1048</Words>
  <Characters>1057</Characters>
  <Lines>0</Lines>
  <Paragraphs>0</Paragraphs>
  <TotalTime>8</TotalTime>
  <ScaleCrop>false</ScaleCrop>
  <LinksUpToDate>false</LinksUpToDate>
  <CharactersWithSpaces>1094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2025-07-18T04:15:00Z</dcterms:created>
  <dc:creator>WPS_1550887837</dc:creator>
  <cp:lastModifiedBy>Administrator</cp:lastModifiedBy>
  <cp:lastPrinted>2025-07-24T08:54:00Z</cp:lastPrinted>
  <dcterms:modified xsi:type="dcterms:W3CDTF">2025-07-29T06:35:35Z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B106A220F9B1447496FAC7B38378C72F_13</vt:lpwstr>
  </property>
  <property fmtid="{D5CDD505-2E9C-101B-9397-08002B2CF9AE}" pid="4" name="KSOTemplateDocerSaveRecord">
    <vt:lpwstr>eyJoZGlkIjoiYmM5Zjk2NTQyMjczZWRkMjQ1NWI3YmE1YzRhMTBmZTgiLCJ1c2VySWQiOiI1MTU4OTkxOTUifQ==</vt:lpwstr>
  </property>
</Properties>
</file>