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588" w:tblpY="2433"/>
        <w:tblOverlap w:val="never"/>
        <w:tblW w:w="127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8"/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2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附表1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开江县2021年第一批财政专项扶贫资金项目汇总表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计划资金（万元）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一、支持人口较多的易地扶贫搬迁集中安置区后续产业扶持资金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二、支持易地扶贫搬迁贷款贴息补助资金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三、基础设施建设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其中：开江县回龙镇养殖产业配套基础设施建设项目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开江县2021年第一批财政专项扶贫资金项目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3233.38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E031F"/>
    <w:rsid w:val="3C4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widowControl/>
      <w:tabs>
        <w:tab w:val="right" w:leader="dot" w:pos="8890"/>
      </w:tabs>
      <w:spacing w:after="100" w:line="259" w:lineRule="auto"/>
      <w:jc w:val="left"/>
    </w:pPr>
    <w:rPr>
      <w:rFonts w:ascii="仿宋" w:hAnsi="仿宋" w:eastAsia="仿宋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2021-12-25T08:30:00Z</dcterms:created>
  <dc:creator>terrific满</dc:creator>
  <cp:lastModifiedBy>terrific满</cp:lastModifiedBy>
  <dcterms:modified xsi:type="dcterms:W3CDTF">2021-12-25T08:31:55Z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26334F3163254AD797902AA00AA113C9</vt:lpwstr>
  </property>
</Properties>
</file>