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96597"/>
      <w:bookmarkStart w:id="2" w:name="_Toc15378441"/>
      <w:bookmarkStart w:id="3" w:name="_Toc15377193"/>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426"/>
      <w:bookmarkStart w:id="8" w:name="_Toc15306268"/>
      <w:bookmarkStart w:id="9" w:name="_Toc15377194"/>
      <w:bookmarkStart w:id="10" w:name="_Toc15396476"/>
      <w:bookmarkStart w:id="11" w:name="_Toc15378442"/>
      <w:r>
        <w:rPr>
          <w:rFonts w:hint="eastAsia" w:ascii="方正小标宋简体" w:hAnsi="方正小标宋简体" w:eastAsia="方正小标宋简体" w:cs="方正小标宋简体"/>
          <w:sz w:val="72"/>
          <w:szCs w:val="72"/>
        </w:rPr>
        <w:t>开江县医疗保障事务中心部门决算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2"/>
      </w:pPr>
      <w:r>
        <w:rPr>
          <w:rFonts w:hint="eastAsia"/>
        </w:rPr>
        <w:t>公开时间：2023年10月8日</w:t>
      </w:r>
    </w:p>
    <w:p/>
    <w:p>
      <w:pPr>
        <w:pStyle w:val="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2"/>
        <w:adjustRightInd w:val="0"/>
        <w:snapToGrid w:val="0"/>
        <w:spacing w:line="440" w:lineRule="exact"/>
        <w:jc w:val="left"/>
        <w:rPr>
          <w:rFonts w:ascii="仿宋" w:hAnsi="仿宋" w:eastAsia="仿宋"/>
          <w:sz w:val="24"/>
        </w:rPr>
      </w:pPr>
      <w:r>
        <w:rPr>
          <w:rFonts w:hint="eastAsia"/>
          <w:sz w:val="24"/>
        </w:rPr>
        <w:t>一、部门职责</w:t>
      </w:r>
    </w:p>
    <w:p>
      <w:pPr>
        <w:pStyle w:val="12"/>
        <w:adjustRightInd w:val="0"/>
        <w:snapToGrid w:val="0"/>
        <w:spacing w:line="440" w:lineRule="exact"/>
        <w:jc w:val="left"/>
        <w:rPr>
          <w:rFonts w:ascii="仿宋" w:hAnsi="仿宋" w:eastAsia="仿宋" w:cstheme="minorBidi"/>
          <w:sz w:val="24"/>
        </w:rPr>
      </w:pPr>
      <w:r>
        <w:rPr>
          <w:rFonts w:hint="eastAsia"/>
          <w:sz w:val="24"/>
        </w:rPr>
        <w:t>二、机构设置</w:t>
      </w:r>
    </w:p>
    <w:p>
      <w:pPr>
        <w:pStyle w:val="2"/>
        <w:adjustRightInd w:val="0"/>
        <w:snapToGrid w:val="0"/>
        <w:spacing w:before="0" w:line="440" w:lineRule="exact"/>
        <w:jc w:val="left"/>
        <w:rPr>
          <w:sz w:val="24"/>
          <w:szCs w:val="24"/>
        </w:rPr>
      </w:pPr>
      <w:r>
        <w:rPr>
          <w:rFonts w:hint="eastAsia"/>
          <w:sz w:val="24"/>
        </w:rPr>
        <w:t>第二部分 2022年度部门决算情况说明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ascii="黑体" w:hAnsi="黑体" w:eastAsia="黑体"/>
          <w:b w:val="0"/>
        </w:rPr>
      </w:pPr>
      <w:r>
        <w:rPr>
          <w:rFonts w:hint="eastAsia" w:ascii="黑体" w:hAnsi="黑体" w:eastAsia="黑体"/>
          <w:b w:val="0"/>
        </w:rPr>
        <w:t>部门职责及主要工作</w:t>
      </w:r>
    </w:p>
    <w:p>
      <w:pPr>
        <w:pStyle w:val="13"/>
        <w:widowControl/>
        <w:spacing w:beforeAutospacing="0" w:afterAutospacing="0"/>
        <w:ind w:firstLine="1134"/>
        <w:rPr>
          <w:rFonts w:ascii="仿宋" w:hAnsi="仿宋" w:eastAsia="仿宋"/>
          <w:kern w:val="2"/>
          <w:sz w:val="32"/>
          <w:szCs w:val="32"/>
        </w:rPr>
      </w:pPr>
      <w:r>
        <w:rPr>
          <w:rFonts w:hint="eastAsia" w:ascii="仿宋" w:hAnsi="仿宋" w:eastAsia="仿宋"/>
          <w:bCs/>
          <w:sz w:val="32"/>
          <w:szCs w:val="32"/>
        </w:rPr>
        <w:t>（一）开</w:t>
      </w:r>
      <w:r>
        <w:rPr>
          <w:rFonts w:hint="eastAsia" w:ascii="仿宋" w:hAnsi="仿宋" w:eastAsia="仿宋"/>
          <w:kern w:val="2"/>
          <w:sz w:val="32"/>
          <w:szCs w:val="32"/>
        </w:rPr>
        <w:t>江县医疗保障事务中心</w:t>
      </w:r>
      <w:r>
        <w:rPr>
          <w:rFonts w:hint="eastAsia" w:ascii="仿宋" w:hAnsi="仿宋" w:eastAsia="仿宋"/>
          <w:bCs/>
          <w:sz w:val="32"/>
          <w:szCs w:val="32"/>
        </w:rPr>
        <w:t>主要职能：</w:t>
      </w:r>
    </w:p>
    <w:p>
      <w:pPr>
        <w:pStyle w:val="13"/>
        <w:widowControl/>
        <w:spacing w:beforeAutospacing="0" w:afterAutospacing="0"/>
        <w:ind w:firstLine="1134"/>
        <w:rPr>
          <w:rFonts w:ascii="仿宋" w:hAnsi="仿宋" w:eastAsia="仿宋"/>
          <w:kern w:val="2"/>
          <w:sz w:val="32"/>
          <w:szCs w:val="32"/>
        </w:rPr>
      </w:pPr>
      <w:r>
        <w:rPr>
          <w:rFonts w:hint="eastAsia" w:ascii="仿宋" w:hAnsi="仿宋" w:eastAsia="仿宋"/>
          <w:kern w:val="2"/>
          <w:sz w:val="32"/>
          <w:szCs w:val="32"/>
        </w:rPr>
        <w:t>1、贯彻执行国家、省、市城镇基本医疗保险工作的方针、法律、法规及政策；负责县本级城镇职工基本医疗保险经办工作。</w:t>
      </w:r>
    </w:p>
    <w:p>
      <w:pPr>
        <w:pStyle w:val="13"/>
        <w:widowControl/>
        <w:spacing w:beforeAutospacing="0" w:afterAutospacing="0"/>
        <w:ind w:firstLine="1134"/>
        <w:rPr>
          <w:rFonts w:ascii="仿宋" w:hAnsi="仿宋" w:eastAsia="仿宋"/>
          <w:kern w:val="2"/>
          <w:sz w:val="32"/>
          <w:szCs w:val="32"/>
        </w:rPr>
      </w:pPr>
      <w:r>
        <w:rPr>
          <w:rFonts w:hint="eastAsia" w:ascii="仿宋" w:hAnsi="仿宋" w:eastAsia="仿宋"/>
          <w:kern w:val="2"/>
          <w:sz w:val="32"/>
          <w:szCs w:val="32"/>
        </w:rPr>
        <w:t>2、负责县本级城乡居民基本医疗保险经办工作；负责县本级城镇职工经办工作；负责县本级生育保险经办工作；负责县本级生育保险；负责县本级公务员医疗补助经办工作；负责县本级城镇灵活就业人员基本医疗保险经办工作。</w:t>
      </w:r>
    </w:p>
    <w:p>
      <w:pPr>
        <w:pStyle w:val="13"/>
        <w:widowControl/>
        <w:spacing w:beforeAutospacing="0" w:afterAutospacing="0"/>
        <w:ind w:firstLine="1134"/>
        <w:rPr>
          <w:rFonts w:ascii="仿宋" w:hAnsi="仿宋" w:eastAsia="仿宋"/>
          <w:kern w:val="2"/>
          <w:sz w:val="32"/>
          <w:szCs w:val="32"/>
        </w:rPr>
      </w:pPr>
      <w:r>
        <w:rPr>
          <w:rFonts w:hint="eastAsia" w:ascii="仿宋" w:hAnsi="仿宋" w:eastAsia="仿宋"/>
          <w:kern w:val="2"/>
          <w:sz w:val="32"/>
          <w:szCs w:val="32"/>
        </w:rPr>
        <w:t>3、负责基本医疗保险定点医疗机构、定点零售药店监督管理工作。</w:t>
      </w:r>
    </w:p>
    <w:p>
      <w:pPr>
        <w:pStyle w:val="13"/>
        <w:widowControl/>
        <w:spacing w:beforeAutospacing="0" w:afterAutospacing="0"/>
        <w:ind w:firstLine="1134"/>
        <w:rPr>
          <w:rFonts w:ascii="仿宋" w:hAnsi="仿宋" w:eastAsia="仿宋"/>
          <w:kern w:val="2"/>
          <w:sz w:val="32"/>
          <w:szCs w:val="32"/>
        </w:rPr>
      </w:pPr>
      <w:r>
        <w:rPr>
          <w:rFonts w:hint="eastAsia" w:ascii="仿宋" w:hAnsi="仿宋" w:eastAsia="仿宋"/>
          <w:kern w:val="2"/>
          <w:sz w:val="32"/>
          <w:szCs w:val="32"/>
        </w:rPr>
        <w:t>4、承办县本级离休干部、1-6级革命伤残军人和人民警察的医疗费管理工作；办理县委、县政府、县人力资源和社会保障局交办的其它事项。</w:t>
      </w:r>
    </w:p>
    <w:p>
      <w:pPr>
        <w:autoSpaceDE w:val="0"/>
        <w:autoSpaceDN w:val="0"/>
        <w:adjustRightInd w:val="0"/>
        <w:spacing w:line="578" w:lineRule="exact"/>
        <w:ind w:firstLine="640" w:firstLineChars="200"/>
        <w:rPr>
          <w:rFonts w:ascii="仿宋" w:hAnsi="仿宋" w:eastAsia="仿宋"/>
          <w:bCs/>
          <w:sz w:val="32"/>
          <w:szCs w:val="32"/>
        </w:rPr>
      </w:pPr>
      <w:r>
        <w:rPr>
          <w:rFonts w:hint="eastAsia" w:ascii="仿宋" w:hAnsi="仿宋" w:eastAsia="仿宋"/>
          <w:sz w:val="32"/>
          <w:szCs w:val="32"/>
        </w:rPr>
        <w:t>（二）</w:t>
      </w:r>
      <w:r>
        <w:rPr>
          <w:rFonts w:ascii="仿宋" w:hAnsi="仿宋" w:eastAsia="仿宋"/>
          <w:bCs/>
          <w:sz w:val="32"/>
          <w:szCs w:val="32"/>
        </w:rPr>
        <w:t>20</w:t>
      </w:r>
      <w:r>
        <w:rPr>
          <w:rFonts w:hint="eastAsia" w:ascii="仿宋" w:hAnsi="仿宋" w:eastAsia="仿宋"/>
          <w:bCs/>
          <w:sz w:val="32"/>
          <w:szCs w:val="32"/>
        </w:rPr>
        <w:t>22年重点工作完成情况。</w:t>
      </w:r>
      <w:bookmarkStart w:id="14" w:name="OLE_LINK2"/>
      <w:bookmarkStart w:id="15" w:name="OLE_LINK1"/>
    </w:p>
    <w:p>
      <w:pPr>
        <w:autoSpaceDE w:val="0"/>
        <w:autoSpaceDN w:val="0"/>
        <w:adjustRightInd w:val="0"/>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1、城镇职工</w:t>
      </w:r>
      <w:r>
        <w:rPr>
          <w:rFonts w:ascii="仿宋" w:hAnsi="仿宋" w:eastAsia="仿宋" w:cs="仿宋"/>
          <w:sz w:val="32"/>
          <w:szCs w:val="32"/>
        </w:rPr>
        <w:t>基本</w:t>
      </w:r>
      <w:r>
        <w:rPr>
          <w:rFonts w:hint="eastAsia" w:ascii="仿宋" w:hAnsi="仿宋" w:eastAsia="仿宋" w:cs="仿宋"/>
          <w:sz w:val="32"/>
          <w:szCs w:val="32"/>
        </w:rPr>
        <w:t>医疗</w:t>
      </w:r>
      <w:r>
        <w:rPr>
          <w:rFonts w:ascii="仿宋" w:hAnsi="仿宋" w:eastAsia="仿宋" w:cs="仿宋"/>
          <w:sz w:val="32"/>
          <w:szCs w:val="32"/>
        </w:rPr>
        <w:t>保险：</w:t>
      </w:r>
      <w:r>
        <w:rPr>
          <w:rFonts w:hint="eastAsia" w:ascii="仿宋" w:hAnsi="仿宋" w:eastAsia="仿宋" w:cs="仿宋"/>
          <w:sz w:val="32"/>
          <w:szCs w:val="32"/>
        </w:rPr>
        <w:t>参加城镇企业职工基本医疗保险23906人，征收基本医疗保险基金10900.55万元。</w:t>
      </w:r>
      <w:r>
        <w:rPr>
          <w:rFonts w:hint="eastAsia" w:ascii="仿宋" w:hAnsi="仿宋" w:eastAsia="仿宋" w:cs="仿宋"/>
          <w:b/>
          <w:sz w:val="32"/>
          <w:szCs w:val="32"/>
        </w:rPr>
        <w:br w:type="textWrapping"/>
      </w:r>
      <w:r>
        <w:rPr>
          <w:rFonts w:hint="eastAsia" w:ascii="仿宋" w:hAnsi="仿宋" w:eastAsia="仿宋" w:cs="仿宋"/>
          <w:sz w:val="32"/>
          <w:szCs w:val="32"/>
        </w:rPr>
        <w:t xml:space="preserve">   </w:t>
      </w:r>
      <w:bookmarkEnd w:id="14"/>
      <w:bookmarkEnd w:id="15"/>
      <w:r>
        <w:rPr>
          <w:rFonts w:hint="eastAsia" w:ascii="仿宋" w:hAnsi="仿宋" w:eastAsia="仿宋" w:cs="仿宋"/>
          <w:sz w:val="32"/>
          <w:szCs w:val="32"/>
        </w:rPr>
        <w:t xml:space="preserve"> 2、城乡居民基本医疗</w:t>
      </w:r>
      <w:r>
        <w:rPr>
          <w:rFonts w:ascii="仿宋" w:hAnsi="仿宋" w:eastAsia="仿宋" w:cs="仿宋"/>
          <w:sz w:val="32"/>
          <w:szCs w:val="32"/>
        </w:rPr>
        <w:t>保险：</w:t>
      </w:r>
      <w:r>
        <w:rPr>
          <w:rFonts w:hint="eastAsia" w:ascii="仿宋" w:hAnsi="仿宋" w:eastAsia="仿宋" w:cs="仿宋"/>
          <w:bCs/>
          <w:sz w:val="32"/>
          <w:szCs w:val="32"/>
        </w:rPr>
        <w:t>参加居民医疗</w:t>
      </w:r>
      <w:r>
        <w:rPr>
          <w:rFonts w:ascii="仿宋" w:hAnsi="仿宋" w:eastAsia="仿宋" w:cs="仿宋"/>
          <w:sz w:val="32"/>
          <w:szCs w:val="32"/>
        </w:rPr>
        <w:t>保险人数</w:t>
      </w:r>
      <w:r>
        <w:rPr>
          <w:rFonts w:hint="eastAsia" w:ascii="仿宋" w:hAnsi="仿宋" w:eastAsia="仿宋" w:cs="仿宋"/>
          <w:sz w:val="32"/>
          <w:szCs w:val="32"/>
        </w:rPr>
        <w:t>446412</w:t>
      </w:r>
      <w:r>
        <w:rPr>
          <w:rFonts w:ascii="仿宋" w:hAnsi="仿宋" w:eastAsia="仿宋" w:cs="仿宋"/>
          <w:sz w:val="32"/>
          <w:szCs w:val="32"/>
        </w:rPr>
        <w:t>人，</w:t>
      </w:r>
      <w:r>
        <w:rPr>
          <w:rFonts w:hint="eastAsia" w:ascii="仿宋" w:hAnsi="仿宋" w:eastAsia="仿宋" w:cs="仿宋"/>
          <w:sz w:val="32"/>
          <w:szCs w:val="32"/>
        </w:rPr>
        <w:t>征收居民医保基金15580.53</w:t>
      </w:r>
      <w:r>
        <w:rPr>
          <w:rFonts w:ascii="仿宋" w:hAnsi="仿宋" w:eastAsia="仿宋" w:cs="仿宋"/>
          <w:sz w:val="32"/>
          <w:szCs w:val="32"/>
        </w:rPr>
        <w:t>万元。</w:t>
      </w:r>
      <w:r>
        <w:rPr>
          <w:rFonts w:ascii="仿宋" w:hAnsi="仿宋" w:eastAsia="仿宋" w:cs="仿宋"/>
          <w:sz w:val="32"/>
          <w:szCs w:val="32"/>
        </w:rPr>
        <w:br w:type="textWrapping"/>
      </w:r>
      <w:r>
        <w:rPr>
          <w:rFonts w:hint="eastAsia" w:ascii="楷体" w:hAnsi="楷体" w:eastAsia="楷体" w:cs="楷体"/>
          <w:b/>
          <w:sz w:val="32"/>
          <w:szCs w:val="32"/>
        </w:rPr>
        <w:t xml:space="preserve">    </w:t>
      </w:r>
      <w:r>
        <w:rPr>
          <w:rFonts w:hint="eastAsia" w:ascii="楷体" w:hAnsi="楷体" w:eastAsia="楷体" w:cs="楷体"/>
          <w:bCs/>
          <w:sz w:val="32"/>
          <w:szCs w:val="32"/>
        </w:rPr>
        <w:t>3、其他医疗保障基金</w:t>
      </w:r>
      <w:r>
        <w:rPr>
          <w:rFonts w:ascii="楷体" w:hAnsi="楷体" w:eastAsia="楷体" w:cs="楷体"/>
          <w:bCs/>
          <w:sz w:val="32"/>
          <w:szCs w:val="32"/>
        </w:rPr>
        <w:t>：</w:t>
      </w:r>
      <w:r>
        <w:rPr>
          <w:rFonts w:hint="eastAsia" w:ascii="仿宋" w:hAnsi="仿宋" w:eastAsia="仿宋" w:cs="仿宋"/>
          <w:sz w:val="32"/>
          <w:szCs w:val="32"/>
        </w:rPr>
        <w:t>征收公务员医疗补助基金880.47万元，补充医疗基金306.41万元。</w:t>
      </w:r>
    </w:p>
    <w:p>
      <w:pPr>
        <w:pStyle w:val="13"/>
        <w:widowControl/>
        <w:spacing w:beforeAutospacing="0" w:afterAutospacing="0"/>
        <w:ind w:firstLine="1134"/>
        <w:rPr>
          <w:rFonts w:ascii="仿宋" w:hAnsi="仿宋" w:eastAsia="仿宋"/>
          <w:kern w:val="2"/>
          <w:sz w:val="32"/>
          <w:szCs w:val="32"/>
        </w:rPr>
      </w:pPr>
    </w:p>
    <w:p/>
    <w:p>
      <w:pPr>
        <w:pStyle w:val="4"/>
        <w:rPr>
          <w:rStyle w:val="29"/>
          <w:b w:val="0"/>
          <w:bCs w:val="0"/>
        </w:rPr>
      </w:pPr>
      <w:bookmarkStart w:id="16" w:name="_Toc15377200"/>
      <w:bookmarkStart w:id="17" w:name="_Toc15396601"/>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6"/>
      <w:bookmarkEnd w:id="17"/>
    </w:p>
    <w:p>
      <w:pPr>
        <w:pStyle w:val="13"/>
        <w:widowControl/>
        <w:spacing w:beforeAutospacing="0" w:afterAutospacing="0"/>
        <w:ind w:firstLine="1134"/>
        <w:rPr>
          <w:rFonts w:ascii="仿宋" w:hAnsi="仿宋" w:eastAsia="仿宋"/>
          <w:kern w:val="2"/>
          <w:sz w:val="32"/>
          <w:szCs w:val="32"/>
        </w:rPr>
      </w:pPr>
      <w:r>
        <w:rPr>
          <w:rFonts w:hint="eastAsia" w:ascii="仿宋" w:hAnsi="仿宋" w:eastAsia="仿宋"/>
          <w:kern w:val="2"/>
          <w:sz w:val="32"/>
          <w:szCs w:val="32"/>
        </w:rPr>
        <w:t>开江县医疗保障事务中心是副科级参照公务员法管理的公益一类事业单位，是有独立法人的县属一级预算单位。</w:t>
      </w:r>
    </w:p>
    <w:p>
      <w:pPr>
        <w:pStyle w:val="13"/>
        <w:widowControl/>
        <w:spacing w:beforeAutospacing="0" w:afterAutospacing="0"/>
        <w:rPr>
          <w:rFonts w:ascii="仿宋" w:hAnsi="仿宋" w:eastAsia="仿宋"/>
          <w:kern w:val="2"/>
          <w:sz w:val="32"/>
          <w:szCs w:val="32"/>
        </w:rPr>
      </w:pPr>
      <w:r>
        <w:rPr>
          <w:rFonts w:hint="eastAsia" w:ascii="仿宋" w:hAnsi="仿宋" w:eastAsia="仿宋"/>
          <w:kern w:val="2"/>
          <w:sz w:val="32"/>
          <w:szCs w:val="32"/>
        </w:rPr>
        <w:t>内设办公室、财务股、审核股、稽核股、信息股、政务服务股等6个职能科室，编制人数27人，现有工作人员25人，退休人员9人。</w:t>
      </w:r>
    </w:p>
    <w:p>
      <w:pPr>
        <w:widowControl/>
        <w:jc w:val="left"/>
        <w:rPr>
          <w:rFonts w:ascii="仿宋" w:hAnsi="仿宋" w:eastAsia="仿宋"/>
          <w:kern w:val="0"/>
          <w:sz w:val="32"/>
          <w:szCs w:val="32"/>
        </w:rPr>
      </w:pPr>
    </w:p>
    <w:p>
      <w:pPr>
        <w:pStyle w:val="3"/>
        <w:ind w:right="440"/>
        <w:jc w:val="center"/>
        <w:rPr>
          <w:rStyle w:val="28"/>
          <w:rFonts w:ascii="黑体" w:hAnsi="黑体" w:eastAsia="黑体"/>
          <w:b w:val="0"/>
          <w:bCs/>
        </w:rPr>
      </w:pPr>
      <w:bookmarkStart w:id="18" w:name="_Toc15396602"/>
      <w:bookmarkStart w:id="19" w:name="_Toc15377204"/>
      <w:r>
        <w:rPr>
          <w:rFonts w:hint="eastAsia" w:ascii="黑体" w:hAnsi="黑体" w:eastAsia="黑体"/>
          <w:b w:val="0"/>
        </w:rPr>
        <w:t>第二部分 2022年度</w:t>
      </w:r>
      <w:r>
        <w:rPr>
          <w:rStyle w:val="28"/>
          <w:rFonts w:hint="eastAsia" w:ascii="黑体" w:hAnsi="黑体" w:eastAsia="黑体"/>
          <w:b w:val="0"/>
          <w:bCs/>
        </w:rPr>
        <w:t>部门决算情况说明</w:t>
      </w:r>
      <w:bookmarkEnd w:id="18"/>
      <w:bookmarkEnd w:id="19"/>
    </w:p>
    <w:p/>
    <w:p>
      <w:pPr>
        <w:pStyle w:val="27"/>
        <w:numPr>
          <w:ilvl w:val="0"/>
          <w:numId w:val="2"/>
        </w:numPr>
        <w:spacing w:line="600" w:lineRule="exact"/>
        <w:ind w:firstLineChars="0"/>
        <w:outlineLvl w:val="1"/>
        <w:rPr>
          <w:rStyle w:val="29"/>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2022年度收、支总计355.78万元。与2021年248.84万元相比，收、支总计各增加106.94万元，增长42.98</w:t>
      </w:r>
      <w:r>
        <w:rPr>
          <w:rFonts w:ascii="仿宋" w:hAnsi="仿宋" w:eastAsia="仿宋"/>
          <w:sz w:val="32"/>
          <w:szCs w:val="32"/>
        </w:rPr>
        <w:t>%</w:t>
      </w:r>
      <w:r>
        <w:rPr>
          <w:rFonts w:hint="eastAsia" w:ascii="仿宋" w:hAnsi="仿宋" w:eastAsia="仿宋"/>
          <w:sz w:val="32"/>
          <w:szCs w:val="32"/>
        </w:rPr>
        <w:t>。主要变动原因是2022年年初预算不够，2021年下半年招录的5名人员未纳入22年预算以及2022年下半年新招录三名人员未纳入预算。</w:t>
      </w:r>
    </w:p>
    <w:p>
      <w:pPr>
        <w:spacing w:line="600" w:lineRule="exact"/>
        <w:ind w:firstLine="640" w:firstLineChars="200"/>
        <w:jc w:val="left"/>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29"/>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22年本年收入合计355.78万元，其中：一般公共预算财政拨款收入355.78万元，占100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9"/>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22年本年支出合计355.78万元，其中：基本支出355.78万元，占0</w:t>
      </w:r>
      <w:r>
        <w:rPr>
          <w:rFonts w:ascii="仿宋" w:hAnsi="仿宋" w:eastAsia="仿宋"/>
          <w:sz w:val="32"/>
          <w:szCs w:val="32"/>
        </w:rPr>
        <w:t>%</w:t>
      </w:r>
      <w:r>
        <w:rPr>
          <w:rFonts w:hint="eastAsia" w:ascii="仿宋" w:hAnsi="仿宋" w:eastAsia="仿宋"/>
          <w:sz w:val="32"/>
          <w:szCs w:val="32"/>
        </w:rPr>
        <w:t>；项目支出0万元，占0</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9"/>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6"/>
      <w:bookmarkEnd w:id="2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22年财政拨款收、支总计355.78万元。与</w:t>
      </w:r>
      <w:r>
        <w:rPr>
          <w:rFonts w:ascii="仿宋" w:hAnsi="仿宋" w:eastAsia="仿宋"/>
          <w:sz w:val="32"/>
          <w:szCs w:val="32"/>
        </w:rPr>
        <w:t>20</w:t>
      </w:r>
      <w:r>
        <w:rPr>
          <w:rFonts w:hint="eastAsia" w:ascii="仿宋" w:hAnsi="仿宋" w:eastAsia="仿宋"/>
          <w:sz w:val="32"/>
          <w:szCs w:val="32"/>
        </w:rPr>
        <w:t>21年相比，财政拨款收、支总计各增加106.94万元，增长42.98</w:t>
      </w:r>
      <w:r>
        <w:rPr>
          <w:rFonts w:ascii="仿宋" w:hAnsi="仿宋" w:eastAsia="仿宋"/>
          <w:sz w:val="32"/>
          <w:szCs w:val="32"/>
        </w:rPr>
        <w:t>%</w:t>
      </w:r>
      <w:r>
        <w:rPr>
          <w:rFonts w:hint="eastAsia" w:ascii="仿宋" w:hAnsi="仿宋" w:eastAsia="仿宋"/>
          <w:sz w:val="32"/>
          <w:szCs w:val="32"/>
        </w:rPr>
        <w:t>。主要变动原因是2022年年初预算不够，2021年下半年招录的5名人员未纳入22年预算以及2022年下半年新招录三名人员未纳入预算。</w:t>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22年一般公共预算财政拨款支出355.78万元，占本年支出合计的100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21年相比，一般公共预算财政拨款支出增加106.94万元，增长42.98</w:t>
      </w:r>
      <w:r>
        <w:rPr>
          <w:rFonts w:ascii="仿宋" w:hAnsi="仿宋" w:eastAsia="仿宋"/>
          <w:sz w:val="32"/>
          <w:szCs w:val="32"/>
        </w:rPr>
        <w:t>%</w:t>
      </w:r>
      <w:r>
        <w:rPr>
          <w:rFonts w:hint="eastAsia" w:ascii="仿宋" w:hAnsi="仿宋" w:eastAsia="仿宋"/>
          <w:sz w:val="32"/>
          <w:szCs w:val="32"/>
        </w:rPr>
        <w:t>。主要变动原因是2022年年初预算不够，2021年下半年招录的5名人员的人员经费、公用经费未纳入22年预算以及2022年下半年新招录三名人员的人员经费、公用经费未纳入预算。同时，城乡居民医保保险经办业务量增加，各项办公费、印刷费、差旅费增加。</w:t>
      </w:r>
    </w:p>
    <w:p>
      <w:pPr>
        <w:spacing w:line="600" w:lineRule="exact"/>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22年一般公共预算财政拨款支出355.78万元，主要用于以下方面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支出282.08</w:t>
      </w:r>
      <w:r>
        <w:rPr>
          <w:rFonts w:hint="eastAsia" w:ascii="仿宋" w:hAnsi="仿宋" w:eastAsia="仿宋"/>
          <w:sz w:val="32"/>
          <w:szCs w:val="32"/>
        </w:rPr>
        <w:t>万元，占79.28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51.67万元，占14.52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住房保障支出22.04</w:t>
      </w:r>
      <w:r>
        <w:rPr>
          <w:rFonts w:hint="eastAsia" w:ascii="仿宋" w:hAnsi="仿宋" w:eastAsia="仿宋"/>
          <w:sz w:val="32"/>
          <w:szCs w:val="32"/>
        </w:rPr>
        <w:t>万元，占6.2</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3" w:firstLineChars="200"/>
        <w:outlineLvl w:val="2"/>
        <w:rPr>
          <w:rFonts w:ascii="仿宋" w:hAnsi="仿宋" w:eastAsia="仿宋"/>
          <w:sz w:val="32"/>
          <w:szCs w:val="32"/>
        </w:rPr>
      </w:pPr>
      <w:bookmarkStart w:id="33" w:name="_Toc15377444"/>
      <w:bookmarkStart w:id="34" w:name="_Toc15378460"/>
      <w:bookmarkStart w:id="35" w:name="_Toc15377213"/>
      <w:r>
        <w:rPr>
          <w:rFonts w:hint="eastAsia" w:ascii="仿宋" w:hAnsi="仿宋" w:eastAsia="仿宋"/>
          <w:b/>
          <w:sz w:val="32"/>
          <w:szCs w:val="32"/>
        </w:rPr>
        <w:t>2022年一般公共预算支出决算数为355.78万元</w:t>
      </w:r>
      <w:r>
        <w:rPr>
          <w:rFonts w:hint="eastAsia" w:ascii="仿宋" w:hAnsi="仿宋" w:eastAsia="仿宋"/>
          <w:sz w:val="32"/>
          <w:szCs w:val="32"/>
        </w:rPr>
        <w:t>，</w:t>
      </w:r>
      <w:r>
        <w:rPr>
          <w:rStyle w:val="17"/>
          <w:rFonts w:hint="eastAsia" w:ascii="仿宋" w:hAnsi="仿宋" w:eastAsia="仿宋"/>
          <w:bCs/>
          <w:sz w:val="32"/>
          <w:szCs w:val="32"/>
        </w:rPr>
        <w:t>完成预算175.23</w:t>
      </w:r>
      <w:r>
        <w:rPr>
          <w:rStyle w:val="17"/>
          <w:rFonts w:ascii="仿宋" w:hAnsi="仿宋" w:eastAsia="仿宋"/>
          <w:bCs/>
          <w:sz w:val="32"/>
          <w:szCs w:val="32"/>
        </w:rPr>
        <w:t>%</w:t>
      </w:r>
      <w:r>
        <w:rPr>
          <w:rStyle w:val="17"/>
          <w:rFonts w:hint="eastAsia" w:ascii="仿宋" w:hAnsi="仿宋" w:eastAsia="仿宋"/>
          <w:bCs/>
          <w:sz w:val="32"/>
          <w:szCs w:val="32"/>
        </w:rPr>
        <w:t>。其中：</w:t>
      </w:r>
      <w:bookmarkEnd w:id="33"/>
      <w:bookmarkEnd w:id="34"/>
      <w:bookmarkEnd w:id="35"/>
    </w:p>
    <w:p>
      <w:pPr>
        <w:numPr>
          <w:ilvl w:val="0"/>
          <w:numId w:val="3"/>
        </w:num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社会保障和就业人力资源和社会保障管理事务支出</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支出决算为256.86万元，完成预算168.26</w:t>
      </w:r>
      <w:r>
        <w:rPr>
          <w:rStyle w:val="17"/>
          <w:rFonts w:ascii="仿宋" w:hAnsi="仿宋" w:eastAsia="仿宋"/>
          <w:b w:val="0"/>
          <w:bCs/>
          <w:sz w:val="32"/>
          <w:szCs w:val="32"/>
        </w:rPr>
        <w:t>%</w:t>
      </w:r>
      <w:r>
        <w:rPr>
          <w:rStyle w:val="17"/>
          <w:rFonts w:hint="eastAsia" w:ascii="仿宋" w:hAnsi="仿宋" w:eastAsia="仿宋"/>
          <w:b w:val="0"/>
          <w:bCs/>
          <w:sz w:val="32"/>
          <w:szCs w:val="32"/>
        </w:rPr>
        <w:t>，决算数大于预算数的主要原因是21年以及22年新招录8名人员的人员经费、公用经费未纳入预算，城乡居民医保保险经办业务量增加，各项办公费、印刷费、差旅费增加。</w:t>
      </w:r>
    </w:p>
    <w:p>
      <w:pPr>
        <w:numPr>
          <w:ilvl w:val="0"/>
          <w:numId w:val="3"/>
        </w:num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社会保障和就业行政事业单位养老支出：</w:t>
      </w:r>
      <w:r>
        <w:rPr>
          <w:rStyle w:val="17"/>
          <w:rFonts w:hint="eastAsia" w:ascii="仿宋" w:hAnsi="仿宋" w:eastAsia="仿宋"/>
          <w:b w:val="0"/>
          <w:bCs/>
          <w:sz w:val="32"/>
          <w:szCs w:val="32"/>
        </w:rPr>
        <w:t>支出决算为25.22万元，完成预算122.37</w:t>
      </w:r>
      <w:r>
        <w:rPr>
          <w:rStyle w:val="17"/>
          <w:rFonts w:ascii="仿宋" w:hAnsi="仿宋" w:eastAsia="仿宋"/>
          <w:b w:val="0"/>
          <w:bCs/>
          <w:sz w:val="32"/>
          <w:szCs w:val="32"/>
        </w:rPr>
        <w:t>%</w:t>
      </w:r>
      <w:r>
        <w:rPr>
          <w:rStyle w:val="17"/>
          <w:rFonts w:hint="eastAsia" w:ascii="仿宋" w:hAnsi="仿宋" w:eastAsia="仿宋"/>
          <w:b w:val="0"/>
          <w:bCs/>
          <w:sz w:val="32"/>
          <w:szCs w:val="32"/>
        </w:rPr>
        <w:t>，决算数大于预算数的主要原因是21年以及22年新招录8名人员的养老保险缴费未纳入预算。</w:t>
      </w:r>
    </w:p>
    <w:p>
      <w:pPr>
        <w:numPr>
          <w:ilvl w:val="0"/>
          <w:numId w:val="3"/>
        </w:num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卫生健康支出行政事业单位医疗</w:t>
      </w:r>
      <w:r>
        <w:rPr>
          <w:rStyle w:val="17"/>
          <w:rFonts w:hint="eastAsia" w:ascii="仿宋" w:hAnsi="仿宋" w:eastAsia="仿宋"/>
          <w:b w:val="0"/>
          <w:bCs/>
          <w:sz w:val="32"/>
          <w:szCs w:val="32"/>
        </w:rPr>
        <w:t>：支出决算为20.8万元，完成预算145.35</w:t>
      </w:r>
      <w:r>
        <w:rPr>
          <w:rStyle w:val="17"/>
          <w:rFonts w:ascii="仿宋" w:hAnsi="仿宋" w:eastAsia="仿宋"/>
          <w:b w:val="0"/>
          <w:bCs/>
          <w:sz w:val="32"/>
          <w:szCs w:val="32"/>
        </w:rPr>
        <w:t>%</w:t>
      </w:r>
      <w:r>
        <w:rPr>
          <w:rStyle w:val="17"/>
          <w:rFonts w:hint="eastAsia" w:ascii="仿宋" w:hAnsi="仿宋" w:eastAsia="仿宋"/>
          <w:b w:val="0"/>
          <w:bCs/>
          <w:sz w:val="32"/>
          <w:szCs w:val="32"/>
        </w:rPr>
        <w:t>，决算数大于预算数的主要原因是21年以及22年新招录8名人员的医疗保险缴费未纳入预算。</w:t>
      </w:r>
    </w:p>
    <w:p>
      <w:pPr>
        <w:pStyle w:val="6"/>
        <w:spacing w:before="93"/>
      </w:pPr>
    </w:p>
    <w:p>
      <w:pPr>
        <w:numPr>
          <w:ilvl w:val="0"/>
          <w:numId w:val="3"/>
        </w:num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卫生健康支出医疗保障管理事务</w:t>
      </w:r>
      <w:r>
        <w:rPr>
          <w:rStyle w:val="17"/>
          <w:rFonts w:hint="eastAsia" w:ascii="仿宋" w:hAnsi="仿宋" w:eastAsia="仿宋"/>
          <w:b w:val="0"/>
          <w:bCs/>
          <w:sz w:val="32"/>
          <w:szCs w:val="32"/>
        </w:rPr>
        <w:t>：支出决算为30.88万元，年初预算为0，决算数大于预算数的主要原因是2022年四川省下发的医疗保障服务能力建设资金。</w:t>
      </w:r>
    </w:p>
    <w:p>
      <w:pPr>
        <w:numPr>
          <w:ilvl w:val="0"/>
          <w:numId w:val="3"/>
        </w:num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住房保障支出住房公积金：支出决算为22.04万元，完成预算142.65</w:t>
      </w:r>
      <w:r>
        <w:rPr>
          <w:rStyle w:val="17"/>
          <w:rFonts w:ascii="仿宋" w:hAnsi="仿宋" w:eastAsia="仿宋"/>
          <w:b w:val="0"/>
          <w:bCs/>
          <w:sz w:val="32"/>
          <w:szCs w:val="32"/>
        </w:rPr>
        <w:t>%</w:t>
      </w:r>
      <w:r>
        <w:rPr>
          <w:rStyle w:val="17"/>
          <w:rFonts w:hint="eastAsia" w:ascii="仿宋" w:hAnsi="仿宋" w:eastAsia="仿宋"/>
          <w:b w:val="0"/>
          <w:bCs/>
          <w:sz w:val="32"/>
          <w:szCs w:val="32"/>
        </w:rPr>
        <w:t>，决算数大于预算数的主要原因是21年以及22年新招录8名人员的住房公积金缴费未纳入预算。</w:t>
      </w:r>
    </w:p>
    <w:p>
      <w:pPr>
        <w:pStyle w:val="6"/>
        <w:spacing w:before="93"/>
        <w:ind w:firstLine="600" w:firstLineChars="200"/>
      </w:pP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36" w:name="_Toc15377214"/>
      <w:bookmarkStart w:id="37"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6"/>
      <w:bookmarkEnd w:id="37"/>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22年一般公共预算财政拨款基本支出355.78万元，其中：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288.57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67.22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38" w:name="_Toc15377215"/>
      <w:bookmarkStart w:id="39"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22年“三公”经费财政拨款支出决算为0万元，完成预算100</w:t>
      </w:r>
      <w:r>
        <w:rPr>
          <w:rFonts w:ascii="仿宋" w:hAnsi="仿宋" w:eastAsia="仿宋"/>
          <w:sz w:val="32"/>
          <w:szCs w:val="32"/>
        </w:rPr>
        <w:t>%</w:t>
      </w:r>
      <w:r>
        <w:rPr>
          <w:rFonts w:hint="eastAsia" w:ascii="仿宋" w:hAnsi="仿宋" w:eastAsia="仿宋"/>
          <w:sz w:val="32"/>
          <w:szCs w:val="32"/>
        </w:rPr>
        <w:t>，较上年增加0万元，增长0%。决算数等于预算数。</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21年增加0万元，增长0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公务用车购置及运行维护费支出0</w:t>
      </w:r>
      <w:r>
        <w:rPr>
          <w:rFonts w:hint="eastAsia" w:ascii="仿宋_GB2312" w:eastAsia="仿宋_GB2312"/>
          <w:sz w:val="32"/>
          <w:szCs w:val="32"/>
        </w:rPr>
        <w:t>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21年增加0万元，增长0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w:t>
      </w:r>
      <w:r>
        <w:rPr>
          <w:rFonts w:hint="eastAsia" w:ascii="仿宋_GB2312" w:eastAsia="仿宋_GB2312"/>
          <w:sz w:val="32"/>
          <w:szCs w:val="32"/>
        </w:rPr>
        <w:t>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公务接待费支出0</w:t>
      </w:r>
      <w:r>
        <w:rPr>
          <w:rFonts w:hint="eastAsia" w:ascii="仿宋_GB2312" w:eastAsia="仿宋_GB2312"/>
          <w:sz w:val="32"/>
          <w:szCs w:val="32"/>
        </w:rPr>
        <w:t>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21年增加0万元，增长0</w:t>
      </w:r>
      <w:r>
        <w:rPr>
          <w:rFonts w:ascii="仿宋_GB2312" w:eastAsia="仿宋_GB2312"/>
          <w:sz w:val="32"/>
          <w:szCs w:val="32"/>
        </w:rPr>
        <w:t>%</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国内公务接待支出0</w:t>
      </w:r>
      <w:r>
        <w:rPr>
          <w:rFonts w:hint="eastAsia" w:ascii="仿宋_GB2312" w:eastAsia="仿宋_GB2312"/>
          <w:sz w:val="32"/>
          <w:szCs w:val="32"/>
        </w:rPr>
        <w:t>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2" w:name="_Toc15377218"/>
      <w:bookmarkStart w:id="43" w:name="_Toc15396610"/>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9"/>
          <w:rFonts w:ascii="黑体" w:hAnsi="黑体" w:eastAsia="黑体"/>
          <w:b w:val="0"/>
        </w:rPr>
      </w:pPr>
      <w:bookmarkStart w:id="44" w:name="_Toc15396611"/>
      <w:bookmarkStart w:id="45" w:name="_Toc15377219"/>
      <w:r>
        <w:rPr>
          <w:rStyle w:val="29"/>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9"/>
          <w:rFonts w:ascii="黑体" w:hAnsi="黑体" w:eastAsia="黑体"/>
          <w:b w:val="0"/>
        </w:rPr>
      </w:pPr>
      <w:bookmarkStart w:id="46" w:name="_Toc15377221"/>
      <w:bookmarkStart w:id="47" w:name="_Toc15396612"/>
      <w:r>
        <w:rPr>
          <w:rStyle w:val="29"/>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22年，机关运行经费支出67.22万元，比</w:t>
      </w:r>
      <w:r>
        <w:rPr>
          <w:rFonts w:ascii="仿宋_GB2312" w:eastAsia="仿宋_GB2312"/>
          <w:sz w:val="32"/>
          <w:szCs w:val="32"/>
        </w:rPr>
        <w:t>20</w:t>
      </w:r>
      <w:r>
        <w:rPr>
          <w:rFonts w:hint="eastAsia" w:ascii="仿宋_GB2312" w:eastAsia="仿宋_GB2312"/>
          <w:sz w:val="32"/>
          <w:szCs w:val="32"/>
        </w:rPr>
        <w:t>21年增加48.76万元，增长72.54</w:t>
      </w:r>
      <w:r>
        <w:rPr>
          <w:rFonts w:ascii="仿宋_GB2312" w:eastAsia="仿宋_GB2312"/>
          <w:sz w:val="32"/>
          <w:szCs w:val="32"/>
        </w:rPr>
        <w:t>%</w:t>
      </w:r>
      <w:r>
        <w:rPr>
          <w:rFonts w:hint="eastAsia" w:ascii="仿宋_GB2312" w:eastAsia="仿宋_GB2312"/>
          <w:sz w:val="32"/>
          <w:szCs w:val="32"/>
        </w:rPr>
        <w:t>。主要原因是21年以及22年共招录8名人员导致公用经费增加，同时居民医保保险经办业务量增加，导致各项办公费、印刷费、差旅费、稽查工作经费增加</w:t>
      </w:r>
      <w:r>
        <w:rPr>
          <w:rFonts w:ascii="微软雅黑" w:hAnsi="微软雅黑" w:eastAsia="微软雅黑" w:cs="微软雅黑"/>
          <w:color w:val="333333"/>
          <w:sz w:val="24"/>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日，开江县医疗保障事务中心共有车辆0辆，其中：主要领导干部用车0辆、机要通信用车0辆、应急保障用车0辆、其他用车0辆。单价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根据预算绩效管理要求，本部门在2022年度预算编制阶段，组织对日常公用经费项目等17个项目开展了预算事前绩效评估，对17个项目编制了绩效目标，预算执行过程中，选取17个项目开展绩效监控。</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部门整体（含部门预算项目）绩效自评报告、其中，开江县医疗保障事务中心部门整体（含部门预算项目）绩效自评得分为88分，绩效自评报告详见附件。</w:t>
      </w: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8"/>
          <w:rFonts w:ascii="黑体" w:hAnsi="黑体" w:eastAsia="黑体"/>
          <w:b w:val="0"/>
        </w:rPr>
      </w:pPr>
      <w:bookmarkStart w:id="51" w:name="_Toc15377225"/>
      <w:bookmarkStart w:id="52" w:name="_Toc15396613"/>
      <w:r>
        <w:rPr>
          <w:rFonts w:hint="eastAsia" w:ascii="黑体" w:hAnsi="黑体" w:eastAsia="黑体"/>
          <w:sz w:val="44"/>
          <w:szCs w:val="44"/>
        </w:rPr>
        <w:t>名</w:t>
      </w:r>
      <w:r>
        <w:rPr>
          <w:rStyle w:val="28"/>
          <w:rFonts w:hint="eastAsia" w:ascii="黑体" w:hAnsi="黑体" w:eastAsia="黑体"/>
          <w:b w:val="0"/>
        </w:rPr>
        <w:t>词解释</w:t>
      </w:r>
      <w:bookmarkEnd w:id="51"/>
      <w:bookmarkEnd w:id="52"/>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8"/>
          <w:rFonts w:ascii="黑体" w:hAnsi="黑体" w:eastAsia="黑体"/>
          <w:b w:val="0"/>
        </w:rPr>
      </w:pPr>
      <w:bookmarkStart w:id="53" w:name="_Toc15377226"/>
      <w:r>
        <w:rPr>
          <w:rFonts w:ascii="宋体"/>
          <w:b/>
          <w:sz w:val="44"/>
          <w:szCs w:val="44"/>
        </w:rPr>
        <w:br w:type="page"/>
      </w:r>
      <w:bookmarkStart w:id="54" w:name="_Toc15396614"/>
      <w:r>
        <w:rPr>
          <w:rFonts w:hint="eastAsia" w:ascii="黑体" w:hAnsi="黑体" w:eastAsia="黑体"/>
          <w:sz w:val="44"/>
          <w:szCs w:val="44"/>
        </w:rPr>
        <w:t>第</w:t>
      </w:r>
      <w:r>
        <w:rPr>
          <w:rStyle w:val="28"/>
          <w:rFonts w:hint="eastAsia" w:ascii="黑体" w:hAnsi="黑体" w:eastAsia="黑体"/>
          <w:b w:val="0"/>
        </w:rPr>
        <w:t>四部分 附件</w:t>
      </w:r>
      <w:bookmarkEnd w:id="54"/>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开江县医疗保障事务中心</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2022年部门整体支出绩效自评报告</w:t>
      </w:r>
    </w:p>
    <w:p>
      <w:pPr>
        <w:widowControl/>
        <w:spacing w:line="580" w:lineRule="exact"/>
        <w:contextualSpacing/>
        <w:jc w:val="center"/>
        <w:rPr>
          <w:rFonts w:ascii="仿宋_GB2312"/>
          <w:szCs w:val="32"/>
          <w:shd w:val="clear" w:color="auto" w:fill="FFFFFF"/>
        </w:rPr>
      </w:pPr>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一、部门（单位）概况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（一）机构组成。</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开江县医疗保险管理局成立于</w:t>
      </w:r>
      <w:r>
        <w:rPr>
          <w:rFonts w:hint="eastAsia" w:ascii="仿宋_GB2312" w:hAnsi="仿宋_GB2312" w:eastAsia="仿宋_GB2312" w:cs="仿宋_GB2312"/>
          <w:kern w:val="0"/>
          <w:sz w:val="32"/>
          <w:szCs w:val="32"/>
          <w:shd w:val="clear" w:color="auto" w:fill="FFFFFF"/>
        </w:rPr>
        <w:t>2000年12月，</w:t>
      </w:r>
      <w:r>
        <w:rPr>
          <w:rFonts w:hint="eastAsia" w:ascii="仿宋_GB2312" w:hAnsi="仿宋_GB2312" w:eastAsia="仿宋_GB2312" w:cs="仿宋_GB2312"/>
          <w:kern w:val="0"/>
          <w:sz w:val="32"/>
          <w:szCs w:val="32"/>
          <w:shd w:val="clear" w:color="auto" w:fill="FFFFFF"/>
          <w:lang w:val="zh-CN"/>
        </w:rPr>
        <w:t>于2019年12月正式更名为开江县医疗保障事务中心，</w:t>
      </w:r>
      <w:r>
        <w:rPr>
          <w:rFonts w:hint="eastAsia" w:ascii="仿宋_GB2312" w:hAnsi="仿宋_GB2312" w:eastAsia="仿宋_GB2312" w:cs="仿宋_GB2312"/>
          <w:kern w:val="0"/>
          <w:sz w:val="32"/>
          <w:szCs w:val="32"/>
          <w:shd w:val="clear" w:color="auto" w:fill="FFFFFF"/>
        </w:rPr>
        <w:t>是副科级参照公务员法管理的事业单位，是有独立法人的县属一级预算单位。</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（二）机构职能。</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1、为全县群众提供医疗保险参保及待遇享受服务；2、打击个人骗保行为，维护医保基金稳定运行；3、监督定点医药机构，打击欺诈骗保行为；4、规范定点医药机构医保服务行为，有效保障医药机构为参保群众提供高效服务；5、全县职工生育保险服务工作；6、全县公务员医疗救助工作；7、医疗扶贫工作及乡村振兴工作；8、县委、县政府下达的其他工作。</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（三）人员概况。单位内设</w:t>
      </w:r>
      <w:r>
        <w:rPr>
          <w:rFonts w:hint="eastAsia" w:ascii="仿宋_GB2312" w:hAnsi="仿宋_GB2312" w:eastAsia="仿宋_GB2312" w:cs="仿宋_GB2312"/>
          <w:kern w:val="0"/>
          <w:sz w:val="32"/>
          <w:szCs w:val="32"/>
          <w:shd w:val="clear" w:color="auto" w:fill="FFFFFF"/>
        </w:rPr>
        <w:t>5股1室，办公室、财务股、信息股、政务服务股、审核股、稽核股。现有编制数27个，在编在岗工作人员25人，退休人员9人。</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二、部门财政资金收支情况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（一）部门财政资金收入情况。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2022年财政资金预算收入355.78万元。</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部门财政资金支出情况。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2022年财政资金基本支出355.78万元，其中人员经费支出288.57万元、公用经费支出67.22万元。</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三、部门整体预算绩效管理情况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（一）部门预算项目绩效管理。</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1、目标制定：</w:t>
      </w:r>
      <w:r>
        <w:rPr>
          <w:rFonts w:hint="eastAsia" w:ascii="仿宋_GB2312" w:hAnsi="仿宋_GB2312" w:eastAsia="仿宋_GB2312" w:cs="仿宋_GB2312"/>
          <w:kern w:val="0"/>
          <w:sz w:val="32"/>
          <w:szCs w:val="32"/>
          <w:shd w:val="clear" w:color="auto" w:fill="FFFFFF"/>
          <w:lang w:val="zh-CN"/>
        </w:rPr>
        <w:t xml:space="preserve">绩效目标编制要素完整，绩效指标有细化量化，绩效目标纳入部门党组会集体决策范围。   </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2、目标实现：</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（一）严格外伤调查。进一步完善了意外伤害患者备案、调查管理办法，加大重点外伤患者入户调查力度，控制不合规支出。全年稽查次数预计84次，1—8月，我单位完成稽查56次。</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（二）严格审核管理。充分利用大数据系</w:t>
      </w:r>
      <w:r>
        <w:rPr>
          <w:rFonts w:hint="eastAsia" w:ascii="仿宋_GB2312" w:hAnsi="仿宋_GB2312" w:eastAsia="仿宋_GB2312" w:cs="仿宋_GB2312"/>
          <w:kern w:val="0"/>
          <w:sz w:val="32"/>
          <w:szCs w:val="32"/>
          <w:shd w:val="clear" w:color="auto" w:fill="FFFFFF"/>
          <w:lang w:val="zh-CN"/>
        </w:rPr>
        <w:t>统，强化对定点医疗机构发生费用的实时监控和常态稽核，实现两定机构监管全覆盖。</w:t>
      </w:r>
      <w:r>
        <w:rPr>
          <w:rFonts w:hint="eastAsia" w:ascii="仿宋_GB2312" w:hAnsi="仿宋_GB2312" w:eastAsia="仿宋_GB2312" w:cs="仿宋_GB2312"/>
          <w:kern w:val="0"/>
          <w:sz w:val="32"/>
          <w:szCs w:val="32"/>
          <w:shd w:val="clear" w:color="auto" w:fill="FFFFFF"/>
        </w:rPr>
        <w:t>1-8月，进行智能审核监督，监督检查医药机构，实现稽查覆盖率100%。</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三）不断规范医保基金及定点医药机构管理，加大信息化建设，提高参保群众医保服务满意度。一是积极推动医保异地联网结算工作，提供一站式服务，提高参保群众满意度。二是积极推动药品采集，降低药品单价，让参保群众享受低价实惠。三是扎实推进</w:t>
      </w:r>
      <w:r>
        <w:rPr>
          <w:rFonts w:hint="eastAsia" w:ascii="仿宋_GB2312" w:hAnsi="仿宋_GB2312" w:eastAsia="仿宋_GB2312" w:cs="仿宋_GB2312"/>
          <w:kern w:val="0"/>
          <w:sz w:val="32"/>
          <w:szCs w:val="32"/>
          <w:shd w:val="clear" w:color="auto" w:fill="FFFFFF"/>
        </w:rPr>
        <w:t>DRG付费模式改革，有效降低群众负担和促进医药机构提升服务质量。四是进一步提高医保电子凭证应用范围，方便群众随时掌握医保信息，提高医保服务信息化程度。</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支出控制：</w:t>
      </w:r>
      <w:r>
        <w:rPr>
          <w:rFonts w:hint="eastAsia" w:ascii="仿宋_GB2312" w:hAnsi="仿宋_GB2312" w:eastAsia="仿宋_GB2312" w:cs="仿宋_GB2312"/>
          <w:kern w:val="0"/>
          <w:sz w:val="32"/>
          <w:szCs w:val="32"/>
          <w:shd w:val="clear" w:color="auto" w:fill="FFFFFF"/>
        </w:rPr>
        <w:t>22年人员增加导致预算指标变动，年初预算与决算有偏差。</w:t>
      </w:r>
      <w:r>
        <w:rPr>
          <w:rFonts w:hint="eastAsia" w:ascii="仿宋_GB2312" w:hAnsi="仿宋_GB2312" w:eastAsia="仿宋_GB2312" w:cs="仿宋_GB2312"/>
          <w:kern w:val="0"/>
          <w:sz w:val="32"/>
          <w:szCs w:val="32"/>
          <w:shd w:val="clear" w:color="auto" w:fill="FFFFFF"/>
          <w:lang w:val="zh-CN"/>
        </w:rPr>
        <w:t xml:space="preserve">                                                                                                                                 </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4、执行进度：</w:t>
      </w:r>
      <w:r>
        <w:rPr>
          <w:rFonts w:hint="eastAsia" w:ascii="仿宋_GB2312" w:hAnsi="仿宋_GB2312" w:eastAsia="仿宋_GB2312" w:cs="仿宋_GB2312"/>
          <w:kern w:val="0"/>
          <w:sz w:val="32"/>
          <w:szCs w:val="32"/>
          <w:shd w:val="clear" w:color="auto" w:fill="FFFFFF"/>
          <w:lang w:val="zh-CN"/>
        </w:rPr>
        <w:t>20</w:t>
      </w:r>
      <w:r>
        <w:rPr>
          <w:rFonts w:hint="eastAsia" w:ascii="仿宋_GB2312" w:hAnsi="仿宋_GB2312" w:eastAsia="仿宋_GB2312" w:cs="仿宋_GB2312"/>
          <w:kern w:val="0"/>
          <w:sz w:val="32"/>
          <w:szCs w:val="32"/>
          <w:shd w:val="clear" w:color="auto" w:fill="FFFFFF"/>
        </w:rPr>
        <w:t>22</w:t>
      </w:r>
      <w:r>
        <w:rPr>
          <w:rFonts w:hint="eastAsia" w:ascii="仿宋_GB2312" w:hAnsi="仿宋_GB2312" w:eastAsia="仿宋_GB2312" w:cs="仿宋_GB2312"/>
          <w:kern w:val="0"/>
          <w:sz w:val="32"/>
          <w:szCs w:val="32"/>
          <w:shd w:val="clear" w:color="auto" w:fill="FFFFFF"/>
          <w:lang w:val="zh-CN"/>
        </w:rPr>
        <w:t>年度</w:t>
      </w:r>
      <w:r>
        <w:rPr>
          <w:rFonts w:hint="eastAsia" w:ascii="仿宋_GB2312" w:hAnsi="仿宋_GB2312" w:eastAsia="仿宋_GB2312" w:cs="仿宋_GB2312"/>
          <w:kern w:val="0"/>
          <w:sz w:val="32"/>
          <w:szCs w:val="32"/>
          <w:shd w:val="clear" w:color="auto" w:fill="FFFFFF"/>
        </w:rPr>
        <w:t>1-12月完成355.78万元，</w:t>
      </w:r>
      <w:r>
        <w:rPr>
          <w:rFonts w:hint="eastAsia" w:ascii="仿宋_GB2312" w:hAnsi="仿宋_GB2312" w:eastAsia="仿宋_GB2312" w:cs="仿宋_GB2312"/>
          <w:kern w:val="0"/>
          <w:sz w:val="32"/>
          <w:szCs w:val="32"/>
          <w:shd w:val="clear" w:color="auto" w:fill="FFFFFF"/>
          <w:lang w:val="zh-CN"/>
        </w:rPr>
        <w:t>其中一般公共预算经费包括工资及社会保障缴费、住房公积金等</w:t>
      </w:r>
      <w:r>
        <w:rPr>
          <w:rFonts w:hint="eastAsia" w:ascii="仿宋_GB2312" w:hAnsi="仿宋_GB2312" w:eastAsia="仿宋_GB2312" w:cs="仿宋_GB2312"/>
          <w:kern w:val="0"/>
          <w:sz w:val="32"/>
          <w:szCs w:val="32"/>
          <w:shd w:val="clear" w:color="auto" w:fill="FFFFFF"/>
        </w:rPr>
        <w:t>288.54</w:t>
      </w:r>
      <w:r>
        <w:rPr>
          <w:rFonts w:hint="eastAsia" w:ascii="仿宋_GB2312" w:hAnsi="仿宋_GB2312" w:eastAsia="仿宋_GB2312" w:cs="仿宋_GB2312"/>
          <w:kern w:val="0"/>
          <w:sz w:val="32"/>
          <w:szCs w:val="32"/>
          <w:shd w:val="clear" w:color="auto" w:fill="FFFFFF"/>
          <w:lang w:val="zh-CN"/>
        </w:rPr>
        <w:t>万元，工资及福利财政足额拨付到位；全年财政一般公共预算公用经费</w:t>
      </w:r>
      <w:r>
        <w:rPr>
          <w:rFonts w:hint="eastAsia" w:ascii="仿宋_GB2312" w:hAnsi="仿宋_GB2312" w:eastAsia="仿宋_GB2312" w:cs="仿宋_GB2312"/>
          <w:kern w:val="0"/>
          <w:sz w:val="32"/>
          <w:szCs w:val="32"/>
          <w:shd w:val="clear" w:color="auto" w:fill="FFFFFF"/>
        </w:rPr>
        <w:t>67.22</w:t>
      </w:r>
      <w:r>
        <w:rPr>
          <w:rFonts w:hint="eastAsia" w:ascii="仿宋_GB2312" w:hAnsi="仿宋_GB2312" w:eastAsia="仿宋_GB2312" w:cs="仿宋_GB2312"/>
          <w:kern w:val="0"/>
          <w:sz w:val="32"/>
          <w:szCs w:val="32"/>
          <w:shd w:val="clear" w:color="auto" w:fill="FFFFFF"/>
          <w:lang w:val="zh-CN"/>
        </w:rPr>
        <w:t>万元，在有限经费下厉行节约，降低行政运行成本，压缩三公经费开支。20</w:t>
      </w:r>
      <w:r>
        <w:rPr>
          <w:rFonts w:hint="eastAsia" w:ascii="仿宋_GB2312" w:hAnsi="仿宋_GB2312" w:eastAsia="仿宋_GB2312" w:cs="仿宋_GB2312"/>
          <w:kern w:val="0"/>
          <w:sz w:val="32"/>
          <w:szCs w:val="32"/>
          <w:shd w:val="clear" w:color="auto" w:fill="FFFFFF"/>
        </w:rPr>
        <w:t>22</w:t>
      </w:r>
      <w:r>
        <w:rPr>
          <w:rFonts w:hint="eastAsia" w:ascii="仿宋_GB2312" w:hAnsi="仿宋_GB2312" w:eastAsia="仿宋_GB2312" w:cs="仿宋_GB2312"/>
          <w:kern w:val="0"/>
          <w:sz w:val="32"/>
          <w:szCs w:val="32"/>
          <w:shd w:val="clear" w:color="auto" w:fill="FFFFFF"/>
          <w:lang w:val="zh-CN"/>
        </w:rPr>
        <w:t>年依据我单位履职要求和各科室年度工作计划，认真征求统计各项经费需求，参考以前年度年初预算编审、预算执行中期评估、支出绩效评价成果、资产占有和使用情况等因素，按照综合预算要求，做到各项收入、支出预算的编制合理、完整、规范，确保不重不漏，无部门预算以外保留的其他收支项目。</w:t>
      </w:r>
      <w:r>
        <w:rPr>
          <w:rFonts w:hint="eastAsia" w:ascii="仿宋_GB2312" w:hAnsi="仿宋_GB2312" w:eastAsia="仿宋_GB2312" w:cs="仿宋_GB2312"/>
          <w:kern w:val="0"/>
          <w:sz w:val="32"/>
          <w:szCs w:val="32"/>
          <w:shd w:val="clear" w:color="auto" w:fill="FFFFFF"/>
          <w:lang w:val="zh-CN"/>
        </w:rPr>
        <w:br w:type="textWrapping"/>
      </w:r>
      <w:r>
        <w:rPr>
          <w:rFonts w:hint="eastAsia" w:ascii="仿宋_GB2312" w:hAnsi="仿宋_GB2312" w:eastAsia="仿宋_GB2312" w:cs="仿宋_GB2312"/>
          <w:kern w:val="0"/>
          <w:sz w:val="32"/>
          <w:szCs w:val="32"/>
          <w:shd w:val="clear" w:color="auto" w:fill="FFFFFF"/>
          <w:lang w:val="zh-CN"/>
        </w:rPr>
        <w:t>　　支出预算严格按照“零基预算”方法，人员经费按标准、日常公用经费按定额、专项支出按项目分别编制。</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5、预算完成：部门预算执行进度达到100%。</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6、违规记录：无部门预算管理方面违纪违规问题。</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（二）结果应用情况。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w:t>
      </w:r>
      <w:r>
        <w:rPr>
          <w:rFonts w:hint="eastAsia" w:ascii="仿宋_GB2312" w:hAnsi="仿宋_GB2312" w:eastAsia="仿宋_GB2312" w:cs="仿宋_GB2312"/>
          <w:kern w:val="0"/>
          <w:sz w:val="32"/>
          <w:szCs w:val="32"/>
          <w:shd w:val="clear" w:color="auto" w:fill="FFFFFF"/>
        </w:rPr>
        <w:t>22</w:t>
      </w:r>
      <w:r>
        <w:rPr>
          <w:rFonts w:hint="eastAsia" w:ascii="仿宋_GB2312" w:hAnsi="仿宋_GB2312" w:eastAsia="仿宋_GB2312" w:cs="仿宋_GB2312"/>
          <w:kern w:val="0"/>
          <w:sz w:val="32"/>
          <w:szCs w:val="32"/>
          <w:shd w:val="clear" w:color="auto" w:fill="FFFFFF"/>
          <w:lang w:val="zh-CN"/>
        </w:rPr>
        <w:t>年我单位加强预算执行管理，严格执行批复预算，按照收支平衡的原则，合理安排各项资金，根据执行进度对基本支出按照月度均衡原则、项目支出按实际需要及时申请用款计划，确保足额支出安排，无超预算支出。保证了部门的正常运行和专项工作任务的顺利开展。20</w:t>
      </w:r>
      <w:r>
        <w:rPr>
          <w:rFonts w:hint="eastAsia" w:ascii="仿宋_GB2312" w:hAnsi="仿宋_GB2312" w:eastAsia="仿宋_GB2312" w:cs="仿宋_GB2312"/>
          <w:kern w:val="0"/>
          <w:sz w:val="32"/>
          <w:szCs w:val="32"/>
          <w:shd w:val="clear" w:color="auto" w:fill="FFFFFF"/>
        </w:rPr>
        <w:t>22</w:t>
      </w:r>
      <w:r>
        <w:rPr>
          <w:rFonts w:hint="eastAsia" w:ascii="仿宋_GB2312" w:hAnsi="仿宋_GB2312" w:eastAsia="仿宋_GB2312" w:cs="仿宋_GB2312"/>
          <w:kern w:val="0"/>
          <w:sz w:val="32"/>
          <w:szCs w:val="32"/>
          <w:shd w:val="clear" w:color="auto" w:fill="FFFFFF"/>
          <w:lang w:val="zh-CN"/>
        </w:rPr>
        <w:t>年我单位继续认真贯彻中央八项规定精神、省委和省政府十项规定及《党政机关厉行节约反对浪费条例》，加强“三公”经费和会议费、培训费管理，使其支出得到有效控制。</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三</w:t>
      </w:r>
      <w:r>
        <w:rPr>
          <w:rFonts w:hint="eastAsia" w:ascii="仿宋_GB2312" w:hAnsi="仿宋_GB2312" w:eastAsia="仿宋_GB2312" w:cs="仿宋_GB2312"/>
          <w:kern w:val="0"/>
          <w:sz w:val="32"/>
          <w:szCs w:val="32"/>
          <w:shd w:val="clear" w:color="auto" w:fill="FFFFFF"/>
          <w:lang w:val="zh-CN"/>
        </w:rPr>
        <w:t>）自评质量</w:t>
      </w:r>
      <w:bookmarkStart w:id="69" w:name="_GoBack"/>
      <w:bookmarkEnd w:id="69"/>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lang w:val="zh-CN"/>
        </w:rPr>
        <w:t>按照县财政局要求，对预决算编制情况、执行管理情况、支出绩效情况、财务管理情况、绩效管理工作开展情况认真进行了检查自评</w:t>
      </w:r>
      <w:r>
        <w:rPr>
          <w:rFonts w:hint="eastAsia" w:ascii="仿宋_GB2312" w:hAnsi="仿宋_GB2312" w:eastAsia="仿宋_GB2312" w:cs="仿宋_GB2312"/>
          <w:kern w:val="0"/>
          <w:sz w:val="32"/>
          <w:szCs w:val="32"/>
          <w:shd w:val="clear" w:color="auto" w:fill="FFFFFF"/>
        </w:rPr>
        <w:t>。</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20</w:t>
      </w:r>
      <w:r>
        <w:rPr>
          <w:rFonts w:hint="eastAsia" w:ascii="仿宋_GB2312" w:hAnsi="仿宋_GB2312" w:eastAsia="仿宋_GB2312" w:cs="仿宋_GB2312"/>
          <w:kern w:val="0"/>
          <w:sz w:val="32"/>
          <w:szCs w:val="32"/>
          <w:shd w:val="clear" w:color="auto" w:fill="FFFFFF"/>
        </w:rPr>
        <w:t>22</w:t>
      </w:r>
      <w:r>
        <w:rPr>
          <w:rFonts w:hint="eastAsia" w:ascii="仿宋_GB2312" w:hAnsi="仿宋_GB2312" w:eastAsia="仿宋_GB2312" w:cs="仿宋_GB2312"/>
          <w:kern w:val="0"/>
          <w:sz w:val="32"/>
          <w:szCs w:val="32"/>
          <w:shd w:val="clear" w:color="auto" w:fill="FFFFFF"/>
          <w:lang w:val="zh-CN"/>
        </w:rPr>
        <w:t>年，我单位进一步加强财务管理工作，认真贯彻《中华人民共和国会计法》《中华人民共和国预算法》，严格执行《政府会计制度》及各项费用管理办法，规范资金收支管理及会计核算，强化预算管理。为进一步加强内部管理，我局加强了内控制度的建立和完善，并制定了机关财务、公务接待和固定资产管理的相关制度，完善了财务制度，规范了财经纪律，实行会计出纳一人一岗，钱帐分离，对固定资产管理明确具体责任人员，确保国有资产不流失。“三公经费”严格控制。坚决执行国家、省市县相关规定要求，厉行节约，反对浪费，严格费用审批程序，做到事前、事中、事后全程监督，取得了好的效果，三公经费逐年下降。</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四、评价结论及建议</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（一）评价结论。</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全年基本支出保证了部门的正常运行和日常工作的正常开展。全年项目支出达到预期绩效目标。全年整体绩效目标基本完成。</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（二）存在问题。</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预算编制不够明确和细化，预算编制的合理性需要提高，预算执行力度还要进一步加强。财务工作的创新机制在不断加强，财务制度有所改变，和与之相关的工作在不断完善，要求财务人员的业务水平越来越高，财务人员的业务素质亟待加强。预算不足导致经费紧张，因本单位工作量大面广，经费不足，一些刚性支出无法缩减，导致开展工作困难。</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（三）改进建议。</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zh-CN"/>
        </w:rPr>
        <w:t>组织业务培训，加强财务人员业务学习，与时俱进，提高处理账务能力。强化数据精细化处理能力，提高财务处理精确性、统一性，建立健全财务运行状况分析体系。加强监督及内控制度建设，堵漏补洞，坚决按制度要求执行，保障机关平稳运转。</w:t>
      </w:r>
    </w:p>
    <w:p>
      <w:pPr>
        <w:widowControl/>
        <w:adjustRightInd w:val="0"/>
        <w:snapToGrid w:val="0"/>
        <w:spacing w:line="578" w:lineRule="exact"/>
        <w:ind w:firstLine="640" w:firstLineChars="200"/>
        <w:contextualSpacing/>
        <w:rPr>
          <w:lang w:val="zh-CN"/>
        </w:rPr>
      </w:pPr>
      <w:r>
        <w:rPr>
          <w:rFonts w:hint="eastAsia" w:ascii="仿宋_GB2312" w:hAnsi="仿宋_GB2312" w:eastAsia="仿宋_GB2312" w:cs="仿宋_GB2312"/>
          <w:kern w:val="0"/>
          <w:sz w:val="32"/>
          <w:szCs w:val="32"/>
          <w:shd w:val="clear" w:color="auto" w:fill="FFFFFF"/>
        </w:rPr>
        <w:t>2.科学组织预算绩效评价工作,完善预算绩效管理指标数据库。</w:t>
      </w:r>
    </w:p>
    <w:tbl>
      <w:tblPr>
        <w:tblStyle w:val="15"/>
        <w:tblpPr w:leftFromText="180" w:rightFromText="180" w:vertAnchor="text" w:horzAnchor="page" w:tblpX="1256" w:tblpY="221"/>
        <w:tblOverlap w:val="never"/>
        <w:tblW w:w="8522" w:type="dxa"/>
        <w:tblInd w:w="0" w:type="dxa"/>
        <w:tblLayout w:type="fixed"/>
        <w:tblCellMar>
          <w:top w:w="0" w:type="dxa"/>
          <w:left w:w="108" w:type="dxa"/>
          <w:bottom w:w="0" w:type="dxa"/>
          <w:right w:w="108" w:type="dxa"/>
        </w:tblCellMar>
      </w:tblPr>
      <w:tblGrid>
        <w:gridCol w:w="1417"/>
        <w:gridCol w:w="820"/>
        <w:gridCol w:w="1484"/>
        <w:gridCol w:w="1416"/>
        <w:gridCol w:w="1227"/>
        <w:gridCol w:w="1916"/>
        <w:gridCol w:w="242"/>
      </w:tblGrid>
      <w:tr>
        <w:tblPrEx>
          <w:tblLayout w:type="fixed"/>
          <w:tblCellMar>
            <w:top w:w="0" w:type="dxa"/>
            <w:left w:w="108" w:type="dxa"/>
            <w:bottom w:w="0" w:type="dxa"/>
            <w:right w:w="108" w:type="dxa"/>
          </w:tblCellMar>
        </w:tblPrEx>
        <w:trPr>
          <w:trHeight w:val="675" w:hRule="atLeast"/>
        </w:trPr>
        <w:tc>
          <w:tcPr>
            <w:tcW w:w="8280" w:type="dxa"/>
            <w:gridSpan w:val="6"/>
            <w:tcBorders>
              <w:top w:val="nil"/>
              <w:left w:val="nil"/>
              <w:bottom w:val="nil"/>
              <w:right w:val="nil"/>
            </w:tcBorders>
            <w:shd w:val="clear" w:color="auto" w:fill="auto"/>
            <w:noWrap/>
            <w:vAlign w:val="center"/>
          </w:tcPr>
          <w:p>
            <w:pPr>
              <w:widowControl/>
              <w:jc w:val="center"/>
              <w:textAlignment w:val="center"/>
              <w:rPr>
                <w:rFonts w:ascii="宋体" w:cs="宋体"/>
                <w:b/>
                <w:color w:val="000000"/>
                <w:sz w:val="32"/>
                <w:szCs w:val="32"/>
              </w:rPr>
            </w:pPr>
            <w:r>
              <w:rPr>
                <w:rFonts w:hint="eastAsia" w:ascii="宋体" w:cs="宋体"/>
                <w:b/>
                <w:color w:val="000000"/>
                <w:sz w:val="32"/>
                <w:szCs w:val="32"/>
              </w:rPr>
              <w:t>2023年50万元以上部门预算项目绩效目标自评</w:t>
            </w:r>
          </w:p>
        </w:tc>
        <w:tc>
          <w:tcPr>
            <w:tcW w:w="242" w:type="dxa"/>
            <w:tcBorders>
              <w:top w:val="nil"/>
              <w:left w:val="nil"/>
              <w:bottom w:val="nil"/>
              <w:right w:val="nil"/>
            </w:tcBorders>
            <w:shd w:val="clear" w:color="auto" w:fill="auto"/>
            <w:noWrap/>
            <w:vAlign w:val="center"/>
          </w:tcPr>
          <w:p>
            <w:pPr>
              <w:widowControl/>
              <w:jc w:val="center"/>
              <w:textAlignment w:val="center"/>
              <w:rPr>
                <w:rFonts w:ascii="宋体" w:cs="宋体"/>
                <w:b/>
                <w:color w:val="000000"/>
                <w:kern w:val="0"/>
                <w:sz w:val="32"/>
                <w:szCs w:val="32"/>
              </w:rPr>
            </w:pPr>
          </w:p>
        </w:tc>
      </w:tr>
      <w:tr>
        <w:tblPrEx>
          <w:tblLayout w:type="fixed"/>
          <w:tblCellMar>
            <w:top w:w="0" w:type="dxa"/>
            <w:left w:w="108" w:type="dxa"/>
            <w:bottom w:w="0" w:type="dxa"/>
            <w:right w:w="108" w:type="dxa"/>
          </w:tblCellMar>
        </w:tblPrEx>
        <w:trPr>
          <w:gridAfter w:val="1"/>
          <w:wAfter w:w="242" w:type="dxa"/>
          <w:trHeight w:val="254" w:hRule="atLeast"/>
        </w:trPr>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color w:val="000000"/>
                <w:sz w:val="24"/>
              </w:rPr>
            </w:pPr>
            <w:r>
              <w:rPr>
                <w:rFonts w:hint="eastAsia" w:ascii="宋体" w:cs="宋体"/>
                <w:color w:val="000000"/>
                <w:kern w:val="0"/>
                <w:sz w:val="24"/>
              </w:rPr>
              <w:t>主管部门及代码</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宋体" w:cs="宋体"/>
                <w:color w:val="000000"/>
                <w:sz w:val="24"/>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color w:val="000000"/>
                <w:sz w:val="24"/>
              </w:rPr>
            </w:pPr>
            <w:r>
              <w:rPr>
                <w:rFonts w:hint="eastAsia" w:ascii="宋体" w:cs="宋体"/>
                <w:color w:val="000000"/>
                <w:kern w:val="0"/>
                <w:sz w:val="24"/>
              </w:rPr>
              <w:t>实施单位</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color w:val="000000"/>
                <w:sz w:val="24"/>
              </w:rPr>
            </w:pPr>
            <w:r>
              <w:rPr>
                <w:rFonts w:hint="eastAsia" w:ascii="宋体" w:cs="宋体"/>
                <w:color w:val="000000"/>
                <w:sz w:val="24"/>
              </w:rPr>
              <w:t>开江县医疗保障事务中心</w:t>
            </w:r>
          </w:p>
        </w:tc>
      </w:tr>
      <w:tr>
        <w:tblPrEx>
          <w:tblLayout w:type="fixed"/>
          <w:tblCellMar>
            <w:top w:w="0" w:type="dxa"/>
            <w:left w:w="108" w:type="dxa"/>
            <w:bottom w:w="0" w:type="dxa"/>
            <w:right w:w="108" w:type="dxa"/>
          </w:tblCellMar>
        </w:tblPrEx>
        <w:trPr>
          <w:gridAfter w:val="1"/>
          <w:wAfter w:w="242" w:type="dxa"/>
          <w:trHeight w:val="341" w:hRule="atLeast"/>
        </w:trPr>
        <w:tc>
          <w:tcPr>
            <w:tcW w:w="22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color w:val="000000"/>
                <w:sz w:val="24"/>
              </w:rPr>
            </w:pPr>
            <w:r>
              <w:rPr>
                <w:rFonts w:hint="eastAsia" w:ascii="宋体" w:cs="宋体"/>
                <w:color w:val="000000"/>
                <w:kern w:val="0"/>
                <w:sz w:val="24"/>
              </w:rPr>
              <w:t>项目预算</w:t>
            </w:r>
            <w:r>
              <w:rPr>
                <w:rFonts w:hint="eastAsia" w:ascii="宋体" w:cs="宋体"/>
                <w:color w:val="000000"/>
                <w:kern w:val="0"/>
                <w:sz w:val="24"/>
              </w:rPr>
              <w:br w:type="textWrapping"/>
            </w:r>
            <w:r>
              <w:rPr>
                <w:rFonts w:hint="eastAsia" w:ascii="宋体" w:cs="宋体"/>
                <w:color w:val="000000"/>
                <w:kern w:val="0"/>
                <w:sz w:val="24"/>
              </w:rPr>
              <w:t>执行情况</w:t>
            </w:r>
            <w:r>
              <w:rPr>
                <w:rFonts w:hint="eastAsia" w:ascii="宋体" w:cs="宋体"/>
                <w:color w:val="000000"/>
                <w:kern w:val="0"/>
                <w:sz w:val="24"/>
              </w:rPr>
              <w:br w:type="textWrapping"/>
            </w:r>
            <w:r>
              <w:rPr>
                <w:rFonts w:hint="eastAsia" w:ascii="宋体" w:cs="宋体"/>
                <w:color w:val="000000"/>
                <w:kern w:val="0"/>
                <w:sz w:val="24"/>
              </w:rPr>
              <w:t>（万元）</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color w:val="000000"/>
                <w:sz w:val="24"/>
              </w:rPr>
            </w:pPr>
            <w:r>
              <w:rPr>
                <w:rFonts w:hint="eastAsia" w:ascii="宋体" w:cs="宋体"/>
                <w:color w:val="000000"/>
                <w:kern w:val="0"/>
                <w:sz w:val="24"/>
              </w:rPr>
              <w:t xml:space="preserve"> 预算数：</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color w:val="000000"/>
                <w:sz w:val="24"/>
              </w:rPr>
            </w:pPr>
            <w:r>
              <w:rPr>
                <w:rFonts w:hint="eastAsia" w:ascii="宋体" w:cs="宋体"/>
                <w:color w:val="000000"/>
                <w:sz w:val="24"/>
              </w:rPr>
              <w:t>2322.8478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color w:val="000000"/>
                <w:sz w:val="24"/>
              </w:rPr>
            </w:pPr>
            <w:r>
              <w:rPr>
                <w:rFonts w:hint="eastAsia" w:ascii="宋体" w:cs="宋体"/>
                <w:color w:val="000000"/>
                <w:kern w:val="0"/>
                <w:sz w:val="24"/>
              </w:rPr>
              <w:t xml:space="preserve"> 执行数：</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宋体" w:cs="宋体"/>
                <w:color w:val="000000"/>
                <w:sz w:val="24"/>
              </w:rPr>
            </w:pPr>
            <w:r>
              <w:rPr>
                <w:rFonts w:hint="eastAsia" w:ascii="宋体" w:cs="宋体"/>
                <w:color w:val="000000"/>
                <w:sz w:val="24"/>
              </w:rPr>
              <w:t>2322.8478</w:t>
            </w:r>
          </w:p>
        </w:tc>
      </w:tr>
      <w:tr>
        <w:tblPrEx>
          <w:tblLayout w:type="fixed"/>
          <w:tblCellMar>
            <w:top w:w="0" w:type="dxa"/>
            <w:left w:w="108" w:type="dxa"/>
            <w:bottom w:w="0" w:type="dxa"/>
            <w:right w:w="108" w:type="dxa"/>
          </w:tblCellMar>
        </w:tblPrEx>
        <w:trPr>
          <w:gridAfter w:val="1"/>
          <w:wAfter w:w="242" w:type="dxa"/>
          <w:trHeight w:val="577" w:hRule="atLeast"/>
        </w:trPr>
        <w:tc>
          <w:tcPr>
            <w:tcW w:w="2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color w:val="000000"/>
                <w:kern w:val="0"/>
                <w:sz w:val="24"/>
              </w:rPr>
            </w:pPr>
            <w:r>
              <w:rPr>
                <w:rFonts w:hint="eastAsia" w:ascii="宋体" w:cs="宋体"/>
                <w:color w:val="000000"/>
                <w:kern w:val="0"/>
                <w:sz w:val="24"/>
              </w:rPr>
              <w:t>其中：</w:t>
            </w:r>
          </w:p>
          <w:p>
            <w:pPr>
              <w:widowControl/>
              <w:spacing w:line="320" w:lineRule="exact"/>
              <w:jc w:val="left"/>
              <w:textAlignment w:val="center"/>
              <w:rPr>
                <w:rFonts w:ascii="宋体" w:cs="宋体"/>
                <w:color w:val="000000"/>
                <w:sz w:val="24"/>
              </w:rPr>
            </w:pPr>
            <w:r>
              <w:rPr>
                <w:rFonts w:hint="eastAsia" w:ascii="宋体" w:cs="宋体"/>
                <w:color w:val="000000"/>
                <w:kern w:val="0"/>
                <w:sz w:val="24"/>
              </w:rPr>
              <w:t>财政拨款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color w:val="000000"/>
                <w:sz w:val="24"/>
              </w:rPr>
            </w:pPr>
            <w:r>
              <w:rPr>
                <w:rFonts w:hint="eastAsia" w:ascii="宋体" w:cs="宋体"/>
                <w:color w:val="000000"/>
                <w:sz w:val="24"/>
              </w:rPr>
              <w:t>2322.8478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color w:val="000000"/>
                <w:kern w:val="0"/>
                <w:sz w:val="24"/>
              </w:rPr>
            </w:pPr>
            <w:r>
              <w:rPr>
                <w:rFonts w:hint="eastAsia" w:ascii="宋体" w:cs="宋体"/>
                <w:color w:val="000000"/>
                <w:kern w:val="0"/>
                <w:sz w:val="24"/>
              </w:rPr>
              <w:t>其中：</w:t>
            </w:r>
          </w:p>
          <w:p>
            <w:pPr>
              <w:widowControl/>
              <w:spacing w:line="320" w:lineRule="exact"/>
              <w:jc w:val="left"/>
              <w:textAlignment w:val="center"/>
              <w:rPr>
                <w:rFonts w:ascii="宋体" w:cs="宋体"/>
                <w:color w:val="000000"/>
                <w:sz w:val="24"/>
              </w:rPr>
            </w:pPr>
            <w:r>
              <w:rPr>
                <w:rFonts w:hint="eastAsia" w:ascii="宋体" w:cs="宋体"/>
                <w:color w:val="000000"/>
                <w:kern w:val="0"/>
                <w:sz w:val="24"/>
              </w:rPr>
              <w:t>财政拨款</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ascii="宋体" w:cs="宋体"/>
                <w:color w:val="000000"/>
                <w:sz w:val="24"/>
              </w:rPr>
            </w:pPr>
            <w:r>
              <w:rPr>
                <w:rFonts w:hint="eastAsia" w:ascii="宋体" w:cs="宋体"/>
                <w:color w:val="000000"/>
                <w:sz w:val="24"/>
              </w:rPr>
              <w:t>2322.8478</w:t>
            </w:r>
          </w:p>
        </w:tc>
      </w:tr>
      <w:tr>
        <w:tblPrEx>
          <w:tblLayout w:type="fixed"/>
          <w:tblCellMar>
            <w:top w:w="0" w:type="dxa"/>
            <w:left w:w="108" w:type="dxa"/>
            <w:bottom w:w="0" w:type="dxa"/>
            <w:right w:w="108" w:type="dxa"/>
          </w:tblCellMar>
        </w:tblPrEx>
        <w:trPr>
          <w:gridAfter w:val="1"/>
          <w:wAfter w:w="242" w:type="dxa"/>
          <w:trHeight w:val="341" w:hRule="atLeast"/>
        </w:trPr>
        <w:tc>
          <w:tcPr>
            <w:tcW w:w="2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color w:val="000000"/>
                <w:sz w:val="24"/>
              </w:rPr>
            </w:pPr>
            <w:r>
              <w:rPr>
                <w:rFonts w:hint="eastAsia" w:ascii="宋体" w:cs="宋体"/>
                <w:color w:val="000000"/>
                <w:kern w:val="0"/>
                <w:sz w:val="24"/>
              </w:rPr>
              <w:t>其他资金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color w:val="000000"/>
                <w:sz w:val="24"/>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color w:val="000000"/>
                <w:sz w:val="24"/>
              </w:rPr>
            </w:pPr>
            <w:r>
              <w:rPr>
                <w:rFonts w:hint="eastAsia" w:ascii="宋体" w:cs="宋体"/>
                <w:color w:val="000000"/>
                <w:kern w:val="0"/>
                <w:sz w:val="24"/>
              </w:rPr>
              <w:t>其他资金</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color w:val="000000"/>
                <w:sz w:val="24"/>
              </w:rPr>
            </w:pPr>
          </w:p>
        </w:tc>
      </w:tr>
      <w:tr>
        <w:tblPrEx>
          <w:tblLayout w:type="fixed"/>
          <w:tblCellMar>
            <w:top w:w="0" w:type="dxa"/>
            <w:left w:w="108" w:type="dxa"/>
            <w:bottom w:w="0" w:type="dxa"/>
            <w:right w:w="108" w:type="dxa"/>
          </w:tblCellMar>
        </w:tblPrEx>
        <w:trPr>
          <w:gridAfter w:val="1"/>
          <w:wAfter w:w="242" w:type="dxa"/>
          <w:trHeight w:val="217" w:hRule="atLeast"/>
        </w:trPr>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color w:val="000000"/>
                <w:kern w:val="0"/>
                <w:sz w:val="24"/>
              </w:rPr>
            </w:pPr>
            <w:r>
              <w:rPr>
                <w:rFonts w:hint="eastAsia" w:ascii="宋体" w:cs="宋体"/>
                <w:color w:val="000000"/>
                <w:kern w:val="0"/>
                <w:sz w:val="24"/>
              </w:rPr>
              <w:t>年度总体目标</w:t>
            </w:r>
          </w:p>
          <w:p>
            <w:pPr>
              <w:widowControl/>
              <w:spacing w:line="320" w:lineRule="exact"/>
              <w:jc w:val="center"/>
              <w:textAlignment w:val="center"/>
              <w:rPr>
                <w:rFonts w:ascii="宋体" w:cs="宋体"/>
                <w:color w:val="000000"/>
                <w:sz w:val="24"/>
              </w:rPr>
            </w:pPr>
            <w:r>
              <w:rPr>
                <w:rFonts w:hint="eastAsia" w:ascii="宋体" w:cs="宋体"/>
                <w:color w:val="000000"/>
                <w:kern w:val="0"/>
                <w:sz w:val="24"/>
              </w:rPr>
              <w:t>完成情况</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color w:val="000000"/>
                <w:sz w:val="24"/>
              </w:rPr>
            </w:pPr>
            <w:r>
              <w:rPr>
                <w:rFonts w:hint="eastAsia" w:ascii="宋体" w:cs="宋体"/>
                <w:color w:val="000000"/>
                <w:kern w:val="0"/>
                <w:sz w:val="24"/>
              </w:rPr>
              <w:t>预期目标</w:t>
            </w:r>
          </w:p>
        </w:tc>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color w:val="000000"/>
                <w:sz w:val="24"/>
              </w:rPr>
            </w:pPr>
            <w:r>
              <w:rPr>
                <w:rFonts w:hint="eastAsia" w:ascii="宋体" w:cs="宋体"/>
                <w:color w:val="000000"/>
                <w:kern w:val="0"/>
                <w:sz w:val="24"/>
              </w:rPr>
              <w:t>目标实际完成情况</w:t>
            </w:r>
          </w:p>
        </w:tc>
      </w:tr>
      <w:tr>
        <w:tblPrEx>
          <w:tblLayout w:type="fixed"/>
          <w:tblCellMar>
            <w:top w:w="0" w:type="dxa"/>
            <w:left w:w="108" w:type="dxa"/>
            <w:bottom w:w="0" w:type="dxa"/>
            <w:right w:w="108" w:type="dxa"/>
          </w:tblCellMar>
        </w:tblPrEx>
        <w:trPr>
          <w:gridAfter w:val="1"/>
          <w:wAfter w:w="242" w:type="dxa"/>
          <w:trHeight w:val="887"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ascii="宋体" w:cs="宋体"/>
                <w:color w:val="000000"/>
                <w:sz w:val="24"/>
              </w:rPr>
            </w:pPr>
            <w:r>
              <w:rPr>
                <w:rFonts w:hint="eastAsia" w:ascii="宋体" w:cs="宋体"/>
                <w:color w:val="000000"/>
                <w:sz w:val="24"/>
              </w:rPr>
              <w:t>2022年城乡居民医疗县级财政补助资金，用于保障医保制度稳健运行。</w:t>
            </w:r>
          </w:p>
        </w:tc>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ascii="宋体" w:cs="宋体"/>
                <w:color w:val="000000"/>
                <w:sz w:val="24"/>
              </w:rPr>
            </w:pPr>
            <w:r>
              <w:rPr>
                <w:rFonts w:hint="eastAsia" w:ascii="宋体" w:cs="宋体"/>
                <w:color w:val="000000"/>
                <w:sz w:val="24"/>
              </w:rPr>
              <w:t>2022年城乡居民医疗县级财政补助资金已经上划达州市财政。</w:t>
            </w:r>
          </w:p>
        </w:tc>
      </w:tr>
      <w:tr>
        <w:tblPrEx>
          <w:tblLayout w:type="fixed"/>
          <w:tblCellMar>
            <w:top w:w="0" w:type="dxa"/>
            <w:left w:w="108" w:type="dxa"/>
            <w:bottom w:w="0" w:type="dxa"/>
            <w:right w:w="108" w:type="dxa"/>
          </w:tblCellMar>
        </w:tblPrEx>
        <w:trPr>
          <w:gridAfter w:val="1"/>
          <w:wAfter w:w="242" w:type="dxa"/>
          <w:trHeight w:val="738" w:hRule="atLeast"/>
        </w:trPr>
        <w:tc>
          <w:tcPr>
            <w:tcW w:w="1417"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年度绩效指标完成情况</w:t>
            </w:r>
          </w:p>
        </w:tc>
        <w:tc>
          <w:tcPr>
            <w:tcW w:w="82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一级</w:t>
            </w:r>
          </w:p>
          <w:p>
            <w:pPr>
              <w:widowControl/>
              <w:spacing w:line="320" w:lineRule="exact"/>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二级</w:t>
            </w:r>
          </w:p>
          <w:p>
            <w:pPr>
              <w:widowControl/>
              <w:spacing w:line="320" w:lineRule="exact"/>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三级</w:t>
            </w:r>
          </w:p>
          <w:p>
            <w:pPr>
              <w:widowControl/>
              <w:spacing w:line="320" w:lineRule="exact"/>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预期指标值</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color w:val="000000"/>
                <w:sz w:val="28"/>
                <w:szCs w:val="28"/>
              </w:rPr>
            </w:pPr>
            <w:r>
              <w:rPr>
                <w:rFonts w:hint="eastAsia" w:ascii="仿宋_GB2312" w:eastAsia="仿宋_GB2312" w:cs="仿宋_GB2312"/>
                <w:color w:val="000000"/>
                <w:kern w:val="0"/>
                <w:sz w:val="28"/>
                <w:szCs w:val="28"/>
              </w:rPr>
              <w:t>实际完成指标值</w:t>
            </w:r>
          </w:p>
        </w:tc>
      </w:tr>
      <w:tr>
        <w:tblPrEx>
          <w:tblLayout w:type="fixed"/>
          <w:tblCellMar>
            <w:top w:w="0" w:type="dxa"/>
            <w:left w:w="108" w:type="dxa"/>
            <w:bottom w:w="0" w:type="dxa"/>
            <w:right w:w="108" w:type="dxa"/>
          </w:tblCellMar>
        </w:tblPrEx>
        <w:trPr>
          <w:gridAfter w:val="1"/>
          <w:wAfter w:w="242" w:type="dxa"/>
          <w:trHeight w:val="480" w:hRule="atLeast"/>
        </w:trPr>
        <w:tc>
          <w:tcPr>
            <w:tcW w:w="1417" w:type="dxa"/>
            <w:vMerge w:val="continue"/>
            <w:tcBorders>
              <w:top w:val="nil"/>
              <w:left w:val="single" w:color="000000" w:sz="4" w:space="0"/>
              <w:bottom w:val="nil"/>
              <w:right w:val="single" w:color="000000" w:sz="4" w:space="0"/>
            </w:tcBorders>
            <w:shd w:val="clear" w:color="auto" w:fill="auto"/>
            <w:noWrap/>
            <w:vAlign w:val="center"/>
          </w:tc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完成</w:t>
            </w:r>
          </w:p>
          <w:p>
            <w:pPr>
              <w:widowControl/>
              <w:spacing w:line="320" w:lineRule="exact"/>
              <w:jc w:val="center"/>
              <w:textAlignment w:val="bottom"/>
              <w:rPr>
                <w:rFonts w:ascii="仿宋_GB2312" w:eastAsia="仿宋_GB2312" w:cs="仿宋_GB2312"/>
                <w:color w:val="000000"/>
                <w:sz w:val="28"/>
                <w:szCs w:val="28"/>
              </w:rPr>
            </w:pPr>
            <w:r>
              <w:rPr>
                <w:rFonts w:hint="eastAsia" w:ascii="仿宋_GB2312" w:eastAsia="仿宋_GB2312" w:cs="仿宋_GB2312"/>
                <w:color w:val="000000"/>
                <w:kern w:val="0"/>
                <w:sz w:val="28"/>
                <w:szCs w:val="28"/>
              </w:rPr>
              <w:t>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eastAsia="仿宋_GB2312" w:cs="仿宋_GB2312"/>
                <w:color w:val="000000"/>
                <w:kern w:val="0"/>
                <w:sz w:val="28"/>
                <w:szCs w:val="28"/>
              </w:rPr>
              <w:t>数量指标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参保人数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444990人</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444990人</w:t>
            </w:r>
          </w:p>
        </w:tc>
      </w:tr>
      <w:tr>
        <w:tblPrEx>
          <w:tblLayout w:type="fixed"/>
          <w:tblCellMar>
            <w:top w:w="0" w:type="dxa"/>
            <w:left w:w="108" w:type="dxa"/>
            <w:bottom w:w="0" w:type="dxa"/>
            <w:right w:w="108" w:type="dxa"/>
          </w:tblCellMar>
        </w:tblPrEx>
        <w:trPr>
          <w:gridAfter w:val="1"/>
          <w:wAfter w:w="242" w:type="dxa"/>
          <w:trHeight w:val="480" w:hRule="atLeast"/>
        </w:trPr>
        <w:tc>
          <w:tcPr>
            <w:tcW w:w="1417" w:type="dxa"/>
            <w:vMerge w:val="continue"/>
            <w:tcBorders>
              <w:top w:val="nil"/>
              <w:left w:val="single" w:color="000000" w:sz="4" w:space="0"/>
              <w:bottom w:val="nil"/>
              <w:right w:val="single" w:color="000000" w:sz="4" w:space="0"/>
            </w:tcBorders>
            <w:shd w:val="clear" w:color="auto" w:fill="auto"/>
            <w:noWrap/>
            <w:vAlign w:val="center"/>
          </w:tc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eastAsia="仿宋_GB2312" w:cs="仿宋_GB2312"/>
                <w:color w:val="000000"/>
                <w:kern w:val="0"/>
                <w:sz w:val="28"/>
                <w:szCs w:val="28"/>
              </w:rPr>
              <w:t>质量指标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成本控制</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2322.8478万元</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2322.8478万元</w:t>
            </w:r>
          </w:p>
        </w:tc>
      </w:tr>
      <w:tr>
        <w:tblPrEx>
          <w:tblLayout w:type="fixed"/>
          <w:tblCellMar>
            <w:top w:w="0" w:type="dxa"/>
            <w:left w:w="108" w:type="dxa"/>
            <w:bottom w:w="0" w:type="dxa"/>
            <w:right w:w="108" w:type="dxa"/>
          </w:tblCellMar>
        </w:tblPrEx>
        <w:trPr>
          <w:gridAfter w:val="1"/>
          <w:wAfter w:w="242" w:type="dxa"/>
          <w:trHeight w:val="480" w:hRule="atLeast"/>
        </w:trPr>
        <w:tc>
          <w:tcPr>
            <w:tcW w:w="1417" w:type="dxa"/>
            <w:vMerge w:val="continue"/>
            <w:tcBorders>
              <w:top w:val="nil"/>
              <w:left w:val="single" w:color="000000" w:sz="4" w:space="0"/>
              <w:bottom w:val="nil"/>
              <w:right w:val="single" w:color="000000" w:sz="4" w:space="0"/>
            </w:tcBorders>
            <w:shd w:val="clear" w:color="auto" w:fill="auto"/>
            <w:noWrap/>
            <w:vAlign w:val="center"/>
          </w:tc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eastAsia="仿宋_GB2312" w:cs="仿宋_GB2312"/>
                <w:color w:val="000000"/>
                <w:kern w:val="0"/>
                <w:sz w:val="28"/>
                <w:szCs w:val="28"/>
              </w:rPr>
              <w:t>时效指标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资金在规定时间下达率</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98%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98%</w:t>
            </w:r>
          </w:p>
        </w:tc>
      </w:tr>
      <w:tr>
        <w:tblPrEx>
          <w:tblLayout w:type="fixed"/>
          <w:tblCellMar>
            <w:top w:w="0" w:type="dxa"/>
            <w:left w:w="108" w:type="dxa"/>
            <w:bottom w:w="0" w:type="dxa"/>
            <w:right w:w="108" w:type="dxa"/>
          </w:tblCellMar>
        </w:tblPrEx>
        <w:trPr>
          <w:gridAfter w:val="1"/>
          <w:wAfter w:w="242" w:type="dxa"/>
          <w:trHeight w:val="480" w:hRule="atLeast"/>
        </w:trPr>
        <w:tc>
          <w:tcPr>
            <w:tcW w:w="1417" w:type="dxa"/>
            <w:vMerge w:val="continue"/>
            <w:tcBorders>
              <w:top w:val="nil"/>
              <w:left w:val="single" w:color="000000" w:sz="4" w:space="0"/>
              <w:bottom w:val="nil"/>
              <w:right w:val="single" w:color="000000" w:sz="4" w:space="0"/>
            </w:tcBorders>
            <w:shd w:val="clear" w:color="auto" w:fill="auto"/>
            <w:noWrap/>
            <w:vAlign w:val="center"/>
          </w:tc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数量指标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信息化建设下沉</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10个</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10个</w:t>
            </w:r>
          </w:p>
        </w:tc>
      </w:tr>
      <w:tr>
        <w:tblPrEx>
          <w:tblLayout w:type="fixed"/>
          <w:tblCellMar>
            <w:top w:w="0" w:type="dxa"/>
            <w:left w:w="108" w:type="dxa"/>
            <w:bottom w:w="0" w:type="dxa"/>
            <w:right w:w="108" w:type="dxa"/>
          </w:tblCellMar>
        </w:tblPrEx>
        <w:trPr>
          <w:gridAfter w:val="1"/>
          <w:wAfter w:w="242" w:type="dxa"/>
          <w:trHeight w:val="480" w:hRule="atLeast"/>
        </w:trPr>
        <w:tc>
          <w:tcPr>
            <w:tcW w:w="1417" w:type="dxa"/>
            <w:vMerge w:val="continue"/>
            <w:tcBorders>
              <w:top w:val="nil"/>
              <w:left w:val="single" w:color="000000" w:sz="4" w:space="0"/>
              <w:bottom w:val="nil"/>
              <w:right w:val="single" w:color="000000" w:sz="4" w:space="0"/>
            </w:tcBorders>
            <w:shd w:val="clear" w:color="auto" w:fill="auto"/>
            <w:noWrap/>
            <w:vAlign w:val="center"/>
          </w:tc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eastAsia="仿宋_GB2312" w:cs="仿宋_GB2312"/>
                <w:color w:val="000000"/>
                <w:kern w:val="0"/>
                <w:sz w:val="28"/>
                <w:szCs w:val="28"/>
              </w:rPr>
              <w:t>社会效益</w:t>
            </w:r>
            <w:r>
              <w:rPr>
                <w:rFonts w:hint="eastAsia" w:ascii="仿宋_GB2312" w:cs="仿宋_GB2312"/>
                <w:color w:val="000000"/>
                <w:kern w:val="0"/>
                <w:sz w:val="28"/>
                <w:szCs w:val="28"/>
              </w:rPr>
              <w:t xml:space="preserve">  </w:t>
            </w:r>
            <w:r>
              <w:rPr>
                <w:rFonts w:hint="eastAsia" w:ascii="仿宋_GB2312" w:eastAsia="仿宋_GB2312" w:cs="仿宋_GB2312"/>
                <w:color w:val="000000"/>
                <w:kern w:val="0"/>
                <w:sz w:val="28"/>
                <w:szCs w:val="28"/>
              </w:rPr>
              <w:t>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群众获得满足感</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高</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高</w:t>
            </w:r>
          </w:p>
        </w:tc>
      </w:tr>
      <w:tr>
        <w:tblPrEx>
          <w:tblLayout w:type="fixed"/>
          <w:tblCellMar>
            <w:top w:w="0" w:type="dxa"/>
            <w:left w:w="108" w:type="dxa"/>
            <w:bottom w:w="0" w:type="dxa"/>
            <w:right w:w="108" w:type="dxa"/>
          </w:tblCellMar>
        </w:tblPrEx>
        <w:trPr>
          <w:gridAfter w:val="1"/>
          <w:wAfter w:w="242" w:type="dxa"/>
          <w:trHeight w:val="480" w:hRule="atLeast"/>
        </w:trPr>
        <w:tc>
          <w:tcPr>
            <w:tcW w:w="1417"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eastAsia="仿宋_GB2312" w:cs="仿宋_GB2312"/>
                <w:color w:val="000000"/>
                <w:kern w:val="0"/>
                <w:sz w:val="28"/>
                <w:szCs w:val="28"/>
              </w:rPr>
              <w:t>满意</w:t>
            </w:r>
            <w:r>
              <w:rPr>
                <w:rFonts w:hint="eastAsia" w:ascii="仿宋_GB2312" w:eastAsia="仿宋_GB2312" w:cs="仿宋_GB2312"/>
                <w:color w:val="000000"/>
                <w:kern w:val="0"/>
                <w:sz w:val="28"/>
                <w:szCs w:val="28"/>
              </w:rPr>
              <w:br w:type="textWrapping"/>
            </w:r>
            <w:r>
              <w:rPr>
                <w:rFonts w:hint="eastAsia" w:ascii="仿宋_GB2312" w:eastAsia="仿宋_GB2312" w:cs="仿宋_GB2312"/>
                <w:color w:val="000000"/>
                <w:kern w:val="0"/>
                <w:sz w:val="28"/>
                <w:szCs w:val="28"/>
              </w:rPr>
              <w:t>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满意度</w:t>
            </w:r>
          </w:p>
          <w:p>
            <w:pPr>
              <w:widowControl/>
              <w:spacing w:line="320" w:lineRule="exact"/>
              <w:jc w:val="center"/>
              <w:textAlignment w:val="bottom"/>
              <w:rPr>
                <w:rFonts w:ascii="仿宋_GB2312" w:eastAsia="仿宋_GB2312" w:cs="仿宋_GB2312"/>
                <w:color w:val="000000"/>
                <w:sz w:val="28"/>
                <w:szCs w:val="28"/>
              </w:rPr>
            </w:pPr>
            <w:r>
              <w:rPr>
                <w:rFonts w:hint="eastAsia" w:ascii="仿宋_GB2312" w:eastAsia="仿宋_GB2312" w:cs="仿宋_GB2312"/>
                <w:color w:val="000000"/>
                <w:kern w:val="0"/>
                <w:sz w:val="28"/>
                <w:szCs w:val="28"/>
              </w:rPr>
              <w:t>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服务对象满意度</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98%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color w:val="000000"/>
                <w:sz w:val="28"/>
                <w:szCs w:val="28"/>
              </w:rPr>
            </w:pPr>
            <w:r>
              <w:rPr>
                <w:rFonts w:hint="eastAsia" w:ascii="仿宋_GB2312" w:cs="仿宋_GB2312"/>
                <w:color w:val="000000"/>
                <w:sz w:val="28"/>
                <w:szCs w:val="28"/>
              </w:rPr>
              <w:t>98%</w:t>
            </w:r>
          </w:p>
        </w:tc>
      </w:tr>
    </w:tbl>
    <w:p>
      <w:pPr>
        <w:widowControl/>
        <w:spacing w:line="560" w:lineRule="exact"/>
        <w:contextualSpacing/>
        <w:jc w:val="center"/>
        <w:rPr>
          <w:rFonts w:ascii="宋体" w:hAnsi="宋体"/>
          <w:b/>
          <w:sz w:val="32"/>
          <w:szCs w:val="32"/>
          <w:shd w:val="clear" w:color="auto" w:fill="FFFFFF"/>
        </w:rPr>
      </w:pPr>
    </w:p>
    <w:p>
      <w:pPr>
        <w:spacing w:line="600" w:lineRule="exact"/>
        <w:jc w:val="center"/>
        <w:outlineLvl w:val="0"/>
        <w:rPr>
          <w:rFonts w:ascii="黑体" w:hAnsi="黑体" w:eastAsia="黑体"/>
          <w:sz w:val="44"/>
          <w:szCs w:val="44"/>
        </w:rPr>
      </w:pPr>
      <w:bookmarkStart w:id="55" w:name="_Toc15396618"/>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五部分 附表</w:t>
      </w:r>
      <w:bookmarkEnd w:id="53"/>
      <w:bookmarkEnd w:id="55"/>
      <w:bookmarkStart w:id="56" w:name="_Toc15396619"/>
    </w:p>
    <w:p/>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6"/>
    </w:p>
    <w:p>
      <w:pPr>
        <w:pStyle w:val="4"/>
        <w:rPr>
          <w:rFonts w:ascii="仿宋" w:hAnsi="仿宋" w:eastAsia="仿宋"/>
        </w:rPr>
      </w:pPr>
      <w:bookmarkStart w:id="57" w:name="_Toc15396620"/>
      <w:r>
        <w:rPr>
          <w:rFonts w:hint="eastAsia" w:ascii="仿宋" w:hAnsi="仿宋" w:eastAsia="仿宋"/>
          <w:b w:val="0"/>
        </w:rPr>
        <w:t>二、收</w:t>
      </w:r>
      <w:r>
        <w:rPr>
          <w:rStyle w:val="29"/>
          <w:rFonts w:hint="eastAsia" w:ascii="仿宋" w:hAnsi="仿宋" w:eastAsia="仿宋"/>
          <w:b w:val="0"/>
          <w:bCs w:val="0"/>
        </w:rPr>
        <w:t>入决算表</w:t>
      </w:r>
      <w:bookmarkEnd w:id="57"/>
    </w:p>
    <w:p>
      <w:pPr>
        <w:pStyle w:val="4"/>
        <w:rPr>
          <w:rFonts w:ascii="仿宋" w:hAnsi="仿宋" w:eastAsia="仿宋"/>
        </w:rPr>
      </w:pPr>
      <w:bookmarkStart w:id="58"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8"/>
    </w:p>
    <w:p>
      <w:pPr>
        <w:pStyle w:val="4"/>
        <w:rPr>
          <w:rFonts w:ascii="仿宋" w:hAnsi="仿宋" w:eastAsia="仿宋"/>
          <w:b w:val="0"/>
        </w:rPr>
      </w:pPr>
      <w:bookmarkStart w:id="59"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9"/>
    </w:p>
    <w:p>
      <w:pPr>
        <w:pStyle w:val="4"/>
        <w:rPr>
          <w:rStyle w:val="29"/>
          <w:rFonts w:ascii="仿宋" w:hAnsi="仿宋" w:eastAsia="仿宋"/>
          <w:b w:val="0"/>
          <w:bCs w:val="0"/>
        </w:rPr>
      </w:pPr>
      <w:bookmarkStart w:id="60"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4"/>
    </w:p>
    <w:p>
      <w:pPr>
        <w:pStyle w:val="4"/>
        <w:rPr>
          <w:rFonts w:ascii="仿宋" w:hAnsi="仿宋" w:eastAsia="仿宋"/>
        </w:rPr>
      </w:pPr>
      <w:bookmarkStart w:id="65" w:name="_Toc15396628"/>
      <w:r>
        <w:rPr>
          <w:rStyle w:val="29"/>
          <w:rFonts w:hint="eastAsia" w:ascii="仿宋" w:hAnsi="仿宋" w:eastAsia="仿宋"/>
          <w:b w:val="0"/>
          <w:bCs w:val="0"/>
        </w:rPr>
        <w:t>十、</w:t>
      </w:r>
      <w:bookmarkEnd w:id="65"/>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6" w:name="_Toc15396629"/>
      <w:r>
        <w:rPr>
          <w:rStyle w:val="29"/>
          <w:rFonts w:hint="eastAsia" w:ascii="仿宋" w:hAnsi="仿宋" w:eastAsia="仿宋"/>
          <w:b w:val="0"/>
          <w:bCs w:val="0"/>
        </w:rPr>
        <w:t>十一、</w:t>
      </w:r>
      <w:bookmarkEnd w:id="66"/>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7" w:name="_Toc15396630"/>
      <w:r>
        <w:rPr>
          <w:rStyle w:val="29"/>
          <w:rFonts w:hint="eastAsia" w:ascii="仿宋" w:hAnsi="仿宋" w:eastAsia="仿宋"/>
          <w:b w:val="0"/>
          <w:bCs w:val="0"/>
        </w:rPr>
        <w:t>十二、</w:t>
      </w:r>
      <w:bookmarkEnd w:id="67"/>
      <w:r>
        <w:rPr>
          <w:rStyle w:val="29"/>
          <w:rFonts w:hint="eastAsia" w:ascii="仿宋" w:hAnsi="仿宋" w:eastAsia="仿宋"/>
          <w:b w:val="0"/>
          <w:bCs w:val="0"/>
        </w:rPr>
        <w:t>国有资本经营预算财政拨款支出决算表</w:t>
      </w:r>
    </w:p>
    <w:p>
      <w:pPr>
        <w:pStyle w:val="4"/>
        <w:rPr>
          <w:rFonts w:eastAsia="仿宋"/>
        </w:rPr>
      </w:pPr>
      <w:bookmarkStart w:id="68" w:name="_Toc15396631"/>
      <w:r>
        <w:rPr>
          <w:rStyle w:val="29"/>
          <w:rFonts w:hint="eastAsia" w:ascii="仿宋" w:hAnsi="仿宋" w:eastAsia="仿宋"/>
          <w:b w:val="0"/>
          <w:bCs w:val="0"/>
        </w:rPr>
        <w:t>十三、</w:t>
      </w:r>
      <w:bookmarkEnd w:id="68"/>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7C29921"/>
    <w:multiLevelType w:val="singleLevel"/>
    <w:tmpl w:val="D7C29921"/>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DA53B31"/>
    <w:multiLevelType w:val="singleLevel"/>
    <w:tmpl w:val="4DA53B31"/>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YjY5NzY2NmEwOGY5NzEwNDFhZmMxMmM5ODcyYT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2C56"/>
    <w:rsid w:val="003A484F"/>
    <w:rsid w:val="003A4883"/>
    <w:rsid w:val="003A5034"/>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015A"/>
    <w:rsid w:val="00465E2E"/>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7EC8"/>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5733"/>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A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3638A1"/>
    <w:rsid w:val="02AF4266"/>
    <w:rsid w:val="066E0107"/>
    <w:rsid w:val="07996F6E"/>
    <w:rsid w:val="083D28BB"/>
    <w:rsid w:val="096D4B57"/>
    <w:rsid w:val="0A2032A3"/>
    <w:rsid w:val="0AF908C4"/>
    <w:rsid w:val="0F98263C"/>
    <w:rsid w:val="101860EC"/>
    <w:rsid w:val="10C055FF"/>
    <w:rsid w:val="118107EC"/>
    <w:rsid w:val="125A5FCE"/>
    <w:rsid w:val="13D50BC4"/>
    <w:rsid w:val="16AB3EC2"/>
    <w:rsid w:val="16BB723D"/>
    <w:rsid w:val="1A0956D9"/>
    <w:rsid w:val="1BE8440E"/>
    <w:rsid w:val="1CAC4388"/>
    <w:rsid w:val="1CC04210"/>
    <w:rsid w:val="1D155CEE"/>
    <w:rsid w:val="1FF35744"/>
    <w:rsid w:val="23715B1A"/>
    <w:rsid w:val="23860B96"/>
    <w:rsid w:val="240371BF"/>
    <w:rsid w:val="26151358"/>
    <w:rsid w:val="272B1FD6"/>
    <w:rsid w:val="29FD04D3"/>
    <w:rsid w:val="2A56278B"/>
    <w:rsid w:val="2AE70E0E"/>
    <w:rsid w:val="2B603075"/>
    <w:rsid w:val="2C8A61B5"/>
    <w:rsid w:val="2CE47F61"/>
    <w:rsid w:val="2D2C6020"/>
    <w:rsid w:val="2DF04E50"/>
    <w:rsid w:val="2F040D46"/>
    <w:rsid w:val="2F0B779C"/>
    <w:rsid w:val="31271F3F"/>
    <w:rsid w:val="319F7F4E"/>
    <w:rsid w:val="329B4993"/>
    <w:rsid w:val="3304709D"/>
    <w:rsid w:val="36AA5135"/>
    <w:rsid w:val="376D39B2"/>
    <w:rsid w:val="37D03331"/>
    <w:rsid w:val="37E16F03"/>
    <w:rsid w:val="38D469F0"/>
    <w:rsid w:val="39CA7611"/>
    <w:rsid w:val="3D8A3F82"/>
    <w:rsid w:val="3D98207C"/>
    <w:rsid w:val="3E78745D"/>
    <w:rsid w:val="40763942"/>
    <w:rsid w:val="41764F49"/>
    <w:rsid w:val="41BC1497"/>
    <w:rsid w:val="424D3EFC"/>
    <w:rsid w:val="44E268DA"/>
    <w:rsid w:val="45165716"/>
    <w:rsid w:val="482F19AD"/>
    <w:rsid w:val="492D607C"/>
    <w:rsid w:val="4A57306B"/>
    <w:rsid w:val="4A627F82"/>
    <w:rsid w:val="4B0E749A"/>
    <w:rsid w:val="4B4F25DA"/>
    <w:rsid w:val="4BE068DB"/>
    <w:rsid w:val="4C003D8D"/>
    <w:rsid w:val="4D553CF7"/>
    <w:rsid w:val="4D577224"/>
    <w:rsid w:val="4EAB630A"/>
    <w:rsid w:val="4ECE2238"/>
    <w:rsid w:val="50106568"/>
    <w:rsid w:val="537E6D0A"/>
    <w:rsid w:val="54260108"/>
    <w:rsid w:val="559B4CB1"/>
    <w:rsid w:val="55CC2F32"/>
    <w:rsid w:val="56C73A4C"/>
    <w:rsid w:val="56F9470E"/>
    <w:rsid w:val="5AF92295"/>
    <w:rsid w:val="5CD71FC4"/>
    <w:rsid w:val="5CE51CA9"/>
    <w:rsid w:val="676034DA"/>
    <w:rsid w:val="68214F44"/>
    <w:rsid w:val="69F672E3"/>
    <w:rsid w:val="6AA05A7E"/>
    <w:rsid w:val="6C4A05C8"/>
    <w:rsid w:val="6E7E3605"/>
    <w:rsid w:val="6EC207A9"/>
    <w:rsid w:val="6FF5CC65"/>
    <w:rsid w:val="704B11CB"/>
    <w:rsid w:val="715C0E4B"/>
    <w:rsid w:val="71BD1299"/>
    <w:rsid w:val="72734D90"/>
    <w:rsid w:val="73AD73D5"/>
    <w:rsid w:val="73B6EB34"/>
    <w:rsid w:val="744731E5"/>
    <w:rsid w:val="755D3745"/>
    <w:rsid w:val="76E3355F"/>
    <w:rsid w:val="778769C8"/>
    <w:rsid w:val="77C519A6"/>
    <w:rsid w:val="78917997"/>
    <w:rsid w:val="79EE5BA4"/>
    <w:rsid w:val="7A894339"/>
    <w:rsid w:val="7C55517F"/>
    <w:rsid w:val="7EEF11D3"/>
    <w:rsid w:val="7EFB34ED"/>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spacing w:beforeAutospacing="1" w:afterAutospacing="1"/>
      <w:jc w:val="left"/>
    </w:pPr>
    <w:rPr>
      <w:kern w:val="0"/>
      <w:sz w:val="24"/>
    </w:r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默认段落字体1"/>
    <w:uiPriority w:val="0"/>
  </w:style>
  <w:style w:type="paragraph" w:customStyle="1" w:styleId="36">
    <w:name w:val="Heading2"/>
    <w:basedOn w:val="1"/>
    <w:next w:val="1"/>
    <w:qFormat/>
    <w:uiPriority w:val="0"/>
    <w:pPr>
      <w:spacing w:line="240" w:lineRule="atLeast"/>
      <w:jc w:val="center"/>
    </w:pPr>
    <w:rPr>
      <w:sz w:val="28"/>
    </w:rPr>
  </w:style>
  <w:style w:type="paragraph" w:customStyle="1" w:styleId="37">
    <w:name w:val="Body text|1"/>
    <w:basedOn w:val="1"/>
    <w:qFormat/>
    <w:uiPriority w:val="0"/>
    <w:pPr>
      <w:spacing w:line="403"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1235</Words>
  <Characters>7040</Characters>
  <Lines>58</Lines>
  <Paragraphs>16</Paragraphs>
  <TotalTime>18</TotalTime>
  <ScaleCrop>false</ScaleCrop>
  <LinksUpToDate>false</LinksUpToDate>
  <CharactersWithSpaces>8259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TT</cp:lastModifiedBy>
  <cp:lastPrinted>2023-10-09T06:35:00Z</cp:lastPrinted>
  <dcterms:modified xsi:type="dcterms:W3CDTF">2025-09-15T03:42:53Z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7617DE57C13346A4889ABC8B23F7F03F_13</vt:lpwstr>
  </property>
</Properties>
</file>