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2"/>
        <w:rPr>
          <w:rFonts w:ascii="Times New Roman"/>
          <w:sz w:val="21"/>
        </w:rPr>
      </w:pPr>
    </w:p>
    <w:p>
      <w:pPr>
        <w:spacing w:before="0" w:line="1262" w:lineRule="exact"/>
        <w:ind w:left="85" w:right="35" w:firstLine="0"/>
        <w:jc w:val="center"/>
        <w:rPr>
          <w:rFonts w:hint="eastAsia" w:ascii="方正小标宋简体" w:eastAsia="方正小标宋简体"/>
          <w:sz w:val="72"/>
        </w:rPr>
      </w:pPr>
      <w:bookmarkStart w:id="0" w:name="四川省省级财政国库支付中心2022年单位预算"/>
      <w:bookmarkEnd w:id="0"/>
      <w:r>
        <w:rPr>
          <w:rFonts w:hint="eastAsia" w:ascii="方正小标宋简体" w:eastAsia="方正小标宋简体"/>
          <w:w w:val="95"/>
          <w:sz w:val="72"/>
          <w:lang w:eastAsia="zh-CN"/>
        </w:rPr>
        <w:t>开江县体育发展服务中心</w:t>
      </w:r>
      <w:bookmarkStart w:id="46" w:name="_GoBack"/>
      <w:r>
        <w:rPr>
          <w:rFonts w:ascii="Times New Roman" w:eastAsia="Times New Roman"/>
          <w:sz w:val="72"/>
        </w:rPr>
        <w:t>202</w:t>
      </w:r>
      <w:r>
        <w:rPr>
          <w:rFonts w:hint="eastAsia" w:ascii="Times New Roman"/>
          <w:sz w:val="72"/>
          <w:lang w:val="en-US" w:eastAsia="zh-CN"/>
        </w:rPr>
        <w:t>1</w:t>
      </w:r>
      <w:r>
        <w:rPr>
          <w:rFonts w:hint="eastAsia" w:ascii="方正小标宋简体" w:eastAsia="方正小标宋简体"/>
          <w:sz w:val="72"/>
        </w:rPr>
        <w:t>年单位预算</w:t>
      </w:r>
    </w:p>
    <w:bookmarkEnd w:id="46"/>
    <w:p>
      <w:pPr>
        <w:spacing w:after="0" w:line="1262" w:lineRule="exact"/>
        <w:jc w:val="center"/>
        <w:rPr>
          <w:rFonts w:hint="eastAsia" w:ascii="方正小标宋简体" w:eastAsia="方正小标宋简体"/>
          <w:sz w:val="72"/>
        </w:rPr>
        <w:sectPr>
          <w:footerReference r:id="rId5" w:type="default"/>
          <w:pgSz w:w="11910" w:h="16840"/>
          <w:pgMar w:top="1580" w:right="1420" w:bottom="800" w:left="1480" w:header="720" w:footer="615" w:gutter="0"/>
          <w:pgNumType w:start="1"/>
          <w:cols w:space="720" w:num="1"/>
        </w:sectPr>
      </w:pPr>
    </w:p>
    <w:p>
      <w:pPr>
        <w:spacing w:before="0" w:line="611" w:lineRule="exact"/>
        <w:ind w:left="42" w:right="103" w:firstLine="0"/>
        <w:jc w:val="center"/>
        <w:rPr>
          <w:rFonts w:hint="eastAsia" w:ascii="方正小标宋简体" w:eastAsia="方正小标宋简体"/>
          <w:sz w:val="36"/>
        </w:rPr>
      </w:pPr>
      <w:bookmarkStart w:id="1" w:name="目录"/>
      <w:bookmarkEnd w:id="1"/>
      <w:r>
        <w:rPr>
          <w:rFonts w:hint="eastAsia" w:ascii="方正小标宋简体" w:eastAsia="方正小标宋简体"/>
          <w:sz w:val="36"/>
        </w:rPr>
        <w:t>目录</w:t>
      </w:r>
    </w:p>
    <w:p>
      <w:pPr>
        <w:pStyle w:val="5"/>
        <w:spacing w:before="12"/>
        <w:rPr>
          <w:rFonts w:ascii="方正小标宋简体"/>
          <w:sz w:val="42"/>
        </w:rPr>
      </w:pPr>
    </w:p>
    <w:p>
      <w:pPr>
        <w:pStyle w:val="5"/>
        <w:tabs>
          <w:tab w:val="left" w:pos="2559"/>
        </w:tabs>
        <w:ind w:left="960"/>
        <w:rPr>
          <w:rFonts w:hint="eastAsia" w:ascii="黑体" w:eastAsia="黑体"/>
        </w:rPr>
      </w:pPr>
      <w:bookmarkStart w:id="2" w:name="第一部分  四川省省级财政国库支付中心概况"/>
      <w:bookmarkEnd w:id="2"/>
      <w:r>
        <w:rPr>
          <w:rFonts w:hint="eastAsia" w:ascii="黑体" w:eastAsia="黑体"/>
        </w:rPr>
        <w:t>第一部分</w:t>
      </w:r>
      <w:r>
        <w:rPr>
          <w:rFonts w:hint="eastAsia" w:ascii="黑体" w:eastAsia="黑体"/>
        </w:rPr>
        <w:tab/>
      </w:r>
      <w:r>
        <w:rPr>
          <w:rFonts w:hint="eastAsia" w:ascii="黑体" w:eastAsia="黑体"/>
          <w:lang w:eastAsia="zh-CN"/>
        </w:rPr>
        <w:t>开江县体育发展服务中心</w:t>
      </w:r>
      <w:r>
        <w:rPr>
          <w:rFonts w:hint="eastAsia" w:ascii="黑体" w:eastAsia="黑体"/>
        </w:rPr>
        <w:t>概况</w:t>
      </w:r>
    </w:p>
    <w:p>
      <w:pPr>
        <w:pStyle w:val="5"/>
        <w:spacing w:before="190"/>
        <w:ind w:left="960"/>
      </w:pPr>
      <w:bookmarkStart w:id="3" w:name="一、职能简介"/>
      <w:bookmarkEnd w:id="3"/>
      <w:r>
        <w:t>一、职能简介</w:t>
      </w:r>
    </w:p>
    <w:p>
      <w:pPr>
        <w:pStyle w:val="5"/>
        <w:spacing w:before="190"/>
        <w:ind w:left="960"/>
      </w:pPr>
      <w:bookmarkStart w:id="4" w:name="二、2022年重点工作"/>
      <w:bookmarkEnd w:id="4"/>
      <w:r>
        <w:t>二、</w:t>
      </w:r>
      <w:r>
        <w:rPr>
          <w:rFonts w:ascii="Times New Roman" w:eastAsia="Times New Roman"/>
        </w:rPr>
        <w:t>202</w:t>
      </w:r>
      <w:r>
        <w:rPr>
          <w:rFonts w:hint="eastAsia" w:ascii="Times New Roman"/>
          <w:lang w:val="en-US" w:eastAsia="zh-CN"/>
        </w:rPr>
        <w:t>1</w:t>
      </w:r>
      <w:r>
        <w:t>年重点工作</w:t>
      </w:r>
    </w:p>
    <w:p>
      <w:pPr>
        <w:pStyle w:val="5"/>
        <w:tabs>
          <w:tab w:val="left" w:pos="2599"/>
        </w:tabs>
        <w:spacing w:before="190" w:line="350" w:lineRule="auto"/>
        <w:ind w:left="320" w:right="380" w:firstLine="640"/>
        <w:rPr>
          <w:rFonts w:hint="eastAsia" w:ascii="黑体" w:eastAsia="黑体"/>
        </w:rPr>
      </w:pPr>
      <w:bookmarkStart w:id="5" w:name="第二部分  四川省省级财政国库支付中心2022年单位　　　预算表"/>
      <w:bookmarkEnd w:id="5"/>
      <w:r>
        <w:rPr>
          <w:rFonts w:hint="eastAsia" w:ascii="黑体" w:eastAsia="黑体"/>
          <w:spacing w:val="7"/>
        </w:rPr>
        <w:t>第二部</w:t>
      </w:r>
      <w:r>
        <w:rPr>
          <w:rFonts w:hint="eastAsia" w:ascii="黑体" w:eastAsia="黑体"/>
        </w:rPr>
        <w:t>分</w:t>
      </w:r>
      <w:r>
        <w:rPr>
          <w:rFonts w:hint="eastAsia" w:ascii="黑体" w:eastAsia="黑体"/>
        </w:rPr>
        <w:tab/>
      </w:r>
      <w:r>
        <w:rPr>
          <w:rFonts w:hint="eastAsia" w:ascii="黑体" w:eastAsia="黑体"/>
          <w:spacing w:val="7"/>
          <w:lang w:eastAsia="zh-CN"/>
        </w:rPr>
        <w:t>开江县体育发展服务中心</w:t>
      </w:r>
      <w:r>
        <w:rPr>
          <w:rFonts w:ascii="Times New Roman" w:eastAsia="Times New Roman"/>
        </w:rPr>
        <w:t>202</w:t>
      </w:r>
      <w:r>
        <w:rPr>
          <w:rFonts w:hint="eastAsia" w:ascii="Times New Roman"/>
          <w:lang w:val="en-US" w:eastAsia="zh-CN"/>
        </w:rPr>
        <w:t>1</w:t>
      </w:r>
      <w:r>
        <w:rPr>
          <w:rFonts w:hint="eastAsia" w:ascii="黑体" w:eastAsia="黑体"/>
          <w:spacing w:val="7"/>
        </w:rPr>
        <w:t>年单</w:t>
      </w:r>
      <w:r>
        <w:rPr>
          <w:rFonts w:hint="eastAsia" w:ascii="黑体" w:eastAsia="黑体"/>
        </w:rPr>
        <w:t>位预算表</w:t>
      </w:r>
    </w:p>
    <w:p>
      <w:pPr>
        <w:pStyle w:val="5"/>
        <w:spacing w:before="3" w:line="350" w:lineRule="auto"/>
        <w:ind w:left="960" w:right="5485"/>
        <w:jc w:val="both"/>
      </w:pPr>
      <w:bookmarkStart w:id="6" w:name="一、单位收支总表"/>
      <w:bookmarkEnd w:id="6"/>
      <w:r>
        <w:t>一、单位收支总表</w:t>
      </w:r>
      <w:bookmarkStart w:id="7" w:name="二、单位收入总表"/>
      <w:bookmarkEnd w:id="7"/>
      <w:r>
        <w:t>二、单位收入总表</w:t>
      </w:r>
      <w:bookmarkStart w:id="8" w:name="三、单位支出总表"/>
      <w:bookmarkEnd w:id="8"/>
      <w:r>
        <w:t>三、单位支出总表</w:t>
      </w:r>
    </w:p>
    <w:p>
      <w:pPr>
        <w:pStyle w:val="5"/>
        <w:spacing w:before="4"/>
        <w:ind w:left="960"/>
      </w:pPr>
      <w:bookmarkStart w:id="9" w:name="四、财政拨款收支预算总表"/>
      <w:bookmarkEnd w:id="9"/>
      <w:r>
        <w:t>四、财政拨款收支预算总表</w:t>
      </w:r>
    </w:p>
    <w:p>
      <w:pPr>
        <w:pStyle w:val="5"/>
        <w:spacing w:before="190" w:line="350" w:lineRule="auto"/>
        <w:ind w:left="960" w:right="1323"/>
      </w:pPr>
      <w:bookmarkStart w:id="10" w:name="五、财政拨款支出预算表（部门经济分类科目）"/>
      <w:bookmarkEnd w:id="10"/>
      <w:r>
        <w:t xml:space="preserve">五、财政拨款支出预算表（部门经济分类科目） </w:t>
      </w:r>
      <w:bookmarkStart w:id="11" w:name="六、一般公共预算支出预算表"/>
      <w:bookmarkEnd w:id="11"/>
      <w:r>
        <w:t>六、一般公共预算支出预算表</w:t>
      </w:r>
    </w:p>
    <w:p>
      <w:pPr>
        <w:pStyle w:val="5"/>
        <w:spacing w:before="3" w:line="350" w:lineRule="auto"/>
        <w:ind w:left="960" w:right="3245"/>
      </w:pPr>
      <w:bookmarkStart w:id="12" w:name="七、一般公共预算基本支出预算表"/>
      <w:bookmarkEnd w:id="12"/>
      <w:r>
        <w:t>七、一般公共预算基本支出预算表</w:t>
      </w:r>
      <w:bookmarkStart w:id="13" w:name="八、一般公共预算项目支出预算表"/>
      <w:bookmarkEnd w:id="13"/>
      <w:r>
        <w:t>八、一般公共预算项目支出预算表</w:t>
      </w:r>
    </w:p>
    <w:p>
      <w:pPr>
        <w:pStyle w:val="5"/>
        <w:spacing w:before="3" w:line="350" w:lineRule="auto"/>
        <w:ind w:left="960" w:right="2321"/>
      </w:pPr>
      <w:bookmarkStart w:id="14" w:name="九、一般公共预算“三公”经费支出预算表"/>
      <w:bookmarkEnd w:id="14"/>
      <w:r>
        <w:t>九、一般公共预算</w:t>
      </w:r>
      <w:r>
        <w:rPr>
          <w:rFonts w:ascii="Times New Roman" w:hAnsi="Times New Roman" w:eastAsia="Times New Roman"/>
        </w:rPr>
        <w:t>“</w:t>
      </w:r>
      <w:r>
        <w:t>三公</w:t>
      </w:r>
      <w:r>
        <w:rPr>
          <w:rFonts w:ascii="Times New Roman" w:hAnsi="Times New Roman" w:eastAsia="Times New Roman"/>
        </w:rPr>
        <w:t>”</w:t>
      </w:r>
      <w:r>
        <w:t>经费支出预算表</w:t>
      </w:r>
      <w:bookmarkStart w:id="15" w:name="十、政府性基金预算支出表"/>
      <w:bookmarkEnd w:id="15"/>
      <w:r>
        <w:t>十、政府性基金预算支出表</w:t>
      </w:r>
    </w:p>
    <w:p>
      <w:pPr>
        <w:pStyle w:val="5"/>
        <w:spacing w:before="3" w:line="350" w:lineRule="auto"/>
        <w:ind w:left="960" w:right="1681"/>
      </w:pPr>
      <w:bookmarkStart w:id="16" w:name="十一、政府性基金预算“三公”经费支出预算表"/>
      <w:bookmarkEnd w:id="16"/>
      <w:r>
        <w:t>十一、政府性基金预算</w:t>
      </w:r>
      <w:r>
        <w:rPr>
          <w:rFonts w:ascii="Times New Roman" w:hAnsi="Times New Roman" w:eastAsia="Times New Roman"/>
        </w:rPr>
        <w:t>“</w:t>
      </w:r>
      <w:r>
        <w:t>三公</w:t>
      </w:r>
      <w:r>
        <w:rPr>
          <w:rFonts w:ascii="Times New Roman" w:hAnsi="Times New Roman" w:eastAsia="Times New Roman"/>
        </w:rPr>
        <w:t>”</w:t>
      </w:r>
      <w:r>
        <w:t>经费支出预算表</w:t>
      </w:r>
      <w:bookmarkStart w:id="17" w:name="十二、国有资本经营预算支出表"/>
      <w:bookmarkEnd w:id="17"/>
      <w:r>
        <w:t>十二、国有资本经营预算支出表</w:t>
      </w:r>
    </w:p>
    <w:p>
      <w:pPr>
        <w:pStyle w:val="5"/>
        <w:spacing w:before="3"/>
        <w:ind w:left="960"/>
      </w:pPr>
      <w:bookmarkStart w:id="18" w:name="十三、单位预算项目支出绩效目标表"/>
      <w:bookmarkEnd w:id="18"/>
      <w:r>
        <w:t>十三、单位预算项目支出绩效目标表</w:t>
      </w:r>
    </w:p>
    <w:p>
      <w:pPr>
        <w:pStyle w:val="5"/>
        <w:tabs>
          <w:tab w:val="left" w:pos="2599"/>
        </w:tabs>
        <w:spacing w:before="190" w:line="350" w:lineRule="auto"/>
        <w:ind w:left="320" w:right="380" w:firstLine="640"/>
        <w:rPr>
          <w:rFonts w:hint="eastAsia" w:ascii="黑体" w:eastAsia="黑体"/>
        </w:rPr>
      </w:pPr>
      <w:bookmarkStart w:id="19" w:name="第三部分  四川省省级财政国库支付中心2022年单位预算情况说明"/>
      <w:bookmarkEnd w:id="19"/>
      <w:r>
        <w:rPr>
          <w:rFonts w:hint="eastAsia" w:ascii="黑体" w:eastAsia="黑体"/>
          <w:spacing w:val="7"/>
        </w:rPr>
        <w:t>第三部</w:t>
      </w:r>
      <w:r>
        <w:rPr>
          <w:rFonts w:hint="eastAsia" w:ascii="黑体" w:eastAsia="黑体"/>
        </w:rPr>
        <w:t>分</w:t>
      </w:r>
      <w:r>
        <w:rPr>
          <w:rFonts w:hint="eastAsia" w:ascii="黑体" w:eastAsia="黑体"/>
        </w:rPr>
        <w:tab/>
      </w:r>
      <w:r>
        <w:rPr>
          <w:rFonts w:hint="eastAsia" w:ascii="黑体" w:eastAsia="黑体"/>
          <w:spacing w:val="7"/>
          <w:lang w:eastAsia="zh-CN"/>
        </w:rPr>
        <w:t>开江县体育发展服务中心</w:t>
      </w:r>
      <w:r>
        <w:rPr>
          <w:rFonts w:hint="eastAsia" w:ascii="黑体" w:eastAsia="黑体"/>
          <w:spacing w:val="-83"/>
        </w:rPr>
        <w:t xml:space="preserve"> </w:t>
      </w:r>
      <w:r>
        <w:rPr>
          <w:rFonts w:ascii="Times New Roman" w:eastAsia="Times New Roman"/>
        </w:rPr>
        <w:t>202</w:t>
      </w:r>
      <w:r>
        <w:rPr>
          <w:rFonts w:hint="eastAsia" w:ascii="Times New Roman"/>
          <w:lang w:val="en-US" w:eastAsia="zh-CN"/>
        </w:rPr>
        <w:t>1</w:t>
      </w:r>
      <w:r>
        <w:rPr>
          <w:rFonts w:hint="eastAsia" w:ascii="黑体" w:eastAsia="黑体"/>
          <w:spacing w:val="7"/>
        </w:rPr>
        <w:t>年单</w:t>
      </w:r>
      <w:r>
        <w:rPr>
          <w:rFonts w:hint="eastAsia" w:ascii="黑体" w:eastAsia="黑体"/>
        </w:rPr>
        <w:t>位预算情况说明</w:t>
      </w:r>
    </w:p>
    <w:p>
      <w:pPr>
        <w:pStyle w:val="5"/>
        <w:tabs>
          <w:tab w:val="left" w:pos="2559"/>
        </w:tabs>
        <w:spacing w:before="2"/>
        <w:ind w:left="960"/>
        <w:rPr>
          <w:rFonts w:hint="eastAsia" w:ascii="黑体" w:eastAsia="黑体"/>
        </w:rPr>
      </w:pPr>
      <w:bookmarkStart w:id="20" w:name="第四部分  名词解释"/>
      <w:bookmarkEnd w:id="20"/>
      <w:r>
        <w:rPr>
          <w:rFonts w:hint="eastAsia" w:ascii="黑体" w:eastAsia="黑体"/>
        </w:rPr>
        <w:t>第四部分</w:t>
      </w:r>
      <w:r>
        <w:rPr>
          <w:rFonts w:hint="eastAsia" w:ascii="黑体" w:eastAsia="黑体"/>
        </w:rPr>
        <w:tab/>
      </w:r>
      <w:r>
        <w:rPr>
          <w:rFonts w:hint="eastAsia" w:ascii="黑体" w:eastAsia="黑体"/>
        </w:rPr>
        <w:t>名词解释</w:t>
      </w:r>
    </w:p>
    <w:p>
      <w:pPr>
        <w:spacing w:after="0"/>
        <w:rPr>
          <w:rFonts w:hint="eastAsia" w:ascii="黑体" w:eastAsia="黑体"/>
        </w:rPr>
        <w:sectPr>
          <w:pgSz w:w="11910" w:h="16840"/>
          <w:pgMar w:top="1440" w:right="1420" w:bottom="880" w:left="1480" w:header="0" w:footer="615" w:gutter="0"/>
          <w:cols w:space="720" w:num="1"/>
        </w:sect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spacing w:before="7"/>
        <w:rPr>
          <w:rFonts w:ascii="黑体"/>
          <w:sz w:val="21"/>
        </w:rPr>
      </w:pPr>
    </w:p>
    <w:p>
      <w:pPr>
        <w:spacing w:before="16"/>
        <w:ind w:left="42" w:right="101" w:firstLine="0"/>
        <w:jc w:val="center"/>
        <w:rPr>
          <w:rFonts w:hint="eastAsia" w:ascii="方正小标宋简体" w:eastAsia="方正小标宋简体"/>
          <w:sz w:val="52"/>
        </w:rPr>
      </w:pPr>
      <w:r>
        <w:rPr>
          <w:rFonts w:hint="eastAsia" w:ascii="方正小标宋简体" w:eastAsia="方正小标宋简体"/>
          <w:sz w:val="52"/>
        </w:rPr>
        <w:t>第一部分</w:t>
      </w:r>
      <w:r>
        <w:rPr>
          <w:rFonts w:hint="eastAsia" w:ascii="方正小标宋简体" w:eastAsia="方正小标宋简体"/>
          <w:sz w:val="52"/>
        </w:rPr>
        <w:tab/>
      </w:r>
      <w:bookmarkStart w:id="21" w:name="第一部分 四川省省级财政国库"/>
      <w:bookmarkEnd w:id="21"/>
    </w:p>
    <w:p>
      <w:pPr>
        <w:spacing w:before="16"/>
        <w:ind w:left="42" w:right="101" w:firstLine="0"/>
        <w:jc w:val="center"/>
        <w:rPr>
          <w:rFonts w:hint="eastAsia" w:ascii="方正小标宋简体" w:eastAsia="方正小标宋简体"/>
          <w:sz w:val="52"/>
        </w:rPr>
      </w:pPr>
      <w:r>
        <w:rPr>
          <w:rFonts w:hint="eastAsia" w:ascii="方正小标宋简体" w:eastAsia="方正小标宋简体"/>
          <w:sz w:val="52"/>
          <w:lang w:eastAsia="zh-CN"/>
        </w:rPr>
        <w:t>开江县体育发展服务中心</w:t>
      </w:r>
      <w:r>
        <w:rPr>
          <w:rFonts w:hint="eastAsia" w:ascii="方正小标宋简体" w:eastAsia="方正小标宋简体"/>
          <w:sz w:val="52"/>
        </w:rPr>
        <w:t>概况</w:t>
      </w:r>
    </w:p>
    <w:p>
      <w:pPr>
        <w:spacing w:after="0"/>
        <w:jc w:val="center"/>
        <w:rPr>
          <w:rFonts w:hint="eastAsia" w:ascii="方正小标宋简体" w:eastAsia="方正小标宋简体"/>
          <w:sz w:val="52"/>
        </w:rPr>
        <w:sectPr>
          <w:pgSz w:w="11910" w:h="16840"/>
          <w:pgMar w:top="1580" w:right="1420" w:bottom="880" w:left="1480" w:header="0" w:footer="615" w:gutter="0"/>
          <w:cols w:space="720" w:num="1"/>
        </w:sectPr>
      </w:pPr>
    </w:p>
    <w:p>
      <w:pPr>
        <w:pStyle w:val="5"/>
        <w:spacing w:before="26"/>
        <w:ind w:firstLine="640" w:firstLineChars="200"/>
        <w:rPr>
          <w:rFonts w:hint="eastAsia" w:ascii="黑体" w:eastAsia="黑体"/>
        </w:rPr>
      </w:pPr>
      <w:bookmarkStart w:id="22" w:name="一、职能简介"/>
      <w:bookmarkEnd w:id="22"/>
      <w:r>
        <w:rPr>
          <w:rFonts w:hint="eastAsia" w:ascii="黑体" w:eastAsia="黑体"/>
        </w:rPr>
        <w:t>一、职能简介</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方正仿宋简体" w:hAnsi="方正仿宋简体" w:eastAsia="方正仿宋简体" w:cs="方正仿宋简体"/>
          <w:sz w:val="32"/>
          <w:szCs w:val="32"/>
        </w:rPr>
      </w:pPr>
      <w:bookmarkStart w:id="23" w:name="配合财政国库部门管理省级国库单一账户体系，审核省级预算单位用款计划，具体办理财政"/>
      <w:bookmarkEnd w:id="23"/>
      <w:r>
        <w:rPr>
          <w:rFonts w:hint="eastAsia" w:ascii="方正仿宋简体" w:hAnsi="方正仿宋简体" w:eastAsia="方正仿宋简体" w:cs="方正仿宋简体"/>
          <w:sz w:val="32"/>
          <w:szCs w:val="32"/>
        </w:rPr>
        <w:t>1.贯彻落实国家、省、市体育工作方针政策，推进全县体育公共服务和体育体制改革。</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2.拟定并组织实施全县体育事业发展规划，拟定全县体育工作政策，促进多元化体育服务体系建设。</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3.统筹规划全县竞技体育发展和体育运动项目设置与重点布局。负责县运动队伍建设和体育后备人才培养，组织管理重大体育竞赛的备战及参赛工作。</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4.组织举办全县综合性运动会，统筹规划全县青少年体育发展，指导和推进青少年体育工作。</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5.推行全民健身计划，指导开展群众性体育活动，推动建立和完善全民健身公共服务体系。实施国家体育锻炼标准，开展国民体质监测；指导公共体育设施建设，负责对公共体育设施的监督管理。 </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6.拟订全县体育产业政策，推进全县体育产业发展，推动体育标准化建设。加强全县体育经营活动的服务指导，促进体育市场发展；协调服务体育彩票销售工作。</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7.指导全县体育宣传，负责体育外事有关工作。</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8.完成县委、县政府交办的其他任务。</w:t>
      </w:r>
    </w:p>
    <w:p>
      <w:pPr>
        <w:pStyle w:val="5"/>
        <w:spacing w:line="398" w:lineRule="exact"/>
        <w:ind w:left="960"/>
        <w:rPr>
          <w:rFonts w:hint="eastAsia" w:ascii="黑体" w:eastAsia="黑体"/>
        </w:rPr>
      </w:pPr>
      <w:bookmarkStart w:id="24" w:name="二、2022年重点工作"/>
      <w:bookmarkEnd w:id="24"/>
      <w:r>
        <w:rPr>
          <w:rFonts w:hint="eastAsia" w:ascii="黑体" w:eastAsia="黑体"/>
        </w:rPr>
        <w:t>二、</w:t>
      </w:r>
      <w:r>
        <w:rPr>
          <w:rFonts w:ascii="Times New Roman" w:eastAsia="Times New Roman"/>
        </w:rPr>
        <w:t>202</w:t>
      </w:r>
      <w:r>
        <w:rPr>
          <w:rFonts w:hint="eastAsia" w:ascii="Times New Roman"/>
          <w:lang w:val="en-US" w:eastAsia="zh-CN"/>
        </w:rPr>
        <w:t>1</w:t>
      </w:r>
      <w:r>
        <w:rPr>
          <w:rFonts w:hint="eastAsia" w:ascii="黑体" w:eastAsia="黑体"/>
        </w:rPr>
        <w:t>年重点工作</w:t>
      </w:r>
    </w:p>
    <w:p>
      <w:pPr>
        <w:pStyle w:val="5"/>
        <w:spacing w:before="171" w:line="340" w:lineRule="auto"/>
        <w:ind w:left="320" w:right="214" w:firstLine="640"/>
        <w:rPr>
          <w:rFonts w:hint="eastAsia" w:ascii="方正仿宋简体" w:hAnsi="方正仿宋简体" w:eastAsia="方正仿宋简体" w:cs="方正仿宋简体"/>
        </w:rPr>
      </w:pPr>
      <w:r>
        <w:rPr>
          <w:rFonts w:hint="eastAsia" w:ascii="楷体" w:eastAsia="楷体"/>
          <w:b w:val="0"/>
          <w:bCs/>
        </w:rPr>
        <w:t>（一）认真完成</w:t>
      </w:r>
      <w:r>
        <w:rPr>
          <w:rFonts w:hint="eastAsia" w:ascii="楷体" w:eastAsia="楷体"/>
          <w:b w:val="0"/>
          <w:bCs/>
          <w:lang w:eastAsia="zh-CN"/>
        </w:rPr>
        <w:t>本级</w:t>
      </w:r>
      <w:r>
        <w:rPr>
          <w:rFonts w:hint="eastAsia" w:ascii="楷体" w:eastAsia="楷体"/>
          <w:b w:val="0"/>
          <w:bCs/>
        </w:rPr>
        <w:t>财政资金拨付。</w:t>
      </w:r>
      <w:r>
        <w:rPr>
          <w:rFonts w:hint="eastAsia" w:ascii="方正仿宋简体" w:hAnsi="方正仿宋简体" w:eastAsia="方正仿宋简体" w:cs="方正仿宋简体"/>
          <w:w w:val="95"/>
        </w:rPr>
        <w:t xml:space="preserve">严格按照预算审核、 </w:t>
      </w:r>
      <w:r>
        <w:rPr>
          <w:rFonts w:hint="eastAsia" w:ascii="方正仿宋简体" w:hAnsi="方正仿宋简体" w:eastAsia="方正仿宋简体" w:cs="方正仿宋简体"/>
          <w:spacing w:val="11"/>
        </w:rPr>
        <w:t>下达预算单位用款计划。认真</w:t>
      </w:r>
      <w:r>
        <w:rPr>
          <w:rFonts w:hint="eastAsia" w:ascii="方正仿宋简体" w:hAnsi="方正仿宋简体" w:eastAsia="方正仿宋简体" w:cs="方正仿宋简体"/>
          <w:spacing w:val="11"/>
          <w:lang w:eastAsia="zh-CN"/>
        </w:rPr>
        <w:t>梳理</w:t>
      </w:r>
      <w:r>
        <w:rPr>
          <w:rFonts w:hint="eastAsia" w:ascii="方正仿宋简体" w:hAnsi="方正仿宋简体" w:eastAsia="方正仿宋简体" w:cs="方正仿宋简体"/>
          <w:spacing w:val="11"/>
        </w:rPr>
        <w:t>财政</w:t>
      </w:r>
      <w:r>
        <w:rPr>
          <w:rFonts w:hint="eastAsia" w:ascii="方正仿宋简体" w:hAnsi="方正仿宋简体" w:eastAsia="方正仿宋简体" w:cs="方正仿宋简体"/>
          <w:spacing w:val="11"/>
          <w:lang w:eastAsia="zh-CN"/>
        </w:rPr>
        <w:t>下达</w:t>
      </w:r>
      <w:r>
        <w:rPr>
          <w:rFonts w:hint="eastAsia" w:ascii="方正仿宋简体" w:hAnsi="方正仿宋简体" w:eastAsia="方正仿宋简体" w:cs="方正仿宋简体"/>
          <w:spacing w:val="11"/>
        </w:rPr>
        <w:t>的资金支付凭证，严格按照有关规定完成财政资金支付和单位资金支付、</w:t>
      </w:r>
      <w:r>
        <w:rPr>
          <w:rFonts w:hint="eastAsia" w:ascii="方正仿宋简体" w:hAnsi="方正仿宋简体" w:eastAsia="方正仿宋简体" w:cs="方正仿宋简体"/>
          <w:spacing w:val="-2"/>
        </w:rPr>
        <w:t>清算工作。定期与财政开户银行、预算单位对账。执行节假日值班制度，做好应急资金支付保障工作。</w:t>
      </w:r>
    </w:p>
    <w:p>
      <w:pPr>
        <w:pStyle w:val="5"/>
        <w:spacing w:line="338" w:lineRule="auto"/>
        <w:ind w:left="320" w:right="218" w:firstLine="640"/>
        <w:rPr>
          <w:rFonts w:hint="eastAsia" w:ascii="方正仿宋简体" w:hAnsi="方正仿宋简体" w:eastAsia="方正仿宋简体" w:cs="方正仿宋简体"/>
        </w:rPr>
      </w:pPr>
      <w:r>
        <w:rPr>
          <w:rFonts w:hint="eastAsia" w:ascii="楷体" w:eastAsia="楷体"/>
          <w:b w:val="0"/>
          <w:bCs/>
        </w:rPr>
        <w:t>（二</w:t>
      </w:r>
      <w:r>
        <w:rPr>
          <w:rFonts w:hint="eastAsia" w:ascii="楷体" w:eastAsia="楷体"/>
          <w:b w:val="0"/>
          <w:bCs/>
          <w:spacing w:val="-17"/>
        </w:rPr>
        <w:t>）</w:t>
      </w:r>
      <w:r>
        <w:rPr>
          <w:rFonts w:hint="eastAsia" w:ascii="楷体" w:eastAsia="楷体"/>
          <w:b w:val="0"/>
          <w:bCs/>
          <w:spacing w:val="-2"/>
        </w:rPr>
        <w:t>认真完成财政预算会计核算工作。</w:t>
      </w:r>
      <w:r>
        <w:rPr>
          <w:rFonts w:hint="eastAsia" w:ascii="方正仿宋简体" w:hAnsi="方正仿宋简体" w:eastAsia="方正仿宋简体" w:cs="方正仿宋简体"/>
        </w:rPr>
        <w:t>严格执行</w:t>
      </w:r>
      <w:r>
        <w:rPr>
          <w:rFonts w:hint="eastAsia" w:ascii="方正仿宋简体" w:hAnsi="方正仿宋简体" w:eastAsia="方正仿宋简体" w:cs="方正仿宋简体"/>
          <w:spacing w:val="-2"/>
        </w:rPr>
        <w:t>预算会计制度，按时完成预算会计收支核算工作。认真做</w:t>
      </w:r>
      <w:r>
        <w:rPr>
          <w:rFonts w:hint="eastAsia" w:ascii="方正仿宋简体" w:hAnsi="方正仿宋简体" w:eastAsia="方正仿宋简体" w:cs="方正仿宋简体"/>
          <w:spacing w:val="-15"/>
        </w:rPr>
        <w:t>好总账、明细账核算，确保账账相符、账实相符、账证相符。</w:t>
      </w:r>
      <w:r>
        <w:rPr>
          <w:rFonts w:hint="eastAsia" w:ascii="方正仿宋简体" w:hAnsi="方正仿宋简体" w:eastAsia="方正仿宋简体" w:cs="方正仿宋简体"/>
        </w:rPr>
        <w:t>按时完成各类预算会计报表编制和报送工作。</w:t>
      </w:r>
    </w:p>
    <w:p>
      <w:pPr>
        <w:spacing w:after="0" w:line="338" w:lineRule="auto"/>
        <w:rPr>
          <w:rFonts w:hint="eastAsia" w:ascii="方正仿宋简体" w:hAnsi="方正仿宋简体" w:eastAsia="方正仿宋简体" w:cs="方正仿宋简体"/>
        </w:rPr>
        <w:sectPr>
          <w:pgSz w:w="11910" w:h="16840"/>
          <w:pgMar w:top="1540" w:right="1420" w:bottom="880" w:left="1480" w:header="0" w:footer="615"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7"/>
        <w:rPr>
          <w:sz w:val="21"/>
        </w:rPr>
      </w:pPr>
    </w:p>
    <w:p>
      <w:pPr>
        <w:spacing w:before="18"/>
        <w:ind w:left="42" w:right="99" w:firstLine="0"/>
        <w:jc w:val="center"/>
        <w:rPr>
          <w:rFonts w:hint="eastAsia" w:ascii="方正小标宋简体" w:eastAsia="方正小标宋简体"/>
          <w:sz w:val="52"/>
        </w:rPr>
      </w:pPr>
      <w:r>
        <w:rPr>
          <w:rFonts w:hint="eastAsia" w:ascii="方正小标宋简体" w:eastAsia="方正小标宋简体"/>
          <w:sz w:val="52"/>
        </w:rPr>
        <w:t>第二部分</w:t>
      </w:r>
      <w:r>
        <w:rPr>
          <w:rFonts w:hint="eastAsia" w:ascii="方正小标宋简体" w:eastAsia="方正小标宋简体"/>
          <w:sz w:val="52"/>
        </w:rPr>
        <w:tab/>
      </w:r>
      <w:bookmarkStart w:id="25" w:name="第二部分 四川省省级财政国库"/>
      <w:bookmarkEnd w:id="25"/>
      <w:r>
        <w:rPr>
          <w:rFonts w:hint="eastAsia" w:ascii="方正小标宋简体" w:eastAsia="方正小标宋简体"/>
          <w:sz w:val="52"/>
          <w:lang w:eastAsia="zh-CN"/>
        </w:rPr>
        <w:t>开江县体育发展服务中心</w:t>
      </w:r>
      <w:r>
        <w:rPr>
          <w:rFonts w:hint="eastAsia" w:ascii="方正小标宋简体" w:eastAsia="方正小标宋简体"/>
          <w:sz w:val="52"/>
        </w:rPr>
        <w:t xml:space="preserve"> </w:t>
      </w:r>
      <w:r>
        <w:rPr>
          <w:rFonts w:ascii="Times New Roman" w:eastAsia="Times New Roman"/>
          <w:sz w:val="52"/>
        </w:rPr>
        <w:t>202</w:t>
      </w:r>
      <w:r>
        <w:rPr>
          <w:rFonts w:hint="eastAsia" w:ascii="Times New Roman"/>
          <w:sz w:val="52"/>
          <w:lang w:val="en-US" w:eastAsia="zh-CN"/>
        </w:rPr>
        <w:t>1</w:t>
      </w:r>
      <w:r>
        <w:rPr>
          <w:rFonts w:hint="eastAsia" w:ascii="方正小标宋简体" w:eastAsia="方正小标宋简体"/>
          <w:sz w:val="52"/>
        </w:rPr>
        <w:t>年单位预算表</w:t>
      </w:r>
    </w:p>
    <w:p>
      <w:pPr>
        <w:spacing w:after="0"/>
        <w:jc w:val="center"/>
        <w:rPr>
          <w:rFonts w:hint="eastAsia" w:ascii="方正小标宋简体" w:eastAsia="方正小标宋简体"/>
          <w:sz w:val="52"/>
        </w:rPr>
        <w:sectPr>
          <w:pgSz w:w="11910" w:h="16840"/>
          <w:pgMar w:top="1580" w:right="1420" w:bottom="880" w:left="1480" w:header="0" w:footer="615" w:gutter="0"/>
          <w:cols w:space="720" w:num="1"/>
        </w:sectPr>
      </w:pPr>
    </w:p>
    <w:p>
      <w:pPr>
        <w:spacing w:after="0"/>
        <w:jc w:val="right"/>
        <w:rPr>
          <w:sz w:val="22"/>
        </w:rPr>
      </w:pPr>
    </w:p>
    <w:p>
      <w:pPr>
        <w:pStyle w:val="2"/>
        <w:rPr>
          <w:sz w:val="22"/>
        </w:rPr>
      </w:pPr>
    </w:p>
    <w:p>
      <w:pPr>
        <w:sectPr>
          <w:pgSz w:w="11910" w:h="16840"/>
          <w:pgMar w:top="1380" w:right="1420" w:bottom="880" w:left="1480" w:header="0" w:footer="615" w:gutter="0"/>
          <w:cols w:space="720" w:num="1"/>
        </w:sectPr>
      </w:pPr>
      <w:r>
        <w:object>
          <v:shape id="_x0000_i1026" o:spt="75" type="#_x0000_t75" style="height:519.2pt;width:484.05pt;" o:ole="t" filled="f" o:preferrelative="t" stroked="f" coordsize="21600,21600">
            <v:path/>
            <v:fill on="f" focussize="0,0"/>
            <v:stroke on="f"/>
            <v:imagedata r:id="rId12" o:title=""/>
            <o:lock v:ext="edit" aspectratio="f"/>
            <w10:wrap type="none"/>
            <w10:anchorlock/>
          </v:shape>
          <o:OLEObject Type="Embed" ProgID="Excel.Sheet.8" ShapeID="_x0000_i1026" DrawAspect="Content" ObjectID="_1468075725" r:id="rId11">
            <o:LockedField>false</o:LockedField>
          </o:OLEObject>
        </w:object>
      </w:r>
    </w:p>
    <w:p>
      <w:pPr>
        <w:spacing w:after="0"/>
        <w:jc w:val="right"/>
        <w:rPr>
          <w:sz w:val="22"/>
        </w:rPr>
      </w:pPr>
      <w:r>
        <w:pict>
          <v:shape id="_x0000_s1026" o:spid="_x0000_s1026" o:spt="75" type="#_x0000_t75" style="position:absolute;left:0pt;margin-left:-54.75pt;margin-top:13.55pt;height:248.75pt;width:556.7pt;z-index:251659264;mso-width-relative:page;mso-height-relative:page;" o:ole="t" filled="f" o:preferrelative="t" stroked="f" coordsize="21600,21600">
            <v:path/>
            <v:fill on="f" focussize="0,0"/>
            <v:stroke on="f"/>
            <v:imagedata r:id="rId14" o:title=""/>
            <o:lock v:ext="edit" aspectratio="f"/>
          </v:shape>
          <o:OLEObject Type="Embed" ProgID="Excel.Sheet.8" ShapeID="_x0000_s1026" DrawAspect="Content" ObjectID="_1468075726" r:id="rId13">
            <o:LockedField>false</o:LockedField>
          </o:OLEObject>
        </w:pict>
      </w:r>
    </w:p>
    <w:p>
      <w:pPr>
        <w:pStyle w:val="2"/>
        <w:rPr>
          <w:sz w:val="22"/>
        </w:rPr>
      </w:pPr>
    </w:p>
    <w:p>
      <w:pPr>
        <w:sectPr>
          <w:pgSz w:w="11910" w:h="16840"/>
          <w:pgMar w:top="1380" w:right="1420" w:bottom="880" w:left="1480" w:header="0" w:footer="615" w:gutter="0"/>
          <w:cols w:space="720" w:num="1"/>
        </w:sectPr>
      </w:pPr>
    </w:p>
    <w:p>
      <w:pPr>
        <w:spacing w:after="0"/>
        <w:rPr>
          <w:sz w:val="22"/>
        </w:rPr>
      </w:pPr>
      <w:r>
        <w:pict>
          <v:shape id="_x0000_s1027" o:spid="_x0000_s1027" o:spt="75" type="#_x0000_t75" style="position:absolute;left:0pt;margin-left:-23.2pt;margin-top:3.75pt;height:260.15pt;width:527.75pt;z-index:251660288;mso-width-relative:page;mso-height-relative:page;" o:ole="t" filled="f" o:preferrelative="t" stroked="f" coordsize="21600,21600">
            <v:path/>
            <v:fill on="f" focussize="0,0"/>
            <v:stroke on="f"/>
            <v:imagedata r:id="rId16" o:title=""/>
            <o:lock v:ext="edit" aspectratio="f"/>
          </v:shape>
          <o:OLEObject Type="Embed" ProgID="Excel.Sheet.8" ShapeID="_x0000_s1027" DrawAspect="Content" ObjectID="_1468075727" r:id="rId15">
            <o:LockedField>false</o:LockedField>
          </o:OLEObject>
        </w:pict>
      </w:r>
    </w:p>
    <w:p>
      <w:pPr>
        <w:pStyle w:val="2"/>
        <w:rPr>
          <w:sz w:val="22"/>
        </w:rPr>
      </w:pPr>
    </w:p>
    <w:p>
      <w:pPr>
        <w:sectPr>
          <w:pgSz w:w="11910" w:h="16840"/>
          <w:pgMar w:top="1420" w:right="1420" w:bottom="800" w:left="1480" w:header="0" w:footer="615" w:gutter="0"/>
          <w:cols w:space="720" w:num="1"/>
        </w:sectPr>
      </w:pPr>
    </w:p>
    <w:p>
      <w:pPr>
        <w:spacing w:after="0"/>
        <w:jc w:val="right"/>
        <w:rPr>
          <w:sz w:val="22"/>
        </w:rPr>
      </w:pPr>
      <w:r>
        <w:pict>
          <v:shape id="_x0000_s1028" o:spid="_x0000_s1028" o:spt="75" type="#_x0000_t75" style="position:absolute;left:0pt;margin-left:-37.5pt;margin-top:9.05pt;height:521.25pt;width:537.95pt;z-index:251661312;mso-width-relative:page;mso-height-relative:page;" o:ole="t" filled="f" o:preferrelative="t" stroked="f" coordsize="21600,21600">
            <v:path/>
            <v:fill on="f" focussize="0,0"/>
            <v:stroke on="f"/>
            <v:imagedata r:id="rId18" o:title=""/>
            <o:lock v:ext="edit" aspectratio="f"/>
          </v:shape>
          <o:OLEObject Type="Embed" ProgID="Excel.Sheet.8" ShapeID="_x0000_s1028" DrawAspect="Content" ObjectID="_1468075728" r:id="rId17">
            <o:LockedField>false</o:LockedField>
          </o:OLEObject>
        </w:pict>
      </w:r>
    </w:p>
    <w:p>
      <w:pPr>
        <w:pStyle w:val="2"/>
        <w:rPr>
          <w:sz w:val="22"/>
        </w:rPr>
      </w:pPr>
    </w:p>
    <w:p>
      <w:pPr>
        <w:sectPr>
          <w:pgSz w:w="11910" w:h="16840"/>
          <w:pgMar w:top="1420" w:right="1420" w:bottom="800" w:left="1480" w:header="0" w:footer="615" w:gutter="0"/>
          <w:cols w:space="720" w:num="1"/>
        </w:sectPr>
      </w:pPr>
    </w:p>
    <w:p>
      <w:pPr>
        <w:spacing w:after="0"/>
        <w:rPr>
          <w:sz w:val="20"/>
        </w:rPr>
        <w:sectPr>
          <w:footerReference r:id="rId6" w:type="default"/>
          <w:pgSz w:w="11910" w:h="16840"/>
          <w:pgMar w:top="1380" w:right="1420" w:bottom="800" w:left="1480" w:header="0" w:footer="615" w:gutter="0"/>
          <w:pgNumType w:start="10"/>
          <w:cols w:space="720" w:num="1"/>
        </w:sectPr>
      </w:pPr>
      <w:r>
        <w:rPr>
          <w:sz w:val="20"/>
        </w:rPr>
        <w:pict>
          <v:shape id="_x0000_s1029" o:spid="_x0000_s1029" o:spt="75" type="#_x0000_t75" style="position:absolute;left:0pt;margin-left:-56.95pt;margin-top:2.25pt;height:255.8pt;width:566.25pt;z-index:251662336;mso-width-relative:page;mso-height-relative:page;" o:ole="t" filled="f" o:preferrelative="t" stroked="f" coordsize="21600,21600">
            <v:path/>
            <v:fill on="f" focussize="0,0"/>
            <v:stroke on="f"/>
            <v:imagedata r:id="rId20" o:title=""/>
            <o:lock v:ext="edit" aspectratio="f"/>
          </v:shape>
          <o:OLEObject Type="Embed" ProgID="Excel.Sheet.8" ShapeID="_x0000_s1029" DrawAspect="Content" ObjectID="_1468075729" r:id="rId19">
            <o:LockedField>false</o:LockedField>
          </o:OLEObject>
        </w:pict>
      </w:r>
    </w:p>
    <w:p>
      <w:pPr>
        <w:spacing w:after="0"/>
        <w:jc w:val="both"/>
        <w:rPr>
          <w:sz w:val="22"/>
        </w:rPr>
        <w:sectPr>
          <w:footerReference r:id="rId7" w:type="default"/>
          <w:pgSz w:w="11910" w:h="16840"/>
          <w:pgMar w:top="1380" w:right="1420" w:bottom="800" w:left="1480" w:header="0" w:footer="615" w:gutter="0"/>
          <w:cols w:space="720" w:num="1"/>
        </w:sectPr>
      </w:pPr>
      <w:r>
        <w:rPr>
          <w:sz w:val="22"/>
        </w:rPr>
        <w:pict>
          <v:shape id="_x0000_s1030" o:spid="_x0000_s1030" o:spt="75" type="#_x0000_t75" style="position:absolute;left:0pt;margin-left:-62.25pt;margin-top:3pt;height:120.75pt;width:569.3pt;z-index:251663360;mso-width-relative:page;mso-height-relative:page;" o:ole="t" filled="f" o:preferrelative="t" stroked="f" coordsize="21600,21600">
            <v:path/>
            <v:fill on="f" focussize="0,0"/>
            <v:stroke on="f"/>
            <v:imagedata r:id="rId22" o:title=""/>
            <o:lock v:ext="edit" aspectratio="f"/>
          </v:shape>
          <o:OLEObject Type="Embed" ProgID="Excel.Sheet.8" ShapeID="_x0000_s1030" DrawAspect="Content" ObjectID="_1468075730" r:id="rId21">
            <o:LockedField>false</o:LockedField>
          </o:OLEObject>
        </w:pict>
      </w:r>
    </w:p>
    <w:p>
      <w:pPr>
        <w:spacing w:after="0"/>
        <w:jc w:val="both"/>
        <w:rPr>
          <w:sz w:val="22"/>
        </w:rPr>
        <w:sectPr>
          <w:pgSz w:w="11910" w:h="16840"/>
          <w:pgMar w:top="1420" w:right="1420" w:bottom="800" w:left="1480" w:header="0" w:footer="615" w:gutter="0"/>
          <w:cols w:space="720" w:num="1"/>
        </w:sectPr>
      </w:pPr>
      <w:r>
        <w:rPr>
          <w:sz w:val="22"/>
        </w:rPr>
        <w:pict>
          <v:shape id="_x0000_s1031" o:spid="_x0000_s1031" o:spt="75" type="#_x0000_t75" style="position:absolute;left:0pt;margin-left:-38.95pt;margin-top:-20.95pt;height:676pt;width:538.4pt;z-index:251664384;mso-width-relative:page;mso-height-relative:page;" o:ole="t" filled="f" o:preferrelative="t" stroked="f" coordsize="21600,21600">
            <v:path/>
            <v:fill on="f" focussize="0,0"/>
            <v:stroke on="f"/>
            <v:imagedata r:id="rId24" o:title=""/>
            <o:lock v:ext="edit" aspectratio="f"/>
          </v:shape>
          <o:OLEObject Type="Embed" ProgID="Excel.Sheet.8" ShapeID="_x0000_s1031" DrawAspect="Content" ObjectID="_1468075731" r:id="rId23">
            <o:LockedField>false</o:LockedField>
          </o:OLEObject>
        </w:pict>
      </w:r>
    </w:p>
    <w:p>
      <w:pPr>
        <w:spacing w:after="0"/>
        <w:rPr>
          <w:sz w:val="22"/>
        </w:rPr>
        <w:sectPr>
          <w:pgSz w:w="11910" w:h="16840"/>
          <w:pgMar w:top="1420" w:right="1420" w:bottom="800" w:left="1480" w:header="0" w:footer="615" w:gutter="0"/>
          <w:cols w:space="720" w:num="1"/>
        </w:sectPr>
      </w:pPr>
      <w:r>
        <w:rPr>
          <w:sz w:val="22"/>
        </w:rPr>
        <w:pict>
          <v:shape id="_x0000_s1032" o:spid="_x0000_s1032" o:spt="75" alt="" type="#_x0000_t75" style="position:absolute;left:0pt;margin-left:-38.25pt;margin-top:3.75pt;height:267.95pt;width:517.6pt;z-index:251665408;mso-width-relative:page;mso-height-relative:page;" o:ole="t" filled="f" o:preferrelative="t" stroked="f" coordsize="21600,21600">
            <v:path/>
            <v:fill on="f" focussize="0,0"/>
            <v:stroke on="f"/>
            <v:imagedata r:id="rId26" o:title=""/>
            <o:lock v:ext="edit" aspectratio="f"/>
          </v:shape>
          <o:OLEObject Type="Embed" ProgID="Excel.Sheet.8" ShapeID="_x0000_s1032" DrawAspect="Content" ObjectID="_1468075732" r:id="rId25">
            <o:LockedField>false</o:LockedField>
          </o:OLEObject>
        </w:pict>
      </w:r>
    </w:p>
    <w:p>
      <w:pPr>
        <w:spacing w:after="0"/>
        <w:jc w:val="left"/>
        <w:rPr>
          <w:sz w:val="22"/>
        </w:rPr>
        <w:sectPr>
          <w:pgSz w:w="11910" w:h="16840"/>
          <w:pgMar w:top="1420" w:right="1420" w:bottom="800" w:left="1480" w:header="0" w:footer="615" w:gutter="0"/>
          <w:cols w:space="720" w:num="1"/>
        </w:sectPr>
      </w:pPr>
      <w:r>
        <w:rPr>
          <w:sz w:val="22"/>
        </w:rPr>
        <w:pict>
          <v:shape id="_x0000_s1033" o:spid="_x0000_s1033" o:spt="75" type="#_x0000_t75" style="position:absolute;left:0pt;margin-left:-47.2pt;margin-top:19.5pt;height:168.5pt;width:539.5pt;z-index:251666432;mso-width-relative:page;mso-height-relative:page;" o:ole="t" filled="f" o:preferrelative="t" stroked="f" coordsize="21600,21600">
            <v:path/>
            <v:fill on="f" focussize="0,0"/>
            <v:stroke on="f"/>
            <v:imagedata r:id="rId28" o:title=""/>
            <o:lock v:ext="edit" aspectratio="f"/>
          </v:shape>
          <o:OLEObject Type="Embed" ProgID="Excel.Sheet.8" ShapeID="_x0000_s1033" DrawAspect="Content" ObjectID="_1468075733" r:id="rId27">
            <o:LockedField>false</o:LockedField>
          </o:OLEObject>
        </w:pict>
      </w:r>
    </w:p>
    <w:p>
      <w:pPr>
        <w:spacing w:after="0"/>
        <w:jc w:val="left"/>
        <w:rPr>
          <w:sz w:val="22"/>
        </w:rPr>
        <w:sectPr>
          <w:pgSz w:w="11910" w:h="16840"/>
          <w:pgMar w:top="1420" w:right="1420" w:bottom="880" w:left="1480" w:header="0" w:footer="615" w:gutter="0"/>
          <w:cols w:space="720" w:num="1"/>
        </w:sectPr>
      </w:pPr>
      <w:r>
        <w:rPr>
          <w:sz w:val="22"/>
        </w:rPr>
        <w:pict>
          <v:shape id="_x0000_s1034" o:spid="_x0000_s1034" o:spt="75" type="#_x0000_t75" style="position:absolute;left:0pt;margin-left:-45pt;margin-top:0.75pt;height:234.6pt;width:508.7pt;z-index:251667456;mso-width-relative:page;mso-height-relative:page;" o:ole="t" filled="f" o:preferrelative="t" stroked="f" coordsize="21600,21600">
            <v:path/>
            <v:fill on="f" focussize="0,0"/>
            <v:stroke on="f"/>
            <v:imagedata r:id="rId30" o:title=""/>
            <o:lock v:ext="edit" aspectratio="f"/>
          </v:shape>
          <o:OLEObject Type="Embed" ProgID="Excel.Sheet.8" ShapeID="_x0000_s1034" DrawAspect="Content" ObjectID="_1468075734" r:id="rId29">
            <o:LockedField>false</o:LockedField>
          </o:OLEObject>
        </w:pict>
      </w:r>
    </w:p>
    <w:p>
      <w:pPr>
        <w:spacing w:after="0"/>
        <w:jc w:val="left"/>
        <w:rPr>
          <w:sz w:val="22"/>
        </w:rPr>
        <w:sectPr>
          <w:pgSz w:w="11910" w:h="16840"/>
          <w:pgMar w:top="1420" w:right="1420" w:bottom="880" w:left="1480" w:header="0" w:footer="615" w:gutter="0"/>
          <w:cols w:space="720" w:num="1"/>
        </w:sectPr>
      </w:pPr>
      <w:r>
        <w:rPr>
          <w:sz w:val="22"/>
        </w:rPr>
        <w:pict>
          <v:shape id="_x0000_s1035" o:spid="_x0000_s1035" o:spt="75" type="#_x0000_t75" style="position:absolute;left:0pt;margin-left:-31.4pt;margin-top:-3.75pt;height:306.05pt;width:504.1pt;z-index:251668480;mso-width-relative:page;mso-height-relative:page;" o:ole="t" filled="f" o:preferrelative="t" stroked="f" coordsize="21600,21600">
            <v:path/>
            <v:fill on="f" focussize="0,0"/>
            <v:stroke on="f"/>
            <v:imagedata r:id="rId32" o:title=""/>
            <o:lock v:ext="edit" aspectratio="f"/>
          </v:shape>
          <o:OLEObject Type="Embed" ProgID="Excel.Sheet.8" ShapeID="_x0000_s1035" DrawAspect="Content" ObjectID="_1468075735" r:id="rId31">
            <o:LockedField>false</o:LockedField>
          </o:OLEObject>
        </w:pict>
      </w:r>
    </w:p>
    <w:tbl>
      <w:tblPr>
        <w:tblW w:w="14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10"/>
        <w:gridCol w:w="510"/>
        <w:gridCol w:w="510"/>
        <w:gridCol w:w="1530"/>
        <w:gridCol w:w="5355"/>
        <w:gridCol w:w="2070"/>
        <w:gridCol w:w="187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10" w:type="dxa"/>
            <w:tcBorders>
              <w:top w:val="nil"/>
              <w:left w:val="nil"/>
              <w:bottom w:val="nil"/>
              <w:right w:val="nil"/>
            </w:tcBorders>
            <w:shd w:val="clear"/>
            <w:noWrap/>
            <w:vAlign w:val="bottom"/>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18"/>
                <w:szCs w:val="18"/>
                <w:u w:val="none"/>
              </w:rPr>
            </w:pPr>
          </w:p>
        </w:tc>
        <w:tc>
          <w:tcPr>
            <w:tcW w:w="1530" w:type="dxa"/>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18"/>
                <w:szCs w:val="18"/>
                <w:u w:val="none"/>
              </w:rPr>
            </w:pPr>
          </w:p>
        </w:tc>
        <w:tc>
          <w:tcPr>
            <w:tcW w:w="5355" w:type="dxa"/>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18"/>
                <w:szCs w:val="18"/>
                <w:u w:val="none"/>
              </w:rPr>
            </w:pPr>
          </w:p>
        </w:tc>
        <w:tc>
          <w:tcPr>
            <w:tcW w:w="2070" w:type="dxa"/>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18"/>
                <w:szCs w:val="18"/>
                <w:u w:val="none"/>
              </w:rPr>
            </w:pPr>
          </w:p>
        </w:tc>
        <w:tc>
          <w:tcPr>
            <w:tcW w:w="1875" w:type="dxa"/>
            <w:tcBorders>
              <w:top w:val="nil"/>
              <w:left w:val="nil"/>
              <w:bottom w:val="nil"/>
              <w:right w:val="nil"/>
            </w:tcBorders>
            <w:shd w:val="clear" w:color="auto" w:fill="FFFFFF"/>
            <w:noWrap/>
            <w:vAlign w:val="bottom"/>
          </w:tcPr>
          <w:p>
            <w:pPr>
              <w:rPr>
                <w:rFonts w:hint="eastAsia" w:ascii="宋体" w:hAnsi="宋体" w:eastAsia="宋体" w:cs="宋体"/>
                <w:i w:val="0"/>
                <w:iCs w:val="0"/>
                <w:color w:val="000000"/>
                <w:sz w:val="18"/>
                <w:szCs w:val="18"/>
                <w:u w:val="none"/>
              </w:rPr>
            </w:pPr>
          </w:p>
        </w:tc>
        <w:tc>
          <w:tcPr>
            <w:tcW w:w="1875"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bdr w:val="none" w:color="auto" w:sz="0" w:space="0"/>
                <w:lang w:val="en-US" w:eastAsia="zh-CN" w:bidi="ar"/>
              </w:rPr>
              <w:t>国有资本经营支出预算表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tcBorders>
              <w:top w:val="nil"/>
              <w:left w:val="nil"/>
              <w:bottom w:val="nil"/>
              <w:right w:val="nil"/>
            </w:tcBorders>
            <w:shd w:val="clear"/>
            <w:noWrap/>
            <w:vAlign w:val="bottom"/>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bottom"/>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bottom"/>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bottom"/>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bottom"/>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bottom"/>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bottom"/>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0" w:type="auto"/>
            <w:gridSpan w:val="3"/>
            <w:tcBorders>
              <w:top w:val="single" w:color="000000" w:sz="4" w:space="0"/>
              <w:left w:val="nil"/>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科目编码</w:t>
            </w:r>
          </w:p>
        </w:tc>
        <w:tc>
          <w:tcPr>
            <w:tcW w:w="1530" w:type="dxa"/>
            <w:vMerge w:val="restart"/>
            <w:tcBorders>
              <w:top w:val="nil"/>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单位代码</w:t>
            </w:r>
          </w:p>
        </w:tc>
        <w:tc>
          <w:tcPr>
            <w:tcW w:w="5355" w:type="dxa"/>
            <w:vMerge w:val="restart"/>
            <w:tcBorders>
              <w:top w:val="nil"/>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单位名称（科目）</w:t>
            </w:r>
          </w:p>
        </w:tc>
        <w:tc>
          <w:tcPr>
            <w:tcW w:w="20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18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2" w:hRule="atLeast"/>
        </w:trPr>
        <w:tc>
          <w:tcPr>
            <w:tcW w:w="510" w:type="dxa"/>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类</w:t>
            </w:r>
          </w:p>
        </w:tc>
        <w:tc>
          <w:tcPr>
            <w:tcW w:w="510" w:type="dxa"/>
            <w:tcBorders>
              <w:top w:val="nil"/>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款</w:t>
            </w:r>
          </w:p>
        </w:tc>
        <w:tc>
          <w:tcPr>
            <w:tcW w:w="510" w:type="dxa"/>
            <w:tcBorders>
              <w:top w:val="nil"/>
              <w:left w:val="single" w:color="000000" w:sz="4" w:space="0"/>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1530" w:type="dxa"/>
            <w:vMerge w:val="continue"/>
            <w:tcBorders>
              <w:top w:val="nil"/>
              <w:left w:val="nil"/>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355" w:type="dxa"/>
            <w:vMerge w:val="continue"/>
            <w:tcBorders>
              <w:top w:val="nil"/>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35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35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35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35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35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35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35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35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35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 w:hRule="atLeast"/>
        </w:trPr>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1530"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535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nil"/>
              <w:bottom w:val="single" w:color="000000" w:sz="4" w:space="0"/>
              <w:right w:val="nil"/>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bl>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1"/>
        <w:rPr>
          <w:sz w:val="26"/>
        </w:rPr>
      </w:pPr>
    </w:p>
    <w:p>
      <w:pPr>
        <w:spacing w:before="58"/>
        <w:ind w:left="6630" w:right="6630" w:firstLine="0"/>
        <w:jc w:val="center"/>
        <w:rPr>
          <w:sz w:val="30"/>
        </w:rPr>
      </w:pPr>
      <w:r>
        <w:rPr>
          <w:sz w:val="30"/>
        </w:rPr>
        <w:t>- 20 -</w:t>
      </w:r>
    </w:p>
    <w:p>
      <w:pPr>
        <w:spacing w:after="0"/>
        <w:jc w:val="center"/>
        <w:rPr>
          <w:sz w:val="30"/>
        </w:rPr>
        <w:sectPr>
          <w:footerReference r:id="rId8" w:type="default"/>
          <w:pgSz w:w="16840" w:h="11910" w:orient="landscape"/>
          <w:pgMar w:top="1100" w:right="1320" w:bottom="280" w:left="1320" w:header="0" w:footer="0" w:gutter="0"/>
          <w:cols w:space="720" w:num="1"/>
        </w:sectPr>
      </w:pPr>
    </w:p>
    <w:p>
      <w:pPr>
        <w:pStyle w:val="5"/>
        <w:rPr>
          <w:sz w:val="20"/>
        </w:rPr>
      </w:pPr>
      <w:r>
        <w:rPr>
          <w:sz w:val="20"/>
        </w:rPr>
        <w:object>
          <v:shape id="_x0000_i1124" o:spt="75" type="#_x0000_t75" style="height:517.9pt;width:435.15pt;" o:ole="t" filled="f" o:preferrelative="t" stroked="f" coordsize="21600,21600">
            <v:path/>
            <v:fill on="f" focussize="0,0"/>
            <v:stroke on="f"/>
            <v:imagedata r:id="rId34" o:title=""/>
            <o:lock v:ext="edit" aspectratio="f"/>
            <w10:wrap type="none"/>
            <w10:anchorlock/>
          </v:shape>
          <o:OLEObject Type="Embed" ProgID="Excel.Sheet.8" ShapeID="_x0000_i1124" DrawAspect="Content" ObjectID="_1468075736" r:id="rId33">
            <o:LockedField>false</o:LockedField>
          </o:OLEObject>
        </w:objec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r>
        <w:rPr>
          <w:sz w:val="20"/>
        </w:rPr>
        <w:pict>
          <v:shape id="_x0000_s1036" o:spid="_x0000_s1036" o:spt="75" type="#_x0000_t75" style="position:absolute;left:0pt;margin-left:-62.2pt;margin-top:0.75pt;height:163.85pt;width:539.3pt;z-index:251669504;mso-width-relative:page;mso-height-relative:page;" o:ole="t" filled="f" o:preferrelative="t" stroked="f" coordsize="21600,21600">
            <v:path/>
            <v:fill on="f" focussize="0,0"/>
            <v:stroke on="f"/>
            <v:imagedata r:id="rId36" o:title=""/>
            <o:lock v:ext="edit" aspectratio="f"/>
          </v:shape>
          <o:OLEObject Type="Embed" ProgID="Excel.Sheet.8" ShapeID="_x0000_s1036" DrawAspect="Content" ObjectID="_1468075737" r:id="rId35">
            <o:LockedField>false</o:LockedField>
          </o:OLEObject>
        </w:pic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3"/>
        <w:tabs>
          <w:tab w:val="left" w:pos="3232"/>
        </w:tabs>
        <w:spacing w:before="115" w:line="244" w:lineRule="auto"/>
        <w:ind w:left="242" w:right="399" w:firstLine="391"/>
        <w:jc w:val="center"/>
      </w:pPr>
      <w:bookmarkStart w:id="26" w:name="第三部分  四川省省级财政国库　支付中心2022年单位预算情况说明"/>
      <w:bookmarkEnd w:id="26"/>
    </w:p>
    <w:p>
      <w:pPr>
        <w:pStyle w:val="3"/>
        <w:tabs>
          <w:tab w:val="left" w:pos="3232"/>
        </w:tabs>
        <w:spacing w:before="115" w:line="244" w:lineRule="auto"/>
        <w:ind w:left="242" w:right="399" w:firstLine="391"/>
        <w:jc w:val="center"/>
      </w:pPr>
    </w:p>
    <w:p>
      <w:pPr>
        <w:pStyle w:val="3"/>
        <w:tabs>
          <w:tab w:val="left" w:pos="3232"/>
        </w:tabs>
        <w:spacing w:before="115" w:line="244" w:lineRule="auto"/>
        <w:ind w:left="242" w:right="399" w:firstLine="391"/>
        <w:jc w:val="center"/>
      </w:pPr>
    </w:p>
    <w:p>
      <w:pPr>
        <w:pStyle w:val="3"/>
        <w:tabs>
          <w:tab w:val="left" w:pos="3232"/>
        </w:tabs>
        <w:spacing w:before="115" w:line="244" w:lineRule="auto"/>
        <w:ind w:left="242" w:right="399" w:firstLine="391"/>
        <w:jc w:val="center"/>
      </w:pPr>
    </w:p>
    <w:p>
      <w:pPr>
        <w:pStyle w:val="3"/>
        <w:tabs>
          <w:tab w:val="left" w:pos="3232"/>
        </w:tabs>
        <w:spacing w:before="115" w:line="244" w:lineRule="auto"/>
        <w:ind w:left="242" w:right="399" w:firstLine="391"/>
        <w:jc w:val="center"/>
      </w:pPr>
      <w:r>
        <w:t>第</w:t>
      </w:r>
      <w:r>
        <w:rPr>
          <w:spacing w:val="-3"/>
        </w:rPr>
        <w:t>三</w:t>
      </w:r>
      <w:r>
        <w:t>部分</w:t>
      </w:r>
      <w:r>
        <w:rPr>
          <w:rFonts w:hint="eastAsia"/>
          <w:lang w:val="en-US" w:eastAsia="zh-CN"/>
        </w:rPr>
        <w:t xml:space="preserve"> </w:t>
      </w:r>
      <w:r>
        <w:rPr>
          <w:rFonts w:hint="eastAsia"/>
          <w:spacing w:val="-34"/>
          <w:lang w:eastAsia="zh-CN"/>
        </w:rPr>
        <w:t>开江县体育发展服务中心</w:t>
      </w:r>
      <w:r>
        <w:rPr>
          <w:rFonts w:ascii="Times New Roman" w:eastAsia="Times New Roman"/>
        </w:rPr>
        <w:t>202</w:t>
      </w:r>
      <w:r>
        <w:rPr>
          <w:rFonts w:hint="eastAsia" w:ascii="Times New Roman" w:eastAsia="宋体"/>
          <w:lang w:val="en-US" w:eastAsia="zh-CN"/>
        </w:rPr>
        <w:t>1</w:t>
      </w:r>
      <w:r>
        <w:t>年</w:t>
      </w:r>
      <w:r>
        <w:rPr>
          <w:spacing w:val="-3"/>
        </w:rPr>
        <w:t>单</w:t>
      </w:r>
      <w:r>
        <w:t>位预</w:t>
      </w:r>
      <w:r>
        <w:rPr>
          <w:spacing w:val="-3"/>
        </w:rPr>
        <w:t>算</w:t>
      </w:r>
      <w:r>
        <w:t>情况</w:t>
      </w:r>
      <w:r>
        <w:rPr>
          <w:spacing w:val="-3"/>
        </w:rPr>
        <w:t>说</w:t>
      </w:r>
      <w:r>
        <w:t>明</w:t>
      </w:r>
    </w:p>
    <w:p>
      <w:pPr>
        <w:spacing w:after="0" w:line="244" w:lineRule="auto"/>
        <w:jc w:val="center"/>
        <w:sectPr>
          <w:footerReference r:id="rId9" w:type="default"/>
          <w:pgSz w:w="11910" w:h="16840"/>
          <w:pgMar w:top="1580" w:right="1520" w:bottom="880" w:left="1680" w:header="0" w:footer="695" w:gutter="0"/>
          <w:pgNumType w:start="21"/>
          <w:cols w:space="720" w:num="1"/>
        </w:sectPr>
      </w:pPr>
    </w:p>
    <w:p>
      <w:pPr>
        <w:pStyle w:val="5"/>
        <w:spacing w:before="26"/>
        <w:ind w:left="760"/>
        <w:rPr>
          <w:rFonts w:hint="eastAsia" w:ascii="黑体" w:eastAsia="黑体"/>
        </w:rPr>
      </w:pPr>
      <w:bookmarkStart w:id="27" w:name="一、收支预算情况说明"/>
      <w:bookmarkEnd w:id="27"/>
      <w:r>
        <w:rPr>
          <w:rFonts w:hint="eastAsia" w:ascii="黑体" w:eastAsia="黑体"/>
        </w:rPr>
        <w:t>一、收支预算情况说明</w:t>
      </w:r>
    </w:p>
    <w:p>
      <w:pPr>
        <w:pStyle w:val="5"/>
        <w:spacing w:before="171" w:line="338" w:lineRule="auto"/>
        <w:ind w:left="120" w:right="277" w:firstLine="640"/>
        <w:jc w:val="both"/>
        <w:rPr>
          <w:spacing w:val="1"/>
        </w:rPr>
      </w:pPr>
      <w:r>
        <w:rPr>
          <w:spacing w:val="-2"/>
        </w:rPr>
        <w:t>按照综合预算的原则，</w:t>
      </w:r>
      <w:r>
        <w:rPr>
          <w:rFonts w:hint="eastAsia"/>
          <w:spacing w:val="-2"/>
          <w:lang w:eastAsia="zh-CN"/>
        </w:rPr>
        <w:t>开江县体育发展服务中心</w:t>
      </w:r>
      <w:r>
        <w:rPr>
          <w:spacing w:val="-2"/>
        </w:rPr>
        <w:t>所</w:t>
      </w:r>
      <w:r>
        <w:rPr>
          <w:spacing w:val="-4"/>
        </w:rPr>
        <w:t>有收入和支出均纳入单位预算管理。收入包括：一般公共预</w:t>
      </w:r>
      <w:r>
        <w:rPr>
          <w:spacing w:val="-5"/>
        </w:rPr>
        <w:t>算拨款收入；支出包括：一般公共服务支出、社会保障和就</w:t>
      </w:r>
      <w:r>
        <w:rPr>
          <w:spacing w:val="1"/>
        </w:rPr>
        <w:t>业支出、卫生健康支出、住房保障支出。</w:t>
      </w:r>
      <w:r>
        <w:rPr>
          <w:rFonts w:hint="eastAsia"/>
          <w:spacing w:val="1"/>
          <w:lang w:eastAsia="zh-CN"/>
        </w:rPr>
        <w:t>开江县体育发展服务中心</w:t>
      </w:r>
      <w:r>
        <w:rPr>
          <w:spacing w:val="1"/>
        </w:rPr>
        <w:t>202</w:t>
      </w:r>
      <w:r>
        <w:rPr>
          <w:rFonts w:hint="eastAsia"/>
          <w:spacing w:val="1"/>
          <w:lang w:val="en-US" w:eastAsia="zh-CN"/>
        </w:rPr>
        <w:t>1</w:t>
      </w:r>
      <w:r>
        <w:rPr>
          <w:spacing w:val="1"/>
        </w:rPr>
        <w:t>年收支预算总数</w:t>
      </w:r>
      <w:r>
        <w:rPr>
          <w:rFonts w:hint="eastAsia"/>
          <w:spacing w:val="1"/>
          <w:lang w:val="en-US" w:eastAsia="zh-CN"/>
        </w:rPr>
        <w:t>106.6001</w:t>
      </w:r>
      <w:r>
        <w:rPr>
          <w:rFonts w:hint="eastAsia"/>
          <w:spacing w:val="1"/>
        </w:rPr>
        <w:t>万元</w:t>
      </w:r>
      <w:r>
        <w:rPr>
          <w:spacing w:val="1"/>
        </w:rPr>
        <w:t>。</w:t>
      </w:r>
    </w:p>
    <w:p>
      <w:pPr>
        <w:pStyle w:val="4"/>
        <w:spacing w:before="66"/>
      </w:pPr>
      <w:bookmarkStart w:id="28" w:name="（一）收入预算情况"/>
      <w:bookmarkEnd w:id="28"/>
      <w:r>
        <w:t>（一）收入预算情况</w:t>
      </w:r>
    </w:p>
    <w:p>
      <w:pPr>
        <w:pStyle w:val="5"/>
        <w:spacing w:before="98" w:line="338" w:lineRule="auto"/>
        <w:ind w:left="120" w:right="280" w:firstLine="640"/>
        <w:jc w:val="both"/>
      </w:pPr>
      <w:r>
        <w:rPr>
          <w:rFonts w:hint="eastAsia" w:ascii="Times New Roman"/>
          <w:lang w:eastAsia="zh-CN"/>
        </w:rPr>
        <w:t>体育发展服务中心</w:t>
      </w:r>
      <w:r>
        <w:rPr>
          <w:rFonts w:ascii="Times New Roman" w:eastAsia="Times New Roman"/>
        </w:rPr>
        <w:t>202</w:t>
      </w:r>
      <w:r>
        <w:rPr>
          <w:rFonts w:hint="eastAsia" w:ascii="Times New Roman"/>
          <w:lang w:val="en-US" w:eastAsia="zh-CN"/>
        </w:rPr>
        <w:t>1</w:t>
      </w:r>
      <w:r>
        <w:rPr>
          <w:spacing w:val="-12"/>
        </w:rPr>
        <w:t>年收入预算</w:t>
      </w:r>
      <w:r>
        <w:rPr>
          <w:rFonts w:hint="eastAsia"/>
          <w:spacing w:val="1"/>
          <w:lang w:val="en-US" w:eastAsia="zh-CN"/>
        </w:rPr>
        <w:t>106.6001</w:t>
      </w:r>
      <w:r>
        <w:rPr>
          <w:spacing w:val="1"/>
        </w:rPr>
        <w:t>万元，其中：一般公</w:t>
      </w:r>
      <w:r>
        <w:rPr>
          <w:spacing w:val="-10"/>
        </w:rPr>
        <w:t>共预算拨款收入</w:t>
      </w:r>
      <w:r>
        <w:rPr>
          <w:rFonts w:hint="eastAsia"/>
          <w:spacing w:val="1"/>
          <w:lang w:val="en-US" w:eastAsia="zh-CN"/>
        </w:rPr>
        <w:t>106.6001</w:t>
      </w:r>
      <w:r>
        <w:rPr>
          <w:spacing w:val="-17"/>
        </w:rPr>
        <w:t xml:space="preserve">万元，占 </w:t>
      </w:r>
      <w:r>
        <w:rPr>
          <w:rFonts w:ascii="Times New Roman" w:eastAsia="Times New Roman"/>
        </w:rPr>
        <w:t>100%</w:t>
      </w:r>
      <w:r>
        <w:t>。</w:t>
      </w:r>
    </w:p>
    <w:p>
      <w:pPr>
        <w:pStyle w:val="4"/>
        <w:spacing w:line="486" w:lineRule="exact"/>
      </w:pPr>
      <w:bookmarkStart w:id="29" w:name="（二）支出预算情况"/>
      <w:bookmarkEnd w:id="29"/>
      <w:r>
        <w:t>（二）支出预算情况</w:t>
      </w:r>
    </w:p>
    <w:p>
      <w:pPr>
        <w:pStyle w:val="5"/>
        <w:spacing w:before="98" w:line="338" w:lineRule="auto"/>
        <w:ind w:left="120" w:right="119" w:firstLine="640"/>
        <w:jc w:val="both"/>
      </w:pPr>
      <w:r>
        <w:rPr>
          <w:rFonts w:hint="eastAsia" w:ascii="Times New Roman"/>
          <w:lang w:eastAsia="zh-CN"/>
        </w:rPr>
        <w:t>体育发展服务中心</w:t>
      </w:r>
      <w:r>
        <w:rPr>
          <w:rFonts w:ascii="Times New Roman" w:eastAsia="Times New Roman"/>
        </w:rPr>
        <w:t>202</w:t>
      </w:r>
      <w:r>
        <w:rPr>
          <w:rFonts w:hint="eastAsia" w:ascii="Times New Roman"/>
          <w:lang w:val="en-US" w:eastAsia="zh-CN"/>
        </w:rPr>
        <w:t>1</w:t>
      </w:r>
      <w:r>
        <w:rPr>
          <w:spacing w:val="-12"/>
        </w:rPr>
        <w:t>年支出预算</w:t>
      </w:r>
      <w:r>
        <w:rPr>
          <w:rFonts w:hint="eastAsia"/>
          <w:spacing w:val="1"/>
          <w:lang w:val="en-US" w:eastAsia="zh-CN"/>
        </w:rPr>
        <w:t>106.6001</w:t>
      </w:r>
      <w:r>
        <w:rPr>
          <w:spacing w:val="1"/>
        </w:rPr>
        <w:t>万元，其中：基本支</w:t>
      </w:r>
      <w:r>
        <w:rPr>
          <w:spacing w:val="-41"/>
        </w:rPr>
        <w:t>出</w:t>
      </w:r>
      <w:r>
        <w:rPr>
          <w:rFonts w:hint="eastAsia"/>
          <w:spacing w:val="1"/>
          <w:lang w:val="en-US" w:eastAsia="zh-CN"/>
        </w:rPr>
        <w:t>106.6001</w:t>
      </w:r>
      <w:r>
        <w:rPr>
          <w:spacing w:val="-21"/>
        </w:rPr>
        <w:t>万元，占</w:t>
      </w:r>
      <w:r>
        <w:rPr>
          <w:rFonts w:hint="eastAsia"/>
          <w:spacing w:val="-21"/>
          <w:lang w:val="en-US" w:eastAsia="zh-CN"/>
        </w:rPr>
        <w:t>100</w:t>
      </w:r>
      <w:r>
        <w:rPr>
          <w:rFonts w:ascii="Times New Roman" w:eastAsia="Times New Roman"/>
          <w:spacing w:val="-3"/>
        </w:rPr>
        <w:t>%</w:t>
      </w:r>
      <w:r>
        <w:rPr>
          <w:rFonts w:hint="eastAsia" w:ascii="Times New Roman"/>
          <w:spacing w:val="-3"/>
          <w:lang w:eastAsia="zh-CN"/>
        </w:rPr>
        <w:t>。</w:t>
      </w:r>
    </w:p>
    <w:p>
      <w:pPr>
        <w:pStyle w:val="5"/>
        <w:numPr>
          <w:ilvl w:val="0"/>
          <w:numId w:val="1"/>
        </w:numPr>
        <w:spacing w:before="3"/>
        <w:ind w:left="760"/>
        <w:rPr>
          <w:rFonts w:hint="eastAsia" w:ascii="黑体" w:eastAsia="黑体"/>
        </w:rPr>
      </w:pPr>
      <w:bookmarkStart w:id="30" w:name="　　二、财政拨款收支预算情况说明"/>
      <w:bookmarkEnd w:id="30"/>
      <w:r>
        <w:rPr>
          <w:rFonts w:hint="eastAsia" w:ascii="黑体" w:eastAsia="黑体"/>
        </w:rPr>
        <w:t>财政拨款收支预算情况说明</w:t>
      </w:r>
      <w:bookmarkStart w:id="31" w:name="支付中心2022年财政拨款收支预算总数384.22万元，比2021年财政拨款收支"/>
      <w:bookmarkEnd w:id="31"/>
    </w:p>
    <w:p>
      <w:pPr>
        <w:pStyle w:val="5"/>
        <w:numPr>
          <w:ilvl w:val="0"/>
          <w:numId w:val="0"/>
        </w:numPr>
        <w:spacing w:before="3"/>
        <w:ind w:right="0" w:rightChars="0" w:firstLine="640" w:firstLineChars="200"/>
      </w:pPr>
      <w:r>
        <w:rPr>
          <w:rFonts w:hint="eastAsia" w:ascii="Times New Roman"/>
          <w:lang w:eastAsia="zh-CN"/>
        </w:rPr>
        <w:t>体育发展服务中心</w:t>
      </w:r>
      <w:r>
        <w:t>2022年财政拨款收支预算总数</w:t>
      </w:r>
      <w:r>
        <w:rPr>
          <w:rFonts w:hint="eastAsia"/>
          <w:spacing w:val="1"/>
          <w:lang w:val="en-US" w:eastAsia="zh-CN"/>
        </w:rPr>
        <w:t>106.6001</w:t>
      </w:r>
      <w:r>
        <w:t>万元</w:t>
      </w:r>
      <w:r>
        <w:rPr>
          <w:spacing w:val="-15"/>
        </w:rPr>
        <w:t>。</w:t>
      </w:r>
    </w:p>
    <w:p>
      <w:pPr>
        <w:pStyle w:val="5"/>
        <w:spacing w:line="407" w:lineRule="exact"/>
        <w:ind w:firstLine="592" w:firstLineChars="200"/>
      </w:pPr>
      <w:bookmarkStart w:id="32" w:name="收入包括：本年一般公共预算拨款收入384.22万元；支出包括：一般公共服务支出2"/>
      <w:bookmarkEnd w:id="32"/>
      <w:r>
        <w:rPr>
          <w:spacing w:val="-12"/>
        </w:rPr>
        <w:t>收入包括：本年一般公共预算拨款收入</w:t>
      </w:r>
      <w:r>
        <w:rPr>
          <w:rFonts w:hint="eastAsia"/>
          <w:spacing w:val="1"/>
          <w:lang w:val="en-US" w:eastAsia="zh-CN"/>
        </w:rPr>
        <w:t>106.6001</w:t>
      </w:r>
      <w:r>
        <w:rPr>
          <w:spacing w:val="-12"/>
        </w:rPr>
        <w:t>万元；支</w:t>
      </w:r>
      <w:r>
        <w:rPr>
          <w:spacing w:val="-14"/>
        </w:rPr>
        <w:t>出包括：</w:t>
      </w:r>
      <w:r>
        <w:rPr>
          <w:rFonts w:hint="eastAsia"/>
          <w:spacing w:val="-14"/>
          <w:lang w:eastAsia="zh-CN"/>
        </w:rPr>
        <w:t>文化旅游体育与传媒</w:t>
      </w:r>
      <w:r>
        <w:rPr>
          <w:spacing w:val="-14"/>
        </w:rPr>
        <w:t>支出</w:t>
      </w:r>
      <w:r>
        <w:rPr>
          <w:rFonts w:hint="eastAsia"/>
          <w:spacing w:val="-14"/>
          <w:lang w:val="en-US" w:eastAsia="zh-CN"/>
        </w:rPr>
        <w:t>80.2094</w:t>
      </w:r>
      <w:r>
        <w:rPr>
          <w:spacing w:val="-7"/>
        </w:rPr>
        <w:t>万元、社会保障和就业支</w:t>
      </w:r>
      <w:r>
        <w:rPr>
          <w:spacing w:val="-43"/>
        </w:rPr>
        <w:t>出</w:t>
      </w:r>
      <w:r>
        <w:rPr>
          <w:rFonts w:hint="eastAsia"/>
          <w:spacing w:val="-43"/>
          <w:lang w:val="en-US" w:eastAsia="zh-CN"/>
        </w:rPr>
        <w:t>10.8322</w:t>
      </w:r>
      <w:r>
        <w:rPr>
          <w:spacing w:val="-26"/>
        </w:rPr>
        <w:t>万元、卫生健康支出</w:t>
      </w:r>
      <w:r>
        <w:rPr>
          <w:rFonts w:hint="eastAsia"/>
          <w:spacing w:val="-26"/>
          <w:lang w:val="en-US" w:eastAsia="zh-CN"/>
        </w:rPr>
        <w:t>7.4342</w:t>
      </w:r>
      <w:r>
        <w:rPr>
          <w:spacing w:val="-26"/>
        </w:rPr>
        <w:t>万元、住房保障支出</w:t>
      </w:r>
      <w:r>
        <w:rPr>
          <w:rFonts w:hint="eastAsia"/>
          <w:spacing w:val="-26"/>
          <w:lang w:val="en-US" w:eastAsia="zh-CN"/>
        </w:rPr>
        <w:t>8.1243</w:t>
      </w:r>
      <w:r>
        <w:t>万元。</w:t>
      </w:r>
    </w:p>
    <w:p>
      <w:pPr>
        <w:pStyle w:val="5"/>
        <w:spacing w:before="168"/>
        <w:ind w:left="760"/>
        <w:rPr>
          <w:rFonts w:hint="eastAsia" w:ascii="黑体" w:eastAsia="黑体"/>
        </w:rPr>
      </w:pPr>
      <w:bookmarkStart w:id="33" w:name="三、一般公共预算当年拨款情况说明"/>
      <w:bookmarkEnd w:id="33"/>
      <w:r>
        <w:rPr>
          <w:rFonts w:hint="eastAsia" w:ascii="黑体" w:eastAsia="黑体"/>
        </w:rPr>
        <w:t>三、一般公共预算当年拨款情况说明</w:t>
      </w:r>
    </w:p>
    <w:p>
      <w:pPr>
        <w:pStyle w:val="4"/>
        <w:spacing w:before="65"/>
      </w:pPr>
      <w:bookmarkStart w:id="34" w:name="（一）一般公共预算当年拨款规模变化情况"/>
      <w:bookmarkEnd w:id="34"/>
      <w:r>
        <w:t>（一）一般公共预算当年拨款规模变化情况</w:t>
      </w:r>
    </w:p>
    <w:p>
      <w:pPr>
        <w:pStyle w:val="5"/>
        <w:spacing w:before="169" w:line="340" w:lineRule="auto"/>
        <w:ind w:left="120" w:right="280" w:firstLine="640" w:firstLineChars="200"/>
      </w:pPr>
      <w:r>
        <w:rPr>
          <w:rFonts w:hint="eastAsia" w:ascii="Times New Roman"/>
          <w:lang w:eastAsia="zh-CN"/>
        </w:rPr>
        <w:t>体育发展服务中心</w:t>
      </w:r>
      <w:r>
        <w:rPr>
          <w:rFonts w:ascii="Times New Roman" w:eastAsia="Times New Roman"/>
        </w:rPr>
        <w:t>202</w:t>
      </w:r>
      <w:r>
        <w:rPr>
          <w:rFonts w:hint="eastAsia" w:ascii="Times New Roman"/>
          <w:lang w:val="en-US" w:eastAsia="zh-CN"/>
        </w:rPr>
        <w:t>1</w:t>
      </w:r>
      <w:r>
        <w:t>年一般公共预算当年拨款</w:t>
      </w:r>
      <w:r>
        <w:rPr>
          <w:rFonts w:hint="eastAsia"/>
          <w:spacing w:val="1"/>
          <w:lang w:val="en-US" w:eastAsia="zh-CN"/>
        </w:rPr>
        <w:t>106.6001</w:t>
      </w:r>
      <w:r>
        <w:t>万元</w:t>
      </w:r>
      <w:r>
        <w:rPr>
          <w:spacing w:val="-15"/>
        </w:rPr>
        <w:t>。</w:t>
      </w:r>
    </w:p>
    <w:p>
      <w:pPr>
        <w:pStyle w:val="4"/>
        <w:spacing w:before="65"/>
      </w:pPr>
      <w:r>
        <w:t>（二）一般公共预算当年拨款结构情况</w:t>
      </w:r>
    </w:p>
    <w:p>
      <w:pPr>
        <w:pStyle w:val="5"/>
        <w:spacing w:before="98" w:line="338" w:lineRule="auto"/>
        <w:ind w:left="120" w:right="275" w:firstLine="640"/>
        <w:jc w:val="both"/>
      </w:pPr>
      <w:r>
        <w:rPr>
          <w:rFonts w:hint="eastAsia"/>
          <w:spacing w:val="-10"/>
          <w:lang w:eastAsia="zh-CN"/>
        </w:rPr>
        <w:t>文化旅游体育与传媒</w:t>
      </w:r>
      <w:r>
        <w:rPr>
          <w:spacing w:val="-10"/>
        </w:rPr>
        <w:t>支出</w:t>
      </w:r>
      <w:r>
        <w:rPr>
          <w:rFonts w:hint="eastAsia"/>
          <w:spacing w:val="-14"/>
          <w:lang w:val="en-US" w:eastAsia="zh-CN"/>
        </w:rPr>
        <w:t>80.2094</w:t>
      </w:r>
      <w:r>
        <w:rPr>
          <w:spacing w:val="-22"/>
        </w:rPr>
        <w:t>万元，占</w:t>
      </w:r>
      <w:r>
        <w:rPr>
          <w:rFonts w:hint="eastAsia" w:ascii="Times New Roman"/>
          <w:spacing w:val="-3"/>
          <w:lang w:val="en-US" w:eastAsia="zh-CN"/>
        </w:rPr>
        <w:t>74.51</w:t>
      </w:r>
      <w:r>
        <w:rPr>
          <w:rFonts w:ascii="Times New Roman" w:eastAsia="Times New Roman"/>
          <w:spacing w:val="-3"/>
        </w:rPr>
        <w:t>%</w:t>
      </w:r>
      <w:r>
        <w:rPr>
          <w:spacing w:val="-2"/>
        </w:rPr>
        <w:t>；社会保障和</w:t>
      </w:r>
      <w:r>
        <w:rPr>
          <w:spacing w:val="-17"/>
        </w:rPr>
        <w:t>就业支出</w:t>
      </w:r>
      <w:r>
        <w:rPr>
          <w:rFonts w:hint="eastAsia"/>
          <w:spacing w:val="-43"/>
          <w:lang w:val="en-US" w:eastAsia="zh-CN"/>
        </w:rPr>
        <w:t>10.8322</w:t>
      </w:r>
      <w:r>
        <w:rPr>
          <w:spacing w:val="-15"/>
        </w:rPr>
        <w:t>万元，占</w:t>
      </w:r>
      <w:r>
        <w:rPr>
          <w:rFonts w:hint="eastAsia"/>
          <w:spacing w:val="-15"/>
          <w:lang w:val="en-US" w:eastAsia="zh-CN"/>
        </w:rPr>
        <w:t>11.05</w:t>
      </w:r>
      <w:r>
        <w:rPr>
          <w:rFonts w:ascii="Times New Roman" w:eastAsia="Times New Roman"/>
        </w:rPr>
        <w:t>%</w:t>
      </w:r>
      <w:r>
        <w:rPr>
          <w:spacing w:val="-10"/>
        </w:rPr>
        <w:t>；卫生健康支出</w:t>
      </w:r>
      <w:r>
        <w:rPr>
          <w:rFonts w:hint="eastAsia"/>
          <w:spacing w:val="-26"/>
          <w:lang w:val="en-US" w:eastAsia="zh-CN"/>
        </w:rPr>
        <w:t>7.4342</w:t>
      </w:r>
      <w:r>
        <w:t xml:space="preserve">万元， </w:t>
      </w:r>
      <w:r>
        <w:rPr>
          <w:spacing w:val="-40"/>
        </w:rPr>
        <w:t xml:space="preserve">占 </w:t>
      </w:r>
      <w:r>
        <w:rPr>
          <w:rFonts w:hint="eastAsia" w:ascii="Times New Roman"/>
          <w:lang w:val="en-US" w:eastAsia="zh-CN"/>
        </w:rPr>
        <w:t>6.70</w:t>
      </w:r>
      <w:r>
        <w:rPr>
          <w:rFonts w:ascii="Times New Roman" w:eastAsia="Times New Roman"/>
        </w:rPr>
        <w:t>%</w:t>
      </w:r>
      <w:r>
        <w:rPr>
          <w:spacing w:val="-10"/>
        </w:rPr>
        <w:t>；住房保障支出</w:t>
      </w:r>
      <w:r>
        <w:rPr>
          <w:rFonts w:hint="eastAsia"/>
          <w:spacing w:val="-26"/>
          <w:lang w:val="en-US" w:eastAsia="zh-CN"/>
        </w:rPr>
        <w:t>8.1243</w:t>
      </w:r>
      <w:r>
        <w:rPr>
          <w:spacing w:val="-16"/>
        </w:rPr>
        <w:t>万元，占</w:t>
      </w:r>
      <w:r>
        <w:rPr>
          <w:rFonts w:hint="eastAsia"/>
          <w:spacing w:val="-16"/>
          <w:lang w:val="en-US" w:eastAsia="zh-CN"/>
        </w:rPr>
        <w:t>7.74</w:t>
      </w:r>
      <w:r>
        <w:rPr>
          <w:rFonts w:ascii="Times New Roman" w:eastAsia="Times New Roman"/>
        </w:rPr>
        <w:t>%</w:t>
      </w:r>
      <w:r>
        <w:t>。</w:t>
      </w:r>
    </w:p>
    <w:p>
      <w:pPr>
        <w:pStyle w:val="4"/>
        <w:spacing w:line="489" w:lineRule="exact"/>
      </w:pPr>
      <w:bookmarkStart w:id="35" w:name="（三）一般公共预算当年拨款具体使用情况"/>
      <w:bookmarkEnd w:id="35"/>
      <w:r>
        <w:t>（三）一般公共预算当年拨款具体使用情况</w:t>
      </w:r>
    </w:p>
    <w:p>
      <w:pPr>
        <w:pStyle w:val="9"/>
        <w:numPr>
          <w:ilvl w:val="0"/>
          <w:numId w:val="0"/>
        </w:numPr>
        <w:tabs>
          <w:tab w:val="left" w:pos="1003"/>
        </w:tabs>
        <w:spacing w:before="0" w:after="0" w:line="240" w:lineRule="auto"/>
        <w:ind w:leftChars="0" w:right="0" w:rightChars="0" w:firstLine="644" w:firstLineChars="200"/>
        <w:jc w:val="left"/>
        <w:rPr>
          <w:sz w:val="32"/>
          <w:szCs w:val="32"/>
        </w:rPr>
      </w:pPr>
      <w:r>
        <w:rPr>
          <w:rFonts w:hint="eastAsia"/>
          <w:spacing w:val="1"/>
          <w:sz w:val="32"/>
          <w:lang w:val="en-US" w:eastAsia="zh-CN"/>
        </w:rPr>
        <w:t>1.</w:t>
      </w:r>
      <w:r>
        <w:rPr>
          <w:rFonts w:hint="eastAsia"/>
          <w:spacing w:val="1"/>
          <w:sz w:val="32"/>
          <w:lang w:eastAsia="zh-CN"/>
        </w:rPr>
        <w:t>文化旅游体育与传媒支出</w:t>
      </w:r>
      <w:r>
        <w:rPr>
          <w:spacing w:val="5"/>
          <w:sz w:val="32"/>
        </w:rPr>
        <w:t>（</w:t>
      </w:r>
      <w:r>
        <w:rPr>
          <w:sz w:val="32"/>
        </w:rPr>
        <w:t>类</w:t>
      </w:r>
      <w:r>
        <w:rPr>
          <w:spacing w:val="5"/>
          <w:sz w:val="32"/>
        </w:rPr>
        <w:t>）</w:t>
      </w:r>
      <w:r>
        <w:rPr>
          <w:rFonts w:hint="eastAsia"/>
          <w:spacing w:val="5"/>
          <w:sz w:val="32"/>
          <w:lang w:eastAsia="zh-CN"/>
        </w:rPr>
        <w:t>体育</w:t>
      </w:r>
      <w:r>
        <w:rPr>
          <w:sz w:val="32"/>
        </w:rPr>
        <w:t>（</w:t>
      </w:r>
      <w:r>
        <w:rPr>
          <w:spacing w:val="5"/>
          <w:sz w:val="32"/>
        </w:rPr>
        <w:t>款</w:t>
      </w:r>
      <w:r>
        <w:rPr>
          <w:sz w:val="32"/>
        </w:rPr>
        <w:t>）</w:t>
      </w:r>
      <w:r>
        <w:rPr>
          <w:spacing w:val="3"/>
          <w:sz w:val="32"/>
        </w:rPr>
        <w:t>行政运行</w:t>
      </w:r>
      <w:r>
        <w:rPr>
          <w:sz w:val="32"/>
        </w:rPr>
        <w:t>（</w:t>
      </w:r>
      <w:r>
        <w:rPr>
          <w:spacing w:val="5"/>
          <w:sz w:val="32"/>
        </w:rPr>
        <w:t>项</w:t>
      </w:r>
      <w:r>
        <w:rPr>
          <w:sz w:val="32"/>
        </w:rPr>
        <w:t>）</w:t>
      </w:r>
      <w:r>
        <w:rPr>
          <w:rFonts w:ascii="Times New Roman" w:eastAsia="Times New Roman"/>
          <w:sz w:val="32"/>
          <w:szCs w:val="32"/>
        </w:rPr>
        <w:t>2022</w:t>
      </w:r>
      <w:r>
        <w:rPr>
          <w:sz w:val="32"/>
          <w:szCs w:val="32"/>
        </w:rPr>
        <w:t>年预算数为</w:t>
      </w:r>
      <w:r>
        <w:rPr>
          <w:rFonts w:hint="eastAsia"/>
          <w:spacing w:val="-10"/>
          <w:sz w:val="32"/>
          <w:szCs w:val="32"/>
          <w:lang w:val="en-US" w:eastAsia="zh-CN"/>
        </w:rPr>
        <w:t>60.9818</w:t>
      </w:r>
      <w:r>
        <w:rPr>
          <w:sz w:val="32"/>
          <w:szCs w:val="32"/>
        </w:rPr>
        <w:t>万元，主要用于：</w:t>
      </w:r>
      <w:r>
        <w:rPr>
          <w:rFonts w:hint="eastAsia"/>
          <w:sz w:val="32"/>
          <w:szCs w:val="32"/>
          <w:lang w:eastAsia="zh-CN"/>
        </w:rPr>
        <w:t>体育发展服务中心</w:t>
      </w:r>
      <w:r>
        <w:rPr>
          <w:sz w:val="32"/>
          <w:szCs w:val="32"/>
        </w:rPr>
        <w:t>正常运转的基本支出，包括基本工资、津贴补贴等人员经费以及办</w:t>
      </w:r>
      <w:r>
        <w:rPr>
          <w:w w:val="95"/>
          <w:sz w:val="32"/>
          <w:szCs w:val="32"/>
        </w:rPr>
        <w:t>公费、印刷费、水电费等日常公用经费，保障单位正常运转。</w:t>
      </w:r>
    </w:p>
    <w:p>
      <w:pPr>
        <w:pStyle w:val="9"/>
        <w:numPr>
          <w:ilvl w:val="0"/>
          <w:numId w:val="0"/>
        </w:numPr>
        <w:tabs>
          <w:tab w:val="left" w:pos="1003"/>
        </w:tabs>
        <w:spacing w:before="6" w:after="0" w:line="340" w:lineRule="auto"/>
        <w:ind w:right="280" w:rightChars="0" w:firstLine="644" w:firstLineChars="200"/>
        <w:jc w:val="both"/>
      </w:pPr>
      <w:r>
        <w:rPr>
          <w:rFonts w:hint="eastAsia"/>
          <w:spacing w:val="1"/>
          <w:sz w:val="32"/>
          <w:lang w:val="en-US" w:eastAsia="zh-CN"/>
        </w:rPr>
        <w:t>2.</w:t>
      </w:r>
      <w:r>
        <w:rPr>
          <w:spacing w:val="1"/>
          <w:sz w:val="32"/>
        </w:rPr>
        <w:t>社会保障和就业</w:t>
      </w:r>
      <w:r>
        <w:rPr>
          <w:sz w:val="32"/>
        </w:rPr>
        <w:t>（</w:t>
      </w:r>
      <w:r>
        <w:rPr>
          <w:spacing w:val="5"/>
          <w:sz w:val="32"/>
        </w:rPr>
        <w:t>类</w:t>
      </w:r>
      <w:r>
        <w:rPr>
          <w:sz w:val="32"/>
        </w:rPr>
        <w:t>）行政事业单位养老支出（</w:t>
      </w:r>
      <w:r>
        <w:rPr>
          <w:spacing w:val="5"/>
          <w:sz w:val="32"/>
        </w:rPr>
        <w:t>款</w:t>
      </w:r>
      <w:r>
        <w:rPr>
          <w:spacing w:val="-11"/>
          <w:sz w:val="32"/>
        </w:rPr>
        <w:t xml:space="preserve">） </w:t>
      </w:r>
      <w:r>
        <w:rPr>
          <w:spacing w:val="-3"/>
          <w:sz w:val="32"/>
        </w:rPr>
        <w:t>机关事业单位基本养老保险缴费支出</w:t>
      </w:r>
      <w:r>
        <w:rPr>
          <w:sz w:val="32"/>
        </w:rPr>
        <w:t>（项</w:t>
      </w:r>
      <w:r>
        <w:rPr>
          <w:spacing w:val="-10"/>
          <w:sz w:val="32"/>
        </w:rPr>
        <w:t>）</w:t>
      </w:r>
      <w:r>
        <w:rPr>
          <w:rFonts w:ascii="Times New Roman" w:eastAsia="Times New Roman"/>
          <w:spacing w:val="-10"/>
          <w:sz w:val="32"/>
        </w:rPr>
        <w:t>202</w:t>
      </w:r>
      <w:r>
        <w:rPr>
          <w:rFonts w:hint="eastAsia" w:ascii="Times New Roman"/>
          <w:spacing w:val="-10"/>
          <w:sz w:val="32"/>
          <w:lang w:val="en-US" w:eastAsia="zh-CN"/>
        </w:rPr>
        <w:t>1</w:t>
      </w:r>
      <w:r>
        <w:rPr>
          <w:sz w:val="32"/>
        </w:rPr>
        <w:t>年预算数为</w:t>
      </w:r>
      <w:r>
        <w:rPr>
          <w:rFonts w:hint="eastAsia"/>
          <w:sz w:val="32"/>
          <w:lang w:val="en-US" w:eastAsia="zh-CN"/>
        </w:rPr>
        <w:t>10.8322</w:t>
      </w:r>
      <w:r>
        <w:rPr>
          <w:sz w:val="32"/>
        </w:rPr>
        <w:t>万元，主要用于：实施养老保险制度由单位缴纳的基本养老保险支出。</w:t>
      </w:r>
    </w:p>
    <w:p>
      <w:pPr>
        <w:pStyle w:val="9"/>
        <w:numPr>
          <w:ilvl w:val="0"/>
          <w:numId w:val="0"/>
        </w:numPr>
        <w:tabs>
          <w:tab w:val="left" w:pos="1003"/>
        </w:tabs>
        <w:spacing w:before="0" w:after="0" w:line="338" w:lineRule="auto"/>
        <w:ind w:right="277" w:rightChars="0" w:firstLine="648" w:firstLineChars="200"/>
        <w:jc w:val="both"/>
        <w:rPr>
          <w:spacing w:val="6"/>
          <w:sz w:val="32"/>
        </w:rPr>
      </w:pPr>
      <w:r>
        <w:rPr>
          <w:rFonts w:hint="eastAsia"/>
          <w:spacing w:val="2"/>
          <w:sz w:val="32"/>
          <w:lang w:val="en-US" w:eastAsia="zh-CN"/>
        </w:rPr>
        <w:t>3.</w:t>
      </w:r>
      <w:r>
        <w:rPr>
          <w:spacing w:val="2"/>
          <w:sz w:val="32"/>
        </w:rPr>
        <w:t>卫生健康</w:t>
      </w:r>
      <w:r>
        <w:rPr>
          <w:spacing w:val="5"/>
          <w:sz w:val="32"/>
        </w:rPr>
        <w:t>（</w:t>
      </w:r>
      <w:r>
        <w:rPr>
          <w:sz w:val="32"/>
        </w:rPr>
        <w:t>类</w:t>
      </w:r>
      <w:r>
        <w:rPr>
          <w:spacing w:val="5"/>
          <w:sz w:val="32"/>
        </w:rPr>
        <w:t>）</w:t>
      </w:r>
      <w:r>
        <w:rPr>
          <w:sz w:val="32"/>
        </w:rPr>
        <w:t>行政事业单位医疗（</w:t>
      </w:r>
      <w:r>
        <w:rPr>
          <w:spacing w:val="5"/>
          <w:sz w:val="32"/>
        </w:rPr>
        <w:t>款）</w:t>
      </w:r>
      <w:r>
        <w:rPr>
          <w:spacing w:val="1"/>
          <w:sz w:val="32"/>
        </w:rPr>
        <w:t>行政单位医</w:t>
      </w:r>
      <w:r>
        <w:rPr>
          <w:spacing w:val="-3"/>
          <w:sz w:val="32"/>
        </w:rPr>
        <w:t>疗</w:t>
      </w:r>
      <w:r>
        <w:rPr>
          <w:sz w:val="32"/>
        </w:rPr>
        <w:t>（项）</w:t>
      </w:r>
      <w:r>
        <w:rPr>
          <w:spacing w:val="-1"/>
          <w:sz w:val="32"/>
        </w:rPr>
        <w:t>公务员医疗</w:t>
      </w:r>
      <w:r>
        <w:rPr>
          <w:spacing w:val="7"/>
          <w:sz w:val="32"/>
        </w:rPr>
        <w:t>补助（项</w:t>
      </w:r>
      <w:r>
        <w:rPr>
          <w:sz w:val="32"/>
        </w:rPr>
        <w:t>）</w:t>
      </w:r>
      <w:r>
        <w:rPr>
          <w:rFonts w:ascii="Times New Roman" w:eastAsia="Times New Roman"/>
          <w:sz w:val="32"/>
        </w:rPr>
        <w:t>202</w:t>
      </w:r>
      <w:r>
        <w:rPr>
          <w:rFonts w:hint="eastAsia" w:ascii="Times New Roman"/>
          <w:sz w:val="32"/>
          <w:lang w:val="en-US" w:eastAsia="zh-CN"/>
        </w:rPr>
        <w:t>1</w:t>
      </w:r>
      <w:r>
        <w:rPr>
          <w:spacing w:val="-15"/>
          <w:sz w:val="32"/>
        </w:rPr>
        <w:t>年预算数为</w:t>
      </w:r>
      <w:r>
        <w:rPr>
          <w:rFonts w:hint="eastAsia"/>
          <w:sz w:val="32"/>
          <w:lang w:val="en-US" w:eastAsia="zh-CN"/>
        </w:rPr>
        <w:t>4.9318</w:t>
      </w:r>
      <w:r>
        <w:rPr>
          <w:sz w:val="32"/>
        </w:rPr>
        <w:t>万</w:t>
      </w:r>
      <w:r>
        <w:rPr>
          <w:spacing w:val="-3"/>
          <w:sz w:val="32"/>
        </w:rPr>
        <w:t>元，主要用于：按规定由单位缴纳的基本医疗保险支出</w:t>
      </w:r>
      <w:r>
        <w:rPr>
          <w:rFonts w:hint="eastAsia"/>
          <w:spacing w:val="-3"/>
          <w:sz w:val="32"/>
          <w:lang w:eastAsia="zh-CN"/>
        </w:rPr>
        <w:t>，</w:t>
      </w:r>
      <w:r>
        <w:rPr>
          <w:spacing w:val="6"/>
          <w:sz w:val="32"/>
        </w:rPr>
        <w:t>单位集中缴纳公务员医疗补助支出。</w:t>
      </w:r>
    </w:p>
    <w:p>
      <w:pPr>
        <w:pStyle w:val="9"/>
        <w:numPr>
          <w:ilvl w:val="0"/>
          <w:numId w:val="0"/>
        </w:numPr>
        <w:tabs>
          <w:tab w:val="left" w:pos="1003"/>
        </w:tabs>
        <w:spacing w:before="46" w:after="0" w:line="240" w:lineRule="auto"/>
        <w:ind w:right="0" w:rightChars="0" w:firstLine="620" w:firstLineChars="200"/>
        <w:jc w:val="left"/>
        <w:rPr>
          <w:spacing w:val="-5"/>
          <w:sz w:val="32"/>
        </w:rPr>
      </w:pPr>
      <w:r>
        <w:rPr>
          <w:rFonts w:hint="eastAsia"/>
          <w:spacing w:val="-5"/>
          <w:sz w:val="32"/>
          <w:lang w:val="en-US" w:eastAsia="zh-CN"/>
        </w:rPr>
        <w:t>4.</w:t>
      </w:r>
      <w:r>
        <w:rPr>
          <w:spacing w:val="-5"/>
          <w:sz w:val="32"/>
        </w:rPr>
        <w:t>住房保障（类）住房改革支出（款）住房公积金（项）</w:t>
      </w:r>
    </w:p>
    <w:p>
      <w:pPr>
        <w:pStyle w:val="9"/>
        <w:numPr>
          <w:ilvl w:val="0"/>
          <w:numId w:val="0"/>
        </w:numPr>
        <w:tabs>
          <w:tab w:val="left" w:pos="1003"/>
        </w:tabs>
        <w:spacing w:before="46" w:after="0" w:line="240" w:lineRule="auto"/>
        <w:ind w:right="0" w:rightChars="0"/>
        <w:jc w:val="left"/>
        <w:rPr>
          <w:sz w:val="32"/>
        </w:rPr>
        <w:sectPr>
          <w:pgSz w:w="11910" w:h="16840"/>
          <w:pgMar w:top="1520" w:right="1520" w:bottom="880" w:left="1680" w:header="0" w:footer="695" w:gutter="0"/>
          <w:cols w:space="720" w:num="1"/>
        </w:sectPr>
      </w:pPr>
      <w:r>
        <w:rPr>
          <w:spacing w:val="-5"/>
          <w:sz w:val="32"/>
        </w:rPr>
        <w:t>202</w:t>
      </w:r>
      <w:r>
        <w:rPr>
          <w:rFonts w:hint="eastAsia"/>
          <w:spacing w:val="-5"/>
          <w:sz w:val="32"/>
          <w:lang w:val="en-US" w:eastAsia="zh-CN"/>
        </w:rPr>
        <w:t>1</w:t>
      </w:r>
      <w:r>
        <w:rPr>
          <w:spacing w:val="-5"/>
          <w:sz w:val="32"/>
        </w:rPr>
        <w:t>年预算数为</w:t>
      </w:r>
      <w:r>
        <w:rPr>
          <w:rFonts w:hint="eastAsia"/>
          <w:spacing w:val="-5"/>
          <w:sz w:val="32"/>
          <w:lang w:val="en-US" w:eastAsia="zh-CN"/>
        </w:rPr>
        <w:t>8.1243</w:t>
      </w:r>
      <w:r>
        <w:rPr>
          <w:spacing w:val="-5"/>
          <w:sz w:val="32"/>
        </w:rPr>
        <w:t>万元，主要用于：单位按规定为职工缴纳的住房公积金支出。</w:t>
      </w:r>
    </w:p>
    <w:p>
      <w:pPr>
        <w:pStyle w:val="5"/>
        <w:spacing w:line="405" w:lineRule="exact"/>
        <w:ind w:firstLine="640" w:firstLineChars="200"/>
        <w:rPr>
          <w:rFonts w:hint="eastAsia" w:ascii="黑体" w:eastAsia="黑体"/>
        </w:rPr>
      </w:pPr>
      <w:bookmarkStart w:id="36" w:name="四、一般公共预算基本支出情况说明"/>
      <w:bookmarkEnd w:id="36"/>
      <w:r>
        <w:rPr>
          <w:rFonts w:hint="eastAsia" w:ascii="黑体" w:eastAsia="黑体"/>
        </w:rPr>
        <w:t>四、一般公共预算基本支出情况说明</w:t>
      </w:r>
    </w:p>
    <w:p>
      <w:pPr>
        <w:pStyle w:val="5"/>
        <w:spacing w:before="0" w:line="240" w:lineRule="auto"/>
        <w:ind w:left="0" w:right="0" w:firstLine="580" w:firstLineChars="200"/>
      </w:pPr>
      <w:r>
        <w:rPr>
          <w:rFonts w:hint="eastAsia"/>
          <w:spacing w:val="-15"/>
          <w:lang w:eastAsia="zh-CN"/>
        </w:rPr>
        <w:t>体育发展服务中心</w:t>
      </w:r>
      <w:r>
        <w:rPr>
          <w:rFonts w:ascii="Times New Roman" w:eastAsia="Times New Roman"/>
        </w:rPr>
        <w:t>202</w:t>
      </w:r>
      <w:r>
        <w:rPr>
          <w:rFonts w:hint="eastAsia" w:ascii="Times New Roman"/>
          <w:lang w:val="en-US" w:eastAsia="zh-CN"/>
        </w:rPr>
        <w:t>1</w:t>
      </w:r>
      <w:r>
        <w:rPr>
          <w:spacing w:val="-6"/>
        </w:rPr>
        <w:t>年一般公共预算基本支出</w:t>
      </w:r>
      <w:r>
        <w:rPr>
          <w:rFonts w:hint="eastAsia"/>
          <w:spacing w:val="-6"/>
          <w:lang w:val="en-US" w:eastAsia="zh-CN"/>
        </w:rPr>
        <w:t>106.6001</w:t>
      </w:r>
      <w:r>
        <w:rPr>
          <w:spacing w:val="3"/>
        </w:rPr>
        <w:t>万元，其中：</w:t>
      </w:r>
    </w:p>
    <w:p>
      <w:pPr>
        <w:pStyle w:val="5"/>
        <w:spacing w:line="338" w:lineRule="auto"/>
        <w:ind w:left="120" w:right="118" w:firstLine="640"/>
      </w:pPr>
      <w:r>
        <w:rPr>
          <w:spacing w:val="-19"/>
        </w:rPr>
        <w:t>人员经费</w:t>
      </w:r>
      <w:r>
        <w:rPr>
          <w:rFonts w:hint="eastAsia"/>
          <w:spacing w:val="-19"/>
          <w:lang w:val="en-US" w:eastAsia="zh-CN"/>
        </w:rPr>
        <w:t>96.6746</w:t>
      </w:r>
      <w:r>
        <w:rPr>
          <w:spacing w:val="-17"/>
        </w:rPr>
        <w:t>万元，主要包括：基本工资、津贴补贴、</w:t>
      </w:r>
      <w:r>
        <w:rPr>
          <w:spacing w:val="-7"/>
        </w:rPr>
        <w:t>奖金、机关事业单位基本养老保险缴费、职工基本医疗保险</w:t>
      </w:r>
      <w:r>
        <w:rPr>
          <w:spacing w:val="-5"/>
        </w:rPr>
        <w:t>缴费、公务员医疗补助缴费、住房公积金、其他工资福利支出、工会经费、福利费、其他交通费用等支出。</w:t>
      </w:r>
    </w:p>
    <w:p>
      <w:pPr>
        <w:pStyle w:val="5"/>
        <w:spacing w:before="4" w:line="340" w:lineRule="auto"/>
        <w:ind w:left="120" w:right="265" w:firstLine="640"/>
      </w:pPr>
      <w:r>
        <w:t>公用经费</w:t>
      </w:r>
      <w:r>
        <w:rPr>
          <w:rFonts w:hint="eastAsia"/>
          <w:lang w:val="en-US" w:eastAsia="zh-CN"/>
        </w:rPr>
        <w:t>9.9255</w:t>
      </w:r>
      <w:r>
        <w:t>万元，主要包括：办公费、印刷费、水费、电费、邮电费、差旅费、公务用车运行维护费等支出。</w:t>
      </w:r>
    </w:p>
    <w:p>
      <w:pPr>
        <w:pStyle w:val="5"/>
        <w:spacing w:line="405" w:lineRule="exact"/>
        <w:ind w:left="760"/>
        <w:rPr>
          <w:rFonts w:hint="eastAsia" w:ascii="黑体" w:hAnsi="黑体" w:eastAsia="黑体"/>
        </w:rPr>
      </w:pPr>
      <w:bookmarkStart w:id="37" w:name="五、“三公”经费财政拨款预算安排情况说明"/>
      <w:bookmarkEnd w:id="37"/>
      <w:r>
        <w:rPr>
          <w:rFonts w:hint="eastAsia" w:ascii="黑体" w:hAnsi="黑体" w:eastAsia="黑体"/>
        </w:rPr>
        <w:t>五、</w:t>
      </w:r>
      <w:r>
        <w:rPr>
          <w:rFonts w:ascii="Times New Roman" w:hAnsi="Times New Roman" w:eastAsia="Times New Roman"/>
        </w:rPr>
        <w:t>“</w:t>
      </w:r>
      <w:r>
        <w:rPr>
          <w:rFonts w:hint="eastAsia" w:ascii="黑体" w:hAnsi="黑体" w:eastAsia="黑体"/>
        </w:rPr>
        <w:t>三公</w:t>
      </w:r>
      <w:r>
        <w:rPr>
          <w:rFonts w:ascii="Times New Roman" w:hAnsi="Times New Roman" w:eastAsia="Times New Roman"/>
        </w:rPr>
        <w:t>”</w:t>
      </w:r>
      <w:r>
        <w:rPr>
          <w:rFonts w:hint="eastAsia" w:ascii="黑体" w:hAnsi="黑体" w:eastAsia="黑体"/>
        </w:rPr>
        <w:t>经费财政拨款预算安排情况说明</w:t>
      </w:r>
    </w:p>
    <w:p>
      <w:pPr>
        <w:pStyle w:val="5"/>
        <w:spacing w:before="0"/>
        <w:ind w:firstLine="580" w:firstLineChars="200"/>
        <w:rPr>
          <w:rFonts w:hint="eastAsia" w:eastAsia="宋体"/>
          <w:lang w:eastAsia="zh-CN"/>
        </w:rPr>
      </w:pPr>
      <w:r>
        <w:rPr>
          <w:rFonts w:hint="eastAsia"/>
          <w:spacing w:val="-15"/>
          <w:lang w:eastAsia="zh-CN"/>
        </w:rPr>
        <w:t>体育发展服务中心</w:t>
      </w:r>
      <w:r>
        <w:rPr>
          <w:spacing w:val="-20"/>
        </w:rPr>
        <w:t xml:space="preserve"> </w:t>
      </w:r>
      <w:r>
        <w:rPr>
          <w:rFonts w:ascii="Times New Roman" w:hAnsi="Times New Roman" w:eastAsia="Times New Roman"/>
        </w:rPr>
        <w:t>202</w:t>
      </w:r>
      <w:r>
        <w:rPr>
          <w:rFonts w:hint="eastAsia" w:ascii="Times New Roman" w:hAnsi="Times New Roman"/>
          <w:lang w:val="en-US" w:eastAsia="zh-CN"/>
        </w:rPr>
        <w:t>1</w:t>
      </w:r>
      <w:r>
        <w:t>年</w:t>
      </w:r>
      <w:r>
        <w:rPr>
          <w:rFonts w:ascii="Times New Roman" w:hAnsi="Times New Roman" w:eastAsia="Times New Roman"/>
        </w:rPr>
        <w:t>“</w:t>
      </w:r>
      <w:r>
        <w:t>三公</w:t>
      </w:r>
      <w:r>
        <w:rPr>
          <w:rFonts w:ascii="Times New Roman" w:hAnsi="Times New Roman" w:eastAsia="Times New Roman"/>
        </w:rPr>
        <w:t>”</w:t>
      </w:r>
      <w:r>
        <w:rPr>
          <w:spacing w:val="-10"/>
        </w:rPr>
        <w:t>经费财政拨款预算数</w:t>
      </w:r>
      <w:r>
        <w:rPr>
          <w:rFonts w:hint="eastAsia"/>
          <w:spacing w:val="-10"/>
          <w:lang w:val="en-US" w:eastAsia="zh-CN"/>
        </w:rPr>
        <w:t>0.1</w:t>
      </w:r>
      <w:r>
        <w:t>万元，</w:t>
      </w:r>
      <w:r>
        <w:rPr>
          <w:spacing w:val="-12"/>
        </w:rPr>
        <w:t>其中：公务接待费</w:t>
      </w:r>
      <w:r>
        <w:rPr>
          <w:rFonts w:hint="eastAsia"/>
          <w:spacing w:val="-12"/>
          <w:lang w:val="en-US" w:eastAsia="zh-CN"/>
        </w:rPr>
        <w:t>0.1</w:t>
      </w:r>
      <w:r>
        <w:rPr>
          <w:spacing w:val="-8"/>
        </w:rPr>
        <w:t>万元</w:t>
      </w:r>
      <w:r>
        <w:rPr>
          <w:rFonts w:hint="eastAsia"/>
          <w:spacing w:val="-8"/>
          <w:lang w:eastAsia="zh-CN"/>
        </w:rPr>
        <w:t>。</w:t>
      </w:r>
    </w:p>
    <w:p>
      <w:pPr>
        <w:pStyle w:val="4"/>
        <w:spacing w:line="492" w:lineRule="exact"/>
      </w:pPr>
      <w:r>
        <w:t>（一）公务接待费与</w:t>
      </w:r>
      <w:r>
        <w:rPr>
          <w:rFonts w:ascii="Times New Roman" w:eastAsia="Times New Roman"/>
        </w:rPr>
        <w:t>202</w:t>
      </w:r>
      <w:r>
        <w:rPr>
          <w:rFonts w:hint="eastAsia" w:ascii="Times New Roman" w:eastAsia="宋体"/>
          <w:lang w:val="en-US" w:eastAsia="zh-CN"/>
        </w:rPr>
        <w:t>0</w:t>
      </w:r>
      <w:r>
        <w:t>年预算持平</w:t>
      </w:r>
    </w:p>
    <w:p>
      <w:pPr>
        <w:pStyle w:val="5"/>
        <w:spacing w:before="98"/>
        <w:ind w:left="760"/>
      </w:pPr>
      <w:r>
        <w:rPr>
          <w:rFonts w:ascii="Times New Roman" w:eastAsia="Times New Roman"/>
        </w:rPr>
        <w:t>202</w:t>
      </w:r>
      <w:r>
        <w:rPr>
          <w:rFonts w:hint="eastAsia" w:ascii="Times New Roman"/>
          <w:lang w:val="en-US" w:eastAsia="zh-CN"/>
        </w:rPr>
        <w:t>1</w:t>
      </w:r>
      <w:r>
        <w:t>年公务接待费</w:t>
      </w:r>
      <w:r>
        <w:rPr>
          <w:rFonts w:hint="eastAsia"/>
          <w:lang w:eastAsia="zh-CN"/>
        </w:rPr>
        <w:t>为减少</w:t>
      </w:r>
      <w:r>
        <w:t>。</w:t>
      </w:r>
    </w:p>
    <w:p>
      <w:pPr>
        <w:pStyle w:val="4"/>
        <w:spacing w:line="529" w:lineRule="exact"/>
        <w:ind w:left="0" w:leftChars="0" w:firstLine="640" w:firstLineChars="200"/>
      </w:pPr>
      <w:r>
        <w:t>（二）公务用车购置及运行维护费</w:t>
      </w:r>
    </w:p>
    <w:p>
      <w:pPr>
        <w:pStyle w:val="5"/>
        <w:spacing w:before="168"/>
        <w:ind w:left="760"/>
        <w:jc w:val="both"/>
      </w:pPr>
      <w:r>
        <w:rPr>
          <w:rFonts w:ascii="Times New Roman" w:eastAsia="Times New Roman"/>
        </w:rPr>
        <w:t>202</w:t>
      </w:r>
      <w:r>
        <w:rPr>
          <w:rFonts w:hint="eastAsia" w:ascii="Times New Roman"/>
          <w:lang w:val="en-US" w:eastAsia="zh-CN"/>
        </w:rPr>
        <w:t>1</w:t>
      </w:r>
      <w:r>
        <w:t>年未安排公务用车购置费</w:t>
      </w:r>
      <w:r>
        <w:rPr>
          <w:rFonts w:hint="eastAsia"/>
          <w:lang w:eastAsia="zh-CN"/>
        </w:rPr>
        <w:t>，无</w:t>
      </w:r>
      <w:r>
        <w:rPr>
          <w:spacing w:val="-1"/>
        </w:rPr>
        <w:t>公务用车运行维护费</w:t>
      </w:r>
      <w:r>
        <w:t>。</w:t>
      </w:r>
    </w:p>
    <w:p>
      <w:pPr>
        <w:pStyle w:val="5"/>
        <w:spacing w:before="5"/>
        <w:ind w:left="760"/>
        <w:rPr>
          <w:rFonts w:hint="eastAsia" w:ascii="黑体" w:eastAsia="黑体"/>
        </w:rPr>
      </w:pPr>
      <w:bookmarkStart w:id="38" w:name="六、政府性基金预算支出情况说明"/>
      <w:bookmarkEnd w:id="38"/>
      <w:r>
        <w:rPr>
          <w:rFonts w:hint="eastAsia" w:ascii="黑体" w:eastAsia="黑体"/>
        </w:rPr>
        <w:t>六、政府性基金预算支出情况说明</w:t>
      </w:r>
    </w:p>
    <w:p>
      <w:pPr>
        <w:pStyle w:val="5"/>
        <w:spacing w:before="171" w:line="338" w:lineRule="auto"/>
        <w:ind w:left="120" w:right="280" w:firstLine="640"/>
        <w:jc w:val="both"/>
      </w:pPr>
      <w:r>
        <w:rPr>
          <w:rFonts w:hint="eastAsia"/>
          <w:lang w:eastAsia="zh-CN"/>
        </w:rPr>
        <w:t>体育发展服务中心</w:t>
      </w:r>
      <w:r>
        <w:rPr>
          <w:rFonts w:ascii="Times New Roman" w:eastAsia="Times New Roman"/>
        </w:rPr>
        <w:t>202</w:t>
      </w:r>
      <w:r>
        <w:rPr>
          <w:rFonts w:hint="eastAsia" w:ascii="Times New Roman"/>
          <w:lang w:val="en-US" w:eastAsia="zh-CN"/>
        </w:rPr>
        <w:t>1</w:t>
      </w:r>
      <w:r>
        <w:t>年没有使用政府性基金预算拨款安排的支出。</w:t>
      </w:r>
    </w:p>
    <w:p>
      <w:pPr>
        <w:pStyle w:val="5"/>
        <w:spacing w:before="3"/>
        <w:ind w:left="760"/>
        <w:rPr>
          <w:rFonts w:hint="eastAsia" w:ascii="黑体" w:eastAsia="黑体"/>
        </w:rPr>
      </w:pPr>
      <w:bookmarkStart w:id="39" w:name="七、国有资本经营预算情况说明"/>
      <w:bookmarkEnd w:id="39"/>
      <w:r>
        <w:rPr>
          <w:rFonts w:hint="eastAsia" w:ascii="黑体" w:eastAsia="黑体"/>
        </w:rPr>
        <w:t>七、国有资本经营预算情况说明</w:t>
      </w:r>
    </w:p>
    <w:p>
      <w:pPr>
        <w:pStyle w:val="5"/>
        <w:spacing w:before="171" w:line="338" w:lineRule="auto"/>
        <w:ind w:left="120" w:right="280" w:firstLine="640"/>
        <w:jc w:val="both"/>
      </w:pPr>
      <w:r>
        <w:rPr>
          <w:rFonts w:hint="eastAsia"/>
          <w:lang w:eastAsia="zh-CN"/>
        </w:rPr>
        <w:t>体育发展服务中心</w:t>
      </w:r>
      <w:r>
        <w:rPr>
          <w:rFonts w:ascii="Times New Roman" w:eastAsia="Times New Roman"/>
        </w:rPr>
        <w:t>202</w:t>
      </w:r>
      <w:r>
        <w:rPr>
          <w:rFonts w:hint="eastAsia" w:ascii="Times New Roman"/>
          <w:lang w:val="en-US" w:eastAsia="zh-CN"/>
        </w:rPr>
        <w:t>1</w:t>
      </w:r>
      <w:r>
        <w:t>年没有使用国有资本经营预算拨款安排的支出。</w:t>
      </w:r>
    </w:p>
    <w:p>
      <w:pPr>
        <w:pStyle w:val="5"/>
        <w:spacing w:before="3"/>
        <w:ind w:left="760"/>
        <w:rPr>
          <w:rFonts w:hint="eastAsia" w:ascii="黑体" w:eastAsia="黑体"/>
        </w:rPr>
      </w:pPr>
      <w:bookmarkStart w:id="40" w:name="八、其他重要事项的情况说明"/>
      <w:bookmarkEnd w:id="40"/>
      <w:r>
        <w:rPr>
          <w:rFonts w:hint="eastAsia" w:ascii="黑体" w:eastAsia="黑体"/>
        </w:rPr>
        <w:t>八、其他重要事项的情况说明</w:t>
      </w:r>
    </w:p>
    <w:p>
      <w:pPr>
        <w:pStyle w:val="4"/>
        <w:spacing w:before="65"/>
      </w:pPr>
      <w:bookmarkStart w:id="41" w:name="（一）机关运行经费情况"/>
      <w:bookmarkEnd w:id="41"/>
      <w:r>
        <w:t>（一）</w:t>
      </w:r>
      <w:r>
        <w:rPr>
          <w:rFonts w:hint="eastAsia" w:eastAsia="宋体"/>
          <w:lang w:eastAsia="zh-CN"/>
        </w:rPr>
        <w:t>机关运行经费情况</w:t>
      </w:r>
    </w:p>
    <w:p>
      <w:pPr>
        <w:pStyle w:val="5"/>
        <w:spacing w:before="0"/>
        <w:ind w:left="0" w:firstLine="640" w:firstLineChars="200"/>
        <w:jc w:val="both"/>
      </w:pPr>
      <w:r>
        <w:rPr>
          <w:rFonts w:ascii="Times New Roman" w:eastAsia="Times New Roman"/>
        </w:rPr>
        <w:t>202</w:t>
      </w:r>
      <w:r>
        <w:rPr>
          <w:rFonts w:hint="eastAsia" w:ascii="Times New Roman"/>
          <w:lang w:val="en-US" w:eastAsia="zh-CN"/>
        </w:rPr>
        <w:t>1</w:t>
      </w:r>
      <w:r>
        <w:t>年，</w:t>
      </w:r>
      <w:r>
        <w:rPr>
          <w:rFonts w:hint="eastAsia"/>
          <w:lang w:eastAsia="zh-CN"/>
        </w:rPr>
        <w:t>体育发展服务中心</w:t>
      </w:r>
      <w:r>
        <w:t>的机关运行经费财政拨款预算为</w:t>
      </w:r>
      <w:r>
        <w:rPr>
          <w:rFonts w:hint="eastAsia"/>
          <w:spacing w:val="-10"/>
          <w:sz w:val="32"/>
          <w:szCs w:val="32"/>
          <w:lang w:val="en-US" w:eastAsia="zh-CN"/>
        </w:rPr>
        <w:t>60.9818</w:t>
      </w:r>
      <w:r>
        <w:t>万元，与</w:t>
      </w:r>
      <w:r>
        <w:rPr>
          <w:rFonts w:ascii="Times New Roman" w:eastAsia="Times New Roman"/>
        </w:rPr>
        <w:t>202</w:t>
      </w:r>
      <w:r>
        <w:rPr>
          <w:rFonts w:hint="eastAsia" w:ascii="Times New Roman"/>
          <w:lang w:val="en-US" w:eastAsia="zh-CN"/>
        </w:rPr>
        <w:t>0</w:t>
      </w:r>
      <w:r>
        <w:t>年预算</w:t>
      </w:r>
      <w:r>
        <w:rPr>
          <w:rFonts w:hint="eastAsia"/>
          <w:lang w:eastAsia="zh-CN"/>
        </w:rPr>
        <w:t>约有增加。原因是列入预算人员增加</w:t>
      </w:r>
      <w:r>
        <w:t>。</w:t>
      </w:r>
    </w:p>
    <w:p>
      <w:pPr>
        <w:pStyle w:val="4"/>
        <w:spacing w:before="65"/>
        <w:ind w:left="0" w:leftChars="0" w:firstLine="640" w:firstLineChars="200"/>
      </w:pPr>
      <w:bookmarkStart w:id="42" w:name="（二）政府采购情况"/>
      <w:bookmarkEnd w:id="42"/>
      <w:r>
        <w:t>（二）政府采购情况</w:t>
      </w:r>
    </w:p>
    <w:p>
      <w:pPr>
        <w:pStyle w:val="5"/>
        <w:spacing w:before="0"/>
        <w:ind w:firstLine="640" w:firstLineChars="200"/>
        <w:rPr>
          <w:rFonts w:hint="eastAsia" w:ascii="Times New Roman" w:eastAsia="宋体"/>
          <w:lang w:eastAsia="zh-CN"/>
        </w:rPr>
      </w:pPr>
      <w:r>
        <w:rPr>
          <w:rFonts w:ascii="Times New Roman" w:eastAsia="Times New Roman"/>
        </w:rPr>
        <w:t>202</w:t>
      </w:r>
      <w:r>
        <w:rPr>
          <w:rFonts w:hint="eastAsia" w:ascii="Times New Roman"/>
          <w:lang w:val="en-US" w:eastAsia="zh-CN"/>
        </w:rPr>
        <w:t>1</w:t>
      </w:r>
      <w:r>
        <w:rPr>
          <w:rFonts w:ascii="Times New Roman" w:eastAsia="Times New Roman"/>
        </w:rPr>
        <w:t>年，</w:t>
      </w:r>
      <w:r>
        <w:rPr>
          <w:rFonts w:hint="eastAsia" w:ascii="Times New Roman" w:eastAsia="Times New Roman"/>
          <w:lang w:eastAsia="zh-CN"/>
        </w:rPr>
        <w:t>体育发展服务中心</w:t>
      </w:r>
      <w:r>
        <w:rPr>
          <w:rFonts w:hint="eastAsia" w:ascii="Times New Roman" w:eastAsia="Times New Roman"/>
        </w:rPr>
        <w:t>由于公用经费较少，</w:t>
      </w:r>
      <w:r>
        <w:rPr>
          <w:rFonts w:hint="eastAsia" w:ascii="Times New Roman" w:eastAsia="Times New Roman"/>
          <w:lang w:eastAsia="zh-CN"/>
        </w:rPr>
        <w:t>未</w:t>
      </w:r>
      <w:r>
        <w:rPr>
          <w:rFonts w:hint="eastAsia" w:ascii="Times New Roman" w:eastAsia="Times New Roman"/>
        </w:rPr>
        <w:t>安排办公设备购置</w:t>
      </w:r>
      <w:r>
        <w:rPr>
          <w:rFonts w:hint="eastAsia" w:ascii="Times New Roman"/>
          <w:lang w:eastAsia="zh-CN"/>
        </w:rPr>
        <w:t>及专用设备购置费等。</w:t>
      </w:r>
    </w:p>
    <w:p>
      <w:pPr>
        <w:pStyle w:val="4"/>
        <w:spacing w:before="63"/>
        <w:ind w:left="0" w:leftChars="0" w:firstLine="640" w:firstLineChars="200"/>
      </w:pPr>
      <w:bookmarkStart w:id="43" w:name="（三）国有资产占有使用情况"/>
      <w:bookmarkEnd w:id="43"/>
      <w:r>
        <w:t>（三）国有资产占有使用情况</w:t>
      </w:r>
    </w:p>
    <w:p>
      <w:pPr>
        <w:pStyle w:val="5"/>
        <w:spacing w:before="0"/>
        <w:ind w:firstLine="640" w:firstLineChars="200"/>
        <w:rPr>
          <w:rFonts w:hint="eastAsia" w:ascii="Times New Roman" w:eastAsia="Times New Roman"/>
        </w:rPr>
      </w:pPr>
      <w:r>
        <w:rPr>
          <w:rFonts w:hint="eastAsia" w:ascii="Times New Roman" w:eastAsia="Times New Roman"/>
        </w:rPr>
        <w:t>我单位房屋类资产共计</w:t>
      </w:r>
      <w:r>
        <w:rPr>
          <w:rFonts w:hint="eastAsia" w:ascii="Times New Roman"/>
          <w:lang w:val="en-US" w:eastAsia="zh-CN"/>
        </w:rPr>
        <w:t>876</w:t>
      </w:r>
      <w:r>
        <w:rPr>
          <w:rFonts w:hint="eastAsia" w:ascii="Times New Roman" w:eastAsia="Times New Roman"/>
        </w:rPr>
        <w:t>平方米，价值</w:t>
      </w:r>
      <w:r>
        <w:rPr>
          <w:rFonts w:hint="eastAsia" w:ascii="Times New Roman"/>
          <w:lang w:val="en-US" w:eastAsia="zh-CN"/>
        </w:rPr>
        <w:t>58.51</w:t>
      </w:r>
      <w:r>
        <w:rPr>
          <w:rFonts w:hint="eastAsia" w:ascii="Times New Roman" w:eastAsia="Times New Roman"/>
        </w:rPr>
        <w:t>万元，车辆共计0辆，</w:t>
      </w:r>
      <w:r>
        <w:rPr>
          <w:rFonts w:hint="eastAsia" w:ascii="Times New Roman" w:eastAsia="Times New Roman"/>
          <w:lang w:eastAsia="zh-CN"/>
        </w:rPr>
        <w:t>价值</w:t>
      </w:r>
      <w:r>
        <w:rPr>
          <w:rFonts w:hint="eastAsia" w:ascii="Times New Roman" w:eastAsia="Times New Roman"/>
          <w:lang w:val="en-US" w:eastAsia="zh-CN"/>
        </w:rPr>
        <w:t>0</w:t>
      </w:r>
      <w:r>
        <w:rPr>
          <w:rFonts w:hint="eastAsia" w:ascii="Times New Roman" w:eastAsia="Times New Roman"/>
        </w:rPr>
        <w:t>万元。</w:t>
      </w:r>
    </w:p>
    <w:p>
      <w:pPr>
        <w:pStyle w:val="4"/>
        <w:spacing w:line="478" w:lineRule="exact"/>
        <w:ind w:left="0" w:leftChars="0" w:firstLine="640" w:firstLineChars="200"/>
      </w:pPr>
      <w:r>
        <w:t>（四）预算绩效情况</w:t>
      </w:r>
    </w:p>
    <w:p>
      <w:pPr>
        <w:pStyle w:val="5"/>
        <w:spacing w:before="98"/>
        <w:ind w:right="277" w:firstLine="640" w:firstLineChars="200"/>
        <w:jc w:val="both"/>
      </w:pPr>
      <w:r>
        <w:rPr>
          <w:rFonts w:ascii="Times New Roman" w:eastAsia="Times New Roman"/>
        </w:rPr>
        <w:t>202</w:t>
      </w:r>
      <w:r>
        <w:rPr>
          <w:rFonts w:hint="eastAsia" w:ascii="Times New Roman"/>
          <w:lang w:val="en-US" w:eastAsia="zh-CN"/>
        </w:rPr>
        <w:t>1</w:t>
      </w:r>
      <w:r>
        <w:rPr>
          <w:spacing w:val="-5"/>
        </w:rPr>
        <w:t>年</w:t>
      </w:r>
      <w:r>
        <w:rPr>
          <w:rFonts w:hint="eastAsia"/>
          <w:spacing w:val="-5"/>
          <w:lang w:eastAsia="zh-CN"/>
        </w:rPr>
        <w:t>体育发展服务中心无</w:t>
      </w:r>
      <w:r>
        <w:rPr>
          <w:spacing w:val="-5"/>
        </w:rPr>
        <w:t>绩效目标管理的项目</w:t>
      </w:r>
      <w:r>
        <w:t>。</w:t>
      </w:r>
    </w:p>
    <w:p>
      <w:pPr>
        <w:pStyle w:val="5"/>
        <w:spacing w:before="170"/>
        <w:ind w:right="343" w:firstLine="560" w:firstLineChars="200"/>
        <w:jc w:val="both"/>
        <w:rPr>
          <w:rFonts w:hint="eastAsia"/>
          <w:sz w:val="28"/>
          <w:szCs w:val="28"/>
        </w:rPr>
      </w:pPr>
    </w:p>
    <w:p>
      <w:pPr>
        <w:spacing w:after="0"/>
        <w:sectPr>
          <w:pgSz w:w="11910" w:h="16840"/>
          <w:pgMar w:top="1520" w:right="1520" w:bottom="880" w:left="1680" w:header="0" w:footer="695" w:gutter="0"/>
          <w:cols w:space="720" w:num="1"/>
        </w:sectPr>
      </w:pPr>
      <w:bookmarkStart w:id="44" w:name="（四）预算绩效情况"/>
      <w:bookmarkEnd w:id="44"/>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7"/>
        <w:rPr>
          <w:sz w:val="21"/>
        </w:rPr>
      </w:pPr>
    </w:p>
    <w:p>
      <w:pPr>
        <w:pStyle w:val="3"/>
        <w:tabs>
          <w:tab w:val="left" w:pos="2601"/>
        </w:tabs>
        <w:ind w:right="157"/>
      </w:pPr>
      <w:bookmarkStart w:id="45" w:name="第四部分  名词解释"/>
      <w:bookmarkEnd w:id="45"/>
      <w:r>
        <w:t>第</w:t>
      </w:r>
      <w:r>
        <w:rPr>
          <w:spacing w:val="-3"/>
        </w:rPr>
        <w:t>四</w:t>
      </w:r>
      <w:r>
        <w:t>部分</w:t>
      </w:r>
      <w:r>
        <w:tab/>
      </w:r>
      <w:r>
        <w:t>名</w:t>
      </w:r>
      <w:r>
        <w:rPr>
          <w:spacing w:val="-3"/>
        </w:rPr>
        <w:t>词</w:t>
      </w:r>
      <w:r>
        <w:t>解释</w:t>
      </w:r>
    </w:p>
    <w:p>
      <w:pPr>
        <w:spacing w:after="0"/>
        <w:sectPr>
          <w:pgSz w:w="11910" w:h="16840"/>
          <w:pgMar w:top="1580" w:right="1520" w:bottom="880" w:left="1680" w:header="0" w:footer="695" w:gutter="0"/>
          <w:cols w:space="720" w:num="1"/>
        </w:sectPr>
      </w:pPr>
    </w:p>
    <w:p>
      <w:pPr>
        <w:pStyle w:val="5"/>
        <w:spacing w:before="26" w:line="340" w:lineRule="auto"/>
        <w:ind w:left="122" w:right="235" w:firstLine="640"/>
      </w:pPr>
      <w:r>
        <w:t>（一）一般公共预算拨款收入：指省级财政当年拨付的资金。</w:t>
      </w:r>
    </w:p>
    <w:p>
      <w:pPr>
        <w:pStyle w:val="5"/>
        <w:spacing w:line="338" w:lineRule="auto"/>
        <w:ind w:left="122" w:right="119" w:firstLine="640"/>
      </w:pPr>
      <w:r>
        <w:rPr>
          <w:w w:val="99"/>
        </w:rPr>
        <w:t>（</w:t>
      </w:r>
      <w:r>
        <w:rPr>
          <w:spacing w:val="2"/>
          <w:w w:val="99"/>
        </w:rPr>
        <w:t>二</w:t>
      </w:r>
      <w:r>
        <w:rPr>
          <w:w w:val="99"/>
        </w:rPr>
        <w:t>）</w:t>
      </w:r>
      <w:r>
        <w:rPr>
          <w:spacing w:val="-22"/>
          <w:w w:val="99"/>
        </w:rPr>
        <w:t>一般公共服务</w:t>
      </w:r>
      <w:r>
        <w:rPr>
          <w:w w:val="99"/>
        </w:rPr>
        <w:t>（类</w:t>
      </w:r>
      <w:r>
        <w:rPr>
          <w:spacing w:val="-132"/>
          <w:w w:val="99"/>
        </w:rPr>
        <w:t>）</w:t>
      </w:r>
      <w:r>
        <w:rPr>
          <w:spacing w:val="-33"/>
          <w:w w:val="99"/>
        </w:rPr>
        <w:t>财政事务</w:t>
      </w:r>
      <w:r>
        <w:rPr>
          <w:w w:val="99"/>
        </w:rPr>
        <w:t>（款</w:t>
      </w:r>
      <w:r>
        <w:rPr>
          <w:spacing w:val="-130"/>
          <w:w w:val="99"/>
        </w:rPr>
        <w:t>）</w:t>
      </w:r>
      <w:r>
        <w:rPr>
          <w:spacing w:val="-32"/>
          <w:w w:val="99"/>
        </w:rPr>
        <w:t>行政运行</w:t>
      </w:r>
      <w:r>
        <w:rPr>
          <w:spacing w:val="-3"/>
          <w:w w:val="99"/>
        </w:rPr>
        <w:t>（</w:t>
      </w:r>
      <w:r>
        <w:rPr>
          <w:w w:val="99"/>
        </w:rPr>
        <w:t>项</w:t>
      </w:r>
      <w:r>
        <w:rPr>
          <w:spacing w:val="-159"/>
          <w:w w:val="99"/>
        </w:rPr>
        <w:t>）</w:t>
      </w:r>
      <w:r>
        <w:rPr>
          <w:w w:val="99"/>
        </w:rPr>
        <w:t>：</w:t>
      </w:r>
      <w:r>
        <w:t>用于保障机构正常运行、开展日常工作的基本支出。</w:t>
      </w:r>
    </w:p>
    <w:p>
      <w:pPr>
        <w:pStyle w:val="5"/>
        <w:spacing w:line="338" w:lineRule="auto"/>
        <w:ind w:left="122" w:right="277" w:firstLine="640"/>
        <w:jc w:val="both"/>
      </w:pPr>
      <w:r>
        <w:t>（三）</w:t>
      </w:r>
      <w:r>
        <w:rPr>
          <w:spacing w:val="-1"/>
        </w:rPr>
        <w:t>一般公共服务</w:t>
      </w:r>
      <w:r>
        <w:t>（类</w:t>
      </w:r>
      <w:r>
        <w:rPr>
          <w:spacing w:val="-5"/>
        </w:rPr>
        <w:t>）</w:t>
      </w:r>
      <w:r>
        <w:rPr>
          <w:spacing w:val="-1"/>
        </w:rPr>
        <w:t>财政事务</w:t>
      </w:r>
      <w:r>
        <w:t>（款</w:t>
      </w:r>
      <w:r>
        <w:rPr>
          <w:spacing w:val="-3"/>
        </w:rPr>
        <w:t>）</w:t>
      </w:r>
      <w:r>
        <w:t>其他财政事</w:t>
      </w:r>
      <w:r>
        <w:rPr>
          <w:spacing w:val="-2"/>
        </w:rPr>
        <w:t>务支出</w:t>
      </w:r>
      <w:r>
        <w:t>（项</w:t>
      </w:r>
      <w:r>
        <w:rPr>
          <w:spacing w:val="-5"/>
        </w:rPr>
        <w:t>）：</w:t>
      </w:r>
      <w:r>
        <w:rPr>
          <w:spacing w:val="-1"/>
        </w:rPr>
        <w:t>指除上述项目外，开展其他财政事务方面专门性工作任务的项目支出。</w:t>
      </w:r>
    </w:p>
    <w:p>
      <w:pPr>
        <w:pStyle w:val="5"/>
        <w:spacing w:before="6"/>
        <w:ind w:left="763"/>
      </w:pPr>
      <w:r>
        <w:t>（四）社会保障和就业（类）行政事业单位养老支出</w:t>
      </w:r>
    </w:p>
    <w:p>
      <w:pPr>
        <w:pStyle w:val="5"/>
        <w:spacing w:before="171" w:line="338" w:lineRule="auto"/>
        <w:ind w:left="122" w:right="234"/>
      </w:pPr>
      <w:r>
        <w:t>（款）机关事业单位基本养老保险缴费支出（项）：用于单位缴纳的养老保险的支出。</w:t>
      </w:r>
    </w:p>
    <w:p>
      <w:pPr>
        <w:pStyle w:val="5"/>
        <w:spacing w:before="3" w:line="340" w:lineRule="auto"/>
        <w:ind w:left="122" w:right="234" w:firstLine="640"/>
      </w:pPr>
      <w:r>
        <w:t>（五）卫生健康（类）行政事业单位医疗（款）行政单位医疗（项）：用于单位缴纳的基本医疗保险支出。</w:t>
      </w:r>
    </w:p>
    <w:p>
      <w:pPr>
        <w:pStyle w:val="5"/>
        <w:spacing w:line="340" w:lineRule="auto"/>
        <w:ind w:left="122" w:right="234" w:firstLine="640"/>
      </w:pPr>
      <w:r>
        <w:t>（六）卫生健康（类）行政事业单位医疗（款）公务员医疗补助（项）：用于集中缴纳公务员医疗补助支出。</w:t>
      </w:r>
    </w:p>
    <w:p>
      <w:pPr>
        <w:pStyle w:val="5"/>
        <w:spacing w:line="407" w:lineRule="exact"/>
        <w:ind w:left="763"/>
      </w:pPr>
      <w:r>
        <w:t>（七）住房保障（类）住房改革支出（款）住房公积金</w:t>
      </w:r>
    </w:p>
    <w:p>
      <w:pPr>
        <w:pStyle w:val="5"/>
        <w:spacing w:before="163" w:line="340" w:lineRule="auto"/>
        <w:ind w:left="122" w:right="207"/>
      </w:pPr>
      <w:r>
        <w:rPr>
          <w:w w:val="95"/>
        </w:rPr>
        <w:t xml:space="preserve">（项）：指按照《住房公积金管理条例》的规定，由单位及 </w:t>
      </w:r>
      <w:r>
        <w:t>其在职职工缴存的长期住房储金。</w:t>
      </w:r>
    </w:p>
    <w:p>
      <w:pPr>
        <w:pStyle w:val="5"/>
        <w:spacing w:line="338" w:lineRule="auto"/>
        <w:ind w:left="122" w:right="119" w:firstLine="640"/>
      </w:pPr>
      <w:r>
        <w:rPr>
          <w:w w:val="99"/>
        </w:rPr>
        <w:t>（</w:t>
      </w:r>
      <w:r>
        <w:rPr>
          <w:spacing w:val="2"/>
          <w:w w:val="99"/>
        </w:rPr>
        <w:t>八</w:t>
      </w:r>
      <w:r>
        <w:rPr>
          <w:w w:val="99"/>
        </w:rPr>
        <w:t>）</w:t>
      </w:r>
      <w:r>
        <w:rPr>
          <w:spacing w:val="-33"/>
          <w:w w:val="99"/>
        </w:rPr>
        <w:t>住房保障</w:t>
      </w:r>
      <w:r>
        <w:rPr>
          <w:w w:val="99"/>
        </w:rPr>
        <w:t>（类</w:t>
      </w:r>
      <w:r>
        <w:rPr>
          <w:spacing w:val="-130"/>
          <w:w w:val="99"/>
        </w:rPr>
        <w:t>）</w:t>
      </w:r>
      <w:r>
        <w:rPr>
          <w:spacing w:val="-22"/>
          <w:w w:val="99"/>
        </w:rPr>
        <w:t>住房改革支出</w:t>
      </w:r>
      <w:r>
        <w:rPr>
          <w:w w:val="99"/>
        </w:rPr>
        <w:t>（款</w:t>
      </w:r>
      <w:r>
        <w:rPr>
          <w:spacing w:val="-130"/>
          <w:w w:val="99"/>
        </w:rPr>
        <w:t>）</w:t>
      </w:r>
      <w:r>
        <w:rPr>
          <w:spacing w:val="-32"/>
          <w:w w:val="99"/>
        </w:rPr>
        <w:t>购房补贴</w:t>
      </w:r>
      <w:r>
        <w:rPr>
          <w:spacing w:val="-3"/>
          <w:w w:val="99"/>
        </w:rPr>
        <w:t>（</w:t>
      </w:r>
      <w:r>
        <w:rPr>
          <w:w w:val="99"/>
        </w:rPr>
        <w:t>项</w:t>
      </w:r>
      <w:r>
        <w:rPr>
          <w:spacing w:val="-159"/>
          <w:w w:val="99"/>
        </w:rPr>
        <w:t>）</w:t>
      </w:r>
      <w:r>
        <w:rPr>
          <w:w w:val="99"/>
        </w:rPr>
        <w:t>：</w:t>
      </w:r>
      <w:r>
        <w:rPr>
          <w:spacing w:val="-2"/>
        </w:rPr>
        <w:t>指按房改政策规定的标准，向符合条件职工发放的用于购买住房的补贴。</w:t>
      </w:r>
    </w:p>
    <w:p>
      <w:pPr>
        <w:pStyle w:val="5"/>
        <w:spacing w:before="3" w:line="338" w:lineRule="auto"/>
        <w:ind w:left="122" w:right="235" w:firstLine="640"/>
      </w:pPr>
      <w:r>
        <w:t>（九）基本支出：指为保证机构正常运转，完成日常工作任务而发生的人员支出和公用支出。</w:t>
      </w:r>
    </w:p>
    <w:p>
      <w:pPr>
        <w:pStyle w:val="5"/>
        <w:spacing w:before="3" w:line="340" w:lineRule="auto"/>
        <w:ind w:left="122" w:right="235" w:firstLine="640"/>
      </w:pPr>
      <w:r>
        <w:t>（十）项目支出：指在基本支出之外为完成特定行政任务和事业发展目标所发生的支出。</w:t>
      </w:r>
    </w:p>
    <w:p>
      <w:pPr>
        <w:spacing w:after="0" w:line="340" w:lineRule="auto"/>
        <w:sectPr>
          <w:pgSz w:w="11910" w:h="16840"/>
          <w:pgMar w:top="1540" w:right="1520" w:bottom="880" w:left="1680" w:header="0" w:footer="695" w:gutter="0"/>
          <w:cols w:space="720" w:num="1"/>
        </w:sectPr>
      </w:pPr>
    </w:p>
    <w:p>
      <w:pPr>
        <w:pStyle w:val="5"/>
        <w:spacing w:before="46" w:line="338" w:lineRule="auto"/>
        <w:ind w:left="122" w:right="121" w:firstLine="640"/>
      </w:pPr>
      <w:r>
        <w:t>（十一）</w:t>
      </w:r>
      <w:r>
        <w:rPr>
          <w:rFonts w:ascii="Times New Roman" w:hAnsi="Times New Roman" w:eastAsia="Times New Roman"/>
        </w:rPr>
        <w:t>“</w:t>
      </w:r>
      <w:r>
        <w:t>三公</w:t>
      </w:r>
      <w:r>
        <w:rPr>
          <w:rFonts w:ascii="Times New Roman" w:hAnsi="Times New Roman" w:eastAsia="Times New Roman"/>
        </w:rPr>
        <w:t>”</w:t>
      </w:r>
      <w:r>
        <w:rPr>
          <w:spacing w:val="-11"/>
        </w:rPr>
        <w:t>经费：纳入单位预算管理的</w:t>
      </w:r>
      <w:r>
        <w:rPr>
          <w:rFonts w:ascii="Times New Roman" w:hAnsi="Times New Roman" w:eastAsia="Times New Roman"/>
        </w:rPr>
        <w:t>“</w:t>
      </w:r>
      <w:r>
        <w:t>三公</w:t>
      </w:r>
      <w:r>
        <w:rPr>
          <w:rFonts w:ascii="Times New Roman" w:hAnsi="Times New Roman" w:eastAsia="Times New Roman"/>
        </w:rPr>
        <w:t>”</w:t>
      </w:r>
      <w:r>
        <w:t xml:space="preserve">经费， </w:t>
      </w:r>
      <w:r>
        <w:rPr>
          <w:spacing w:val="-1"/>
        </w:rPr>
        <w:t>是指单位用财政拨款安排的因公出国</w:t>
      </w:r>
      <w:r>
        <w:t>（境</w:t>
      </w:r>
      <w:r>
        <w:rPr>
          <w:spacing w:val="-7"/>
        </w:rPr>
        <w:t>）</w:t>
      </w:r>
      <w:r>
        <w:rPr>
          <w:spacing w:val="-2"/>
        </w:rPr>
        <w:t>费、公务用车购</w:t>
      </w:r>
      <w:r>
        <w:rPr>
          <w:spacing w:val="-5"/>
        </w:rPr>
        <w:t>置及运行费和公务接待费。其中，因公出国</w:t>
      </w:r>
      <w:r>
        <w:t>（境</w:t>
      </w:r>
      <w:r>
        <w:rPr>
          <w:spacing w:val="-5"/>
        </w:rPr>
        <w:t>）</w:t>
      </w:r>
      <w:r>
        <w:t>费反映单</w:t>
      </w:r>
      <w:r>
        <w:rPr>
          <w:spacing w:val="-9"/>
          <w:w w:val="95"/>
        </w:rPr>
        <w:t>位公务出国</w:t>
      </w:r>
      <w:r>
        <w:rPr>
          <w:w w:val="95"/>
        </w:rPr>
        <w:t>（境</w:t>
      </w:r>
      <w:r>
        <w:rPr>
          <w:spacing w:val="-46"/>
          <w:w w:val="95"/>
        </w:rPr>
        <w:t>）</w:t>
      </w:r>
      <w:r>
        <w:rPr>
          <w:spacing w:val="-10"/>
          <w:w w:val="95"/>
        </w:rPr>
        <w:t xml:space="preserve">的国际旅费、国外城市间交通费、住宿费、 </w:t>
      </w:r>
      <w:r>
        <w:rPr>
          <w:spacing w:val="-7"/>
        </w:rPr>
        <w:t>伙食费、培训费、公杂费等支出；公务用车购置及运行费反映单位公务用车车辆购置支出（含车辆购置税）及租用费、</w:t>
      </w:r>
      <w:r>
        <w:rPr>
          <w:spacing w:val="-5"/>
        </w:rPr>
        <w:t>燃料费、维修费、过路过桥费、保险费等支出；公务接待费反映单位按规定开支的各类公务接待（含外宾接待）支出。</w:t>
      </w:r>
    </w:p>
    <w:p>
      <w:pPr>
        <w:pStyle w:val="5"/>
        <w:spacing w:before="17" w:line="338" w:lineRule="auto"/>
        <w:ind w:left="122" w:right="121" w:firstLine="640"/>
      </w:pPr>
      <w:r>
        <w:t>（十二）</w:t>
      </w:r>
      <w:r>
        <w:rPr>
          <w:spacing w:val="-3"/>
        </w:rPr>
        <w:t>机关运行经费：为保障行政单位</w:t>
      </w:r>
      <w:r>
        <w:t>（包括参照公务员法管理的事业单位</w:t>
      </w:r>
      <w:r>
        <w:rPr>
          <w:spacing w:val="-19"/>
        </w:rPr>
        <w:t>）</w:t>
      </w:r>
      <w:r>
        <w:t>运行用于购买货物和服务的各项资</w:t>
      </w:r>
      <w:r>
        <w:rPr>
          <w:spacing w:val="-14"/>
          <w:w w:val="95"/>
        </w:rPr>
        <w:t xml:space="preserve">金，包括办公及印刷费、邮电费、差旅费、会议费、培训费、 </w:t>
      </w:r>
      <w:r>
        <w:rPr>
          <w:spacing w:val="-7"/>
        </w:rPr>
        <w:t>福利费、日常维修费、专用材料及一般设备购置费、办公用</w:t>
      </w:r>
      <w:r>
        <w:rPr>
          <w:spacing w:val="-6"/>
        </w:rPr>
        <w:t>房水电费、办公用房取暖费、办公用房物业管理费、公务用车运行维护费以及其他费用。</w:t>
      </w:r>
    </w:p>
    <w:p/>
    <w:sectPr>
      <w:pgSz w:w="11910" w:h="16840"/>
      <w:pgMar w:top="1520" w:right="1520" w:bottom="880" w:left="1680" w:header="0" w:footer="6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3528695</wp:posOffset>
              </wp:positionH>
              <wp:positionV relativeFrom="page">
                <wp:posOffset>10111105</wp:posOffset>
              </wp:positionV>
              <wp:extent cx="501650" cy="2159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01650" cy="215900"/>
                      </a:xfrm>
                      <a:prstGeom prst="rect">
                        <a:avLst/>
                      </a:prstGeom>
                      <a:noFill/>
                      <a:ln>
                        <a:noFill/>
                      </a:ln>
                    </wps:spPr>
                    <wps:txbx>
                      <w:txbxContent>
                        <w:p>
                          <w:pPr>
                            <w:spacing w:before="0" w:line="340"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8</w:t>
                          </w:r>
                          <w:r>
                            <w:fldChar w:fldCharType="end"/>
                          </w:r>
                          <w:r>
                            <w:rPr>
                              <w:sz w:val="30"/>
                            </w:rPr>
                            <w:t xml:space="preserve"> -</w:t>
                          </w:r>
                        </w:p>
                      </w:txbxContent>
                    </wps:txbx>
                    <wps:bodyPr lIns="0" tIns="0" rIns="0" bIns="0" upright="1"/>
                  </wps:wsp>
                </a:graphicData>
              </a:graphic>
            </wp:anchor>
          </w:drawing>
        </mc:Choice>
        <mc:Fallback>
          <w:pict>
            <v:shape id="文本框 1025" o:spid="_x0000_s1026" o:spt="202" type="#_x0000_t202" style="position:absolute;left:0pt;margin-left:277.85pt;margin-top:796.15pt;height:17pt;width:39.5pt;mso-position-horizontal-relative:page;mso-position-vertical-relative:page;z-index:-251656192;mso-width-relative:page;mso-height-relative:page;" filled="f" stroked="f" coordsize="21600,21600" o:gfxdata="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Elq7O2wAAAA0BAAAPAAAAAAAAAAEAIAAAACIAAABkcnMvZG93bnJldi54bWxQ&#10;SwECFAAUAAAACACHTuJABZ6pLLsBAAB0AwAADgAAAAAAAAABACAAAAAqAQAAZHJzL2Uyb0RvYy54&#10;bWxQSwUGAAAAAAYABgBZAQAAVwUAAAAA&#10;">
              <v:fill on="f" focussize="0,0"/>
              <v:stroke on="f"/>
              <v:imagedata o:title=""/>
              <o:lock v:ext="edit" aspectratio="f"/>
              <v:textbox inset="0mm,0mm,0mm,0mm">
                <w:txbxContent>
                  <w:p>
                    <w:pPr>
                      <w:spacing w:before="0" w:line="340"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8</w:t>
                    </w:r>
                    <w:r>
                      <w:fldChar w:fldCharType="end"/>
                    </w:r>
                    <w:r>
                      <w:rPr>
                        <w:sz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3481705</wp:posOffset>
              </wp:positionH>
              <wp:positionV relativeFrom="page">
                <wp:posOffset>10111105</wp:posOffset>
              </wp:positionV>
              <wp:extent cx="596265" cy="2159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596265" cy="215900"/>
                      </a:xfrm>
                      <a:prstGeom prst="rect">
                        <a:avLst/>
                      </a:prstGeom>
                      <a:noFill/>
                      <a:ln>
                        <a:noFill/>
                      </a:ln>
                    </wps:spPr>
                    <wps:txbx>
                      <w:txbxContent>
                        <w:p>
                          <w:pPr>
                            <w:spacing w:before="0" w:line="340"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10</w:t>
                          </w:r>
                          <w:r>
                            <w:fldChar w:fldCharType="end"/>
                          </w:r>
                          <w:r>
                            <w:rPr>
                              <w:sz w:val="30"/>
                            </w:rPr>
                            <w:t xml:space="preserve"> -</w:t>
                          </w:r>
                        </w:p>
                      </w:txbxContent>
                    </wps:txbx>
                    <wps:bodyPr lIns="0" tIns="0" rIns="0" bIns="0" upright="1"/>
                  </wps:wsp>
                </a:graphicData>
              </a:graphic>
            </wp:anchor>
          </w:drawing>
        </mc:Choice>
        <mc:Fallback>
          <w:pict>
            <v:shape id="文本框 1026" o:spid="_x0000_s1026" o:spt="202" type="#_x0000_t202" style="position:absolute;left:0pt;margin-left:274.15pt;margin-top:796.15pt;height:17pt;width:46.95pt;mso-position-horizontal-relative:page;mso-position-vertical-relative:page;z-index:-251655168;mso-width-relative:page;mso-height-relative:page;" filled="f" stroked="f" coordsize="21600,21600" o:gfxdata="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WjiFfbAAAADQEAAA8AAAAAAAAAAQAgAAAAIgAAAGRycy9kb3ducmV2Lnht&#10;bFBLAQIUABQAAAAIAIdO4kCZfr/PvQEAAHQDAAAOAAAAAAAAAAEAIAAAACoBAABkcnMvZTJvRG9j&#10;LnhtbFBLBQYAAAAABgAGAFkBAABZBQAAAAA=&#10;">
              <v:fill on="f" focussize="0,0"/>
              <v:stroke on="f"/>
              <v:imagedata o:title=""/>
              <o:lock v:ext="edit" aspectratio="f"/>
              <v:textbox inset="0mm,0mm,0mm,0mm">
                <w:txbxContent>
                  <w:p>
                    <w:pPr>
                      <w:spacing w:before="0" w:line="340"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10</w:t>
                    </w:r>
                    <w:r>
                      <w:fldChar w:fldCharType="end"/>
                    </w:r>
                    <w:r>
                      <w:rPr>
                        <w:sz w:val="3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3481705</wp:posOffset>
              </wp:positionH>
              <wp:positionV relativeFrom="page">
                <wp:posOffset>10111105</wp:posOffset>
              </wp:positionV>
              <wp:extent cx="596265" cy="2159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596265" cy="215900"/>
                      </a:xfrm>
                      <a:prstGeom prst="rect">
                        <a:avLst/>
                      </a:prstGeom>
                      <a:noFill/>
                      <a:ln>
                        <a:noFill/>
                      </a:ln>
                    </wps:spPr>
                    <wps:txbx>
                      <w:txbxContent>
                        <w:p>
                          <w:pPr>
                            <w:spacing w:before="0" w:line="340"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10</w:t>
                          </w:r>
                          <w:r>
                            <w:fldChar w:fldCharType="end"/>
                          </w:r>
                          <w:r>
                            <w:rPr>
                              <w:sz w:val="30"/>
                            </w:rPr>
                            <w:t xml:space="preserve"> -</w:t>
                          </w:r>
                        </w:p>
                      </w:txbxContent>
                    </wps:txbx>
                    <wps:bodyPr lIns="0" tIns="0" rIns="0" bIns="0" upright="1"/>
                  </wps:wsp>
                </a:graphicData>
              </a:graphic>
            </wp:anchor>
          </w:drawing>
        </mc:Choice>
        <mc:Fallback>
          <w:pict>
            <v:shape id="文本框 1029" o:spid="_x0000_s1026" o:spt="202" type="#_x0000_t202" style="position:absolute;left:0pt;margin-left:274.15pt;margin-top:796.15pt;height:17pt;width:46.95pt;mso-position-horizontal-relative:page;mso-position-vertical-relative:page;z-index:-251653120;mso-width-relative:page;mso-height-relative:page;" filled="f" stroked="f" coordsize="21600,21600" o:gfxdata="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1o4hX2wAAAA0BAAAPAAAAAAAAAAEAIAAAACIAAABkcnMvZG93bnJldi54&#10;bWxQSwECFAAUAAAACACHTuJACIzdfb4BAAB0AwAADgAAAAAAAAABACAAAAAqAQAAZHJzL2Uyb0Rv&#10;Yy54bWxQSwUGAAAAAAYABgBZAQAAWgUAAAAA&#10;">
              <v:fill on="f" focussize="0,0"/>
              <v:stroke on="f"/>
              <v:imagedata o:title=""/>
              <o:lock v:ext="edit" aspectratio="f"/>
              <v:textbox inset="0mm,0mm,0mm,0mm">
                <w:txbxContent>
                  <w:p>
                    <w:pPr>
                      <w:spacing w:before="0" w:line="340"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10</w:t>
                    </w:r>
                    <w:r>
                      <w:fldChar w:fldCharType="end"/>
                    </w:r>
                    <w:r>
                      <w:rPr>
                        <w:sz w:val="3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3481705</wp:posOffset>
              </wp:positionH>
              <wp:positionV relativeFrom="page">
                <wp:posOffset>10111105</wp:posOffset>
              </wp:positionV>
              <wp:extent cx="596265" cy="2159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596265" cy="215900"/>
                      </a:xfrm>
                      <a:prstGeom prst="rect">
                        <a:avLst/>
                      </a:prstGeom>
                      <a:noFill/>
                      <a:ln>
                        <a:noFill/>
                      </a:ln>
                    </wps:spPr>
                    <wps:txbx>
                      <w:txbxContent>
                        <w:p>
                          <w:pPr>
                            <w:spacing w:before="0" w:line="340"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21</w:t>
                          </w:r>
                          <w:r>
                            <w:fldChar w:fldCharType="end"/>
                          </w:r>
                          <w:r>
                            <w:rPr>
                              <w:sz w:val="30"/>
                            </w:rPr>
                            <w:t xml:space="preserve"> -</w:t>
                          </w:r>
                        </w:p>
                      </w:txbxContent>
                    </wps:txbx>
                    <wps:bodyPr lIns="0" tIns="0" rIns="0" bIns="0" upright="1"/>
                  </wps:wsp>
                </a:graphicData>
              </a:graphic>
            </wp:anchor>
          </w:drawing>
        </mc:Choice>
        <mc:Fallback>
          <w:pict>
            <v:shape id="文本框 1027" o:spid="_x0000_s1026" o:spt="202" type="#_x0000_t202" style="position:absolute;left:0pt;margin-left:274.15pt;margin-top:796.15pt;height:17pt;width:46.95pt;mso-position-horizontal-relative:page;mso-position-vertical-relative:page;z-index:-251654144;mso-width-relative:page;mso-height-relative:page;" filled="f" stroked="f" coordsize="21600,21600" o:gfxdata="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WjiFfbAAAADQEAAA8AAAAAAAAAAQAgAAAAIgAAAGRycy9kb3ducmV2Lnht&#10;bFBLAQIUABQAAAAIAIdO4kAEl2x9vQEAAHQDAAAOAAAAAAAAAAEAIAAAACoBAABkcnMvZTJvRG9j&#10;LnhtbFBLBQYAAAAABgAGAFkBAABZBQAAAAA=&#10;">
              <v:fill on="f" focussize="0,0"/>
              <v:stroke on="f"/>
              <v:imagedata o:title=""/>
              <o:lock v:ext="edit" aspectratio="f"/>
              <v:textbox inset="0mm,0mm,0mm,0mm">
                <w:txbxContent>
                  <w:p>
                    <w:pPr>
                      <w:spacing w:before="0" w:line="340"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21</w:t>
                    </w:r>
                    <w:r>
                      <w:fldChar w:fldCharType="end"/>
                    </w:r>
                    <w:r>
                      <w:rPr>
                        <w:sz w:val="3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DE2F8"/>
    <w:multiLevelType w:val="singleLevel"/>
    <w:tmpl w:val="129DE2F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ZmM0NTRiYzQyZDA3YjgwYzdmYTA3OGI5YTUwNjQifQ=="/>
  </w:docVars>
  <w:rsids>
    <w:rsidRoot w:val="00172A27"/>
    <w:rsid w:val="32F52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line="871" w:lineRule="exact"/>
      <w:ind w:right="57"/>
      <w:jc w:val="center"/>
      <w:outlineLvl w:val="1"/>
    </w:pPr>
    <w:rPr>
      <w:rFonts w:ascii="方正小标宋简体" w:hAnsi="方正小标宋简体" w:eastAsia="方正小标宋简体" w:cs="方正小标宋简体"/>
      <w:sz w:val="52"/>
      <w:szCs w:val="52"/>
      <w:lang w:val="zh-CN" w:eastAsia="zh-CN" w:bidi="zh-CN"/>
    </w:rPr>
  </w:style>
  <w:style w:type="paragraph" w:styleId="4">
    <w:name w:val="heading 2"/>
    <w:basedOn w:val="1"/>
    <w:next w:val="1"/>
    <w:qFormat/>
    <w:uiPriority w:val="1"/>
    <w:pPr>
      <w:ind w:left="760"/>
      <w:outlineLvl w:val="2"/>
    </w:pPr>
    <w:rPr>
      <w:rFonts w:ascii="Microsoft JhengHei" w:hAnsi="Microsoft JhengHei" w:eastAsia="Microsoft JhengHei" w:cs="Microsoft JhengHei"/>
      <w:b/>
      <w:bCs/>
      <w:sz w:val="32"/>
      <w:szCs w:val="32"/>
      <w:lang w:val="zh-CN" w:eastAsia="zh-CN" w:bidi="zh-C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ind w:firstLine="640" w:firstLineChars="200"/>
    </w:pPr>
  </w:style>
  <w:style w:type="paragraph" w:styleId="5">
    <w:name w:val="Body Text"/>
    <w:basedOn w:val="1"/>
    <w:qFormat/>
    <w:uiPriority w:val="1"/>
    <w:rPr>
      <w:rFonts w:ascii="宋体" w:hAnsi="宋体" w:eastAsia="宋体" w:cs="宋体"/>
      <w:sz w:val="32"/>
      <w:szCs w:val="32"/>
      <w:lang w:val="zh-CN" w:eastAsia="zh-CN" w:bidi="zh-CN"/>
    </w:rPr>
  </w:style>
  <w:style w:type="paragraph" w:customStyle="1" w:styleId="8">
    <w:name w:val="Table Paragraph"/>
    <w:basedOn w:val="1"/>
    <w:qFormat/>
    <w:uiPriority w:val="1"/>
    <w:rPr>
      <w:rFonts w:ascii="Times New Roman" w:hAnsi="Times New Roman" w:eastAsia="Times New Roman" w:cs="Times New Roman"/>
      <w:lang w:val="zh-CN" w:eastAsia="zh-CN" w:bidi="zh-CN"/>
    </w:rPr>
  </w:style>
  <w:style w:type="paragraph" w:styleId="9">
    <w:name w:val="List Paragraph"/>
    <w:basedOn w:val="1"/>
    <w:qFormat/>
    <w:uiPriority w:val="1"/>
    <w:pPr>
      <w:ind w:left="120" w:firstLine="640"/>
      <w:jc w:val="both"/>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3.emf"/><Relationship Id="rId35" Type="http://schemas.openxmlformats.org/officeDocument/2006/relationships/oleObject" Target="embeddings/oleObject13.bin"/><Relationship Id="rId34" Type="http://schemas.openxmlformats.org/officeDocument/2006/relationships/image" Target="media/image12.emf"/><Relationship Id="rId33" Type="http://schemas.openxmlformats.org/officeDocument/2006/relationships/oleObject" Target="embeddings/oleObject12.bin"/><Relationship Id="rId32" Type="http://schemas.openxmlformats.org/officeDocument/2006/relationships/image" Target="media/image11.emf"/><Relationship Id="rId31" Type="http://schemas.openxmlformats.org/officeDocument/2006/relationships/oleObject" Target="embeddings/oleObject11.bin"/><Relationship Id="rId30" Type="http://schemas.openxmlformats.org/officeDocument/2006/relationships/image" Target="media/image10.emf"/><Relationship Id="rId3" Type="http://schemas.openxmlformats.org/officeDocument/2006/relationships/footnotes" Target="footnotes.xml"/><Relationship Id="rId29" Type="http://schemas.openxmlformats.org/officeDocument/2006/relationships/oleObject" Target="embeddings/oleObject10.bin"/><Relationship Id="rId28" Type="http://schemas.openxmlformats.org/officeDocument/2006/relationships/image" Target="media/image9.emf"/><Relationship Id="rId27" Type="http://schemas.openxmlformats.org/officeDocument/2006/relationships/oleObject" Target="embeddings/oleObject9.bin"/><Relationship Id="rId26" Type="http://schemas.openxmlformats.org/officeDocument/2006/relationships/image" Target="media/image8.emf"/><Relationship Id="rId25" Type="http://schemas.openxmlformats.org/officeDocument/2006/relationships/oleObject" Target="embeddings/oleObject8.bin"/><Relationship Id="rId24" Type="http://schemas.openxmlformats.org/officeDocument/2006/relationships/image" Target="media/image7.emf"/><Relationship Id="rId23" Type="http://schemas.openxmlformats.org/officeDocument/2006/relationships/oleObject" Target="embeddings/oleObject7.bin"/><Relationship Id="rId22" Type="http://schemas.openxmlformats.org/officeDocument/2006/relationships/image" Target="media/image6.emf"/><Relationship Id="rId21" Type="http://schemas.openxmlformats.org/officeDocument/2006/relationships/oleObject" Target="embeddings/oleObject6.bin"/><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emf"/><Relationship Id="rId17" Type="http://schemas.openxmlformats.org/officeDocument/2006/relationships/oleObject" Target="embeddings/oleObject4.bin"/><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2022-07-25T01:42:00Z</dcterms:created>
  <dc:creator>Administrator</dc:creator>
  <cp:lastModifiedBy>Administrator</cp:lastModifiedBy>
  <dcterms:modified xsi:type="dcterms:W3CDTF">2022-07-25T02:37:44Z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0C16277C7AC540ECBFEE720C7B3CEFAA</vt:lpwstr>
  </property>
</Properties>
</file>