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Default Extension="png" ContentType="image/pn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290" w:right="336" w:firstLine="0"/>
        <w:jc w:val="center"/>
        <w:rPr>
          <w:b/>
          <w:sz w:val="52"/>
        </w:rPr>
      </w:pPr>
      <w:r>
        <w:rPr>
          <w:b/>
          <w:w w:val="95"/>
          <w:sz w:val="52"/>
        </w:rPr>
        <w:t>建设项目环境影响报告表</w:t>
      </w:r>
    </w:p>
    <w:p>
      <w:pPr>
        <w:spacing w:before="338"/>
        <w:ind w:left="290" w:right="286"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tabs>
          <w:tab w:pos="8152" w:val="left" w:leader="none"/>
        </w:tabs>
        <w:spacing w:before="0"/>
        <w:ind w:left="1082" w:right="0" w:firstLine="0"/>
        <w:jc w:val="left"/>
        <w:rPr>
          <w:b/>
          <w:sz w:val="32"/>
        </w:rPr>
      </w:pPr>
      <w:r>
        <w:rPr>
          <w:b/>
          <w:w w:val="95"/>
          <w:sz w:val="32"/>
        </w:rPr>
        <w:t>项目名称</w:t>
      </w:r>
      <w:r>
        <w:rPr>
          <w:b/>
          <w:spacing w:val="3"/>
          <w:w w:val="95"/>
          <w:sz w:val="32"/>
        </w:rPr>
        <w:t>：</w:t>
      </w:r>
      <w:r>
        <w:rPr>
          <w:b/>
          <w:w w:val="95"/>
          <w:sz w:val="32"/>
          <w:u w:val="single"/>
        </w:rPr>
        <w:t>橄榄大道至牛山寺端部道路降坡工程</w:t>
      </w:r>
      <w:r>
        <w:rPr>
          <w:b/>
          <w:sz w:val="32"/>
          <w:u w:val="single"/>
        </w:rPr>
        <w:tab/>
      </w:r>
    </w:p>
    <w:p>
      <w:pPr>
        <w:pStyle w:val="BodyText"/>
        <w:rPr>
          <w:b/>
          <w:sz w:val="20"/>
        </w:rPr>
      </w:pPr>
    </w:p>
    <w:p>
      <w:pPr>
        <w:pStyle w:val="BodyText"/>
        <w:spacing w:before="4"/>
        <w:rPr>
          <w:b/>
          <w:sz w:val="25"/>
        </w:rPr>
      </w:pPr>
    </w:p>
    <w:p>
      <w:pPr>
        <w:tabs>
          <w:tab w:pos="3867" w:val="left" w:leader="none"/>
          <w:tab w:pos="8433" w:val="left" w:leader="none"/>
        </w:tabs>
        <w:spacing w:before="10"/>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28"/>
        </w:rPr>
      </w:pPr>
    </w:p>
    <w:p>
      <w:pPr>
        <w:spacing w:line="336" w:lineRule="auto" w:before="11"/>
        <w:ind w:left="2509" w:right="2507"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4"/>
        <w:ind w:left="290" w:right="286"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Heading2"/>
        <w:spacing w:line="362" w:lineRule="exact" w:before="31" w:after="12"/>
        <w:ind w:left="2969" w:right="861" w:hanging="2108"/>
      </w:pPr>
      <w:r>
        <w:rPr/>
        <w:t>《橄榄大道至牛山寺端部道路降坡工程环境影响报告表》</w:t>
      </w:r>
      <w:r>
        <w:rPr>
          <w:w w:val="95"/>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19"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7"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312" w:lineRule="exact" w:before="146"/>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4" w:lineRule="exact"/>
              <w:ind w:left="112" w:firstLine="16"/>
              <w:jc w:val="both"/>
              <w:rPr>
                <w:sz w:val="24"/>
              </w:rPr>
            </w:pPr>
            <w:r>
              <w:rPr>
                <w:sz w:val="24"/>
              </w:rPr>
              <w:t>已完善项目建设内容和项目组成表</w:t>
            </w:r>
          </w:p>
          <w:p>
            <w:pPr>
              <w:pStyle w:val="TableParagraph"/>
              <w:spacing w:line="232" w:lineRule="auto" w:before="6"/>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77"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3" w:lineRule="exact"/>
              <w:ind w:left="109" w:right="112"/>
              <w:rPr>
                <w:sz w:val="24"/>
              </w:rPr>
            </w:pPr>
            <w:r>
              <w:rPr>
                <w:sz w:val="24"/>
              </w:rPr>
              <w:t>已调查和回顾项目施工期的环境影</w:t>
            </w:r>
          </w:p>
          <w:p>
            <w:pPr>
              <w:pStyle w:val="TableParagraph"/>
              <w:spacing w:line="237" w:lineRule="auto" w:before="1"/>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4" w:lineRule="exact"/>
              <w:ind w:left="115"/>
              <w:jc w:val="both"/>
              <w:rPr>
                <w:sz w:val="24"/>
              </w:rPr>
            </w:pPr>
            <w:r>
              <w:rPr>
                <w:sz w:val="24"/>
              </w:rPr>
              <w:t>从两个项目建设的时间、方位、距</w:t>
            </w:r>
          </w:p>
          <w:p>
            <w:pPr>
              <w:pStyle w:val="TableParagraph"/>
              <w:spacing w:line="237" w:lineRule="auto"/>
              <w:ind w:left="115" w:right="113"/>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6"/>
              <w:jc w:val="left"/>
              <w:rPr>
                <w:b/>
                <w:sz w:val="30"/>
              </w:rPr>
            </w:pPr>
          </w:p>
          <w:p>
            <w:pPr>
              <w:pStyle w:val="TableParagraph"/>
              <w:spacing w:line="312" w:lineRule="exact" w:before="1"/>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4" w:lineRule="exact"/>
              <w:ind w:left="95" w:right="95"/>
              <w:rPr>
                <w:sz w:val="24"/>
              </w:rPr>
            </w:pPr>
            <w:r>
              <w:rPr>
                <w:sz w:val="24"/>
              </w:rPr>
              <w:t>强化项目施工期污染物排放及治理</w:t>
            </w:r>
          </w:p>
          <w:p>
            <w:pPr>
              <w:pStyle w:val="TableParagraph"/>
              <w:spacing w:line="312" w:lineRule="exact" w:before="28"/>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4" w:lineRule="exact"/>
              <w:ind w:left="129"/>
              <w:jc w:val="both"/>
              <w:rPr>
                <w:sz w:val="24"/>
              </w:rPr>
            </w:pPr>
            <w:r>
              <w:rPr>
                <w:sz w:val="24"/>
              </w:rPr>
              <w:t>已强化项目施工期污染物排放及治</w:t>
            </w:r>
          </w:p>
          <w:p>
            <w:pPr>
              <w:pStyle w:val="TableParagraph"/>
              <w:spacing w:line="312" w:lineRule="exact" w:before="28"/>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3" w:lineRule="exact"/>
              <w:ind w:left="95" w:right="95"/>
              <w:rPr>
                <w:sz w:val="24"/>
              </w:rPr>
            </w:pPr>
            <w:r>
              <w:rPr>
                <w:sz w:val="24"/>
              </w:rPr>
              <w:t>校核声环境质量标准，细化噪声控</w:t>
            </w:r>
          </w:p>
          <w:p>
            <w:pPr>
              <w:pStyle w:val="TableParagraph"/>
              <w:spacing w:line="312" w:lineRule="exact" w:before="29"/>
              <w:ind w:left="96" w:right="95"/>
              <w:rPr>
                <w:sz w:val="24"/>
              </w:rPr>
            </w:pPr>
            <w:r>
              <w:rPr>
                <w:sz w:val="24"/>
              </w:rPr>
              <w:t>制措施，校核噪声影响预测结果，结合项目外环境敏感目标完善声环境影响分析。</w:t>
            </w:r>
          </w:p>
        </w:tc>
        <w:tc>
          <w:tcPr>
            <w:tcW w:w="3874" w:type="dxa"/>
          </w:tcPr>
          <w:p>
            <w:pPr>
              <w:pStyle w:val="TableParagraph"/>
              <w:spacing w:line="273" w:lineRule="exact"/>
              <w:ind w:left="107" w:right="113"/>
              <w:rPr>
                <w:sz w:val="24"/>
              </w:rPr>
            </w:pPr>
            <w:r>
              <w:rPr>
                <w:sz w:val="24"/>
              </w:rPr>
              <w:t>已校核声环境质量标准，细化噪声</w:t>
            </w:r>
          </w:p>
          <w:p>
            <w:pPr>
              <w:pStyle w:val="TableParagraph"/>
              <w:spacing w:line="312" w:lineRule="exact" w:before="29"/>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P42~49</w:t>
            </w:r>
          </w:p>
        </w:tc>
      </w:tr>
      <w:tr>
        <w:trPr>
          <w:trHeight w:val="1256" w:hRule="exact"/>
        </w:trPr>
        <w:tc>
          <w:tcPr>
            <w:tcW w:w="816" w:type="dxa"/>
          </w:tcPr>
          <w:p>
            <w:pPr>
              <w:pStyle w:val="TableParagraph"/>
              <w:spacing w:before="11"/>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3" w:lineRule="exact"/>
              <w:ind w:left="95" w:right="95"/>
              <w:rPr>
                <w:sz w:val="24"/>
              </w:rPr>
            </w:pPr>
            <w:r>
              <w:rPr>
                <w:sz w:val="24"/>
              </w:rPr>
              <w:t>校核项目主要污染物产生及预计排</w:t>
            </w:r>
          </w:p>
          <w:p>
            <w:pPr>
              <w:pStyle w:val="TableParagraph"/>
              <w:spacing w:line="237" w:lineRule="auto" w:before="1"/>
              <w:ind w:left="97" w:right="95"/>
              <w:rPr>
                <w:sz w:val="24"/>
              </w:rPr>
            </w:pPr>
            <w:r>
              <w:rPr>
                <w:sz w:val="24"/>
              </w:rPr>
              <w:t>放情况表及环保投资估算一览表内容，细化环境风险事故及防范措施分析。 </w:t>
            </w:r>
          </w:p>
        </w:tc>
        <w:tc>
          <w:tcPr>
            <w:tcW w:w="3874" w:type="dxa"/>
          </w:tcPr>
          <w:p>
            <w:pPr>
              <w:pStyle w:val="TableParagraph"/>
              <w:spacing w:line="273" w:lineRule="exact"/>
              <w:ind w:left="109" w:right="112"/>
              <w:rPr>
                <w:sz w:val="24"/>
              </w:rPr>
            </w:pPr>
            <w:r>
              <w:rPr>
                <w:sz w:val="24"/>
              </w:rPr>
              <w:t>已校核项目主要污染物产生及预计</w:t>
            </w:r>
          </w:p>
          <w:p>
            <w:pPr>
              <w:pStyle w:val="TableParagraph"/>
              <w:spacing w:line="237" w:lineRule="auto" w:before="1"/>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49~50</w:t>
            </w:r>
          </w:p>
        </w:tc>
      </w:tr>
      <w:tr>
        <w:trPr>
          <w:trHeight w:val="634" w:hRule="exact"/>
        </w:trPr>
        <w:tc>
          <w:tcPr>
            <w:tcW w:w="816" w:type="dxa"/>
          </w:tcPr>
          <w:p>
            <w:pPr>
              <w:pStyle w:val="TableParagraph"/>
              <w:spacing w:before="172"/>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3" w:lineRule="exact"/>
              <w:ind w:left="109" w:right="111"/>
              <w:rPr>
                <w:sz w:val="24"/>
              </w:rPr>
            </w:pPr>
            <w:r>
              <w:rPr>
                <w:sz w:val="24"/>
              </w:rPr>
              <w:t>已校核文本，完善附件，见全文及</w:t>
            </w:r>
          </w:p>
          <w:p>
            <w:pPr>
              <w:pStyle w:val="TableParagraph"/>
              <w:spacing w:line="313" w:lineRule="exact"/>
              <w:ind w:left="109" w:right="112"/>
              <w:rPr>
                <w:sz w:val="24"/>
              </w:rPr>
            </w:pPr>
            <w:r>
              <w:rPr>
                <w:sz w:val="24"/>
              </w:rPr>
              <w:t>附件</w:t>
            </w:r>
          </w:p>
        </w:tc>
      </w:tr>
    </w:tbl>
    <w:p>
      <w:pPr>
        <w:spacing w:after="0" w:line="313" w:lineRule="exact"/>
        <w:rPr>
          <w:sz w:val="24"/>
        </w:rPr>
        <w:sectPr>
          <w:pgSz w:w="11910" w:h="16850"/>
          <w:pgMar w:top="14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4"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74" w:lineRule="exact"/>
              <w:ind w:left="1596"/>
              <w:jc w:val="left"/>
              <w:rPr>
                <w:sz w:val="24"/>
              </w:rPr>
            </w:pPr>
            <w:r>
              <w:rPr>
                <w:sz w:val="24"/>
              </w:rPr>
              <w:t>橄榄大道至牛山寺端部道路降坡工程</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96" w:right="979"/>
              <w:rPr>
                <w:sz w:val="24"/>
              </w:rPr>
            </w:pPr>
            <w:r>
              <w:rPr>
                <w:sz w:val="24"/>
              </w:rPr>
              <w:t>张洋 </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56"/>
              <w:jc w:val="left"/>
              <w:rPr>
                <w:sz w:val="24"/>
              </w:rPr>
            </w:pPr>
            <w:r>
              <w:rPr>
                <w:sz w:val="24"/>
              </w:rPr>
              <w:t>开发行审［</w:t>
            </w:r>
            <w:r>
              <w:rPr>
                <w:rFonts w:ascii="Times New Roman" w:eastAsia="Times New Roman"/>
                <w:sz w:val="24"/>
              </w:rPr>
              <w:t>2016</w:t>
            </w:r>
            <w:r>
              <w:rPr>
                <w:sz w:val="24"/>
              </w:rPr>
              <w:t>］</w:t>
            </w:r>
            <w:r>
              <w:rPr>
                <w:rFonts w:ascii="Times New Roman" w:eastAsia="Times New Roman"/>
                <w:sz w:val="24"/>
              </w:rPr>
              <w:t>06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16"/>
              <w:ind w:right="1"/>
              <w:rPr>
                <w:sz w:val="24"/>
              </w:rPr>
            </w:pPr>
            <w:r>
              <w:rPr>
                <w:sz w:val="24"/>
              </w:rPr>
              <w:t>—</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105" w:right="106"/>
              <w:rPr>
                <w:rFonts w:ascii="Times New Roman"/>
                <w:sz w:val="24"/>
              </w:rPr>
            </w:pPr>
            <w:r>
              <w:rPr>
                <w:rFonts w:ascii="Times New Roman"/>
                <w:sz w:val="24"/>
              </w:rPr>
              <w:t>580.1572</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30</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14" w:right="615"/>
              <w:rPr>
                <w:rFonts w:ascii="Times New Roman"/>
                <w:sz w:val="24"/>
              </w:rPr>
            </w:pPr>
            <w:r>
              <w:rPr>
                <w:rFonts w:ascii="Times New Roman"/>
                <w:sz w:val="24"/>
              </w:rPr>
              <w:t>0.98</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15" w:right="1415"/>
              <w:rPr>
                <w:sz w:val="24"/>
              </w:rPr>
            </w:pPr>
            <w:r>
              <w:rPr>
                <w:rFonts w:ascii="Times New Roman" w:eastAsia="Times New Roman"/>
                <w:sz w:val="24"/>
              </w:rPr>
              <w:t>2017 </w:t>
            </w:r>
            <w:r>
              <w:rPr>
                <w:sz w:val="24"/>
              </w:rPr>
              <w:t>年 </w:t>
            </w:r>
            <w:r>
              <w:rPr>
                <w:rFonts w:ascii="Times New Roman" w:eastAsia="Times New Roman"/>
                <w:sz w:val="24"/>
              </w:rPr>
              <w:t>12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right="98" w:firstLine="455"/>
              <w:jc w:val="both"/>
              <w:rPr>
                <w:sz w:val="24"/>
              </w:rPr>
            </w:pPr>
            <w:r>
              <w:rPr>
                <w:spacing w:val="-20"/>
                <w:sz w:val="24"/>
              </w:rPr>
              <w:t>为进一步改善城乡生态环境，不断提高城市品质，加快生态城市建设，促进人与</w:t>
            </w:r>
            <w:r>
              <w:rPr>
                <w:spacing w:val="-24"/>
                <w:sz w:val="24"/>
              </w:rPr>
              <w:t>自然和谐发展，为全市人民提供良好的生态和人居环境，改善橄榄大道至牛山寺端部</w:t>
            </w:r>
            <w:r>
              <w:rPr>
                <w:spacing w:val="-20"/>
                <w:sz w:val="24"/>
              </w:rPr>
              <w:t>道路与现有市政道路的结合，从而提出了降低道路坡度，完善了市政交通体系的</w:t>
            </w:r>
            <w:r>
              <w:rPr>
                <w:spacing w:val="-12"/>
                <w:sz w:val="24"/>
              </w:rPr>
              <w:t>建设。以城市道路交通网系统调整城市空间布局，科学划分城市功能分区为重要</w:t>
            </w:r>
            <w:r>
              <w:rPr>
                <w:spacing w:val="-11"/>
                <w:sz w:val="24"/>
              </w:rPr>
              <w:t>手段，本着老城改造与新城建设相结合、城市建设与农村建设统一、基础设施与</w:t>
            </w:r>
            <w:r>
              <w:rPr>
                <w:spacing w:val="-14"/>
                <w:sz w:val="24"/>
              </w:rPr>
              <w:t>产业发展相配套、域内交通与域外交通相统筹同步推进的原则，全力打造开江城</w:t>
            </w:r>
            <w:r>
              <w:rPr>
                <w:spacing w:val="-13"/>
                <w:sz w:val="24"/>
              </w:rPr>
              <w:t>市交通大格局。建设本项目是加快推进城市交通体系建设，构建高效便捷、四通八达的交通网络，是完善城市基础设施、促进区域经济增长、改善居民生活条件的重点工程。</w:t>
            </w:r>
          </w:p>
          <w:p>
            <w:pPr>
              <w:pStyle w:val="TableParagraph"/>
              <w:spacing w:line="345" w:lineRule="auto" w:before="36"/>
              <w:ind w:left="103" w:right="99" w:firstLine="479"/>
              <w:jc w:val="both"/>
              <w:rPr>
                <w:sz w:val="24"/>
              </w:rPr>
            </w:pPr>
            <w:r>
              <w:rPr>
                <w:spacing w:val="-1"/>
                <w:sz w:val="24"/>
              </w:rPr>
              <w:t>为此，开江县住房和城乡规划建设局投资 </w:t>
            </w:r>
            <w:r>
              <w:rPr>
                <w:rFonts w:ascii="Times New Roman" w:eastAsia="Times New Roman"/>
                <w:sz w:val="24"/>
              </w:rPr>
              <w:t>580.1572 </w:t>
            </w:r>
            <w:r>
              <w:rPr>
                <w:sz w:val="24"/>
              </w:rPr>
              <w:t>万元，建设橄榄大道至</w:t>
            </w:r>
            <w:r>
              <w:rPr>
                <w:spacing w:val="-3"/>
                <w:sz w:val="24"/>
              </w:rPr>
              <w:t>牛山寺端部道路降坡工程。该项目包括橄榄大道</w:t>
            </w:r>
            <w:r>
              <w:rPr>
                <w:sz w:val="24"/>
              </w:rPr>
              <w:t>（牛山寺</w:t>
            </w:r>
            <w:r>
              <w:rPr>
                <w:spacing w:val="-22"/>
                <w:sz w:val="24"/>
              </w:rPr>
              <w:t>）</w:t>
            </w:r>
            <w:r>
              <w:rPr>
                <w:spacing w:val="-5"/>
                <w:sz w:val="24"/>
              </w:rPr>
              <w:t>端部工程、橄榄大道</w:t>
            </w:r>
            <w:r>
              <w:rPr>
                <w:spacing w:val="-10"/>
                <w:sz w:val="24"/>
              </w:rPr>
              <w:t>至化肥厂道路交界处、牛山寺至老城普路降坡，工程内容包括：土方开挖、原路面恢复、人行道铺装等。</w:t>
            </w:r>
            <w:r>
              <w:rPr>
                <w:rFonts w:ascii="Times New Roman" w:eastAsia="Times New Roman"/>
                <w:spacing w:val="-10"/>
                <w:sz w:val="24"/>
              </w:rPr>
              <w:t>2016 </w:t>
            </w:r>
            <w:r>
              <w:rPr>
                <w:spacing w:val="-21"/>
                <w:sz w:val="24"/>
              </w:rPr>
              <w:t>年 </w:t>
            </w:r>
            <w:r>
              <w:rPr>
                <w:rFonts w:ascii="Times New Roman" w:eastAsia="Times New Roman"/>
                <w:sz w:val="24"/>
              </w:rPr>
              <w:t>2 </w:t>
            </w:r>
            <w:r>
              <w:rPr>
                <w:spacing w:val="-23"/>
                <w:sz w:val="24"/>
              </w:rPr>
              <w:t>月 </w:t>
            </w:r>
            <w:r>
              <w:rPr>
                <w:rFonts w:ascii="Times New Roman" w:eastAsia="Times New Roman"/>
                <w:sz w:val="24"/>
              </w:rPr>
              <w:t>4 </w:t>
            </w:r>
            <w:r>
              <w:rPr>
                <w:sz w:val="24"/>
              </w:rPr>
              <w:t>日，开江县发展和改革局下达了《关于橄榄大道至牛山寺端部道路降坡工程 项目可行性研究报告的批复》（开发行审</w:t>
            </w:r>
          </w:p>
          <w:p>
            <w:pPr>
              <w:pStyle w:val="TableParagraph"/>
              <w:spacing w:before="47"/>
              <w:ind w:left="103"/>
              <w:jc w:val="left"/>
              <w:rPr>
                <w:sz w:val="24"/>
              </w:rPr>
            </w:pPr>
            <w:r>
              <w:rPr>
                <w:sz w:val="24"/>
              </w:rPr>
              <w:t>［</w:t>
            </w:r>
            <w:r>
              <w:rPr>
                <w:rFonts w:ascii="Times New Roman" w:eastAsia="Times New Roman"/>
                <w:sz w:val="24"/>
              </w:rPr>
              <w:t>2016</w:t>
            </w:r>
            <w:r>
              <w:rPr>
                <w:sz w:val="24"/>
              </w:rPr>
              <w:t>］</w:t>
            </w:r>
            <w:r>
              <w:rPr>
                <w:rFonts w:ascii="Times New Roman" w:eastAsia="Times New Roman"/>
                <w:sz w:val="24"/>
              </w:rPr>
              <w:t>06 </w:t>
            </w:r>
            <w:r>
              <w:rPr>
                <w:sz w:val="24"/>
              </w:rPr>
              <w:t>号）。</w:t>
            </w:r>
          </w:p>
        </w:tc>
      </w:tr>
    </w:tbl>
    <w:p>
      <w:pPr>
        <w:spacing w:after="0"/>
        <w:jc w:val="left"/>
        <w:rPr>
          <w:sz w:val="24"/>
        </w:rPr>
        <w:sectPr>
          <w:footerReference w:type="default" r:id="rId5"/>
          <w:pgSz w:w="11910" w:h="16850"/>
          <w:pgMar w:footer="1141" w:header="0" w:top="1400" w:bottom="1340" w:left="1580" w:right="1560"/>
          <w:pgNumType w:start="1"/>
        </w:sectPr>
      </w:pPr>
    </w:p>
    <w:p>
      <w:pPr>
        <w:pStyle w:val="BodyText"/>
        <w:spacing w:line="355" w:lineRule="auto" w:before="9"/>
        <w:ind w:left="218" w:right="131" w:firstLine="479"/>
      </w:pPr>
      <w:r>
        <w:rPr/>
        <w:pict>
          <v:group style="position:absolute;margin-left:84.253998pt;margin-top:71.749977pt;width:426.95pt;height:698.7pt;mso-position-horizontal-relative:page;mso-position-vertical-relative:page;z-index:-177640"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spacing w:val="-13"/>
        </w:rPr>
        <w:t>根据《中华人民共和国环境保护法》</w:t>
      </w:r>
      <w:r>
        <w:rPr>
          <w:spacing w:val="-15"/>
        </w:rPr>
        <w:t>、《建设项目环境保护管理条例》及《中</w:t>
      </w:r>
      <w:r>
        <w:rPr>
          <w:spacing w:val="-18"/>
        </w:rPr>
        <w:t>华人民共和国环境影响评价法》，该项目应开展环境影响评价工作。根据《建设项目环境影响评价分类管理名录</w:t>
      </w:r>
      <w:r>
        <w:rPr>
          <w:spacing w:val="-149"/>
        </w:rPr>
        <w:t>》</w:t>
      </w:r>
      <w:r>
        <w:rPr/>
        <w:t>（</w:t>
      </w:r>
      <w:r>
        <w:rPr>
          <w:rFonts w:ascii="Times New Roman" w:eastAsia="Times New Roman"/>
        </w:rPr>
        <w:t>2017</w:t>
      </w:r>
      <w:r>
        <w:rPr>
          <w:spacing w:val="-120"/>
        </w:rPr>
        <w:t>）</w:t>
      </w:r>
      <w:r>
        <w:rPr>
          <w:spacing w:val="-9"/>
        </w:rPr>
        <w:t>，本项目为改建次干路，项目位于开江</w:t>
      </w:r>
      <w:r>
        <w:rPr>
          <w:spacing w:val="-11"/>
        </w:rPr>
        <w:t>县新宁镇，环境影响评价形式为编制环境影响报告表，为此开江县住房和城乡规划建设局委托湖南葆华环保有限公司编制该项目环境影响报告表。接受委托后， 评价单位立即组织技术人员深入现场，进行实地调研、踏勘、资料收集等工作， </w:t>
      </w:r>
      <w:r>
        <w:rPr>
          <w:spacing w:val="-12"/>
        </w:rPr>
        <w:t>收集了当地水文、地质、气候、气象、经济发展、自然、社会环境等资料，同时</w:t>
      </w:r>
      <w:r>
        <w:rPr>
          <w:spacing w:val="-16"/>
        </w:rPr>
        <w:t>对环境影响因子和评价因子进行了识别和筛选，并对工程特点和环境特征进行了</w:t>
      </w:r>
      <w:r>
        <w:rPr>
          <w:spacing w:val="-12"/>
        </w:rPr>
        <w:t>分析，在此基础上编制完成《开江县住房和城乡规划建设局橄榄大道至牛山寺端</w:t>
      </w:r>
      <w:r>
        <w:rPr>
          <w:spacing w:val="-17"/>
        </w:rPr>
        <w:t>部道路降坡工程 环境影响报告表》，供建设单位上报环境保护管理部门审查。</w:t>
      </w:r>
    </w:p>
    <w:p>
      <w:pPr>
        <w:pStyle w:val="Heading3"/>
        <w:spacing w:before="36"/>
      </w:pPr>
      <w:r>
        <w:rPr>
          <w:w w:val="95"/>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6"/>
      </w:pPr>
      <w:r>
        <w:rPr>
          <w:w w:val="95"/>
        </w:rPr>
        <w:t>三、产业政策符合性分析</w:t>
      </w:r>
    </w:p>
    <w:p>
      <w:pPr>
        <w:pStyle w:val="BodyText"/>
        <w:spacing w:line="357" w:lineRule="auto" w:before="151"/>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8" w:lineRule="auto" w:before="2"/>
        <w:ind w:left="218" w:right="228"/>
        <w:jc w:val="both"/>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6"/>
        </w:rPr>
        <w:t>市道路及智能交通体系建设”，</w:t>
      </w:r>
      <w:r>
        <w:rPr>
          <w:rFonts w:ascii="Times New Roman" w:hAnsi="Times New Roman" w:eastAsia="Times New Roman"/>
        </w:rPr>
        <w:t>2016 </w:t>
      </w:r>
      <w:r>
        <w:rPr>
          <w:spacing w:val="-30"/>
        </w:rPr>
        <w:t>年 </w:t>
      </w:r>
      <w:r>
        <w:rPr>
          <w:rFonts w:ascii="Times New Roman" w:hAnsi="Times New Roman" w:eastAsia="Times New Roman"/>
        </w:rPr>
        <w:t>2 </w:t>
      </w:r>
      <w:r>
        <w:rPr>
          <w:spacing w:val="-30"/>
        </w:rPr>
        <w:t>月 </w:t>
      </w:r>
      <w:r>
        <w:rPr>
          <w:rFonts w:ascii="Times New Roman" w:hAnsi="Times New Roman" w:eastAsia="Times New Roman"/>
        </w:rPr>
        <w:t>4 </w:t>
      </w:r>
      <w:r>
        <w:rPr>
          <w:spacing w:val="-15"/>
        </w:rPr>
        <w:t>日，开江县发展和改革局下达了《关于橄榄大道至牛山寺端部道路降坡工程 项目可行性研究报告的批复</w:t>
      </w:r>
      <w:r>
        <w:rPr>
          <w:spacing w:val="-209"/>
        </w:rPr>
        <w:t>》</w:t>
      </w:r>
      <w:r>
        <w:rPr/>
        <w:t>（开发行审</w:t>
      </w:r>
    </w:p>
    <w:p>
      <w:pPr>
        <w:pStyle w:val="BodyText"/>
        <w:spacing w:before="55"/>
        <w:ind w:left="218"/>
        <w:jc w:val="both"/>
      </w:pPr>
      <w:r>
        <w:rPr/>
        <w:t>［</w:t>
      </w:r>
      <w:r>
        <w:rPr>
          <w:rFonts w:ascii="Times New Roman" w:eastAsia="Times New Roman"/>
        </w:rPr>
        <w:t>2016</w:t>
      </w:r>
      <w:r>
        <w:rPr/>
        <w:t>］</w:t>
      </w:r>
      <w:r>
        <w:rPr>
          <w:rFonts w:ascii="Times New Roman" w:eastAsia="Times New Roman"/>
        </w:rPr>
        <w:t>06 </w:t>
      </w:r>
      <w:r>
        <w:rPr/>
        <w:t>号</w:t>
      </w:r>
      <w:r>
        <w:rPr>
          <w:spacing w:val="-120"/>
        </w:rPr>
        <w:t>）</w:t>
      </w:r>
      <w:r>
        <w:rPr/>
        <w:t>。 </w:t>
      </w:r>
    </w:p>
    <w:p>
      <w:pPr>
        <w:spacing w:line="357" w:lineRule="auto" w:before="132"/>
        <w:ind w:left="690" w:right="3493" w:firstLine="7"/>
        <w:jc w:val="left"/>
        <w:rPr>
          <w:b/>
          <w:sz w:val="24"/>
        </w:rPr>
      </w:pPr>
      <w:r>
        <w:rPr>
          <w:sz w:val="24"/>
        </w:rPr>
        <w:t>综上，该项目建设符合国家现行产业政策。</w:t>
      </w:r>
      <w:r>
        <w:rPr>
          <w:b/>
          <w:w w:val="95"/>
          <w:sz w:val="24"/>
        </w:rPr>
        <w:t>四、规划符合性及选址合理性分析</w:t>
      </w:r>
    </w:p>
    <w:p>
      <w:pPr>
        <w:pStyle w:val="BodyText"/>
        <w:spacing w:before="33"/>
        <w:ind w:left="698"/>
      </w:pPr>
      <w:r>
        <w:rPr>
          <w:rFonts w:ascii="Times New Roman" w:eastAsia="Times New Roman"/>
        </w:rPr>
        <w:t>1</w:t>
      </w:r>
      <w:r>
        <w:rPr/>
        <w:t>、规划符合性分析</w:t>
      </w:r>
    </w:p>
    <w:p>
      <w:pPr>
        <w:pStyle w:val="BodyText"/>
        <w:spacing w:line="357" w:lineRule="auto" w:before="135"/>
        <w:ind w:left="218" w:right="231" w:firstLine="479"/>
        <w:jc w:val="both"/>
      </w:pPr>
      <w:r>
        <w:rPr>
          <w:spacing w:val="-5"/>
        </w:rPr>
        <w:t>本项目为橄榄大道至牛山寺端部道路降坡工程，位于新宁镇，属于市政配套</w:t>
      </w:r>
      <w:r>
        <w:rPr>
          <w:spacing w:val="-11"/>
        </w:rPr>
        <w:t>工程基础设施建设，项目建成后，完善了该区域的路网结构。本项目是开江县城</w:t>
      </w:r>
      <w:r>
        <w:rPr>
          <w:spacing w:val="-14"/>
        </w:rPr>
        <w:t>市道路的重要组成部分，也是开江县城市道路的重要道路，符合《四川省达州市开江县城市总体规划（2013-2030）》的中心城区道路系统规划。</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014pt;margin-top:71.749977pt;width:427.45pt;height:678.4pt;mso-position-horizontal-relative:page;mso-position-vertical-relative:page;z-index:-177616" coordorigin="1680,1435" coordsize="8549,13568">
            <v:line style="position:absolute" from="1695,1445" to="10214,1445" stroked="true" strokeweight=".48pt" strokecolor="#000000">
              <v:stroke dashstyle="solid"/>
            </v:line>
            <v:line style="position:absolute" from="1690,1440" to="1690,14992" stroked="true" strokeweight=".48pt" strokecolor="#000000">
              <v:stroke dashstyle="solid"/>
            </v:line>
            <v:line style="position:absolute" from="1685,14997" to="1695,14997" stroked="true" strokeweight=".47998pt" strokecolor="#000000">
              <v:stroke dashstyle="solid"/>
            </v:line>
            <v:line style="position:absolute" from="1685,14997" to="1695,14997" stroked="true" strokeweight=".47998pt" strokecolor="#000000">
              <v:stroke dashstyle="solid"/>
            </v:line>
            <v:line style="position:absolute" from="1695,14997" to="10214,14997" stroked="true" strokeweight=".47998pt" strokecolor="#000000">
              <v:stroke dashstyle="solid"/>
            </v:line>
            <v:line style="position:absolute" from="10219,1440" to="10219,14992" stroked="true" strokeweight=".47998pt" strokecolor="#000000">
              <v:stroke dashstyle="solid"/>
            </v:line>
            <v:line style="position:absolute" from="10214,14997" to="10224,14997" stroked="true" strokeweight=".47998pt" strokecolor="#000000">
              <v:stroke dashstyle="solid"/>
            </v:line>
            <v:line style="position:absolute" from="10214,14997" to="10224,14997" stroked="true" strokeweight=".47998pt" strokecolor="#000000">
              <v:stroke dashstyle="solid"/>
            </v:line>
            <w10:wrap type="none"/>
          </v:group>
        </w:pict>
      </w: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before="133"/>
        <w:ind w:left="698"/>
      </w:pPr>
      <w:r>
        <w:rPr/>
        <w:t>本项目位于开江县新宁镇。本工程涉及橄榄大道（牛山寺）端部工程长约</w:t>
      </w:r>
    </w:p>
    <w:p>
      <w:pPr>
        <w:pStyle w:val="BodyText"/>
        <w:spacing w:line="336" w:lineRule="auto" w:before="153"/>
        <w:ind w:left="218"/>
      </w:pPr>
      <w:r>
        <w:rPr>
          <w:rFonts w:ascii="Times New Roman" w:eastAsia="Times New Roman"/>
        </w:rPr>
        <w:t>111m</w:t>
      </w:r>
      <w:r>
        <w:rPr/>
        <w:t>、橄榄大道至化肥厂道路交界处长约 </w:t>
      </w:r>
      <w:r>
        <w:rPr>
          <w:rFonts w:ascii="Times New Roman" w:eastAsia="Times New Roman"/>
        </w:rPr>
        <w:t>256.3m</w:t>
      </w:r>
      <w:r>
        <w:rPr/>
        <w:t>、牛山寺至老城普路降坡三段道路降坡长约 </w:t>
      </w:r>
      <w:r>
        <w:rPr>
          <w:rFonts w:ascii="Times New Roman" w:eastAsia="Times New Roman"/>
        </w:rPr>
        <w:t>88m</w:t>
      </w:r>
      <w:r>
        <w:rPr/>
        <w:t>，总长 </w:t>
      </w:r>
      <w:r>
        <w:rPr>
          <w:rFonts w:ascii="Times New Roman" w:eastAsia="Times New Roman"/>
        </w:rPr>
        <w:t>455.3m</w:t>
      </w:r>
      <w:r>
        <w:rPr/>
        <w:t>，符合《四川省达州市开江县城市总体规划</w:t>
      </w:r>
    </w:p>
    <w:p>
      <w:pPr>
        <w:pStyle w:val="BodyText"/>
        <w:spacing w:before="29"/>
        <w:ind w:left="218"/>
      </w:pPr>
      <w:r>
        <w:rPr/>
        <w:t>（2013-2030）》的中心城区道路系统规划。</w:t>
      </w:r>
    </w:p>
    <w:p>
      <w:pPr>
        <w:pStyle w:val="BodyText"/>
        <w:spacing w:line="357" w:lineRule="auto" w:before="151"/>
        <w:ind w:left="218" w:right="231" w:firstLine="479"/>
        <w:jc w:val="both"/>
      </w:pPr>
      <w:r>
        <w:rPr>
          <w:spacing w:val="-8"/>
        </w:rPr>
        <w:t>根据现场勘查，该工程为现有道路，项目道路用地红线范围内，不存在临时</w:t>
      </w:r>
      <w:r>
        <w:rPr>
          <w:spacing w:val="-10"/>
        </w:rPr>
        <w:t>堆土、建筑垃圾等施工期环境遗留问题，区域地势平坦，工程占地范围内不涉及</w:t>
      </w:r>
      <w:r>
        <w:rPr>
          <w:spacing w:val="-1"/>
        </w:rPr>
        <w:t>居民拆迁，本次工程均在原红线范围内施工。</w:t>
      </w:r>
    </w:p>
    <w:p>
      <w:pPr>
        <w:pStyle w:val="BodyText"/>
        <w:spacing w:line="343" w:lineRule="auto" w:before="35"/>
        <w:ind w:left="218" w:right="231" w:firstLine="479"/>
        <w:jc w:val="both"/>
      </w:pPr>
      <w:r>
        <w:rPr>
          <w:spacing w:val="-7"/>
        </w:rPr>
        <w:t>项目周边市政道路完善，施工材料运输便捷。本项目道路起点与现有道路相</w:t>
      </w:r>
      <w:r>
        <w:rPr>
          <w:spacing w:val="-11"/>
        </w:rPr>
        <w:t>接。该工程主要敏感点沿线沿线两侧有少量居民，最近处为 </w:t>
      </w:r>
      <w:r>
        <w:rPr>
          <w:rFonts w:ascii="Times New Roman" w:eastAsia="Times New Roman"/>
          <w:spacing w:val="-8"/>
        </w:rPr>
        <w:t>10m</w:t>
      </w:r>
      <w:r>
        <w:rPr>
          <w:spacing w:val="-3"/>
        </w:rPr>
        <w:t>，橄榄大道至化</w:t>
      </w:r>
      <w:r>
        <w:rPr>
          <w:spacing w:val="-10"/>
        </w:rPr>
        <w:t>肥厂道路东侧为 </w:t>
      </w:r>
      <w:r>
        <w:rPr>
          <w:rFonts w:ascii="Times New Roman" w:eastAsia="Times New Roman"/>
        </w:rPr>
        <w:t>80m </w:t>
      </w:r>
      <w:r>
        <w:rPr>
          <w:spacing w:val="-4"/>
        </w:rPr>
        <w:t>环保局、牛山寺至老城普路东侧 </w:t>
      </w:r>
      <w:r>
        <w:rPr>
          <w:rFonts w:ascii="Times New Roman" w:eastAsia="Times New Roman"/>
        </w:rPr>
        <w:t>25m </w:t>
      </w:r>
      <w:r>
        <w:rPr/>
        <w:t>为政务中心。其它道</w:t>
      </w:r>
      <w:r>
        <w:rPr>
          <w:spacing w:val="-9"/>
        </w:rPr>
        <w:t>路沿线红线外 </w:t>
      </w:r>
      <w:r>
        <w:rPr>
          <w:rFonts w:ascii="Times New Roman" w:eastAsia="Times New Roman"/>
        </w:rPr>
        <w:t>200m </w:t>
      </w:r>
      <w:r>
        <w:rPr/>
        <w:t>范围内主要为农田或荒地、林地。</w:t>
      </w:r>
    </w:p>
    <w:p>
      <w:pPr>
        <w:pStyle w:val="BodyText"/>
        <w:spacing w:line="348" w:lineRule="auto" w:before="18"/>
        <w:ind w:left="218" w:right="113" w:firstLine="479"/>
        <w:jc w:val="both"/>
      </w:pPr>
      <w:r>
        <w:rPr>
          <w:spacing w:val="-8"/>
        </w:rPr>
        <w:t>总体上，本项目道路沿线外环境较简单，道路红线外 </w:t>
      </w:r>
      <w:r>
        <w:rPr>
          <w:rFonts w:ascii="Times New Roman" w:eastAsia="Times New Roman"/>
        </w:rPr>
        <w:t>200m </w:t>
      </w:r>
      <w:r>
        <w:rPr/>
        <w:t>范围内主要为农</w:t>
      </w:r>
      <w:r>
        <w:rPr>
          <w:spacing w:val="-9"/>
        </w:rPr>
        <w:t>田、山林或荒地。项目评价范围内不涉及自然保护区、风景名胜区及重点文物古</w:t>
      </w:r>
      <w:r>
        <w:rPr>
          <w:spacing w:val="-4"/>
        </w:rPr>
        <w:t>迹，也无工业企业。项目周边无明显的环境制约因素，因此，本项目选址合理。</w:t>
      </w:r>
      <w:r>
        <w:rPr/>
        <w:t> </w:t>
      </w:r>
    </w:p>
    <w:p>
      <w:pPr>
        <w:pStyle w:val="Heading3"/>
        <w:spacing w:before="45"/>
      </w:pPr>
      <w:r>
        <w:rPr>
          <w:w w:val="95"/>
        </w:rPr>
        <w:t>五、项目概况</w:t>
      </w:r>
    </w:p>
    <w:p>
      <w:pPr>
        <w:spacing w:before="151"/>
        <w:ind w:left="700" w:right="0" w:firstLine="0"/>
        <w:jc w:val="left"/>
        <w:rPr>
          <w:b/>
          <w:sz w:val="24"/>
        </w:rPr>
      </w:pPr>
      <w:r>
        <w:rPr>
          <w:rFonts w:ascii="Times New Roman" w:eastAsia="Times New Roman"/>
          <w:b/>
          <w:w w:val="95"/>
          <w:sz w:val="24"/>
        </w:rPr>
        <w:t>1</w:t>
      </w:r>
      <w:r>
        <w:rPr>
          <w:b/>
          <w:w w:val="95"/>
          <w:sz w:val="24"/>
        </w:rPr>
        <w:t>、项目基本情况</w:t>
      </w:r>
    </w:p>
    <w:p>
      <w:pPr>
        <w:pStyle w:val="BodyText"/>
        <w:spacing w:line="355" w:lineRule="auto" w:before="135"/>
        <w:ind w:left="698" w:right="2652"/>
      </w:pPr>
      <w:r>
        <w:rPr/>
        <w:t>项目名称：橄榄大道至牛山寺端部道路降坡工程 ； 建设单位：开江县住房和城乡规划建设局；</w:t>
      </w:r>
    </w:p>
    <w:p>
      <w:pPr>
        <w:pStyle w:val="BodyText"/>
        <w:spacing w:before="38"/>
        <w:ind w:left="698"/>
      </w:pPr>
      <w:r>
        <w:rPr/>
        <w:t>建设性质：新建；</w:t>
      </w:r>
    </w:p>
    <w:p>
      <w:pPr>
        <w:pStyle w:val="BodyText"/>
        <w:spacing w:before="151"/>
        <w:ind w:left="698"/>
      </w:pPr>
      <w:r>
        <w:rPr/>
        <w:t>建设地点：开江县新宁镇；</w:t>
      </w:r>
    </w:p>
    <w:p>
      <w:pPr>
        <w:pStyle w:val="BodyText"/>
        <w:spacing w:before="154"/>
        <w:ind w:left="698"/>
      </w:pPr>
      <w:r>
        <w:rPr/>
        <w:t>投资规模及资金来源：总投资为 </w:t>
      </w:r>
      <w:r>
        <w:rPr>
          <w:rFonts w:ascii="Times New Roman" w:eastAsia="Times New Roman"/>
        </w:rPr>
        <w:t>580.1572 </w:t>
      </w:r>
      <w:r>
        <w:rPr/>
        <w:t>万元，全部为业主自筹。</w:t>
      </w:r>
    </w:p>
    <w:p>
      <w:pPr>
        <w:pStyle w:val="Heading3"/>
        <w:spacing w:before="133"/>
      </w:pPr>
      <w:r>
        <w:rPr>
          <w:rFonts w:ascii="Times New Roman" w:eastAsia="Times New Roman"/>
          <w:w w:val="95"/>
        </w:rPr>
        <w:t>2</w:t>
      </w:r>
      <w:r>
        <w:rPr>
          <w:w w:val="95"/>
        </w:rPr>
        <w:t>、建设内容及规模</w:t>
      </w:r>
    </w:p>
    <w:p>
      <w:pPr>
        <w:pStyle w:val="BodyText"/>
        <w:spacing w:line="338" w:lineRule="auto" w:before="135"/>
        <w:ind w:left="218" w:right="231" w:firstLine="479"/>
        <w:jc w:val="both"/>
      </w:pPr>
      <w:r>
        <w:rPr/>
        <w:t>本项目建设内容为本工程涉及橄榄大道（牛山寺）</w:t>
      </w:r>
      <w:r>
        <w:rPr>
          <w:spacing w:val="-3"/>
        </w:rPr>
        <w:t>端部工程长约 </w:t>
      </w:r>
      <w:r>
        <w:rPr>
          <w:rFonts w:ascii="Times New Roman" w:eastAsia="Times New Roman"/>
          <w:spacing w:val="-5"/>
        </w:rPr>
        <w:t>111m</w:t>
      </w:r>
      <w:r>
        <w:rPr/>
        <w:t>、橄榄大道至化肥厂道路交界处长约 </w:t>
      </w:r>
      <w:r>
        <w:rPr>
          <w:rFonts w:ascii="Times New Roman" w:eastAsia="Times New Roman"/>
        </w:rPr>
        <w:t>256.3m</w:t>
      </w:r>
      <w:r>
        <w:rPr/>
        <w:t>、牛山寺至老城普路降坡三段道路降坡</w:t>
      </w:r>
      <w:r>
        <w:rPr>
          <w:spacing w:val="-21"/>
        </w:rPr>
        <w:t>长约 </w:t>
      </w:r>
      <w:r>
        <w:rPr>
          <w:rFonts w:ascii="Times New Roman" w:eastAsia="Times New Roman"/>
        </w:rPr>
        <w:t>88m</w:t>
      </w:r>
      <w:r>
        <w:rPr/>
        <w:t>。降坡工程完成后按照原道路设计方案恢复建设道路。</w:t>
      </w:r>
    </w:p>
    <w:p>
      <w:pPr>
        <w:pStyle w:val="BodyText"/>
        <w:spacing w:before="26"/>
        <w:ind w:left="698"/>
      </w:pPr>
      <w:r>
        <w:rPr/>
        <w:t>项目主要建设内容及规模见表 </w:t>
      </w:r>
      <w:r>
        <w:rPr>
          <w:rFonts w:ascii="Times New Roman" w:eastAsia="Times New Roman"/>
        </w:rPr>
        <w:t>1-1</w:t>
      </w:r>
      <w:r>
        <w:rPr/>
        <w:t>。</w:t>
      </w:r>
    </w:p>
    <w:p>
      <w:pPr>
        <w:pStyle w:val="Heading3"/>
        <w:tabs>
          <w:tab w:pos="861" w:val="left" w:leader="none"/>
        </w:tabs>
        <w:spacing w:before="133"/>
        <w:ind w:left="0" w:right="16"/>
        <w:jc w:val="center"/>
      </w:pPr>
      <w:r>
        <w:rPr/>
        <w:t>表</w:t>
      </w:r>
      <w:r>
        <w:rPr>
          <w:spacing w:val="-60"/>
        </w:rPr>
        <w:t> </w:t>
      </w:r>
      <w:r>
        <w:rPr>
          <w:rFonts w:ascii="Times New Roman" w:eastAsia="Times New Roman"/>
        </w:rPr>
        <w:t>1-1</w:t>
        <w:tab/>
      </w:r>
      <w:r>
        <w:rPr>
          <w:w w:val="95"/>
        </w:rPr>
        <w:t>主要建设内容一览表</w:t>
      </w:r>
    </w:p>
    <w:p>
      <w:pPr>
        <w:spacing w:after="0"/>
        <w:jc w:val="center"/>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149"/>
        <w:gridCol w:w="811"/>
        <w:gridCol w:w="1021"/>
        <w:gridCol w:w="156"/>
        <w:gridCol w:w="982"/>
        <w:gridCol w:w="866"/>
        <w:gridCol w:w="1088"/>
        <w:gridCol w:w="850"/>
        <w:gridCol w:w="250"/>
        <w:gridCol w:w="742"/>
        <w:gridCol w:w="440"/>
        <w:gridCol w:w="744"/>
        <w:gridCol w:w="149"/>
        <w:gridCol w:w="142"/>
      </w:tblGrid>
      <w:tr>
        <w:trPr>
          <w:trHeight w:val="557" w:hRule="exact"/>
        </w:trPr>
        <w:tc>
          <w:tcPr>
            <w:tcW w:w="290" w:type="dxa"/>
            <w:gridSpan w:val="2"/>
            <w:vMerge w:val="restart"/>
            <w:tcBorders>
              <w:right w:val="single" w:sz="2" w:space="0" w:color="000000"/>
            </w:tcBorders>
          </w:tcPr>
          <w:p>
            <w:pPr/>
          </w:p>
        </w:tc>
        <w:tc>
          <w:tcPr>
            <w:tcW w:w="1832" w:type="dxa"/>
            <w:gridSpan w:val="2"/>
            <w:tcBorders>
              <w:left w:val="single" w:sz="2" w:space="0" w:color="000000"/>
              <w:bottom w:val="single" w:sz="2" w:space="0" w:color="000000"/>
              <w:right w:val="single" w:sz="2" w:space="0" w:color="000000"/>
            </w:tcBorders>
          </w:tcPr>
          <w:p>
            <w:pPr>
              <w:pStyle w:val="TableParagraph"/>
              <w:spacing w:before="108"/>
              <w:ind w:left="683" w:right="682"/>
              <w:rPr>
                <w:sz w:val="21"/>
              </w:rPr>
            </w:pPr>
            <w:r>
              <w:rPr>
                <w:sz w:val="21"/>
              </w:rPr>
              <w:t>序号</w:t>
            </w:r>
          </w:p>
        </w:tc>
        <w:tc>
          <w:tcPr>
            <w:tcW w:w="1138" w:type="dxa"/>
            <w:gridSpan w:val="2"/>
            <w:tcBorders>
              <w:left w:val="single" w:sz="2" w:space="0" w:color="000000"/>
              <w:bottom w:val="single" w:sz="2" w:space="0" w:color="000000"/>
              <w:right w:val="single" w:sz="2" w:space="0" w:color="000000"/>
            </w:tcBorders>
          </w:tcPr>
          <w:p>
            <w:pPr>
              <w:pStyle w:val="TableParagraph"/>
              <w:spacing w:before="108"/>
              <w:ind w:left="122"/>
              <w:jc w:val="left"/>
              <w:rPr>
                <w:sz w:val="21"/>
              </w:rPr>
            </w:pPr>
            <w:r>
              <w:rPr>
                <w:sz w:val="21"/>
              </w:rPr>
              <w:t>道路长度</w:t>
            </w:r>
          </w:p>
        </w:tc>
        <w:tc>
          <w:tcPr>
            <w:tcW w:w="866" w:type="dxa"/>
            <w:tcBorders>
              <w:left w:val="single" w:sz="2" w:space="0" w:color="000000"/>
              <w:bottom w:val="single" w:sz="2" w:space="0" w:color="000000"/>
            </w:tcBorders>
          </w:tcPr>
          <w:p>
            <w:pPr>
              <w:pStyle w:val="TableParagraph"/>
              <w:spacing w:line="245" w:lineRule="exact"/>
              <w:ind w:left="208"/>
              <w:jc w:val="left"/>
              <w:rPr>
                <w:sz w:val="21"/>
              </w:rPr>
            </w:pPr>
            <w:r>
              <w:rPr>
                <w:sz w:val="21"/>
              </w:rPr>
              <w:t>道路</w:t>
            </w:r>
          </w:p>
          <w:p>
            <w:pPr>
              <w:pStyle w:val="TableParagraph"/>
              <w:spacing w:line="274" w:lineRule="exact"/>
              <w:ind w:left="208"/>
              <w:jc w:val="left"/>
              <w:rPr>
                <w:sz w:val="21"/>
              </w:rPr>
            </w:pPr>
            <w:r>
              <w:rPr>
                <w:sz w:val="21"/>
              </w:rPr>
              <w:t>宽度</w:t>
            </w:r>
          </w:p>
        </w:tc>
        <w:tc>
          <w:tcPr>
            <w:tcW w:w="1088" w:type="dxa"/>
            <w:tcBorders>
              <w:bottom w:val="single" w:sz="2" w:space="0" w:color="000000"/>
              <w:right w:val="single" w:sz="2" w:space="0" w:color="000000"/>
            </w:tcBorders>
          </w:tcPr>
          <w:p>
            <w:pPr>
              <w:pStyle w:val="TableParagraph"/>
              <w:spacing w:line="245" w:lineRule="exact"/>
              <w:ind w:left="205" w:right="205"/>
              <w:rPr>
                <w:sz w:val="21"/>
              </w:rPr>
            </w:pPr>
            <w:r>
              <w:rPr>
                <w:sz w:val="21"/>
              </w:rPr>
              <w:t>原设计</w:t>
            </w:r>
          </w:p>
          <w:p>
            <w:pPr>
              <w:pStyle w:val="TableParagraph"/>
              <w:spacing w:line="274" w:lineRule="exact"/>
              <w:ind w:left="205" w:right="205"/>
              <w:rPr>
                <w:sz w:val="21"/>
              </w:rPr>
            </w:pPr>
            <w:r>
              <w:rPr>
                <w:sz w:val="21"/>
              </w:rPr>
              <w:t>高程</w:t>
            </w:r>
          </w:p>
        </w:tc>
        <w:tc>
          <w:tcPr>
            <w:tcW w:w="850" w:type="dxa"/>
            <w:tcBorders>
              <w:left w:val="single" w:sz="2" w:space="0" w:color="000000"/>
              <w:bottom w:val="single" w:sz="2" w:space="0" w:color="000000"/>
            </w:tcBorders>
          </w:tcPr>
          <w:p>
            <w:pPr>
              <w:pStyle w:val="TableParagraph"/>
              <w:spacing w:line="245" w:lineRule="exact"/>
              <w:ind w:left="196"/>
              <w:jc w:val="left"/>
              <w:rPr>
                <w:sz w:val="21"/>
              </w:rPr>
            </w:pPr>
            <w:r>
              <w:rPr>
                <w:sz w:val="21"/>
              </w:rPr>
              <w:t>现降</w:t>
            </w:r>
          </w:p>
          <w:p>
            <w:pPr>
              <w:pStyle w:val="TableParagraph"/>
              <w:spacing w:line="274" w:lineRule="exact"/>
              <w:ind w:left="196"/>
              <w:jc w:val="left"/>
              <w:rPr>
                <w:sz w:val="21"/>
              </w:rPr>
            </w:pPr>
            <w:r>
              <w:rPr>
                <w:sz w:val="21"/>
              </w:rPr>
              <w:t>高程</w:t>
            </w:r>
          </w:p>
        </w:tc>
        <w:tc>
          <w:tcPr>
            <w:tcW w:w="991" w:type="dxa"/>
            <w:gridSpan w:val="2"/>
            <w:tcBorders>
              <w:bottom w:val="single" w:sz="2" w:space="0" w:color="000000"/>
              <w:right w:val="single" w:sz="2" w:space="0" w:color="000000"/>
            </w:tcBorders>
          </w:tcPr>
          <w:p>
            <w:pPr>
              <w:pStyle w:val="TableParagraph"/>
              <w:spacing w:line="245" w:lineRule="exact"/>
              <w:ind w:left="157" w:right="157"/>
              <w:rPr>
                <w:sz w:val="21"/>
              </w:rPr>
            </w:pPr>
            <w:r>
              <w:rPr>
                <w:sz w:val="21"/>
              </w:rPr>
              <w:t>原设计</w:t>
            </w:r>
          </w:p>
          <w:p>
            <w:pPr>
              <w:pStyle w:val="TableParagraph"/>
              <w:spacing w:line="274" w:lineRule="exact"/>
              <w:ind w:left="157" w:right="157"/>
              <w:rPr>
                <w:sz w:val="21"/>
              </w:rPr>
            </w:pPr>
            <w:r>
              <w:rPr>
                <w:sz w:val="21"/>
              </w:rPr>
              <w:t>坡度</w:t>
            </w:r>
          </w:p>
        </w:tc>
        <w:tc>
          <w:tcPr>
            <w:tcW w:w="1184" w:type="dxa"/>
            <w:gridSpan w:val="2"/>
            <w:tcBorders>
              <w:left w:val="single" w:sz="2" w:space="0" w:color="000000"/>
              <w:bottom w:val="single" w:sz="2" w:space="0" w:color="000000"/>
              <w:right w:val="single" w:sz="2" w:space="0" w:color="000000"/>
            </w:tcBorders>
          </w:tcPr>
          <w:p>
            <w:pPr>
              <w:pStyle w:val="TableParagraph"/>
              <w:spacing w:line="245" w:lineRule="exact"/>
              <w:ind w:left="149" w:right="150"/>
              <w:rPr>
                <w:sz w:val="21"/>
              </w:rPr>
            </w:pPr>
            <w:r>
              <w:rPr>
                <w:sz w:val="21"/>
              </w:rPr>
              <w:t>现降设计</w:t>
            </w:r>
          </w:p>
          <w:p>
            <w:pPr>
              <w:pStyle w:val="TableParagraph"/>
              <w:spacing w:line="274" w:lineRule="exact"/>
              <w:ind w:left="149" w:right="146"/>
              <w:rPr>
                <w:sz w:val="21"/>
              </w:rPr>
            </w:pPr>
            <w:r>
              <w:rPr>
                <w:sz w:val="21"/>
              </w:rPr>
              <w:t>坡度</w:t>
            </w:r>
          </w:p>
        </w:tc>
        <w:tc>
          <w:tcPr>
            <w:tcW w:w="290" w:type="dxa"/>
            <w:gridSpan w:val="2"/>
            <w:vMerge w:val="restart"/>
            <w:tcBorders>
              <w:left w:val="single" w:sz="2" w:space="0" w:color="000000"/>
            </w:tcBorders>
          </w:tcPr>
          <w:p>
            <w:pPr/>
          </w:p>
        </w:tc>
      </w:tr>
      <w:tr>
        <w:trPr>
          <w:trHeight w:val="619" w:hRule="exact"/>
        </w:trPr>
        <w:tc>
          <w:tcPr>
            <w:tcW w:w="290" w:type="dxa"/>
            <w:gridSpan w:val="2"/>
            <w:vMerge/>
            <w:tcBorders>
              <w:right w:val="single" w:sz="2" w:space="0" w:color="000000"/>
            </w:tcBorders>
          </w:tcPr>
          <w:p>
            <w:pPr/>
          </w:p>
        </w:tc>
        <w:tc>
          <w:tcPr>
            <w:tcW w:w="1832" w:type="dxa"/>
            <w:gridSpan w:val="2"/>
            <w:tcBorders>
              <w:top w:val="single" w:sz="2" w:space="0" w:color="000000"/>
              <w:left w:val="single" w:sz="2" w:space="0" w:color="000000"/>
              <w:bottom w:val="single" w:sz="2" w:space="0" w:color="000000"/>
              <w:right w:val="single" w:sz="2" w:space="0" w:color="000000"/>
            </w:tcBorders>
          </w:tcPr>
          <w:p>
            <w:pPr>
              <w:pStyle w:val="TableParagraph"/>
              <w:spacing w:line="272" w:lineRule="exact" w:before="29"/>
              <w:ind w:left="283" w:right="159" w:hanging="106"/>
              <w:jc w:val="left"/>
              <w:rPr>
                <w:sz w:val="21"/>
              </w:rPr>
            </w:pPr>
            <w:r>
              <w:rPr>
                <w:sz w:val="21"/>
              </w:rPr>
              <w:t>橄榄大道（牛山寺）端部工程</w:t>
            </w:r>
          </w:p>
        </w:tc>
        <w:tc>
          <w:tcPr>
            <w:tcW w:w="1138"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321"/>
              <w:jc w:val="left"/>
              <w:rPr>
                <w:rFonts w:ascii="Times New Roman"/>
                <w:sz w:val="21"/>
              </w:rPr>
            </w:pPr>
            <w:r>
              <w:rPr>
                <w:rFonts w:ascii="Times New Roman"/>
                <w:sz w:val="21"/>
              </w:rPr>
              <w:t>111m</w:t>
            </w:r>
          </w:p>
        </w:tc>
        <w:tc>
          <w:tcPr>
            <w:tcW w:w="866" w:type="dxa"/>
            <w:tcBorders>
              <w:top w:val="single" w:sz="2" w:space="0" w:color="000000"/>
              <w:left w:val="single" w:sz="2" w:space="0" w:color="000000"/>
              <w:bottom w:val="single" w:sz="2" w:space="0" w:color="000000"/>
            </w:tcBorders>
          </w:tcPr>
          <w:p>
            <w:pPr>
              <w:pStyle w:val="TableParagraph"/>
              <w:spacing w:before="180"/>
              <w:ind w:left="226" w:right="218"/>
              <w:rPr>
                <w:rFonts w:ascii="Times New Roman"/>
                <w:sz w:val="21"/>
              </w:rPr>
            </w:pPr>
            <w:r>
              <w:rPr>
                <w:rFonts w:ascii="Times New Roman"/>
                <w:sz w:val="21"/>
              </w:rPr>
              <w:t>42m</w:t>
            </w:r>
          </w:p>
        </w:tc>
        <w:tc>
          <w:tcPr>
            <w:tcW w:w="1088" w:type="dxa"/>
            <w:tcBorders>
              <w:top w:val="single" w:sz="2" w:space="0" w:color="000000"/>
              <w:bottom w:val="single" w:sz="2" w:space="0" w:color="000000"/>
              <w:right w:val="single" w:sz="2" w:space="0" w:color="000000"/>
            </w:tcBorders>
          </w:tcPr>
          <w:p>
            <w:pPr>
              <w:pStyle w:val="TableParagraph"/>
              <w:spacing w:before="180"/>
              <w:ind w:left="197" w:right="205"/>
              <w:rPr>
                <w:rFonts w:ascii="Times New Roman"/>
                <w:sz w:val="21"/>
              </w:rPr>
            </w:pPr>
            <w:r>
              <w:rPr>
                <w:rFonts w:ascii="Times New Roman"/>
                <w:sz w:val="21"/>
              </w:rPr>
              <w:t>454.14</w:t>
            </w:r>
          </w:p>
        </w:tc>
        <w:tc>
          <w:tcPr>
            <w:tcW w:w="850" w:type="dxa"/>
            <w:tcBorders>
              <w:top w:val="single" w:sz="2" w:space="0" w:color="000000"/>
              <w:left w:val="single" w:sz="2" w:space="0" w:color="000000"/>
              <w:bottom w:val="single" w:sz="2" w:space="0" w:color="000000"/>
            </w:tcBorders>
          </w:tcPr>
          <w:p>
            <w:pPr>
              <w:pStyle w:val="TableParagraph"/>
              <w:spacing w:before="180"/>
              <w:ind w:left="109" w:right="115"/>
              <w:rPr>
                <w:rFonts w:ascii="Times New Roman"/>
                <w:sz w:val="21"/>
              </w:rPr>
            </w:pPr>
            <w:r>
              <w:rPr>
                <w:rFonts w:ascii="Times New Roman"/>
                <w:sz w:val="21"/>
              </w:rPr>
              <w:t>450.14</w:t>
            </w:r>
          </w:p>
        </w:tc>
        <w:tc>
          <w:tcPr>
            <w:tcW w:w="991" w:type="dxa"/>
            <w:gridSpan w:val="2"/>
            <w:tcBorders>
              <w:top w:val="single" w:sz="2" w:space="0" w:color="000000"/>
              <w:bottom w:val="single" w:sz="2" w:space="0" w:color="000000"/>
              <w:right w:val="single" w:sz="2" w:space="0" w:color="000000"/>
            </w:tcBorders>
          </w:tcPr>
          <w:p>
            <w:pPr>
              <w:pStyle w:val="TableParagraph"/>
              <w:spacing w:before="180"/>
              <w:ind w:left="259"/>
              <w:jc w:val="left"/>
              <w:rPr>
                <w:rFonts w:ascii="Times New Roman"/>
                <w:sz w:val="21"/>
              </w:rPr>
            </w:pPr>
            <w:r>
              <w:rPr>
                <w:rFonts w:ascii="Times New Roman"/>
                <w:sz w:val="21"/>
              </w:rPr>
              <w:t>7.3%</w:t>
            </w:r>
          </w:p>
        </w:tc>
        <w:tc>
          <w:tcPr>
            <w:tcW w:w="1184"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303"/>
              <w:jc w:val="left"/>
              <w:rPr>
                <w:rFonts w:ascii="Times New Roman"/>
                <w:sz w:val="21"/>
              </w:rPr>
            </w:pPr>
            <w:r>
              <w:rPr>
                <w:rFonts w:ascii="Times New Roman"/>
                <w:sz w:val="21"/>
              </w:rPr>
              <w:t>3.39%</w:t>
            </w:r>
          </w:p>
        </w:tc>
        <w:tc>
          <w:tcPr>
            <w:tcW w:w="290" w:type="dxa"/>
            <w:gridSpan w:val="2"/>
            <w:vMerge/>
            <w:tcBorders>
              <w:left w:val="single" w:sz="2" w:space="0" w:color="000000"/>
            </w:tcBorders>
          </w:tcPr>
          <w:p>
            <w:pPr/>
          </w:p>
        </w:tc>
      </w:tr>
      <w:tr>
        <w:trPr>
          <w:trHeight w:val="619" w:hRule="exact"/>
        </w:trPr>
        <w:tc>
          <w:tcPr>
            <w:tcW w:w="290" w:type="dxa"/>
            <w:gridSpan w:val="2"/>
            <w:vMerge/>
            <w:tcBorders>
              <w:right w:val="single" w:sz="2" w:space="0" w:color="000000"/>
            </w:tcBorders>
          </w:tcPr>
          <w:p>
            <w:pPr/>
          </w:p>
        </w:tc>
        <w:tc>
          <w:tcPr>
            <w:tcW w:w="1832" w:type="dxa"/>
            <w:gridSpan w:val="2"/>
            <w:tcBorders>
              <w:top w:val="single" w:sz="2" w:space="0" w:color="000000"/>
              <w:left w:val="single" w:sz="2" w:space="0" w:color="000000"/>
              <w:bottom w:val="single" w:sz="2" w:space="0" w:color="000000"/>
              <w:right w:val="single" w:sz="2" w:space="0" w:color="000000"/>
            </w:tcBorders>
          </w:tcPr>
          <w:p>
            <w:pPr>
              <w:pStyle w:val="TableParagraph"/>
              <w:spacing w:line="272" w:lineRule="exact" w:before="29"/>
              <w:ind w:left="283" w:right="159" w:hanging="106"/>
              <w:jc w:val="left"/>
              <w:rPr>
                <w:sz w:val="21"/>
              </w:rPr>
            </w:pPr>
            <w:r>
              <w:rPr>
                <w:sz w:val="21"/>
              </w:rPr>
              <w:t>橄榄大道至化肥厂道路交界处</w:t>
            </w:r>
          </w:p>
        </w:tc>
        <w:tc>
          <w:tcPr>
            <w:tcW w:w="1138"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230"/>
              <w:jc w:val="left"/>
              <w:rPr>
                <w:rFonts w:ascii="Times New Roman"/>
                <w:sz w:val="21"/>
              </w:rPr>
            </w:pPr>
            <w:r>
              <w:rPr>
                <w:rFonts w:ascii="Times New Roman"/>
                <w:sz w:val="21"/>
              </w:rPr>
              <w:t>256.3m</w:t>
            </w:r>
          </w:p>
        </w:tc>
        <w:tc>
          <w:tcPr>
            <w:tcW w:w="866" w:type="dxa"/>
            <w:tcBorders>
              <w:top w:val="single" w:sz="2" w:space="0" w:color="000000"/>
              <w:left w:val="single" w:sz="2" w:space="0" w:color="000000"/>
              <w:bottom w:val="single" w:sz="2" w:space="0" w:color="000000"/>
            </w:tcBorders>
          </w:tcPr>
          <w:p>
            <w:pPr>
              <w:pStyle w:val="TableParagraph"/>
              <w:spacing w:before="180"/>
              <w:ind w:left="226" w:right="218"/>
              <w:rPr>
                <w:rFonts w:ascii="Times New Roman"/>
                <w:sz w:val="21"/>
              </w:rPr>
            </w:pPr>
            <w:r>
              <w:rPr>
                <w:rFonts w:ascii="Times New Roman"/>
                <w:sz w:val="21"/>
              </w:rPr>
              <w:t>24m</w:t>
            </w:r>
          </w:p>
        </w:tc>
        <w:tc>
          <w:tcPr>
            <w:tcW w:w="1088" w:type="dxa"/>
            <w:tcBorders>
              <w:top w:val="single" w:sz="2" w:space="0" w:color="000000"/>
              <w:bottom w:val="single" w:sz="2" w:space="0" w:color="000000"/>
              <w:right w:val="single" w:sz="2" w:space="0" w:color="000000"/>
            </w:tcBorders>
          </w:tcPr>
          <w:p>
            <w:pPr>
              <w:pStyle w:val="TableParagraph"/>
              <w:spacing w:before="180"/>
              <w:ind w:left="199" w:right="205"/>
              <w:rPr>
                <w:rFonts w:ascii="Times New Roman"/>
                <w:sz w:val="21"/>
              </w:rPr>
            </w:pPr>
            <w:r>
              <w:rPr>
                <w:rFonts w:ascii="Times New Roman"/>
                <w:sz w:val="21"/>
              </w:rPr>
              <w:t>464.4</w:t>
            </w:r>
          </w:p>
        </w:tc>
        <w:tc>
          <w:tcPr>
            <w:tcW w:w="850" w:type="dxa"/>
            <w:tcBorders>
              <w:top w:val="single" w:sz="2" w:space="0" w:color="000000"/>
              <w:left w:val="single" w:sz="2" w:space="0" w:color="000000"/>
              <w:bottom w:val="single" w:sz="2" w:space="0" w:color="000000"/>
            </w:tcBorders>
          </w:tcPr>
          <w:p>
            <w:pPr>
              <w:pStyle w:val="TableParagraph"/>
              <w:spacing w:before="180"/>
              <w:ind w:left="107" w:right="115"/>
              <w:rPr>
                <w:rFonts w:ascii="Times New Roman"/>
                <w:sz w:val="21"/>
              </w:rPr>
            </w:pPr>
            <w:r>
              <w:rPr>
                <w:rFonts w:ascii="Times New Roman"/>
                <w:sz w:val="21"/>
              </w:rPr>
              <w:t>460.4</w:t>
            </w:r>
          </w:p>
        </w:tc>
        <w:tc>
          <w:tcPr>
            <w:tcW w:w="991" w:type="dxa"/>
            <w:gridSpan w:val="2"/>
            <w:tcBorders>
              <w:top w:val="single" w:sz="2" w:space="0" w:color="000000"/>
              <w:bottom w:val="single" w:sz="2" w:space="0" w:color="000000"/>
              <w:right w:val="single" w:sz="2" w:space="0" w:color="000000"/>
            </w:tcBorders>
          </w:tcPr>
          <w:p>
            <w:pPr>
              <w:pStyle w:val="TableParagraph"/>
              <w:spacing w:before="180"/>
              <w:ind w:left="203"/>
              <w:jc w:val="left"/>
              <w:rPr>
                <w:rFonts w:ascii="Times New Roman"/>
                <w:sz w:val="21"/>
              </w:rPr>
            </w:pPr>
            <w:r>
              <w:rPr>
                <w:rFonts w:ascii="Times New Roman"/>
                <w:sz w:val="21"/>
              </w:rPr>
              <w:t>1.62%</w:t>
            </w:r>
          </w:p>
        </w:tc>
        <w:tc>
          <w:tcPr>
            <w:tcW w:w="1184"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303"/>
              <w:jc w:val="left"/>
              <w:rPr>
                <w:rFonts w:ascii="Times New Roman"/>
                <w:sz w:val="21"/>
              </w:rPr>
            </w:pPr>
            <w:r>
              <w:rPr>
                <w:rFonts w:ascii="Times New Roman"/>
                <w:sz w:val="21"/>
              </w:rPr>
              <w:t>1.85%</w:t>
            </w:r>
          </w:p>
        </w:tc>
        <w:tc>
          <w:tcPr>
            <w:tcW w:w="290" w:type="dxa"/>
            <w:gridSpan w:val="2"/>
            <w:vMerge/>
            <w:tcBorders>
              <w:left w:val="single" w:sz="2" w:space="0" w:color="000000"/>
            </w:tcBorders>
          </w:tcPr>
          <w:p>
            <w:pPr/>
          </w:p>
        </w:tc>
      </w:tr>
      <w:tr>
        <w:trPr>
          <w:trHeight w:val="619" w:hRule="exact"/>
        </w:trPr>
        <w:tc>
          <w:tcPr>
            <w:tcW w:w="290" w:type="dxa"/>
            <w:gridSpan w:val="2"/>
            <w:vMerge/>
            <w:tcBorders>
              <w:bottom w:val="nil"/>
              <w:right w:val="single" w:sz="2" w:space="0" w:color="000000"/>
            </w:tcBorders>
          </w:tcPr>
          <w:p>
            <w:pPr/>
          </w:p>
        </w:tc>
        <w:tc>
          <w:tcPr>
            <w:tcW w:w="1832" w:type="dxa"/>
            <w:gridSpan w:val="2"/>
            <w:tcBorders>
              <w:top w:val="single" w:sz="2" w:space="0" w:color="000000"/>
              <w:left w:val="single" w:sz="2" w:space="0" w:color="000000"/>
              <w:bottom w:val="single" w:sz="2" w:space="0" w:color="000000"/>
              <w:right w:val="single" w:sz="2" w:space="0" w:color="000000"/>
            </w:tcBorders>
          </w:tcPr>
          <w:p>
            <w:pPr>
              <w:pStyle w:val="TableParagraph"/>
              <w:spacing w:line="272" w:lineRule="exact" w:before="29"/>
              <w:ind w:left="597" w:right="159" w:hanging="420"/>
              <w:jc w:val="left"/>
              <w:rPr>
                <w:sz w:val="21"/>
              </w:rPr>
            </w:pPr>
            <w:r>
              <w:rPr>
                <w:sz w:val="21"/>
              </w:rPr>
              <w:t>牛山寺至老城普路降坡</w:t>
            </w:r>
          </w:p>
        </w:tc>
        <w:tc>
          <w:tcPr>
            <w:tcW w:w="1138"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369"/>
              <w:jc w:val="left"/>
              <w:rPr>
                <w:rFonts w:ascii="Times New Roman"/>
                <w:sz w:val="21"/>
              </w:rPr>
            </w:pPr>
            <w:r>
              <w:rPr>
                <w:rFonts w:ascii="Times New Roman"/>
                <w:sz w:val="21"/>
              </w:rPr>
              <w:t>88m</w:t>
            </w:r>
          </w:p>
        </w:tc>
        <w:tc>
          <w:tcPr>
            <w:tcW w:w="866" w:type="dxa"/>
            <w:tcBorders>
              <w:top w:val="single" w:sz="2" w:space="0" w:color="000000"/>
              <w:left w:val="single" w:sz="2" w:space="0" w:color="000000"/>
              <w:bottom w:val="single" w:sz="2" w:space="0" w:color="000000"/>
            </w:tcBorders>
          </w:tcPr>
          <w:p>
            <w:pPr>
              <w:pStyle w:val="TableParagraph"/>
              <w:spacing w:before="180"/>
              <w:ind w:left="226" w:right="218"/>
              <w:rPr>
                <w:rFonts w:ascii="Times New Roman"/>
                <w:sz w:val="21"/>
              </w:rPr>
            </w:pPr>
            <w:r>
              <w:rPr>
                <w:rFonts w:ascii="Times New Roman"/>
                <w:sz w:val="21"/>
              </w:rPr>
              <w:t>24m</w:t>
            </w:r>
          </w:p>
        </w:tc>
        <w:tc>
          <w:tcPr>
            <w:tcW w:w="1088" w:type="dxa"/>
            <w:tcBorders>
              <w:top w:val="single" w:sz="2" w:space="0" w:color="000000"/>
              <w:bottom w:val="single" w:sz="2" w:space="0" w:color="000000"/>
              <w:right w:val="single" w:sz="2" w:space="0" w:color="000000"/>
            </w:tcBorders>
          </w:tcPr>
          <w:p>
            <w:pPr>
              <w:pStyle w:val="TableParagraph"/>
              <w:spacing w:before="180"/>
              <w:ind w:left="197" w:right="205"/>
              <w:rPr>
                <w:rFonts w:ascii="Times New Roman"/>
                <w:sz w:val="21"/>
              </w:rPr>
            </w:pPr>
            <w:r>
              <w:rPr>
                <w:rFonts w:ascii="Times New Roman"/>
                <w:sz w:val="21"/>
              </w:rPr>
              <w:t>460.77</w:t>
            </w:r>
          </w:p>
        </w:tc>
        <w:tc>
          <w:tcPr>
            <w:tcW w:w="850" w:type="dxa"/>
            <w:tcBorders>
              <w:top w:val="single" w:sz="2" w:space="0" w:color="000000"/>
              <w:left w:val="single" w:sz="2" w:space="0" w:color="000000"/>
              <w:bottom w:val="single" w:sz="2" w:space="0" w:color="000000"/>
            </w:tcBorders>
          </w:tcPr>
          <w:p>
            <w:pPr>
              <w:pStyle w:val="TableParagraph"/>
              <w:spacing w:before="180"/>
              <w:ind w:left="109" w:right="115"/>
              <w:rPr>
                <w:rFonts w:ascii="Times New Roman"/>
                <w:sz w:val="21"/>
              </w:rPr>
            </w:pPr>
            <w:r>
              <w:rPr>
                <w:rFonts w:ascii="Times New Roman"/>
                <w:sz w:val="21"/>
              </w:rPr>
              <w:t>458.77</w:t>
            </w:r>
          </w:p>
        </w:tc>
        <w:tc>
          <w:tcPr>
            <w:tcW w:w="991" w:type="dxa"/>
            <w:gridSpan w:val="2"/>
            <w:tcBorders>
              <w:top w:val="single" w:sz="2" w:space="0" w:color="000000"/>
              <w:bottom w:val="single" w:sz="2" w:space="0" w:color="000000"/>
              <w:right w:val="single" w:sz="2" w:space="0" w:color="000000"/>
            </w:tcBorders>
          </w:tcPr>
          <w:p>
            <w:pPr>
              <w:pStyle w:val="TableParagraph"/>
              <w:spacing w:before="180"/>
              <w:ind w:left="203"/>
              <w:jc w:val="left"/>
              <w:rPr>
                <w:rFonts w:ascii="Times New Roman"/>
                <w:sz w:val="21"/>
              </w:rPr>
            </w:pPr>
            <w:r>
              <w:rPr>
                <w:rFonts w:ascii="Times New Roman"/>
                <w:sz w:val="21"/>
              </w:rPr>
              <w:t>0.35%</w:t>
            </w:r>
          </w:p>
        </w:tc>
        <w:tc>
          <w:tcPr>
            <w:tcW w:w="1184" w:type="dxa"/>
            <w:gridSpan w:val="2"/>
            <w:tcBorders>
              <w:top w:val="single" w:sz="2" w:space="0" w:color="000000"/>
              <w:left w:val="single" w:sz="2" w:space="0" w:color="000000"/>
              <w:bottom w:val="single" w:sz="2" w:space="0" w:color="000000"/>
              <w:right w:val="single" w:sz="2" w:space="0" w:color="000000"/>
            </w:tcBorders>
          </w:tcPr>
          <w:p>
            <w:pPr>
              <w:pStyle w:val="TableParagraph"/>
              <w:spacing w:before="180"/>
              <w:ind w:left="303"/>
              <w:jc w:val="left"/>
              <w:rPr>
                <w:rFonts w:ascii="Times New Roman"/>
                <w:sz w:val="21"/>
              </w:rPr>
            </w:pPr>
            <w:r>
              <w:rPr>
                <w:rFonts w:ascii="Times New Roman"/>
                <w:sz w:val="21"/>
              </w:rPr>
              <w:t>1.85%</w:t>
            </w:r>
          </w:p>
        </w:tc>
        <w:tc>
          <w:tcPr>
            <w:tcW w:w="290" w:type="dxa"/>
            <w:gridSpan w:val="2"/>
            <w:vMerge/>
            <w:tcBorders>
              <w:left w:val="single" w:sz="2" w:space="0" w:color="000000"/>
              <w:bottom w:val="nil"/>
            </w:tcBorders>
          </w:tcPr>
          <w:p>
            <w:pPr/>
          </w:p>
        </w:tc>
      </w:tr>
      <w:tr>
        <w:trPr>
          <w:trHeight w:val="1256" w:hRule="exact"/>
        </w:trPr>
        <w:tc>
          <w:tcPr>
            <w:tcW w:w="8529" w:type="dxa"/>
            <w:gridSpan w:val="15"/>
            <w:tcBorders>
              <w:top w:val="nil"/>
              <w:bottom w:val="single" w:sz="6" w:space="0" w:color="000000"/>
            </w:tcBorders>
          </w:tcPr>
          <w:p>
            <w:pPr>
              <w:pStyle w:val="TableParagraph"/>
              <w:spacing w:line="294" w:lineRule="exact"/>
              <w:ind w:left="585"/>
              <w:jc w:val="left"/>
              <w:rPr>
                <w:b/>
                <w:sz w:val="24"/>
              </w:rPr>
            </w:pPr>
            <w:r>
              <w:rPr>
                <w:rFonts w:ascii="Times New Roman" w:eastAsia="Times New Roman"/>
                <w:b/>
                <w:w w:val="95"/>
                <w:sz w:val="24"/>
              </w:rPr>
              <w:t>3</w:t>
            </w:r>
            <w:r>
              <w:rPr>
                <w:b/>
                <w:w w:val="95"/>
                <w:sz w:val="24"/>
              </w:rPr>
              <w:t>、项目组成表</w:t>
            </w:r>
          </w:p>
          <w:p>
            <w:pPr>
              <w:pStyle w:val="TableParagraph"/>
              <w:spacing w:before="135"/>
              <w:ind w:left="583"/>
              <w:jc w:val="left"/>
              <w:rPr>
                <w:sz w:val="24"/>
              </w:rPr>
            </w:pPr>
            <w:r>
              <w:rPr>
                <w:sz w:val="24"/>
              </w:rPr>
              <w:t>项目组成及主要环境问题见下表。</w:t>
            </w:r>
          </w:p>
          <w:p>
            <w:pPr>
              <w:pStyle w:val="TableParagraph"/>
              <w:tabs>
                <w:tab w:pos="3002" w:val="left" w:leader="none"/>
              </w:tabs>
              <w:spacing w:before="150"/>
              <w:ind w:left="2141"/>
              <w:jc w:val="left"/>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spacing w:before="134"/>
              <w:ind w:left="261"/>
              <w:jc w:val="left"/>
              <w:rPr>
                <w:sz w:val="21"/>
              </w:rPr>
            </w:pPr>
            <w:r>
              <w:rPr>
                <w:sz w:val="21"/>
              </w:rPr>
              <w:t>名称</w:t>
            </w:r>
          </w:p>
        </w:tc>
        <w:tc>
          <w:tcPr>
            <w:tcW w:w="1177" w:type="dxa"/>
            <w:gridSpan w:val="2"/>
            <w:vMerge w:val="restart"/>
            <w:tcBorders>
              <w:top w:val="single" w:sz="6" w:space="0" w:color="000000"/>
              <w:left w:val="single" w:sz="6" w:space="0" w:color="000000"/>
              <w:right w:val="single" w:sz="6" w:space="0" w:color="000000"/>
            </w:tcBorders>
          </w:tcPr>
          <w:p>
            <w:pPr>
              <w:pStyle w:val="TableParagraph"/>
              <w:spacing w:before="134"/>
              <w:ind w:left="160"/>
              <w:jc w:val="left"/>
              <w:rPr>
                <w:sz w:val="21"/>
              </w:rPr>
            </w:pPr>
            <w:r>
              <w:rPr>
                <w:sz w:val="21"/>
              </w:rPr>
              <w:t>建设内容</w:t>
            </w:r>
          </w:p>
        </w:tc>
        <w:tc>
          <w:tcPr>
            <w:tcW w:w="4035" w:type="dxa"/>
            <w:gridSpan w:val="5"/>
            <w:vMerge w:val="restart"/>
            <w:tcBorders>
              <w:top w:val="single" w:sz="6" w:space="0" w:color="000000"/>
              <w:left w:val="single" w:sz="6" w:space="0" w:color="000000"/>
              <w:right w:val="single" w:sz="6" w:space="0" w:color="000000"/>
            </w:tcBorders>
          </w:tcPr>
          <w:p>
            <w:pPr>
              <w:pStyle w:val="TableParagraph"/>
              <w:spacing w:before="134"/>
              <w:ind w:left="35" w:right="35"/>
              <w:rPr>
                <w:sz w:val="21"/>
              </w:rPr>
            </w:pPr>
            <w:r>
              <w:rPr>
                <w:sz w:val="21"/>
              </w:rPr>
              <w:t>建设规模</w:t>
            </w:r>
          </w:p>
        </w:tc>
        <w:tc>
          <w:tcPr>
            <w:tcW w:w="2074" w:type="dxa"/>
            <w:gridSpan w:val="4"/>
            <w:tcBorders>
              <w:top w:val="single" w:sz="6" w:space="0" w:color="000000"/>
              <w:left w:val="single" w:sz="6" w:space="0" w:color="000000"/>
              <w:bottom w:val="single" w:sz="6" w:space="0" w:color="000000"/>
              <w:right w:val="single" w:sz="6" w:space="0" w:color="000000"/>
            </w:tcBorders>
          </w:tcPr>
          <w:p>
            <w:pPr>
              <w:pStyle w:val="TableParagraph"/>
              <w:spacing w:line="265"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7" w:type="dxa"/>
            <w:gridSpan w:val="2"/>
            <w:vMerge/>
            <w:tcBorders>
              <w:left w:val="single" w:sz="6" w:space="0" w:color="000000"/>
              <w:bottom w:val="single" w:sz="6" w:space="0" w:color="000000"/>
              <w:right w:val="single" w:sz="6" w:space="0" w:color="000000"/>
            </w:tcBorders>
          </w:tcPr>
          <w:p>
            <w:pPr/>
          </w:p>
        </w:tc>
        <w:tc>
          <w:tcPr>
            <w:tcW w:w="4035" w:type="dxa"/>
            <w:gridSpan w:val="5"/>
            <w:vMerge/>
            <w:tcBorders>
              <w:left w:val="single" w:sz="6" w:space="0" w:color="000000"/>
              <w:bottom w:val="single" w:sz="6" w:space="0" w:color="000000"/>
              <w:right w:val="single" w:sz="6" w:space="0" w:color="000000"/>
            </w:tcBorders>
          </w:tcPr>
          <w:p>
            <w:pPr/>
          </w:p>
        </w:tc>
        <w:tc>
          <w:tcPr>
            <w:tcW w:w="1181" w:type="dxa"/>
            <w:gridSpan w:val="2"/>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266"/>
              <w:jc w:val="left"/>
              <w:rPr>
                <w:sz w:val="21"/>
              </w:rPr>
            </w:pPr>
            <w:r>
              <w:rPr>
                <w:sz w:val="21"/>
              </w:rPr>
              <w:t>施工期</w:t>
            </w: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22"/>
              <w:jc w:val="left"/>
              <w:rPr>
                <w:sz w:val="21"/>
              </w:rPr>
            </w:pPr>
            <w:r>
              <w:rPr>
                <w:sz w:val="21"/>
              </w:rPr>
              <w:t>营运期</w:t>
            </w:r>
          </w:p>
        </w:tc>
        <w:tc>
          <w:tcPr>
            <w:tcW w:w="142" w:type="dxa"/>
            <w:tcBorders>
              <w:top w:val="nil"/>
              <w:left w:val="single" w:sz="6" w:space="0" w:color="000000"/>
              <w:bottom w:val="nil"/>
            </w:tcBorders>
          </w:tcPr>
          <w:p>
            <w:pPr/>
          </w:p>
        </w:tc>
      </w:tr>
      <w:tr>
        <w:trPr>
          <w:trHeight w:val="1452"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8"/>
              <w:jc w:val="left"/>
              <w:rPr>
                <w:b/>
                <w:sz w:val="29"/>
              </w:rPr>
            </w:pPr>
          </w:p>
          <w:p>
            <w:pPr>
              <w:pStyle w:val="TableParagraph"/>
              <w:ind w:left="261" w:right="244"/>
              <w:jc w:val="left"/>
              <w:rPr>
                <w:sz w:val="21"/>
              </w:rPr>
            </w:pPr>
            <w:r>
              <w:rPr>
                <w:sz w:val="21"/>
              </w:rPr>
              <w:t>主体工程</w:t>
            </w:r>
          </w:p>
        </w:tc>
        <w:tc>
          <w:tcPr>
            <w:tcW w:w="1177" w:type="dxa"/>
            <w:gridSpan w:val="2"/>
            <w:tcBorders>
              <w:top w:val="single" w:sz="6" w:space="0" w:color="000000"/>
              <w:left w:val="single" w:sz="6" w:space="0" w:color="000000"/>
              <w:right w:val="single" w:sz="6" w:space="0" w:color="000000"/>
            </w:tcBorders>
          </w:tcPr>
          <w:p>
            <w:pPr>
              <w:pStyle w:val="TableParagraph"/>
              <w:jc w:val="left"/>
              <w:rPr>
                <w:b/>
                <w:sz w:val="20"/>
              </w:rPr>
            </w:pPr>
          </w:p>
          <w:p>
            <w:pPr>
              <w:pStyle w:val="TableParagraph"/>
              <w:spacing w:before="12"/>
              <w:jc w:val="left"/>
              <w:rPr>
                <w:b/>
                <w:sz w:val="21"/>
              </w:rPr>
            </w:pPr>
          </w:p>
          <w:p>
            <w:pPr>
              <w:pStyle w:val="TableParagraph"/>
              <w:ind w:left="160"/>
              <w:jc w:val="left"/>
              <w:rPr>
                <w:sz w:val="21"/>
              </w:rPr>
            </w:pPr>
            <w:r>
              <w:rPr>
                <w:sz w:val="21"/>
              </w:rPr>
              <w:t>降坡工程</w:t>
            </w:r>
          </w:p>
        </w:tc>
        <w:tc>
          <w:tcPr>
            <w:tcW w:w="4035" w:type="dxa"/>
            <w:gridSpan w:val="5"/>
            <w:tcBorders>
              <w:top w:val="single" w:sz="6" w:space="0" w:color="000000"/>
              <w:left w:val="single" w:sz="6" w:space="0" w:color="000000"/>
              <w:right w:val="single" w:sz="6" w:space="0" w:color="000000"/>
            </w:tcBorders>
          </w:tcPr>
          <w:p>
            <w:pPr>
              <w:pStyle w:val="TableParagraph"/>
              <w:spacing w:line="240" w:lineRule="exact"/>
              <w:ind w:left="100" w:right="11"/>
              <w:jc w:val="both"/>
              <w:rPr>
                <w:sz w:val="21"/>
              </w:rPr>
            </w:pPr>
            <w:r>
              <w:rPr>
                <w:spacing w:val="-2"/>
                <w:sz w:val="21"/>
              </w:rPr>
              <w:t>涉及降坡长度：</w:t>
            </w:r>
            <w:r>
              <w:rPr>
                <w:rFonts w:ascii="Times New Roman" w:eastAsia="Times New Roman"/>
                <w:sz w:val="21"/>
              </w:rPr>
              <w:t>455.3m</w:t>
            </w:r>
            <w:r>
              <w:rPr>
                <w:spacing w:val="-9"/>
                <w:sz w:val="21"/>
              </w:rPr>
              <w:t>；降坡高程 </w:t>
            </w:r>
            <w:r>
              <w:rPr>
                <w:rFonts w:ascii="Times New Roman" w:eastAsia="Times New Roman"/>
                <w:sz w:val="21"/>
              </w:rPr>
              <w:t>2~4m</w:t>
            </w:r>
            <w:r>
              <w:rPr>
                <w:sz w:val="21"/>
              </w:rPr>
              <w:t>； </w:t>
            </w:r>
            <w:r>
              <w:rPr>
                <w:spacing w:val="-1"/>
                <w:sz w:val="21"/>
              </w:rPr>
              <w:t>橄榄大道</w:t>
            </w:r>
            <w:r>
              <w:rPr>
                <w:spacing w:val="-3"/>
                <w:sz w:val="21"/>
              </w:rPr>
              <w:t>（</w:t>
            </w:r>
            <w:r>
              <w:rPr>
                <w:spacing w:val="-2"/>
                <w:sz w:val="21"/>
              </w:rPr>
              <w:t>牛山寺</w:t>
            </w:r>
            <w:r>
              <w:rPr>
                <w:spacing w:val="-3"/>
                <w:sz w:val="21"/>
              </w:rPr>
              <w:t>）</w:t>
            </w:r>
            <w:r>
              <w:rPr>
                <w:spacing w:val="-9"/>
                <w:sz w:val="21"/>
              </w:rPr>
              <w:t>端部工程长约 </w:t>
            </w:r>
            <w:r>
              <w:rPr>
                <w:rFonts w:ascii="Times New Roman" w:eastAsia="Times New Roman"/>
                <w:spacing w:val="-5"/>
                <w:sz w:val="21"/>
              </w:rPr>
              <w:t>111m</w:t>
            </w:r>
            <w:r>
              <w:rPr>
                <w:sz w:val="21"/>
              </w:rPr>
              <w:t>、</w:t>
            </w:r>
            <w:r>
              <w:rPr>
                <w:spacing w:val="42"/>
                <w:sz w:val="21"/>
              </w:rPr>
              <w:t>橄榄大道至化肥厂道路交界处长约</w:t>
            </w:r>
          </w:p>
          <w:p>
            <w:pPr>
              <w:pStyle w:val="TableParagraph"/>
              <w:spacing w:line="240" w:lineRule="exact"/>
              <w:ind w:left="100" w:right="95"/>
              <w:jc w:val="both"/>
              <w:rPr>
                <w:sz w:val="21"/>
              </w:rPr>
            </w:pPr>
            <w:r>
              <w:rPr>
                <w:rFonts w:ascii="Times New Roman" w:hAnsi="Times New Roman" w:eastAsia="Times New Roman"/>
                <w:sz w:val="21"/>
              </w:rPr>
              <w:t>256.3m</w:t>
            </w:r>
            <w:r>
              <w:rPr>
                <w:sz w:val="21"/>
              </w:rPr>
              <w:t>、牛山寺至老城普路降坡三段道路</w:t>
            </w:r>
            <w:r>
              <w:rPr>
                <w:spacing w:val="-9"/>
                <w:sz w:val="21"/>
              </w:rPr>
              <w:t>降坡长约 </w:t>
            </w:r>
            <w:r>
              <w:rPr>
                <w:rFonts w:ascii="Times New Roman" w:hAnsi="Times New Roman" w:eastAsia="Times New Roman"/>
                <w:sz w:val="21"/>
              </w:rPr>
              <w:t>88m</w:t>
            </w:r>
            <w:r>
              <w:rPr>
                <w:spacing w:val="-7"/>
                <w:sz w:val="21"/>
              </w:rPr>
              <w:t>。总挖方量为 </w:t>
            </w:r>
            <w:r>
              <w:rPr>
                <w:rFonts w:ascii="Times New Roman" w:hAnsi="Times New Roman" w:eastAsia="Times New Roman"/>
                <w:sz w:val="21"/>
              </w:rPr>
              <w:t>23724m</w:t>
            </w:r>
            <w:r>
              <w:rPr>
                <w:sz w:val="21"/>
              </w:rPr>
              <w:t>³，填</w:t>
            </w:r>
            <w:r>
              <w:rPr>
                <w:spacing w:val="-18"/>
                <w:sz w:val="21"/>
              </w:rPr>
              <w:t>方量 </w:t>
            </w:r>
            <w:r>
              <w:rPr>
                <w:rFonts w:ascii="Times New Roman" w:hAnsi="Times New Roman" w:eastAsia="Times New Roman"/>
                <w:sz w:val="21"/>
              </w:rPr>
              <w:t>3200m</w:t>
            </w:r>
            <w:r>
              <w:rPr>
                <w:sz w:val="21"/>
              </w:rPr>
              <w:t>³，</w:t>
            </w:r>
            <w:r>
              <w:rPr>
                <w:spacing w:val="-19"/>
                <w:sz w:val="21"/>
              </w:rPr>
              <w:t>弃方 </w:t>
            </w:r>
            <w:r>
              <w:rPr>
                <w:rFonts w:ascii="Times New Roman" w:hAnsi="Times New Roman" w:eastAsia="Times New Roman"/>
                <w:sz w:val="21"/>
              </w:rPr>
              <w:t>20524 m</w:t>
            </w:r>
            <w:r>
              <w:rPr>
                <w:sz w:val="21"/>
              </w:rPr>
              <w:t>³。 </w:t>
            </w:r>
          </w:p>
        </w:tc>
        <w:tc>
          <w:tcPr>
            <w:tcW w:w="1181" w:type="dxa"/>
            <w:gridSpan w:val="2"/>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8"/>
              <w:jc w:val="left"/>
              <w:rPr>
                <w:b/>
                <w:sz w:val="20"/>
              </w:rPr>
            </w:pPr>
          </w:p>
          <w:p>
            <w:pPr>
              <w:pStyle w:val="TableParagraph"/>
              <w:spacing w:line="237" w:lineRule="auto"/>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gridSpan w:val="2"/>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5"/>
              <w:jc w:val="left"/>
              <w:rPr>
                <w:b/>
                <w:sz w:val="27"/>
              </w:rPr>
            </w:pPr>
          </w:p>
          <w:p>
            <w:pPr>
              <w:pStyle w:val="TableParagraph"/>
              <w:spacing w:line="237" w:lineRule="auto"/>
              <w:ind w:left="125" w:right="123"/>
              <w:rPr>
                <w:sz w:val="21"/>
              </w:rPr>
            </w:pPr>
            <w:r>
              <w:rPr>
                <w:sz w:val="21"/>
              </w:rPr>
              <w:t>交通噪声、汽车尾 气、汽车扬 尘、环境正影响</w:t>
            </w:r>
          </w:p>
        </w:tc>
        <w:tc>
          <w:tcPr>
            <w:tcW w:w="142" w:type="dxa"/>
            <w:vMerge w:val="restart"/>
            <w:tcBorders>
              <w:top w:val="nil"/>
              <w:left w:val="single" w:sz="6" w:space="0" w:color="000000"/>
            </w:tcBorders>
          </w:tcPr>
          <w:p>
            <w:pPr/>
          </w:p>
        </w:tc>
      </w:tr>
      <w:tr>
        <w:trPr>
          <w:trHeight w:val="4662" w:hRule="exact"/>
        </w:trPr>
        <w:tc>
          <w:tcPr>
            <w:tcW w:w="142" w:type="dxa"/>
            <w:vMerge/>
            <w:tcBorders>
              <w:bottom w:val="nil"/>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7" w:type="dxa"/>
            <w:gridSpan w:val="2"/>
            <w:tcBorders>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11"/>
              <w:jc w:val="left"/>
              <w:rPr>
                <w:b/>
                <w:sz w:val="24"/>
              </w:rPr>
            </w:pPr>
          </w:p>
          <w:p>
            <w:pPr>
              <w:pStyle w:val="TableParagraph"/>
              <w:ind w:left="160"/>
              <w:jc w:val="left"/>
              <w:rPr>
                <w:sz w:val="21"/>
              </w:rPr>
            </w:pPr>
            <w:r>
              <w:rPr>
                <w:sz w:val="21"/>
              </w:rPr>
              <w:t>道路工程</w:t>
            </w:r>
          </w:p>
        </w:tc>
        <w:tc>
          <w:tcPr>
            <w:tcW w:w="4035" w:type="dxa"/>
            <w:gridSpan w:val="5"/>
            <w:tcBorders>
              <w:left w:val="single" w:sz="6" w:space="0" w:color="000000"/>
              <w:bottom w:val="single" w:sz="6" w:space="0" w:color="000000"/>
              <w:right w:val="single" w:sz="6" w:space="0" w:color="000000"/>
            </w:tcBorders>
          </w:tcPr>
          <w:p>
            <w:pPr>
              <w:pStyle w:val="TableParagraph"/>
              <w:spacing w:line="209" w:lineRule="exact"/>
              <w:ind w:left="523"/>
              <w:jc w:val="left"/>
              <w:rPr>
                <w:sz w:val="21"/>
              </w:rPr>
            </w:pPr>
            <w:r>
              <w:rPr>
                <w:b/>
                <w:sz w:val="21"/>
              </w:rPr>
              <w:t>路基：</w:t>
            </w:r>
            <w:r>
              <w:rPr>
                <w:sz w:val="21"/>
              </w:rPr>
              <w:t>橄榄大道（牛山寺）段：长为</w:t>
            </w:r>
          </w:p>
          <w:p>
            <w:pPr>
              <w:pStyle w:val="TableParagraph"/>
              <w:spacing w:line="240" w:lineRule="exact" w:before="36"/>
              <w:ind w:left="520" w:right="64" w:hanging="420"/>
              <w:jc w:val="left"/>
              <w:rPr>
                <w:sz w:val="21"/>
              </w:rPr>
            </w:pPr>
            <w:r>
              <w:rPr>
                <w:rFonts w:ascii="Times New Roman" w:eastAsia="Times New Roman"/>
                <w:sz w:val="21"/>
              </w:rPr>
              <w:t>111m</w:t>
            </w:r>
            <w:r>
              <w:rPr>
                <w:spacing w:val="-12"/>
                <w:sz w:val="21"/>
              </w:rPr>
              <w:t>，红线宽 </w:t>
            </w:r>
            <w:r>
              <w:rPr>
                <w:rFonts w:ascii="Times New Roman" w:eastAsia="Times New Roman"/>
                <w:sz w:val="21"/>
              </w:rPr>
              <w:t>42m</w:t>
            </w:r>
            <w:r>
              <w:rPr>
                <w:spacing w:val="-12"/>
                <w:sz w:val="21"/>
              </w:rPr>
              <w:t>，设计时速 </w:t>
            </w:r>
            <w:r>
              <w:rPr>
                <w:rFonts w:ascii="Times New Roman" w:eastAsia="Times New Roman"/>
                <w:sz w:val="21"/>
              </w:rPr>
              <w:t>60km/h</w:t>
            </w:r>
            <w:r>
              <w:rPr>
                <w:sz w:val="21"/>
              </w:rPr>
              <w:t>； </w:t>
            </w:r>
            <w:r>
              <w:rPr>
                <w:spacing w:val="-6"/>
                <w:sz w:val="21"/>
              </w:rPr>
              <w:t>橄榄大道至化肥厂道路：长 </w:t>
            </w:r>
            <w:r>
              <w:rPr>
                <w:rFonts w:ascii="Times New Roman" w:eastAsia="Times New Roman"/>
                <w:sz w:val="21"/>
              </w:rPr>
              <w:t>256.3m</w:t>
            </w:r>
            <w:r>
              <w:rPr>
                <w:sz w:val="21"/>
              </w:rPr>
              <w:t>，</w:t>
            </w:r>
          </w:p>
          <w:p>
            <w:pPr>
              <w:pStyle w:val="TableParagraph"/>
              <w:spacing w:line="212" w:lineRule="exact"/>
              <w:ind w:left="100"/>
              <w:jc w:val="both"/>
              <w:rPr>
                <w:sz w:val="21"/>
              </w:rPr>
            </w:pPr>
            <w:r>
              <w:rPr>
                <w:sz w:val="21"/>
              </w:rPr>
              <w:t>红线宽 </w:t>
            </w:r>
            <w:r>
              <w:rPr>
                <w:rFonts w:ascii="Times New Roman" w:eastAsia="Times New Roman"/>
                <w:sz w:val="21"/>
              </w:rPr>
              <w:t>24m</w:t>
            </w:r>
            <w:r>
              <w:rPr>
                <w:sz w:val="21"/>
              </w:rPr>
              <w:t>，设计时速 </w:t>
            </w:r>
            <w:r>
              <w:rPr>
                <w:rFonts w:ascii="Times New Roman" w:eastAsia="Times New Roman"/>
                <w:sz w:val="21"/>
              </w:rPr>
              <w:t>30 km/h</w:t>
            </w:r>
            <w:r>
              <w:rPr>
                <w:sz w:val="21"/>
              </w:rPr>
              <w:t>；</w:t>
            </w:r>
          </w:p>
          <w:p>
            <w:pPr>
              <w:pStyle w:val="TableParagraph"/>
              <w:spacing w:line="240" w:lineRule="exact" w:before="27"/>
              <w:ind w:left="100" w:firstLine="420"/>
              <w:jc w:val="left"/>
              <w:rPr>
                <w:sz w:val="21"/>
              </w:rPr>
            </w:pPr>
            <w:r>
              <w:rPr>
                <w:sz w:val="21"/>
              </w:rPr>
              <w:t>牛山寺至老城普路段：长为 </w:t>
            </w:r>
            <w:r>
              <w:rPr>
                <w:rFonts w:ascii="Times New Roman" w:eastAsia="Times New Roman"/>
                <w:sz w:val="21"/>
              </w:rPr>
              <w:t>88m</w:t>
            </w:r>
            <w:r>
              <w:rPr>
                <w:sz w:val="21"/>
              </w:rPr>
              <w:t>，红线宽 </w:t>
            </w:r>
            <w:r>
              <w:rPr>
                <w:rFonts w:ascii="Times New Roman" w:eastAsia="Times New Roman"/>
                <w:sz w:val="21"/>
              </w:rPr>
              <w:t>24m</w:t>
            </w:r>
            <w:r>
              <w:rPr>
                <w:sz w:val="21"/>
              </w:rPr>
              <w:t>，设计时速 </w:t>
            </w:r>
            <w:r>
              <w:rPr>
                <w:rFonts w:ascii="Times New Roman" w:eastAsia="Times New Roman"/>
                <w:sz w:val="21"/>
              </w:rPr>
              <w:t>30 km/h</w:t>
            </w:r>
            <w:r>
              <w:rPr>
                <w:sz w:val="21"/>
              </w:rPr>
              <w:t>；</w:t>
            </w:r>
          </w:p>
          <w:p>
            <w:pPr>
              <w:pStyle w:val="TableParagraph"/>
              <w:spacing w:line="240" w:lineRule="exact"/>
              <w:ind w:left="100" w:firstLine="422"/>
              <w:jc w:val="left"/>
              <w:rPr>
                <w:sz w:val="21"/>
              </w:rPr>
            </w:pPr>
            <w:r>
              <w:rPr>
                <w:b/>
                <w:sz w:val="21"/>
              </w:rPr>
              <w:t>路面：</w:t>
            </w:r>
            <w:r>
              <w:rPr>
                <w:sz w:val="21"/>
              </w:rPr>
              <w:t>设计采用标准轴载，双轮组单轴 </w:t>
            </w:r>
            <w:r>
              <w:rPr>
                <w:rFonts w:ascii="Times New Roman" w:eastAsia="Times New Roman"/>
                <w:sz w:val="21"/>
              </w:rPr>
              <w:t>100KN</w:t>
            </w:r>
            <w:r>
              <w:rPr>
                <w:sz w:val="21"/>
              </w:rPr>
              <w:t>（</w:t>
            </w:r>
            <w:r>
              <w:rPr>
                <w:rFonts w:ascii="Times New Roman" w:eastAsia="Times New Roman"/>
                <w:sz w:val="21"/>
              </w:rPr>
              <w:t>BZZ-100</w:t>
            </w:r>
            <w:r>
              <w:rPr>
                <w:sz w:val="21"/>
              </w:rPr>
              <w:t>）。</w:t>
            </w:r>
          </w:p>
          <w:p>
            <w:pPr>
              <w:pStyle w:val="TableParagraph"/>
              <w:spacing w:line="248" w:lineRule="exact"/>
              <w:ind w:left="100"/>
              <w:jc w:val="both"/>
              <w:rPr>
                <w:sz w:val="21"/>
              </w:rPr>
            </w:pPr>
            <w:r>
              <w:rPr>
                <w:sz w:val="21"/>
              </w:rPr>
              <w:t>车行道</w:t>
            </w:r>
            <w:r>
              <w:rPr>
                <w:rFonts w:ascii="Times New Roman" w:eastAsia="Times New Roman"/>
                <w:sz w:val="21"/>
              </w:rPr>
              <w:t>: 4</w:t>
            </w:r>
            <w:r>
              <w:rPr>
                <w:sz w:val="21"/>
              </w:rPr>
              <w:t>厘米细粒式沥青砼面层</w:t>
            </w:r>
            <w:r>
              <w:rPr>
                <w:rFonts w:ascii="Times New Roman" w:eastAsia="Times New Roman"/>
                <w:sz w:val="21"/>
              </w:rPr>
              <w:t>+5</w:t>
            </w:r>
            <w:r>
              <w:rPr>
                <w:sz w:val="21"/>
              </w:rPr>
              <w:t>厘米中</w:t>
            </w:r>
          </w:p>
          <w:p>
            <w:pPr>
              <w:pStyle w:val="TableParagraph"/>
              <w:spacing w:line="272" w:lineRule="exact" w:before="18"/>
              <w:ind w:left="100"/>
              <w:jc w:val="left"/>
              <w:rPr>
                <w:sz w:val="21"/>
              </w:rPr>
            </w:pPr>
            <w:r>
              <w:rPr>
                <w:spacing w:val="-2"/>
                <w:sz w:val="21"/>
              </w:rPr>
              <w:t>粒式沥青砼</w:t>
            </w:r>
            <w:r>
              <w:rPr>
                <w:rFonts w:ascii="Times New Roman" w:eastAsia="Times New Roman"/>
                <w:sz w:val="21"/>
              </w:rPr>
              <w:t>+20</w:t>
            </w:r>
            <w:r>
              <w:rPr>
                <w:spacing w:val="-9"/>
                <w:sz w:val="21"/>
              </w:rPr>
              <w:t>厘米水稳层</w:t>
            </w:r>
            <w:r>
              <w:rPr>
                <w:sz w:val="21"/>
              </w:rPr>
              <w:t>（</w:t>
            </w:r>
            <w:r>
              <w:rPr>
                <w:spacing w:val="-2"/>
                <w:sz w:val="21"/>
              </w:rPr>
              <w:t>水泥</w:t>
            </w:r>
            <w:r>
              <w:rPr>
                <w:rFonts w:ascii="Times New Roman" w:eastAsia="Times New Roman"/>
                <w:spacing w:val="-6"/>
                <w:sz w:val="21"/>
              </w:rPr>
              <w:t>5%</w:t>
            </w:r>
            <w:r>
              <w:rPr>
                <w:spacing w:val="-6"/>
                <w:sz w:val="21"/>
              </w:rPr>
              <w:t>）</w:t>
            </w:r>
            <w:r>
              <w:rPr>
                <w:rFonts w:ascii="Times New Roman" w:eastAsia="Times New Roman"/>
                <w:spacing w:val="-6"/>
                <w:sz w:val="21"/>
              </w:rPr>
              <w:t>+20 </w:t>
            </w:r>
            <w:r>
              <w:rPr>
                <w:spacing w:val="-12"/>
                <w:sz w:val="21"/>
              </w:rPr>
              <w:t>厘米石灰、粉煤灰、碎石基层</w:t>
            </w:r>
            <w:r>
              <w:rPr>
                <w:spacing w:val="-9"/>
                <w:sz w:val="21"/>
              </w:rPr>
              <w:t>（</w:t>
            </w:r>
            <w:r>
              <w:rPr>
                <w:rFonts w:ascii="Times New Roman" w:eastAsia="Times New Roman"/>
                <w:spacing w:val="-9"/>
                <w:sz w:val="21"/>
              </w:rPr>
              <w:t>7</w:t>
            </w:r>
            <w:r>
              <w:rPr>
                <w:spacing w:val="-9"/>
                <w:sz w:val="21"/>
              </w:rPr>
              <w:t>：</w:t>
            </w:r>
            <w:r>
              <w:rPr>
                <w:rFonts w:ascii="Times New Roman" w:eastAsia="Times New Roman"/>
                <w:spacing w:val="-9"/>
                <w:sz w:val="21"/>
              </w:rPr>
              <w:t>13</w:t>
            </w:r>
            <w:r>
              <w:rPr>
                <w:spacing w:val="-9"/>
                <w:sz w:val="21"/>
              </w:rPr>
              <w:t>：</w:t>
            </w:r>
            <w:r>
              <w:rPr>
                <w:rFonts w:ascii="Times New Roman" w:eastAsia="Times New Roman"/>
                <w:spacing w:val="-9"/>
                <w:sz w:val="21"/>
              </w:rPr>
              <w:t>80</w:t>
            </w:r>
            <w:r>
              <w:rPr>
                <w:spacing w:val="-9"/>
                <w:sz w:val="21"/>
              </w:rPr>
              <w:t>）</w:t>
            </w:r>
          </w:p>
          <w:p>
            <w:pPr>
              <w:pStyle w:val="TableParagraph"/>
              <w:spacing w:line="272" w:lineRule="exact" w:before="1"/>
              <w:ind w:left="100" w:right="93"/>
              <w:jc w:val="both"/>
              <w:rPr>
                <w:sz w:val="21"/>
              </w:rPr>
            </w:pPr>
            <w:r>
              <w:rPr>
                <w:rFonts w:ascii="Times New Roman" w:eastAsia="Times New Roman"/>
                <w:sz w:val="21"/>
              </w:rPr>
              <w:t>+20</w:t>
            </w:r>
            <w:r>
              <w:rPr>
                <w:spacing w:val="-9"/>
                <w:sz w:val="21"/>
              </w:rPr>
              <w:t>厘米石灰、碎石基层</w:t>
            </w:r>
            <w:r>
              <w:rPr>
                <w:spacing w:val="-8"/>
                <w:sz w:val="21"/>
              </w:rPr>
              <w:t>（</w:t>
            </w:r>
            <w:r>
              <w:rPr>
                <w:rFonts w:ascii="Times New Roman" w:eastAsia="Times New Roman"/>
                <w:spacing w:val="-8"/>
                <w:sz w:val="21"/>
              </w:rPr>
              <w:t>7</w:t>
            </w:r>
            <w:r>
              <w:rPr>
                <w:spacing w:val="-8"/>
                <w:sz w:val="21"/>
              </w:rPr>
              <w:t>：</w:t>
            </w:r>
            <w:r>
              <w:rPr>
                <w:rFonts w:ascii="Times New Roman" w:eastAsia="Times New Roman"/>
                <w:spacing w:val="-8"/>
                <w:sz w:val="21"/>
              </w:rPr>
              <w:t>93</w:t>
            </w:r>
            <w:r>
              <w:rPr>
                <w:spacing w:val="-8"/>
                <w:sz w:val="21"/>
              </w:rPr>
              <w:t>）</w:t>
            </w:r>
            <w:r>
              <w:rPr>
                <w:rFonts w:ascii="Times New Roman" w:eastAsia="Times New Roman"/>
                <w:spacing w:val="-8"/>
                <w:sz w:val="21"/>
              </w:rPr>
              <w:t>+</w:t>
            </w:r>
            <w:r>
              <w:rPr>
                <w:spacing w:val="-2"/>
                <w:sz w:val="21"/>
              </w:rPr>
              <w:t>页岩分</w:t>
            </w:r>
            <w:r>
              <w:rPr>
                <w:spacing w:val="-3"/>
                <w:sz w:val="21"/>
              </w:rPr>
              <w:t>层压实。</w:t>
            </w:r>
          </w:p>
          <w:p>
            <w:pPr>
              <w:pStyle w:val="TableParagraph"/>
              <w:spacing w:line="225" w:lineRule="auto"/>
              <w:ind w:left="100" w:right="132"/>
              <w:jc w:val="both"/>
              <w:rPr>
                <w:sz w:val="21"/>
              </w:rPr>
            </w:pPr>
            <w:r>
              <w:rPr>
                <w:sz w:val="21"/>
              </w:rPr>
              <w:t>人行道：</w:t>
            </w:r>
            <w:r>
              <w:rPr>
                <w:rFonts w:ascii="Times New Roman" w:eastAsia="Times New Roman"/>
                <w:sz w:val="21"/>
              </w:rPr>
              <w:t>250*500*50mm</w:t>
            </w:r>
            <w:r>
              <w:rPr>
                <w:sz w:val="21"/>
              </w:rPr>
              <w:t>条纹面砖</w:t>
            </w:r>
            <w:r>
              <w:rPr>
                <w:rFonts w:ascii="Times New Roman" w:eastAsia="Times New Roman"/>
                <w:sz w:val="21"/>
              </w:rPr>
              <w:t>+60mm </w:t>
            </w:r>
            <w:r>
              <w:rPr>
                <w:sz w:val="21"/>
              </w:rPr>
              <w:t>厚</w:t>
            </w:r>
            <w:r>
              <w:rPr>
                <w:rFonts w:ascii="Times New Roman" w:eastAsia="Times New Roman"/>
                <w:sz w:val="21"/>
              </w:rPr>
              <w:t>C10</w:t>
            </w:r>
            <w:r>
              <w:rPr>
                <w:sz w:val="21"/>
              </w:rPr>
              <w:t>砼垫层</w:t>
            </w:r>
            <w:r>
              <w:rPr>
                <w:rFonts w:ascii="Times New Roman" w:eastAsia="Times New Roman"/>
                <w:sz w:val="21"/>
              </w:rPr>
              <w:t>+50mm</w:t>
            </w:r>
            <w:r>
              <w:rPr>
                <w:sz w:val="21"/>
              </w:rPr>
              <w:t>厚填隙碎石层</w:t>
            </w:r>
            <w:r>
              <w:rPr>
                <w:rFonts w:ascii="Times New Roman" w:eastAsia="Times New Roman"/>
                <w:sz w:val="21"/>
              </w:rPr>
              <w:t>+</w:t>
            </w:r>
            <w:r>
              <w:rPr>
                <w:sz w:val="21"/>
              </w:rPr>
              <w:t>页岩分层压实，同时为了方便残疾人通行，人</w:t>
            </w:r>
          </w:p>
          <w:p>
            <w:pPr>
              <w:pStyle w:val="TableParagraph"/>
              <w:spacing w:before="9"/>
              <w:ind w:left="100" w:right="132"/>
              <w:jc w:val="both"/>
              <w:rPr>
                <w:sz w:val="21"/>
              </w:rPr>
            </w:pPr>
            <w:r>
              <w:rPr>
                <w:sz w:val="21"/>
              </w:rPr>
              <w:t>行道上面层方块转按照无障碍设计设置盲道和无障碍通道。</w:t>
            </w:r>
          </w:p>
        </w:tc>
        <w:tc>
          <w:tcPr>
            <w:tcW w:w="1181" w:type="dxa"/>
            <w:gridSpan w:val="2"/>
            <w:vMerge/>
            <w:tcBorders>
              <w:left w:val="single" w:sz="6" w:space="0" w:color="000000"/>
              <w:right w:val="single" w:sz="6" w:space="0" w:color="000000"/>
            </w:tcBorders>
          </w:tcPr>
          <w:p>
            <w:pPr/>
          </w:p>
        </w:tc>
        <w:tc>
          <w:tcPr>
            <w:tcW w:w="893" w:type="dxa"/>
            <w:gridSpan w:val="2"/>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2071" w:hRule="exact"/>
        </w:trPr>
        <w:tc>
          <w:tcPr>
            <w:tcW w:w="142" w:type="dxa"/>
            <w:vMerge w:val="restart"/>
            <w:tcBorders>
              <w:top w:val="nil"/>
              <w:right w:val="single" w:sz="6" w:space="0" w:color="000000"/>
            </w:tcBorders>
          </w:tcPr>
          <w:p>
            <w:pPr/>
          </w:p>
        </w:tc>
        <w:tc>
          <w:tcPr>
            <w:tcW w:w="960" w:type="dxa"/>
            <w:gridSpan w:val="2"/>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line="272" w:lineRule="exact" w:before="170"/>
              <w:ind w:left="367" w:right="140" w:hanging="212"/>
              <w:jc w:val="left"/>
              <w:rPr>
                <w:sz w:val="21"/>
              </w:rPr>
            </w:pPr>
            <w:r>
              <w:rPr>
                <w:sz w:val="21"/>
              </w:rPr>
              <w:t>附属工程</w:t>
            </w:r>
          </w:p>
        </w:tc>
        <w:tc>
          <w:tcPr>
            <w:tcW w:w="1177" w:type="dxa"/>
            <w:gridSpan w:val="2"/>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2"/>
              <w:jc w:val="left"/>
              <w:rPr>
                <w:b/>
                <w:sz w:val="15"/>
              </w:rPr>
            </w:pPr>
          </w:p>
          <w:p>
            <w:pPr>
              <w:pStyle w:val="TableParagraph"/>
              <w:ind w:left="369" w:right="142" w:hanging="209"/>
              <w:jc w:val="left"/>
              <w:rPr>
                <w:sz w:val="21"/>
              </w:rPr>
            </w:pPr>
            <w:r>
              <w:rPr>
                <w:sz w:val="21"/>
              </w:rPr>
              <w:t>雨污管网安装</w:t>
            </w:r>
          </w:p>
        </w:tc>
        <w:tc>
          <w:tcPr>
            <w:tcW w:w="4035" w:type="dxa"/>
            <w:gridSpan w:val="5"/>
            <w:tcBorders>
              <w:top w:val="single" w:sz="6" w:space="0" w:color="000000"/>
              <w:left w:val="single" w:sz="6" w:space="0" w:color="000000"/>
              <w:bottom w:val="single" w:sz="6" w:space="0" w:color="000000"/>
              <w:right w:val="single" w:sz="6" w:space="0" w:color="000000"/>
            </w:tcBorders>
          </w:tcPr>
          <w:p>
            <w:pPr>
              <w:pStyle w:val="TableParagraph"/>
              <w:spacing w:line="230" w:lineRule="auto" w:before="26"/>
              <w:ind w:left="100" w:right="10"/>
              <w:jc w:val="left"/>
              <w:rPr>
                <w:sz w:val="21"/>
              </w:rPr>
            </w:pPr>
            <w:r>
              <w:rPr>
                <w:spacing w:val="-3"/>
                <w:sz w:val="21"/>
              </w:rPr>
              <w:t>雨水管道：铺设雨水管道采用柔性承插接</w:t>
            </w:r>
            <w:r>
              <w:rPr>
                <w:spacing w:val="-6"/>
                <w:sz w:val="21"/>
              </w:rPr>
              <w:t>口钢筋混凝土管材，距道路中线 </w:t>
            </w:r>
            <w:r>
              <w:rPr>
                <w:rFonts w:ascii="Times New Roman" w:eastAsia="Times New Roman"/>
                <w:sz w:val="21"/>
              </w:rPr>
              <w:t>15~20m</w:t>
            </w:r>
            <w:r>
              <w:rPr>
                <w:sz w:val="21"/>
              </w:rPr>
              <w:t>， </w:t>
            </w:r>
            <w:r>
              <w:rPr>
                <w:spacing w:val="25"/>
                <w:sz w:val="21"/>
              </w:rPr>
              <w:t>管径</w:t>
            </w:r>
            <w:r>
              <w:rPr>
                <w:rFonts w:ascii="Times New Roman" w:eastAsia="Times New Roman"/>
                <w:spacing w:val="-3"/>
                <w:sz w:val="21"/>
              </w:rPr>
              <w:t>DN600~800</w:t>
            </w:r>
            <w:r>
              <w:rPr>
                <w:spacing w:val="-3"/>
                <w:sz w:val="21"/>
              </w:rPr>
              <w:t>，雨水检查井与雨水检查</w:t>
            </w:r>
            <w:r>
              <w:rPr>
                <w:spacing w:val="-13"/>
                <w:sz w:val="21"/>
              </w:rPr>
              <w:t>井采用 </w:t>
            </w:r>
            <w:r>
              <w:rPr>
                <w:rFonts w:ascii="Times New Roman" w:eastAsia="Times New Roman"/>
                <w:sz w:val="21"/>
              </w:rPr>
              <w:t>DN400 </w:t>
            </w:r>
            <w:r>
              <w:rPr>
                <w:spacing w:val="-3"/>
                <w:sz w:val="21"/>
              </w:rPr>
              <w:t>钢筋混凝土平口管连接。</w:t>
            </w:r>
          </w:p>
          <w:p>
            <w:pPr>
              <w:pStyle w:val="TableParagraph"/>
              <w:spacing w:line="230" w:lineRule="auto" w:before="42"/>
              <w:ind w:left="100" w:right="103"/>
              <w:jc w:val="both"/>
              <w:rPr>
                <w:sz w:val="21"/>
              </w:rPr>
            </w:pPr>
            <w:r>
              <w:rPr>
                <w:sz w:val="21"/>
              </w:rPr>
              <w:t>污水管道：新建污水管道采用柔性承插接口钢筋混凝土管材，管径</w:t>
            </w:r>
            <w:r>
              <w:rPr>
                <w:rFonts w:ascii="Times New Roman" w:eastAsia="Times New Roman"/>
                <w:sz w:val="21"/>
              </w:rPr>
              <w:t>DN600~800</w:t>
            </w:r>
            <w:r>
              <w:rPr>
                <w:sz w:val="21"/>
              </w:rPr>
              <w:t>，道路两侧分别预埋用户支管。</w:t>
            </w:r>
          </w:p>
        </w:tc>
        <w:tc>
          <w:tcPr>
            <w:tcW w:w="1181" w:type="dxa"/>
            <w:gridSpan w:val="2"/>
            <w:vMerge/>
            <w:tcBorders>
              <w:left w:val="single" w:sz="6" w:space="0" w:color="000000"/>
              <w:right w:val="single" w:sz="6" w:space="0" w:color="000000"/>
            </w:tcBorders>
          </w:tcPr>
          <w:p>
            <w:pP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46" w:hRule="exact"/>
        </w:trPr>
        <w:tc>
          <w:tcPr>
            <w:tcW w:w="142" w:type="dxa"/>
            <w:vMerge/>
            <w:tcBorders>
              <w:right w:val="single" w:sz="6" w:space="0" w:color="000000"/>
            </w:tcBorders>
          </w:tcPr>
          <w:p>
            <w:pPr/>
          </w:p>
        </w:tc>
        <w:tc>
          <w:tcPr>
            <w:tcW w:w="960" w:type="dxa"/>
            <w:gridSpan w:val="2"/>
            <w:vMerge/>
            <w:tcBorders>
              <w:left w:val="single" w:sz="6" w:space="0" w:color="000000"/>
              <w:bottom w:val="single" w:sz="6" w:space="0" w:color="000000"/>
              <w:right w:val="single" w:sz="6" w:space="0" w:color="000000"/>
            </w:tcBorders>
          </w:tcPr>
          <w:p>
            <w:pPr/>
          </w:p>
        </w:tc>
        <w:tc>
          <w:tcPr>
            <w:tcW w:w="1177" w:type="dxa"/>
            <w:gridSpan w:val="2"/>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22"/>
              </w:rPr>
            </w:pPr>
          </w:p>
          <w:p>
            <w:pPr>
              <w:pStyle w:val="TableParagraph"/>
              <w:ind w:left="160"/>
              <w:jc w:val="left"/>
              <w:rPr>
                <w:sz w:val="21"/>
              </w:rPr>
            </w:pPr>
            <w:r>
              <w:rPr>
                <w:sz w:val="21"/>
              </w:rPr>
              <w:t>照明工程</w:t>
            </w:r>
          </w:p>
        </w:tc>
        <w:tc>
          <w:tcPr>
            <w:tcW w:w="4035" w:type="dxa"/>
            <w:gridSpan w:val="5"/>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10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gridSpan w:val="2"/>
            <w:vMerge/>
            <w:tcBorders>
              <w:left w:val="single" w:sz="6" w:space="0" w:color="000000"/>
              <w:bottom w:val="single" w:sz="6" w:space="0" w:color="000000"/>
              <w:right w:val="single" w:sz="6" w:space="0" w:color="000000"/>
            </w:tcBorders>
          </w:tcPr>
          <w:p>
            <w:pPr/>
          </w:p>
        </w:tc>
        <w:tc>
          <w:tcPr>
            <w:tcW w:w="893" w:type="dxa"/>
            <w:gridSpan w:val="2"/>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946" w:hRule="exact"/>
        </w:trPr>
        <w:tc>
          <w:tcPr>
            <w:tcW w:w="142" w:type="dxa"/>
            <w:tcBorders>
              <w:bottom w:val="nil"/>
              <w:right w:val="single" w:sz="6" w:space="0" w:color="000000"/>
            </w:tcBorders>
          </w:tcPr>
          <w:p>
            <w:pPr/>
          </w:p>
        </w:tc>
        <w:tc>
          <w:tcPr>
            <w:tcW w:w="960" w:type="dxa"/>
            <w:tcBorders>
              <w:top w:val="single" w:sz="10" w:space="0" w:color="000000"/>
              <w:left w:val="single" w:sz="6" w:space="0" w:color="000000"/>
              <w:bottom w:val="single" w:sz="6" w:space="0" w:color="000000"/>
              <w:right w:val="single" w:sz="6" w:space="0" w:color="000000"/>
            </w:tcBorders>
          </w:tcPr>
          <w:p>
            <w:pPr/>
          </w:p>
        </w:tc>
        <w:tc>
          <w:tcPr>
            <w:tcW w:w="1177" w:type="dxa"/>
            <w:tcBorders>
              <w:top w:val="single" w:sz="10" w:space="0" w:color="000000"/>
              <w:left w:val="single" w:sz="6" w:space="0" w:color="000000"/>
              <w:bottom w:val="single" w:sz="6" w:space="0" w:color="000000"/>
              <w:right w:val="single" w:sz="6" w:space="0" w:color="000000"/>
            </w:tcBorders>
          </w:tcPr>
          <w:p>
            <w:pPr>
              <w:pStyle w:val="TableParagraph"/>
              <w:spacing w:before="1"/>
              <w:jc w:val="left"/>
              <w:rPr>
                <w:b/>
                <w:sz w:val="22"/>
              </w:rPr>
            </w:pPr>
          </w:p>
          <w:p>
            <w:pPr>
              <w:pStyle w:val="TableParagraph"/>
              <w:ind w:left="160"/>
              <w:jc w:val="left"/>
              <w:rPr>
                <w:sz w:val="21"/>
              </w:rPr>
            </w:pPr>
            <w:r>
              <w:rPr>
                <w:sz w:val="21"/>
              </w:rPr>
              <w:t>绿化工程</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37" w:lineRule="auto" w:before="18"/>
              <w:ind w:left="100" w:right="132"/>
              <w:jc w:val="both"/>
              <w:rPr>
                <w:sz w:val="21"/>
              </w:rPr>
            </w:pPr>
            <w:r>
              <w:rPr>
                <w:sz w:val="21"/>
              </w:rPr>
              <w:t>在道路两侧和中央设置防护绿化带，道路两侧种植天竺桂、草皮和花卉，人行道一侧种植行道树。</w:t>
            </w:r>
          </w:p>
        </w:tc>
        <w:tc>
          <w:tcPr>
            <w:tcW w:w="1181" w:type="dxa"/>
            <w:tcBorders>
              <w:top w:val="single" w:sz="10" w:space="0" w:color="000000"/>
              <w:left w:val="single" w:sz="6" w:space="0" w:color="000000"/>
              <w:bottom w:val="single" w:sz="6" w:space="0" w:color="000000"/>
              <w:right w:val="single" w:sz="6" w:space="0" w:color="000000"/>
            </w:tcBorders>
          </w:tcPr>
          <w:p>
            <w:pPr/>
          </w:p>
        </w:tc>
        <w:tc>
          <w:tcPr>
            <w:tcW w:w="893" w:type="dxa"/>
            <w:tcBorders>
              <w:top w:val="single" w:sz="10" w:space="0" w:color="000000"/>
              <w:left w:val="single" w:sz="6" w:space="0" w:color="000000"/>
              <w:bottom w:val="single" w:sz="6" w:space="0" w:color="000000"/>
              <w:right w:val="single" w:sz="6" w:space="0" w:color="000000"/>
            </w:tcBorders>
          </w:tcPr>
          <w:p>
            <w:pPr>
              <w:pStyle w:val="TableParagraph"/>
              <w:spacing w:before="4"/>
              <w:jc w:val="left"/>
              <w:rPr>
                <w:b/>
                <w:sz w:val="25"/>
              </w:rPr>
            </w:pPr>
          </w:p>
          <w:p>
            <w:pPr>
              <w:pStyle w:val="TableParagraph"/>
              <w:ind w:left="1"/>
              <w:rPr>
                <w:rFonts w:ascii="Times New Roman"/>
                <w:sz w:val="21"/>
              </w:rPr>
            </w:pPr>
            <w:r>
              <w:rPr>
                <w:rFonts w:ascii="Times New Roman"/>
                <w:w w:val="100"/>
                <w:sz w:val="21"/>
              </w:rPr>
              <w:t>/</w:t>
            </w:r>
          </w:p>
        </w:tc>
        <w:tc>
          <w:tcPr>
            <w:tcW w:w="142" w:type="dxa"/>
            <w:tcBorders>
              <w:left w:val="single" w:sz="6" w:space="0" w:color="000000"/>
              <w:bottom w:val="nil"/>
            </w:tcBorders>
          </w:tcPr>
          <w:p>
            <w:pPr/>
          </w:p>
        </w:tc>
      </w:tr>
      <w:tr>
        <w:trPr>
          <w:trHeight w:val="1747"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5"/>
              <w:jc w:val="left"/>
              <w:rPr>
                <w:b/>
                <w:sz w:val="18"/>
              </w:rPr>
            </w:pPr>
          </w:p>
          <w:p>
            <w:pPr>
              <w:pStyle w:val="TableParagraph"/>
              <w:ind w:left="367" w:right="140" w:hanging="212"/>
              <w:jc w:val="left"/>
              <w:rPr>
                <w:sz w:val="21"/>
              </w:rPr>
            </w:pPr>
            <w:r>
              <w:rPr>
                <w:sz w:val="21"/>
              </w:rPr>
              <w:t>临时工程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spacing w:before="164"/>
              <w:ind w:left="160"/>
              <w:jc w:val="left"/>
              <w:rPr>
                <w:sz w:val="21"/>
              </w:rPr>
            </w:pPr>
            <w:r>
              <w:rPr>
                <w:sz w:val="21"/>
              </w:rPr>
              <w:t>施工场地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0" w:lineRule="auto" w:before="18"/>
              <w:ind w:left="100" w:right="132"/>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1 </w:t>
            </w:r>
            <w:r>
              <w:rPr>
                <w:sz w:val="21"/>
              </w:rPr>
              <w:t>个施</w:t>
            </w:r>
            <w:r>
              <w:rPr>
                <w:spacing w:val="-8"/>
                <w:sz w:val="21"/>
              </w:rPr>
              <w:t>工场地。红线北侧 </w:t>
            </w:r>
            <w:r>
              <w:rPr>
                <w:rFonts w:ascii="Times New Roman" w:eastAsia="Times New Roman"/>
                <w:sz w:val="21"/>
              </w:rPr>
              <w:t>50m </w:t>
            </w:r>
            <w:r>
              <w:rPr>
                <w:spacing w:val="-1"/>
                <w:sz w:val="21"/>
              </w:rPr>
              <w:t>处，占地面积</w:t>
            </w:r>
          </w:p>
          <w:p>
            <w:pPr>
              <w:pStyle w:val="TableParagraph"/>
              <w:spacing w:line="230" w:lineRule="auto"/>
              <w:ind w:left="100" w:right="-8"/>
              <w:jc w:val="left"/>
              <w:rPr>
                <w:sz w:val="21"/>
              </w:rPr>
            </w:pPr>
            <w:r>
              <w:rPr>
                <w:rFonts w:ascii="Times New Roman" w:eastAsia="Times New Roman"/>
                <w:sz w:val="21"/>
              </w:rPr>
              <w:t>200m</w:t>
            </w:r>
            <w:r>
              <w:rPr>
                <w:rFonts w:ascii="Times New Roman" w:eastAsia="Times New Roman"/>
                <w:position w:val="10"/>
                <w:sz w:val="14"/>
              </w:rPr>
              <w:t>2</w:t>
            </w:r>
            <w:r>
              <w:rPr>
                <w:sz w:val="21"/>
              </w:rPr>
              <w:t>，包括临时办公、材料仓库和堆场、机械设备临时堆放场等，不另设料场。占地类型为农田。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21"/>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6" w:space="0" w:color="000000"/>
              <w:left w:val="single" w:sz="6" w:space="0" w:color="000000"/>
              <w:right w:val="single" w:sz="6" w:space="0" w:color="000000"/>
            </w:tcBorders>
          </w:tcPr>
          <w:p>
            <w:pPr>
              <w:pStyle w:val="TableParagraph"/>
              <w:jc w:val="left"/>
              <w:rPr>
                <w:b/>
                <w:sz w:val="22"/>
              </w:rPr>
            </w:pPr>
          </w:p>
          <w:p>
            <w:pPr>
              <w:pStyle w:val="TableParagraph"/>
              <w:jc w:val="left"/>
              <w:rPr>
                <w:b/>
                <w:sz w:val="22"/>
              </w:rPr>
            </w:pPr>
          </w:p>
          <w:p>
            <w:pPr>
              <w:pStyle w:val="TableParagraph"/>
              <w:jc w:val="left"/>
              <w:rPr>
                <w:b/>
                <w:sz w:val="22"/>
              </w:rPr>
            </w:pPr>
          </w:p>
          <w:p>
            <w:pPr>
              <w:pStyle w:val="TableParagraph"/>
              <w:spacing w:before="11"/>
              <w:jc w:val="left"/>
              <w:rPr>
                <w:b/>
                <w:sz w:val="23"/>
              </w:rPr>
            </w:pPr>
          </w:p>
          <w:p>
            <w:pPr>
              <w:pStyle w:val="TableParagraph"/>
              <w:ind w:left="1"/>
              <w:rPr>
                <w:rFonts w:ascii="Times New Roman"/>
                <w:sz w:val="21"/>
              </w:rPr>
            </w:pPr>
            <w:r>
              <w:rPr>
                <w:rFonts w:ascii="Times New Roman"/>
                <w:w w:val="100"/>
                <w:sz w:val="21"/>
              </w:rPr>
              <w:t>/</w:t>
            </w:r>
          </w:p>
        </w:tc>
        <w:tc>
          <w:tcPr>
            <w:tcW w:w="142" w:type="dxa"/>
            <w:vMerge w:val="restart"/>
            <w:tcBorders>
              <w:top w:val="nil"/>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66"/>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6"/>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left="542"/>
              <w:jc w:val="left"/>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4"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5"/>
              <w:ind w:left="542"/>
              <w:jc w:val="left"/>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5"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17"/>
              </w:rPr>
            </w:pPr>
          </w:p>
          <w:p>
            <w:pPr>
              <w:pStyle w:val="TableParagraph"/>
              <w:ind w:left="475" w:right="142" w:hanging="315"/>
              <w:jc w:val="left"/>
              <w:rPr>
                <w:sz w:val="21"/>
              </w:rPr>
            </w:pPr>
            <w:r>
              <w:rPr>
                <w:sz w:val="21"/>
              </w:rPr>
              <w:t>临时弃渣场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36" w:right="35"/>
              <w:rPr>
                <w:rFonts w:ascii="Times New Roman" w:eastAsia="Times New Roman"/>
                <w:sz w:val="21"/>
              </w:rPr>
            </w:pPr>
            <w:r>
              <w:rPr>
                <w:sz w:val="21"/>
              </w:rPr>
              <w:t>设置一个临时弃渣场，位于红线北侧 </w:t>
            </w:r>
            <w:r>
              <w:rPr>
                <w:rFonts w:ascii="Times New Roman" w:eastAsia="Times New Roman"/>
                <w:sz w:val="21"/>
              </w:rPr>
              <w:t>50m</w:t>
            </w:r>
          </w:p>
          <w:p>
            <w:pPr>
              <w:pStyle w:val="TableParagraph"/>
              <w:spacing w:line="230" w:lineRule="auto"/>
              <w:ind w:left="117" w:right="115" w:firstLine="2"/>
              <w:rPr>
                <w:sz w:val="21"/>
              </w:rPr>
            </w:pPr>
            <w:r>
              <w:rPr>
                <w:spacing w:val="-8"/>
                <w:sz w:val="21"/>
              </w:rPr>
              <w:t>处，占地面积 </w:t>
            </w:r>
            <w:r>
              <w:rPr>
                <w:rFonts w:ascii="Times New Roman" w:eastAsia="Times New Roman"/>
                <w:sz w:val="21"/>
              </w:rPr>
              <w:t>200m</w:t>
            </w:r>
            <w:r>
              <w:rPr>
                <w:rFonts w:ascii="Times New Roman" w:eastAsia="Times New Roman"/>
                <w:position w:val="10"/>
                <w:sz w:val="14"/>
              </w:rPr>
              <w:t>2</w:t>
            </w:r>
            <w:r>
              <w:rPr>
                <w:spacing w:val="-3"/>
                <w:sz w:val="21"/>
              </w:rPr>
              <w:t>，用于施工期土石方的临时堆存。占地类型为农田。本项目不设取、弃土场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7"/>
              <w:jc w:val="left"/>
              <w:rPr>
                <w:b/>
                <w:sz w:val="17"/>
              </w:rPr>
            </w:pPr>
          </w:p>
          <w:p>
            <w:pPr>
              <w:pStyle w:val="TableParagraph"/>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b/>
                <w:sz w:val="31"/>
              </w:rPr>
            </w:pPr>
          </w:p>
          <w:p>
            <w:pPr>
              <w:pStyle w:val="TableParagraph"/>
              <w:spacing w:before="1"/>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5"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6"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6"/>
              <w:ind w:left="554"/>
              <w:jc w:val="left"/>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b/>
                <w:sz w:val="24"/>
              </w:rPr>
            </w:pPr>
          </w:p>
          <w:p>
            <w:pPr>
              <w:pStyle w:val="TableParagraph"/>
              <w:ind w:left="122" w:right="17"/>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5"/>
              <w:rPr>
                <w:sz w:val="21"/>
              </w:rPr>
            </w:pPr>
            <w:r>
              <w:rPr>
                <w:sz w:val="21"/>
              </w:rPr>
              <w:t>施工生活用水依托周边已有设施，施工用</w:t>
            </w:r>
          </w:p>
          <w:p>
            <w:pPr>
              <w:pStyle w:val="TableParagraph"/>
              <w:spacing w:line="274" w:lineRule="exact"/>
              <w:ind w:left="35" w:right="35"/>
              <w:rPr>
                <w:sz w:val="21"/>
              </w:rPr>
            </w:pPr>
            <w:r>
              <w:rPr>
                <w:sz w:val="21"/>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54"/>
              <w:jc w:val="left"/>
              <w:rPr>
                <w:sz w:val="21"/>
              </w:rPr>
            </w:pPr>
            <w:r>
              <w:rPr>
                <w:rFonts w:ascii="Times New Roman"/>
                <w:sz w:val="21"/>
              </w:rPr>
              <w:t>/</w:t>
            </w:r>
            <w:r>
              <w:rPr>
                <w:sz w:val="21"/>
              </w:rPr>
              <w:t> </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b/>
                <w:sz w:val="20"/>
              </w:rPr>
            </w:pPr>
          </w:p>
          <w:p>
            <w:pPr>
              <w:pStyle w:val="TableParagraph"/>
              <w:jc w:val="left"/>
              <w:rPr>
                <w:b/>
                <w:sz w:val="20"/>
              </w:rPr>
            </w:pPr>
          </w:p>
          <w:p>
            <w:pPr>
              <w:pStyle w:val="TableParagraph"/>
              <w:jc w:val="left"/>
              <w:rPr>
                <w:b/>
                <w:sz w:val="20"/>
              </w:rPr>
            </w:pPr>
          </w:p>
          <w:p>
            <w:pPr>
              <w:pStyle w:val="TableParagraph"/>
              <w:jc w:val="left"/>
              <w:rPr>
                <w:b/>
                <w:sz w:val="20"/>
              </w:rPr>
            </w:pPr>
          </w:p>
          <w:p>
            <w:pPr>
              <w:pStyle w:val="TableParagraph"/>
              <w:spacing w:before="6"/>
              <w:jc w:val="left"/>
              <w:rPr>
                <w:b/>
                <w:sz w:val="25"/>
              </w:rPr>
            </w:pPr>
          </w:p>
          <w:p>
            <w:pPr>
              <w:pStyle w:val="TableParagraph"/>
              <w:spacing w:line="272" w:lineRule="exact"/>
              <w:ind w:left="367" w:right="140" w:hanging="212"/>
              <w:jc w:val="left"/>
              <w:rPr>
                <w:sz w:val="21"/>
              </w:rPr>
            </w:pPr>
            <w:r>
              <w:rPr>
                <w:sz w:val="21"/>
              </w:rPr>
              <w:t>环保工程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
              <w:jc w:val="left"/>
              <w:rPr>
                <w:b/>
                <w:sz w:val="17"/>
              </w:rPr>
            </w:pPr>
          </w:p>
          <w:p>
            <w:pPr>
              <w:pStyle w:val="TableParagraph"/>
              <w:ind w:left="369" w:right="142" w:hanging="209"/>
              <w:jc w:val="left"/>
              <w:rPr>
                <w:sz w:val="21"/>
              </w:rPr>
            </w:pPr>
            <w:r>
              <w:rPr>
                <w:sz w:val="21"/>
              </w:rPr>
              <w:t>废水治理措施</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35" w:right="35"/>
              <w:rPr>
                <w:sz w:val="21"/>
              </w:rPr>
            </w:pPr>
            <w:r>
              <w:rPr>
                <w:sz w:val="21"/>
              </w:rPr>
              <w:t>施工人员生活污水依托周边已有设施，汇</w:t>
            </w:r>
          </w:p>
          <w:p>
            <w:pPr>
              <w:pStyle w:val="TableParagraph"/>
              <w:spacing w:line="272" w:lineRule="exact"/>
              <w:ind w:left="35" w:right="35"/>
              <w:rPr>
                <w:sz w:val="21"/>
              </w:rPr>
            </w:pPr>
            <w:r>
              <w:rPr>
                <w:sz w:val="21"/>
              </w:rPr>
              <w:t>入污水管网，进入污水处理厂；</w:t>
            </w:r>
          </w:p>
          <w:p>
            <w:pPr>
              <w:pStyle w:val="TableParagraph"/>
              <w:spacing w:line="280" w:lineRule="exact"/>
              <w:ind w:left="35" w:right="35"/>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1" w:lineRule="exact"/>
              <w:ind w:left="37" w:right="35"/>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b/>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97"/>
              <w:ind w:left="106" w:right="104"/>
              <w:rPr>
                <w:sz w:val="21"/>
              </w:rPr>
            </w:pPr>
            <w:r>
              <w:rPr>
                <w:sz w:val="21"/>
              </w:rPr>
              <w:t>生活污水、污泥</w:t>
            </w:r>
          </w:p>
        </w:tc>
        <w:tc>
          <w:tcPr>
            <w:tcW w:w="142" w:type="dxa"/>
            <w:tcBorders>
              <w:top w:val="nil"/>
              <w:left w:val="single" w:sz="6" w:space="0" w:color="000000"/>
              <w:bottom w:val="nil"/>
            </w:tcBorders>
          </w:tcPr>
          <w:p>
            <w:pPr/>
          </w:p>
        </w:tc>
      </w:tr>
      <w:tr>
        <w:trPr>
          <w:trHeight w:val="560"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5"/>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5"/>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7"/>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04" w:right="104"/>
              <w:rPr>
                <w:sz w:val="21"/>
              </w:rPr>
            </w:pPr>
            <w:r>
              <w:rPr>
                <w:sz w:val="21"/>
              </w:rPr>
              <w:t>生活垃</w:t>
            </w:r>
          </w:p>
          <w:p>
            <w:pPr>
              <w:pStyle w:val="TableParagraph"/>
              <w:spacing w:line="273" w:lineRule="exact"/>
              <w:rPr>
                <w:sz w:val="21"/>
              </w:rPr>
            </w:pPr>
            <w:r>
              <w:rPr>
                <w:w w:val="100"/>
                <w:sz w:val="21"/>
              </w:rPr>
              <w:t>圾</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废气治理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5"/>
              <w:rPr>
                <w:sz w:val="21"/>
              </w:rPr>
            </w:pPr>
            <w:r>
              <w:rPr>
                <w:sz w:val="21"/>
              </w:rPr>
              <w:t>施工运输材料车辆加篷布覆盖，施工场地</w:t>
            </w:r>
          </w:p>
          <w:p>
            <w:pPr>
              <w:pStyle w:val="TableParagraph"/>
              <w:spacing w:line="274" w:lineRule="exact"/>
              <w:ind w:left="35" w:right="35"/>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固废治理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35" w:right="35"/>
              <w:rPr>
                <w:sz w:val="21"/>
              </w:rPr>
            </w:pPr>
            <w:r>
              <w:rPr>
                <w:sz w:val="21"/>
              </w:rPr>
              <w:t>对临时堆场进行临时拦挡、临时遮盖，及</w:t>
            </w:r>
          </w:p>
          <w:p>
            <w:pPr>
              <w:pStyle w:val="TableParagraph"/>
              <w:spacing w:line="274" w:lineRule="exact"/>
              <w:ind w:left="37" w:right="35"/>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弃土</w:t>
            </w:r>
          </w:p>
        </w:tc>
        <w:tc>
          <w:tcPr>
            <w:tcW w:w="142" w:type="dxa"/>
            <w:tcBorders>
              <w:top w:val="nil"/>
              <w:left w:val="single" w:sz="6" w:space="0" w:color="000000"/>
              <w:bottom w:val="nil"/>
            </w:tcBorders>
          </w:tcPr>
          <w:p>
            <w:pPr/>
          </w:p>
        </w:tc>
      </w:tr>
      <w:tr>
        <w:trPr>
          <w:trHeight w:val="562"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5" w:right="35"/>
              <w:rPr>
                <w:sz w:val="21"/>
              </w:rPr>
            </w:pPr>
            <w:r>
              <w:rPr>
                <w:spacing w:val="-10"/>
                <w:sz w:val="21"/>
              </w:rPr>
              <w:t>选用低噪声设备，合理进行施工平面布置，</w:t>
            </w:r>
          </w:p>
          <w:p>
            <w:pPr>
              <w:pStyle w:val="TableParagraph"/>
              <w:spacing w:line="274" w:lineRule="exact"/>
              <w:ind w:left="138" w:right="35"/>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4957" w:hRule="exact"/>
        </w:trPr>
        <w:tc>
          <w:tcPr>
            <w:tcW w:w="8529" w:type="dxa"/>
            <w:gridSpan w:val="7"/>
            <w:tcBorders>
              <w:top w:val="single" w:sz="6" w:space="0" w:color="000000"/>
            </w:tcBorders>
          </w:tcPr>
          <w:p>
            <w:pPr>
              <w:pStyle w:val="TableParagraph"/>
              <w:spacing w:before="5"/>
              <w:jc w:val="left"/>
              <w:rPr>
                <w:b/>
                <w:sz w:val="17"/>
              </w:rPr>
            </w:pPr>
          </w:p>
          <w:p>
            <w:pPr>
              <w:pStyle w:val="TableParagraph"/>
              <w:ind w:left="585"/>
              <w:jc w:val="left"/>
              <w:rPr>
                <w:b/>
                <w:sz w:val="24"/>
              </w:rPr>
            </w:pPr>
            <w:r>
              <w:rPr>
                <w:b/>
                <w:w w:val="95"/>
                <w:sz w:val="24"/>
              </w:rPr>
              <w:t>六、施工方案</w:t>
            </w:r>
          </w:p>
          <w:p>
            <w:pPr>
              <w:pStyle w:val="TableParagraph"/>
              <w:spacing w:before="151"/>
              <w:ind w:left="585"/>
              <w:jc w:val="left"/>
              <w:rPr>
                <w:b/>
                <w:sz w:val="24"/>
              </w:rPr>
            </w:pPr>
            <w:r>
              <w:rPr>
                <w:rFonts w:ascii="Times New Roman" w:eastAsia="Times New Roman"/>
                <w:b/>
                <w:w w:val="95"/>
                <w:sz w:val="24"/>
              </w:rPr>
              <w:t>1</w:t>
            </w:r>
            <w:r>
              <w:rPr>
                <w:b/>
                <w:w w:val="95"/>
                <w:sz w:val="24"/>
              </w:rPr>
              <w:t>、降坡工程</w:t>
            </w:r>
          </w:p>
          <w:p>
            <w:pPr>
              <w:pStyle w:val="TableParagraph"/>
              <w:spacing w:line="355" w:lineRule="auto" w:before="136"/>
              <w:ind w:left="103" w:right="28" w:firstLine="479"/>
              <w:jc w:val="left"/>
              <w:rPr>
                <w:sz w:val="24"/>
              </w:rPr>
            </w:pPr>
            <w:r>
              <w:rPr>
                <w:spacing w:val="-6"/>
                <w:sz w:val="24"/>
              </w:rPr>
              <w:t>本工程主要为土石方工程，由于工程施工面积大，土方量大，故采用大面积机械作业，配合人工修整完成，以确保进度和精度。</w:t>
            </w:r>
          </w:p>
          <w:p>
            <w:pPr>
              <w:pStyle w:val="TableParagraph"/>
              <w:spacing w:before="38"/>
              <w:ind w:left="583"/>
              <w:jc w:val="left"/>
              <w:rPr>
                <w:sz w:val="24"/>
              </w:rPr>
            </w:pPr>
            <w:r>
              <w:rPr>
                <w:sz w:val="24"/>
              </w:rPr>
              <w:t>㈠ 施工前准备</w:t>
            </w:r>
          </w:p>
          <w:p>
            <w:pPr>
              <w:pStyle w:val="TableParagraph"/>
              <w:spacing w:before="151"/>
              <w:ind w:left="583"/>
              <w:jc w:val="left"/>
              <w:rPr>
                <w:sz w:val="24"/>
              </w:rPr>
            </w:pPr>
            <w:r>
              <w:rPr>
                <w:sz w:val="24"/>
              </w:rPr>
              <w:t>对降坡路段进行测量勘查，确定修复位置点。</w:t>
            </w:r>
          </w:p>
          <w:p>
            <w:pPr>
              <w:pStyle w:val="TableParagraph"/>
              <w:spacing w:line="355" w:lineRule="auto" w:before="154"/>
              <w:ind w:left="103" w:right="-4" w:firstLine="479"/>
              <w:jc w:val="left"/>
              <w:rPr>
                <w:sz w:val="24"/>
              </w:rPr>
            </w:pPr>
            <w:r>
              <w:rPr>
                <w:sz w:val="24"/>
              </w:rPr>
              <w:t>根据工程设计总平面图的要求和地质专家的勘察，利用机械拆除场地上妨碍的建筑物和构筑物，清理山体坍塌部分，清理山上的碎石，清除山体上的悬石。</w:t>
            </w:r>
          </w:p>
          <w:p>
            <w:pPr>
              <w:pStyle w:val="TableParagraph"/>
              <w:spacing w:line="355" w:lineRule="auto" w:before="38"/>
              <w:ind w:left="103" w:firstLine="479"/>
              <w:jc w:val="left"/>
              <w:rPr>
                <w:sz w:val="24"/>
              </w:rPr>
            </w:pPr>
            <w:r>
              <w:rPr>
                <w:spacing w:val="-4"/>
                <w:sz w:val="24"/>
              </w:rPr>
              <w:t>然后根据总平面图规定的标高和土方竖向设计图纸，进行挖</w:t>
            </w:r>
            <w:r>
              <w:rPr>
                <w:sz w:val="24"/>
              </w:rPr>
              <w:t>（填</w:t>
            </w:r>
            <w:r>
              <w:rPr>
                <w:spacing w:val="-29"/>
                <w:sz w:val="24"/>
              </w:rPr>
              <w:t>）</w:t>
            </w:r>
            <w:r>
              <w:rPr>
                <w:spacing w:val="-2"/>
                <w:sz w:val="24"/>
              </w:rPr>
              <w:t>土方的工程量计算，确定场地的施工方案，进行场地的平整工作，为施工创造条件。</w:t>
            </w:r>
          </w:p>
        </w:tc>
      </w:tr>
    </w:tbl>
    <w:p>
      <w:pPr>
        <w:spacing w:after="0" w:line="355" w:lineRule="auto"/>
        <w:jc w:val="left"/>
        <w:rPr>
          <w:sz w:val="24"/>
        </w:rPr>
        <w:sectPr>
          <w:pgSz w:w="11910" w:h="16850"/>
          <w:pgMar w:header="0" w:footer="1141" w:top="1440" w:bottom="1340" w:left="1580" w:right="1560"/>
        </w:sectPr>
      </w:pPr>
    </w:p>
    <w:p>
      <w:pPr>
        <w:pStyle w:val="BodyText"/>
        <w:spacing w:before="9"/>
        <w:ind w:left="698"/>
      </w:pPr>
      <w:r>
        <w:rPr/>
        <w:pict>
          <v:group style="position:absolute;margin-left:84.253998pt;margin-top:71.749977pt;width:426.95pt;height:698.7pt;mso-position-horizontal-relative:page;mso-position-vertical-relative:page;z-index:-177592"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t>㈡、土方施工</w:t>
      </w:r>
    </w:p>
    <w:p>
      <w:pPr>
        <w:pStyle w:val="BodyText"/>
        <w:spacing w:line="350" w:lineRule="auto" w:before="154"/>
        <w:ind w:left="218" w:right="231" w:firstLine="479"/>
        <w:jc w:val="both"/>
      </w:pPr>
      <w:r>
        <w:rPr>
          <w:rFonts w:ascii="Times New Roman" w:eastAsia="Times New Roman"/>
        </w:rPr>
        <w:t>1</w:t>
      </w:r>
      <w:r>
        <w:rPr>
          <w:spacing w:val="-120"/>
        </w:rPr>
        <w:t>）</w:t>
      </w:r>
      <w:r>
        <w:rPr>
          <w:spacing w:val="-9"/>
        </w:rPr>
        <w:t>、清理现场：根据招标文件有关规定，按照业主的要求，结合苗木、草坪</w:t>
      </w:r>
      <w:r>
        <w:rPr>
          <w:spacing w:val="-11"/>
        </w:rPr>
        <w:t>生物学、生态学特性及对立地条件的需求，对施工现场进行处理。清除灰土、砖块、沙石、垃圾等杂物，尤其对废弃建筑垃圾清理彻底。绿化场地清理完毕自检合格后，报请监理工程师验收。</w:t>
      </w:r>
    </w:p>
    <w:p>
      <w:pPr>
        <w:pStyle w:val="BodyText"/>
        <w:spacing w:line="336" w:lineRule="auto" w:before="43"/>
        <w:ind w:left="218" w:right="232" w:firstLine="479"/>
      </w:pPr>
      <w:r>
        <w:rPr>
          <w:rFonts w:ascii="Times New Roman" w:eastAsia="Times New Roman"/>
        </w:rPr>
        <w:t>2</w:t>
      </w:r>
      <w:r>
        <w:rPr>
          <w:spacing w:val="-120"/>
        </w:rPr>
        <w:t>）</w:t>
      </w:r>
      <w:r>
        <w:rPr>
          <w:spacing w:val="-9"/>
        </w:rPr>
        <w:t>、土方放线：在清理合格的场地上严格按设计图纸，用测量仪器进行定点放线，以确定施工范围、管线布置及挖填土方的标高等。</w:t>
      </w:r>
    </w:p>
    <w:p>
      <w:pPr>
        <w:pStyle w:val="BodyText"/>
        <w:spacing w:line="355" w:lineRule="auto" w:before="57"/>
        <w:ind w:left="218" w:right="232" w:firstLine="479"/>
      </w:pPr>
      <w:r>
        <w:rPr>
          <w:spacing w:val="-9"/>
        </w:rPr>
        <w:t>⑴、平整场地放线：进行方格网法控制，按图纸设计，用经纬仪将图纸上的方格测设到地面上，在交点处立桩，桩上标明图纸要求标高。</w:t>
      </w:r>
    </w:p>
    <w:p>
      <w:pPr>
        <w:pStyle w:val="BodyText"/>
        <w:spacing w:line="357" w:lineRule="auto" w:before="38"/>
        <w:ind w:left="218" w:right="105" w:firstLine="479"/>
      </w:pPr>
      <w:r>
        <w:rPr>
          <w:spacing w:val="-9"/>
        </w:rPr>
        <w:t>⑵、自然地形放线：因本工程地形规划存在大量土方工作，必须考虑挖、填</w:t>
      </w:r>
      <w:r>
        <w:rPr>
          <w:spacing w:val="-12"/>
        </w:rPr>
        <w:t>方的边界线。故施工中应把方格网用仪器测放于实物地貌上，而后把设计地形等</w:t>
      </w:r>
      <w:r>
        <w:rPr>
          <w:spacing w:val="-21"/>
        </w:rPr>
        <w:t>高线和方格网的交点一一标记于地面上并打桩、注明标高，桩高应多出设计标高， </w:t>
      </w:r>
      <w:r>
        <w:rPr>
          <w:spacing w:val="-20"/>
        </w:rPr>
        <w:t>采用木质或竹竿等材料均可。地形处理的放线完毕，经自检合格后报请监理工程师验收。</w:t>
      </w:r>
    </w:p>
    <w:p>
      <w:pPr>
        <w:pStyle w:val="BodyText"/>
        <w:spacing w:before="36"/>
        <w:ind w:left="698"/>
      </w:pPr>
      <w:r>
        <w:rPr>
          <w:rFonts w:ascii="Times New Roman" w:eastAsia="Times New Roman"/>
        </w:rPr>
        <w:t>3</w:t>
      </w:r>
      <w:r>
        <w:rPr>
          <w:spacing w:val="-120"/>
        </w:rPr>
        <w:t>）</w:t>
      </w:r>
      <w:r>
        <w:rPr/>
        <w:t>、地形处理：</w:t>
      </w:r>
    </w:p>
    <w:p>
      <w:pPr>
        <w:pStyle w:val="BodyText"/>
        <w:spacing w:line="357" w:lineRule="auto" w:before="133"/>
        <w:ind w:left="218" w:right="133" w:firstLine="479"/>
      </w:pPr>
      <w:r>
        <w:rPr/>
        <w:t>严格按设计图纸对工程现场进行微地形处理。机械作业配合人工修整完成， 以确保工程进度和精度。</w:t>
      </w:r>
    </w:p>
    <w:p>
      <w:pPr>
        <w:pStyle w:val="BodyText"/>
        <w:spacing w:before="33"/>
        <w:ind w:left="698"/>
      </w:pPr>
      <w:r>
        <w:rPr>
          <w:rFonts w:ascii="Times New Roman" w:eastAsia="Times New Roman"/>
        </w:rPr>
        <w:t>4</w:t>
      </w:r>
      <w:r>
        <w:rPr>
          <w:spacing w:val="-120"/>
        </w:rPr>
        <w:t>）</w:t>
      </w:r>
      <w:r>
        <w:rPr/>
        <w:t>、土方运输：</w:t>
      </w:r>
    </w:p>
    <w:p>
      <w:pPr>
        <w:pStyle w:val="BodyText"/>
        <w:spacing w:before="135"/>
        <w:ind w:left="698"/>
      </w:pPr>
      <w:r>
        <w:rPr/>
        <w:t>采用推土机、自卸车和人工手推方式进行，保证效率和精度。</w:t>
      </w:r>
    </w:p>
    <w:p>
      <w:pPr>
        <w:pStyle w:val="BodyText"/>
        <w:spacing w:before="151"/>
        <w:ind w:left="698"/>
      </w:pPr>
      <w:r>
        <w:rPr>
          <w:rFonts w:ascii="Times New Roman" w:eastAsia="Times New Roman"/>
        </w:rPr>
        <w:t>5</w:t>
      </w:r>
      <w:r>
        <w:rPr>
          <w:spacing w:val="-120"/>
        </w:rPr>
        <w:t>）</w:t>
      </w:r>
      <w:r>
        <w:rPr/>
        <w:t>、土方回填：</w:t>
      </w:r>
    </w:p>
    <w:p>
      <w:pPr>
        <w:pStyle w:val="BodyText"/>
        <w:spacing w:before="135"/>
        <w:ind w:left="698"/>
      </w:pPr>
      <w:r>
        <w:rPr/>
        <w:t>⑴、种植土选取：</w:t>
      </w:r>
    </w:p>
    <w:p>
      <w:pPr>
        <w:pStyle w:val="BodyText"/>
        <w:spacing w:line="357" w:lineRule="auto" w:before="150"/>
        <w:ind w:left="218" w:right="232" w:firstLine="479"/>
        <w:rPr>
          <w:rFonts w:ascii="Times New Roman" w:eastAsia="Times New Roman"/>
        </w:rPr>
      </w:pPr>
      <w:r>
        <w:rPr>
          <w:spacing w:val="-7"/>
        </w:rPr>
        <w:t>选用富含有机质、团粒结构完好的沙壤土，保证种植土具有较好的通气、透</w:t>
      </w:r>
      <w:r>
        <w:rPr>
          <w:spacing w:val="-15"/>
        </w:rPr>
        <w:t>水和保肥能力。土壤酸碱度</w:t>
      </w:r>
      <w:r>
        <w:rPr/>
        <w:t>（</w:t>
      </w:r>
      <w:r>
        <w:rPr>
          <w:rFonts w:ascii="Times New Roman" w:eastAsia="Times New Roman"/>
        </w:rPr>
        <w:t>PH</w:t>
      </w:r>
      <w:r>
        <w:rPr>
          <w:rFonts w:ascii="Times New Roman" w:eastAsia="Times New Roman"/>
          <w:spacing w:val="58"/>
        </w:rPr>
        <w:t> </w:t>
      </w:r>
      <w:r>
        <w:rPr/>
        <w:t>值</w:t>
      </w:r>
      <w:r>
        <w:rPr>
          <w:spacing w:val="-58"/>
        </w:rPr>
        <w:t>）</w:t>
      </w:r>
      <w:r>
        <w:rPr>
          <w:spacing w:val="-1"/>
        </w:rPr>
        <w:t>控制在 </w:t>
      </w:r>
      <w:r>
        <w:rPr>
          <w:rFonts w:ascii="Times New Roman" w:eastAsia="Times New Roman"/>
        </w:rPr>
        <w:t>6-7</w:t>
      </w:r>
      <w:r>
        <w:rPr>
          <w:rFonts w:ascii="Times New Roman" w:eastAsia="Times New Roman"/>
          <w:spacing w:val="59"/>
        </w:rPr>
        <w:t> </w:t>
      </w:r>
      <w:r>
        <w:rPr>
          <w:spacing w:val="-8"/>
        </w:rPr>
        <w:t>之间。干燥土密度应小于 </w:t>
      </w:r>
      <w:r>
        <w:rPr>
          <w:rFonts w:ascii="Times New Roman" w:eastAsia="Times New Roman"/>
        </w:rPr>
        <w:t>1200</w:t>
      </w:r>
    </w:p>
    <w:p>
      <w:pPr>
        <w:pStyle w:val="BodyText"/>
        <w:spacing w:line="338" w:lineRule="auto" w:before="2"/>
        <w:ind w:left="218" w:right="125"/>
      </w:pPr>
      <w:r>
        <w:rPr/>
        <w:t>㎏</w:t>
      </w:r>
      <w:r>
        <w:rPr>
          <w:rFonts w:ascii="Times New Roman" w:eastAsia="Times New Roman"/>
        </w:rPr>
        <w:t>/</w:t>
      </w:r>
      <w:r>
        <w:rPr>
          <w:rFonts w:ascii="MS Gothic" w:eastAsia="MS Gothic" w:hint="eastAsia"/>
          <w:spacing w:val="-60"/>
        </w:rPr>
        <w:t>㎥</w:t>
      </w:r>
      <w:r>
        <w:rPr/>
        <w:t>。去除种植土中含有的粘土或类似粘土的物质及粗砂、石头、土块、杂草、有害粽子及其他物件，保证种植土的整体成分与结构一致。</w:t>
      </w:r>
    </w:p>
    <w:p>
      <w:pPr>
        <w:pStyle w:val="BodyText"/>
        <w:spacing w:before="52"/>
        <w:ind w:left="698"/>
      </w:pPr>
      <w:r>
        <w:rPr/>
        <w:t>⑵、回填种植土</w:t>
      </w:r>
    </w:p>
    <w:p>
      <w:pPr>
        <w:pStyle w:val="BodyText"/>
        <w:spacing w:line="343" w:lineRule="auto" w:before="153"/>
        <w:ind w:left="218" w:right="231" w:firstLine="479"/>
        <w:jc w:val="both"/>
      </w:pPr>
      <w:r>
        <w:rPr>
          <w:spacing w:val="-5"/>
        </w:rPr>
        <w:t>绿地内回填种植土时根据种植要求，选择检验合格的种植土进行回填土，对回填土厚度超过 </w:t>
      </w:r>
      <w:r>
        <w:rPr>
          <w:rFonts w:ascii="Times New Roman" w:eastAsia="Times New Roman"/>
        </w:rPr>
        <w:t>0.5 </w:t>
      </w:r>
      <w:r>
        <w:rPr>
          <w:spacing w:val="-5"/>
        </w:rPr>
        <w:t>米的区域采用分层回填的方式，边回填、边压实</w:t>
      </w:r>
      <w:r>
        <w:rPr/>
        <w:t>（</w:t>
      </w:r>
      <w:r>
        <w:rPr>
          <w:rFonts w:ascii="Times New Roman" w:eastAsia="Times New Roman"/>
        </w:rPr>
        <w:t>a.</w:t>
      </w:r>
      <w:r>
        <w:rPr/>
        <w:t>保证科</w:t>
      </w:r>
      <w:r>
        <w:rPr>
          <w:spacing w:val="-1"/>
        </w:rPr>
        <w:t>学的土壤含水率；</w:t>
      </w:r>
      <w:r>
        <w:rPr>
          <w:rFonts w:ascii="Times New Roman" w:eastAsia="Times New Roman"/>
        </w:rPr>
        <w:t>b.</w:t>
      </w:r>
      <w:r>
        <w:rPr>
          <w:spacing w:val="-1"/>
        </w:rPr>
        <w:t>分层压实；</w:t>
      </w:r>
      <w:r>
        <w:rPr>
          <w:rFonts w:ascii="Times New Roman" w:eastAsia="Times New Roman"/>
          <w:spacing w:val="-1"/>
        </w:rPr>
        <w:t>c</w:t>
      </w:r>
      <w:r>
        <w:rPr>
          <w:rFonts w:ascii="Times New Roman" w:eastAsia="Times New Roman"/>
        </w:rPr>
        <w:t>.</w:t>
      </w:r>
      <w:r>
        <w:rPr>
          <w:spacing w:val="-1"/>
        </w:rPr>
        <w:t>压实均匀；</w:t>
      </w:r>
      <w:r>
        <w:rPr>
          <w:rFonts w:ascii="Times New Roman" w:eastAsia="Times New Roman"/>
          <w:spacing w:val="2"/>
        </w:rPr>
        <w:t>d</w:t>
      </w:r>
      <w:r>
        <w:rPr>
          <w:rFonts w:ascii="Times New Roman" w:eastAsia="Times New Roman"/>
        </w:rPr>
        <w:t>.</w:t>
      </w:r>
      <w:r>
        <w:rPr/>
        <w:t>有内向外逐步压实</w:t>
      </w:r>
      <w:r>
        <w:rPr>
          <w:spacing w:val="-120"/>
        </w:rPr>
        <w:t>）</w:t>
      </w:r>
      <w:r>
        <w:rPr>
          <w:spacing w:val="-2"/>
        </w:rPr>
        <w:t>，每次填土深</w:t>
      </w:r>
      <w:r>
        <w:rPr>
          <w:spacing w:val="3"/>
        </w:rPr>
        <w:t>度不超过 </w:t>
      </w:r>
      <w:r>
        <w:rPr>
          <w:rFonts w:ascii="Times New Roman" w:eastAsia="Times New Roman"/>
        </w:rPr>
        <w:t>25cm</w:t>
      </w:r>
      <w:r>
        <w:rPr>
          <w:rFonts w:ascii="Times New Roman" w:eastAsia="Times New Roman"/>
          <w:spacing w:val="12"/>
        </w:rPr>
        <w:t>  </w:t>
      </w:r>
      <w:r>
        <w:rPr/>
        <w:t>以确保坪床长远效果，种植土的表面应避免重型机械碾压。用</w:t>
      </w:r>
    </w:p>
    <w:p>
      <w:pPr>
        <w:spacing w:after="0" w:line="343" w:lineRule="auto"/>
        <w:jc w:val="both"/>
        <w:sectPr>
          <w:pgSz w:w="11910" w:h="16850"/>
          <w:pgMar w:header="0" w:footer="1141" w:top="1400" w:bottom="1340" w:left="1580" w:right="1560"/>
        </w:sectPr>
      </w:pPr>
    </w:p>
    <w:p>
      <w:pPr>
        <w:pStyle w:val="BodyText"/>
        <w:ind w:left="105"/>
        <w:rPr>
          <w:sz w:val="20"/>
        </w:rPr>
      </w:pPr>
      <w:r>
        <w:rPr>
          <w:sz w:val="20"/>
        </w:rPr>
        <w:pict>
          <v:group style="width:426.95pt;height:698.2pt;mso-position-horizontal-relative:char;mso-position-vertical-relative:line" coordorigin="0,0" coordsize="8539,13964">
            <v:shape style="position:absolute;left:113;top:9295;width:8229;height:2657" type="#_x0000_t75" stroked="false">
              <v:imagedata r:id="rId6" o:title=""/>
            </v:shape>
            <v:shape style="position:absolute;left:5;top:5;width:8529;height:13954" type="#_x0000_t202" filled="false" stroked="true" strokeweight=".47998pt" strokecolor="#000000">
              <v:textbox inset="0,0,0,0">
                <w:txbxContent>
                  <w:p>
                    <w:pPr>
                      <w:spacing w:line="292" w:lineRule="exact" w:before="0"/>
                      <w:ind w:left="103" w:right="0" w:firstLine="0"/>
                      <w:jc w:val="left"/>
                      <w:rPr>
                        <w:sz w:val="24"/>
                      </w:rPr>
                    </w:pPr>
                    <w:r>
                      <w:rPr>
                        <w:sz w:val="24"/>
                      </w:rPr>
                      <w:t>石碾压平整，凹凸不大于 </w:t>
                    </w:r>
                    <w:r>
                      <w:rPr>
                        <w:rFonts w:ascii="Times New Roman" w:eastAsia="Times New Roman"/>
                        <w:sz w:val="24"/>
                      </w:rPr>
                      <w:t>2cm</w:t>
                    </w:r>
                    <w:r>
                      <w:rPr>
                        <w:sz w:val="24"/>
                      </w:rPr>
                      <w:t>，达到设计高程和坡度要求。</w:t>
                    </w:r>
                  </w:p>
                  <w:p>
                    <w:pPr>
                      <w:spacing w:line="240" w:lineRule="auto" w:before="0"/>
                      <w:rPr>
                        <w:sz w:val="26"/>
                      </w:rPr>
                    </w:pPr>
                  </w:p>
                  <w:p>
                    <w:pPr>
                      <w:spacing w:before="208"/>
                      <w:ind w:left="585" w:right="0" w:firstLine="0"/>
                      <w:jc w:val="left"/>
                      <w:rPr>
                        <w:b/>
                        <w:sz w:val="24"/>
                      </w:rPr>
                    </w:pPr>
                    <w:r>
                      <w:rPr>
                        <w:rFonts w:ascii="Times New Roman" w:eastAsia="Times New Roman"/>
                        <w:b/>
                        <w:w w:val="95"/>
                        <w:sz w:val="24"/>
                      </w:rPr>
                      <w:t>2</w:t>
                    </w:r>
                    <w:r>
                      <w:rPr>
                        <w:b/>
                        <w:w w:val="95"/>
                        <w:sz w:val="24"/>
                      </w:rPr>
                      <w:t>、道路工程</w:t>
                    </w:r>
                  </w:p>
                  <w:p>
                    <w:pPr>
                      <w:spacing w:before="135"/>
                      <w:ind w:left="585" w:right="0" w:firstLine="0"/>
                      <w:jc w:val="left"/>
                      <w:rPr>
                        <w:b/>
                        <w:sz w:val="24"/>
                      </w:rPr>
                    </w:pPr>
                    <w:r>
                      <w:rPr>
                        <w:b/>
                        <w:w w:val="95"/>
                        <w:sz w:val="24"/>
                      </w:rPr>
                      <w:t>（</w:t>
                    </w:r>
                    <w:r>
                      <w:rPr>
                        <w:rFonts w:ascii="Times New Roman" w:eastAsia="Times New Roman"/>
                        <w:b/>
                        <w:w w:val="95"/>
                        <w:sz w:val="24"/>
                      </w:rPr>
                      <w:t>1</w:t>
                    </w:r>
                    <w:r>
                      <w:rPr>
                        <w:b/>
                        <w:w w:val="95"/>
                        <w:sz w:val="24"/>
                      </w:rPr>
                      <w:t>）路基工程</w:t>
                    </w:r>
                  </w:p>
                  <w:p>
                    <w:pPr>
                      <w:spacing w:before="133"/>
                      <w:ind w:left="583" w:right="0" w:firstLine="0"/>
                      <w:jc w:val="left"/>
                      <w:rPr>
                        <w:sz w:val="24"/>
                      </w:rPr>
                    </w:pPr>
                    <w:r>
                      <w:rPr>
                        <w:sz w:val="24"/>
                      </w:rPr>
                      <w:t>①一般路基处理</w:t>
                    </w:r>
                  </w:p>
                  <w:p>
                    <w:pPr>
                      <w:spacing w:line="345" w:lineRule="auto" w:before="154"/>
                      <w:ind w:left="103" w:right="99" w:firstLine="479"/>
                      <w:jc w:val="both"/>
                      <w:rPr>
                        <w:sz w:val="24"/>
                      </w:rPr>
                    </w:pPr>
                    <w:r>
                      <w:rPr>
                        <w:spacing w:val="-7"/>
                        <w:sz w:val="24"/>
                      </w:rPr>
                      <w:t>本段道路填方路段，原地面以下清除填土等不良土质，其换填材料为合格土</w:t>
                    </w:r>
                    <w:r>
                      <w:rPr>
                        <w:spacing w:val="-6"/>
                        <w:sz w:val="24"/>
                      </w:rPr>
                      <w:t>石方；其填方高度</w:t>
                    </w:r>
                    <w:r>
                      <w:rPr>
                        <w:rFonts w:ascii="Times New Roman" w:hAnsi="Times New Roman" w:eastAsia="Times New Roman"/>
                        <w:sz w:val="24"/>
                      </w:rPr>
                      <w:t>≤1.2m </w:t>
                    </w:r>
                    <w:r>
                      <w:rPr>
                        <w:spacing w:val="-5"/>
                        <w:sz w:val="24"/>
                      </w:rPr>
                      <w:t>的段落，路基填筑均采用砂砾石填筑；填方段至少保证</w:t>
                    </w:r>
                    <w:r>
                      <w:rPr>
                        <w:spacing w:val="-20"/>
                        <w:sz w:val="24"/>
                      </w:rPr>
                      <w:t>路床顶 </w:t>
                    </w:r>
                    <w:r>
                      <w:rPr>
                        <w:rFonts w:ascii="Times New Roman" w:hAnsi="Times New Roman" w:eastAsia="Times New Roman"/>
                        <w:sz w:val="24"/>
                      </w:rPr>
                      <w:t>80cm</w:t>
                    </w:r>
                    <w:r>
                      <w:rPr>
                        <w:sz w:val="24"/>
                      </w:rPr>
                      <w:t>（</w:t>
                    </w:r>
                    <w:r>
                      <w:rPr>
                        <w:spacing w:val="-13"/>
                        <w:sz w:val="24"/>
                      </w:rPr>
                      <w:t>人行道为 </w:t>
                    </w:r>
                    <w:r>
                      <w:rPr>
                        <w:rFonts w:ascii="Times New Roman" w:hAnsi="Times New Roman" w:eastAsia="Times New Roman"/>
                        <w:sz w:val="24"/>
                      </w:rPr>
                      <w:t>40cm</w:t>
                    </w:r>
                    <w:r>
                      <w:rPr>
                        <w:sz w:val="24"/>
                      </w:rPr>
                      <w:t>）范围内为砂砾石。</w:t>
                    </w:r>
                  </w:p>
                  <w:p>
                    <w:pPr>
                      <w:spacing w:before="17"/>
                      <w:ind w:left="583" w:right="0" w:firstLine="0"/>
                      <w:jc w:val="left"/>
                      <w:rPr>
                        <w:sz w:val="24"/>
                      </w:rPr>
                    </w:pPr>
                    <w:r>
                      <w:rPr>
                        <w:sz w:val="24"/>
                      </w:rPr>
                      <w:t>②软基处理</w:t>
                    </w:r>
                  </w:p>
                  <w:p>
                    <w:pPr>
                      <w:spacing w:line="355" w:lineRule="auto" w:before="154"/>
                      <w:ind w:left="103" w:right="78" w:firstLine="479"/>
                      <w:jc w:val="left"/>
                      <w:rPr>
                        <w:sz w:val="24"/>
                      </w:rPr>
                    </w:pPr>
                    <w:r>
                      <w:rPr>
                        <w:spacing w:val="-8"/>
                        <w:sz w:val="24"/>
                      </w:rPr>
                      <w:t>根据现场调查，全线不存在鱼塘、水体与其他类型的软弱地基，因此本次设计不进行专门的软基处理设计。</w:t>
                    </w:r>
                  </w:p>
                  <w:p>
                    <w:pPr>
                      <w:spacing w:before="39"/>
                      <w:ind w:left="583" w:right="0" w:firstLine="0"/>
                      <w:jc w:val="left"/>
                      <w:rPr>
                        <w:sz w:val="24"/>
                      </w:rPr>
                    </w:pPr>
                    <w:r>
                      <w:rPr>
                        <w:sz w:val="24"/>
                      </w:rPr>
                      <w:t>③路基边坡、边沟</w:t>
                    </w:r>
                  </w:p>
                  <w:p>
                    <w:pPr>
                      <w:spacing w:line="343" w:lineRule="auto" w:before="151"/>
                      <w:ind w:left="103" w:right="-7" w:firstLine="479"/>
                      <w:jc w:val="left"/>
                      <w:rPr>
                        <w:sz w:val="24"/>
                      </w:rPr>
                    </w:pPr>
                    <w:r>
                      <w:rPr>
                        <w:spacing w:val="-8"/>
                        <w:sz w:val="24"/>
                      </w:rPr>
                      <w:t>本工程位于新宁镇，周边土地已有规划，故边坡不考虑永久边坡。工程实施是道路沿线为农田，边坡采用土质边坡以稳定路基。对于路堤边坡坡率为 </w:t>
                    </w:r>
                    <w:r>
                      <w:rPr>
                        <w:rFonts w:ascii="Times New Roman" w:eastAsia="Times New Roman"/>
                        <w:sz w:val="24"/>
                      </w:rPr>
                      <w:t>1:1.5</w:t>
                    </w:r>
                    <w:r>
                      <w:rPr>
                        <w:sz w:val="24"/>
                      </w:rPr>
                      <w:t>， 对于路晢边坡坡率为 </w:t>
                    </w:r>
                    <w:r>
                      <w:rPr>
                        <w:rFonts w:ascii="Times New Roman" w:eastAsia="Times New Roman"/>
                        <w:sz w:val="24"/>
                      </w:rPr>
                      <w:t>1:1.0</w:t>
                    </w:r>
                    <w:r>
                      <w:rPr>
                        <w:sz w:val="24"/>
                      </w:rPr>
                      <w:t>。边坡坡面须粘土夯实，对有条件的地段考虑坡面植草绿化。</w:t>
                    </w:r>
                  </w:p>
                  <w:p>
                    <w:pPr>
                      <w:spacing w:before="50"/>
                      <w:ind w:left="583" w:right="0" w:firstLine="0"/>
                      <w:jc w:val="left"/>
                      <w:rPr>
                        <w:sz w:val="24"/>
                      </w:rPr>
                    </w:pPr>
                    <w:r>
                      <w:rPr>
                        <w:sz w:val="24"/>
                      </w:rPr>
                      <w:t>④密实度</w:t>
                    </w:r>
                  </w:p>
                  <w:p>
                    <w:pPr>
                      <w:spacing w:line="357" w:lineRule="auto" w:before="151"/>
                      <w:ind w:left="103" w:right="7" w:firstLine="479"/>
                      <w:jc w:val="left"/>
                      <w:rPr>
                        <w:sz w:val="24"/>
                      </w:rPr>
                    </w:pPr>
                    <w:r>
                      <w:rPr>
                        <w:sz w:val="24"/>
                      </w:rPr>
                      <w:t>路基的压实度一般采用重型击实标准，路面底面以下路基不同深度的压实度及填料要求如下。</w:t>
                    </w:r>
                  </w:p>
                  <w:p>
                    <w:pPr>
                      <w:tabs>
                        <w:tab w:pos="861" w:val="left" w:leader="none"/>
                      </w:tabs>
                      <w:spacing w:before="33"/>
                      <w:ind w:left="0" w:right="1" w:firstLine="0"/>
                      <w:jc w:val="center"/>
                      <w:rPr>
                        <w:b/>
                        <w:sz w:val="24"/>
                      </w:rPr>
                    </w:pPr>
                    <w:r>
                      <w:rPr>
                        <w:b/>
                        <w:sz w:val="24"/>
                      </w:rPr>
                      <w:t>表</w:t>
                    </w:r>
                    <w:r>
                      <w:rPr>
                        <w:b/>
                        <w:spacing w:val="-60"/>
                        <w:sz w:val="24"/>
                      </w:rPr>
                      <w:t> </w:t>
                    </w:r>
                    <w:r>
                      <w:rPr>
                        <w:rFonts w:ascii="Times New Roman" w:eastAsia="Times New Roman"/>
                        <w:b/>
                        <w:sz w:val="24"/>
                      </w:rPr>
                      <w:t>1-5</w:t>
                      <w:tab/>
                    </w:r>
                    <w:r>
                      <w:rPr>
                        <w:b/>
                        <w:w w:val="95"/>
                        <w:sz w:val="24"/>
                      </w:rPr>
                      <w:t>主要工程数量表</w:t>
                    </w:r>
                  </w:p>
                  <w:p>
                    <w:pPr>
                      <w:spacing w:line="240" w:lineRule="auto" w:before="0"/>
                      <w:rPr>
                        <w:sz w:val="26"/>
                      </w:rPr>
                    </w:pPr>
                  </w:p>
                  <w:p>
                    <w:pPr>
                      <w:spacing w:line="240" w:lineRule="auto" w:before="0"/>
                      <w:rPr>
                        <w:sz w:val="26"/>
                      </w:rPr>
                    </w:pPr>
                  </w:p>
                  <w:p>
                    <w:pPr>
                      <w:spacing w:line="240" w:lineRule="auto" w:before="0"/>
                      <w:rPr>
                        <w:sz w:val="26"/>
                      </w:rPr>
                    </w:pPr>
                  </w:p>
                  <w:p>
                    <w:pPr>
                      <w:spacing w:line="240" w:lineRule="auto" w:before="0"/>
                      <w:rPr>
                        <w:sz w:val="26"/>
                      </w:rPr>
                    </w:pPr>
                  </w:p>
                  <w:p>
                    <w:pPr>
                      <w:spacing w:line="240" w:lineRule="auto" w:before="0"/>
                      <w:rPr>
                        <w:sz w:val="26"/>
                      </w:rPr>
                    </w:pPr>
                  </w:p>
                  <w:p>
                    <w:pPr>
                      <w:spacing w:line="240" w:lineRule="auto" w:before="0"/>
                      <w:rPr>
                        <w:sz w:val="26"/>
                      </w:rPr>
                    </w:pPr>
                  </w:p>
                  <w:p>
                    <w:pPr>
                      <w:spacing w:line="240" w:lineRule="auto" w:before="0"/>
                      <w:rPr>
                        <w:sz w:val="26"/>
                      </w:rPr>
                    </w:pPr>
                  </w:p>
                  <w:p>
                    <w:pPr>
                      <w:spacing w:line="240" w:lineRule="auto" w:before="0"/>
                      <w:rPr>
                        <w:sz w:val="26"/>
                      </w:rPr>
                    </w:pPr>
                  </w:p>
                  <w:p>
                    <w:pPr>
                      <w:spacing w:before="207"/>
                      <w:ind w:left="583" w:right="0" w:firstLine="0"/>
                      <w:jc w:val="left"/>
                      <w:rPr>
                        <w:sz w:val="24"/>
                      </w:rPr>
                    </w:pPr>
                    <w:r>
                      <w:rPr>
                        <w:sz w:val="24"/>
                      </w:rPr>
                      <w:t>⑤路基支档工程 </w:t>
                    </w:r>
                  </w:p>
                  <w:p>
                    <w:pPr>
                      <w:spacing w:before="153"/>
                      <w:ind w:left="583" w:right="0" w:firstLine="0"/>
                      <w:jc w:val="left"/>
                      <w:rPr>
                        <w:sz w:val="24"/>
                      </w:rPr>
                    </w:pPr>
                    <w:r>
                      <w:rPr>
                        <w:sz w:val="24"/>
                      </w:rPr>
                      <w:t>道路两侧场地均为规划城市用地，不涉及路基支档工程。</w:t>
                    </w:r>
                  </w:p>
                  <w:p>
                    <w:pPr>
                      <w:spacing w:before="151"/>
                      <w:ind w:left="585" w:right="0" w:firstLine="0"/>
                      <w:jc w:val="left"/>
                      <w:rPr>
                        <w:b/>
                        <w:sz w:val="24"/>
                      </w:rPr>
                    </w:pPr>
                    <w:r>
                      <w:rPr>
                        <w:b/>
                        <w:spacing w:val="2"/>
                        <w:w w:val="99"/>
                        <w:sz w:val="24"/>
                      </w:rPr>
                      <w:t>（</w:t>
                    </w:r>
                    <w:r>
                      <w:rPr>
                        <w:rFonts w:ascii="Times New Roman" w:eastAsia="Times New Roman"/>
                        <w:b/>
                        <w:sz w:val="24"/>
                      </w:rPr>
                      <w:t>2</w:t>
                    </w:r>
                    <w:r>
                      <w:rPr>
                        <w:b/>
                        <w:spacing w:val="-120"/>
                        <w:w w:val="99"/>
                        <w:sz w:val="24"/>
                      </w:rPr>
                      <w:t>）</w:t>
                    </w:r>
                    <w:r>
                      <w:rPr>
                        <w:b/>
                        <w:w w:val="99"/>
                        <w:sz w:val="24"/>
                      </w:rPr>
                      <w:t>、路面工程</w:t>
                    </w:r>
                  </w:p>
                  <w:p>
                    <w:pPr>
                      <w:spacing w:before="136"/>
                      <w:ind w:left="583" w:right="0" w:firstLine="0"/>
                      <w:jc w:val="left"/>
                      <w:rPr>
                        <w:sz w:val="24"/>
                      </w:rPr>
                    </w:pPr>
                    <w:r>
                      <w:rPr>
                        <w:sz w:val="24"/>
                      </w:rPr>
                      <w:t>①路面结构确定</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line="357" w:lineRule="auto" w:before="9"/>
        <w:ind w:left="218" w:right="233" w:firstLine="479"/>
        <w:jc w:val="both"/>
      </w:pPr>
      <w:r>
        <w:rPr/>
        <w:pict>
          <v:group style="position:absolute;margin-left:84.014pt;margin-top:71.749977pt;width:427.45pt;height:693.5pt;mso-position-horizontal-relative:page;mso-position-vertical-relative:page;z-index:-177520" coordorigin="1680,1435" coordsize="8549,13870">
            <v:line style="position:absolute" from="1695,1445" to="10214,1445" stroked="true" strokeweight=".48pt" strokecolor="#000000">
              <v:stroke dashstyle="solid"/>
            </v:line>
            <v:line style="position:absolute" from="1690,1440" to="1690,15295" stroked="true" strokeweight=".48pt" strokecolor="#000000">
              <v:stroke dashstyle="solid"/>
            </v:line>
            <v:line style="position:absolute" from="1685,15300" to="1695,15300" stroked="true" strokeweight=".47998pt" strokecolor="#000000">
              <v:stroke dashstyle="solid"/>
            </v:line>
            <v:line style="position:absolute" from="1685,15300" to="1695,15300" stroked="true" strokeweight=".47998pt" strokecolor="#000000">
              <v:stroke dashstyle="solid"/>
            </v:line>
            <v:line style="position:absolute" from="1695,15300" to="10214,15300" stroked="true" strokeweight=".47998pt" strokecolor="#000000">
              <v:stroke dashstyle="solid"/>
            </v:line>
            <v:line style="position:absolute" from="10219,1440" to="10219,15295" stroked="true" strokeweight=".47998pt" strokecolor="#000000">
              <v:stroke dashstyle="solid"/>
            </v:line>
            <v:line style="position:absolute" from="10214,15300" to="10224,15300" stroked="true" strokeweight=".47998pt" strokecolor="#000000">
              <v:stroke dashstyle="solid"/>
            </v:line>
            <v:line style="position:absolute" from="10214,15300" to="10224,15300" stroked="true" strokeweight=".47998pt" strokecolor="#000000">
              <v:stroke dashstyle="solid"/>
            </v:line>
            <w10:wrap type="none"/>
          </v:group>
        </w:pict>
      </w:r>
      <w:r>
        <w:rPr>
          <w:spacing w:val="-5"/>
        </w:rPr>
        <w:t>根据片区已建或已设计相同交通等级的道路结构，结合本次道路的性质及所</w:t>
      </w:r>
      <w:r>
        <w:rPr>
          <w:spacing w:val="-12"/>
        </w:rPr>
        <w:t>承担的功能，车行道: </w:t>
      </w:r>
      <w:r>
        <w:rPr/>
        <w:t>4厘米细粒式沥青砼面层+5厘米中粒式沥青砼+20厘米水稳层（水泥5%）+20厘米石灰、粉煤灰、碎石基层（7：13：80）+20厘米石灰、碎</w:t>
      </w:r>
      <w:r>
        <w:rPr>
          <w:spacing w:val="-1"/>
        </w:rPr>
        <w:t>石基层</w:t>
      </w:r>
      <w:r>
        <w:rPr/>
        <w:t>（7：93）+页岩分层压实。 </w:t>
      </w:r>
    </w:p>
    <w:p>
      <w:pPr>
        <w:pStyle w:val="BodyText"/>
        <w:spacing w:before="34"/>
        <w:ind w:left="698"/>
      </w:pPr>
      <w:r>
        <w:rPr/>
        <w:t>详见下表。 </w:t>
      </w:r>
    </w:p>
    <w:p>
      <w:pPr>
        <w:pStyle w:val="BodyText"/>
        <w:spacing w:before="2"/>
        <w:rPr>
          <w:sz w:val="9"/>
        </w:rPr>
      </w:pPr>
    </w:p>
    <w:p>
      <w:pPr>
        <w:pStyle w:val="Heading3"/>
        <w:tabs>
          <w:tab w:pos="3357" w:val="left" w:leader="none"/>
        </w:tabs>
        <w:ind w:left="2496"/>
      </w:pPr>
      <w:r>
        <w:rPr/>
        <w:pict>
          <v:shape style="position:absolute;margin-left:102.379997pt;margin-top:26.995655pt;width:390.95pt;height:131.950pt;mso-position-horizontal-relative:page;mso-position-vertical-relative:paragraph;z-index:116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7"/>
                          <w:ind w:left="240" w:right="240"/>
                          <w:rPr>
                            <w:b/>
                            <w:sz w:val="21"/>
                          </w:rPr>
                        </w:pPr>
                        <w:r>
                          <w:rPr>
                            <w:b/>
                            <w:sz w:val="21"/>
                          </w:rPr>
                          <w:t>结构层</w:t>
                        </w:r>
                      </w:p>
                    </w:tc>
                    <w:tc>
                      <w:tcPr>
                        <w:tcW w:w="1844" w:type="dxa"/>
                      </w:tcPr>
                      <w:p>
                        <w:pPr>
                          <w:pStyle w:val="TableParagraph"/>
                          <w:spacing w:before="47"/>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7"/>
                          <w:ind w:left="228" w:right="228"/>
                          <w:rPr>
                            <w:b/>
                            <w:sz w:val="21"/>
                          </w:rPr>
                        </w:pPr>
                        <w:r>
                          <w:rPr>
                            <w:b/>
                            <w:sz w:val="21"/>
                          </w:rPr>
                          <w:t>弯沉值（</w:t>
                        </w:r>
                        <w:r>
                          <w:rPr>
                            <w:rFonts w:ascii="Times New Roman" w:eastAsia="Times New Roman"/>
                            <w:b/>
                            <w:sz w:val="21"/>
                          </w:rPr>
                          <w:t>0.01mm</w:t>
                        </w:r>
                        <w:r>
                          <w:rPr>
                            <w:b/>
                            <w:sz w:val="21"/>
                          </w:rPr>
                          <w:t>）</w:t>
                        </w:r>
                      </w:p>
                    </w:tc>
                  </w:tr>
                  <w:tr>
                    <w:trPr>
                      <w:trHeight w:val="454" w:hRule="exact"/>
                    </w:trPr>
                    <w:tc>
                      <w:tcPr>
                        <w:tcW w:w="3682" w:type="dxa"/>
                      </w:tcPr>
                      <w:p>
                        <w:pPr>
                          <w:pStyle w:val="TableParagraph"/>
                          <w:spacing w:before="52"/>
                          <w:ind w:left="240" w:right="240"/>
                          <w:rPr>
                            <w:sz w:val="21"/>
                          </w:rPr>
                        </w:pPr>
                        <w:r>
                          <w:rPr>
                            <w:sz w:val="21"/>
                          </w:rPr>
                          <w:t>4 厘米细粒式沥青砼面层</w:t>
                        </w:r>
                      </w:p>
                    </w:tc>
                    <w:tc>
                      <w:tcPr>
                        <w:tcW w:w="1844" w:type="dxa"/>
                      </w:tcPr>
                      <w:p>
                        <w:pPr>
                          <w:pStyle w:val="TableParagraph"/>
                          <w:spacing w:before="99"/>
                          <w:rPr>
                            <w:rFonts w:ascii="Times New Roman"/>
                            <w:b/>
                            <w:sz w:val="21"/>
                          </w:rPr>
                        </w:pPr>
                        <w:r>
                          <w:rPr>
                            <w:rFonts w:ascii="Times New Roman"/>
                            <w:b/>
                            <w:w w:val="100"/>
                            <w:sz w:val="21"/>
                          </w:rPr>
                          <w:t>4</w:t>
                        </w:r>
                      </w:p>
                    </w:tc>
                    <w:tc>
                      <w:tcPr>
                        <w:tcW w:w="2278" w:type="dxa"/>
                      </w:tcPr>
                      <w:p>
                        <w:pPr>
                          <w:pStyle w:val="TableParagraph"/>
                          <w:spacing w:before="94"/>
                          <w:ind w:left="228" w:right="227"/>
                          <w:rPr>
                            <w:rFonts w:ascii="Times New Roman"/>
                            <w:sz w:val="21"/>
                          </w:rPr>
                        </w:pPr>
                        <w:r>
                          <w:rPr>
                            <w:rFonts w:ascii="Times New Roman"/>
                            <w:sz w:val="21"/>
                          </w:rPr>
                          <w:t>19.5</w:t>
                        </w:r>
                      </w:p>
                    </w:tc>
                  </w:tr>
                  <w:tr>
                    <w:trPr>
                      <w:trHeight w:val="382" w:hRule="exact"/>
                    </w:trPr>
                    <w:tc>
                      <w:tcPr>
                        <w:tcW w:w="3682" w:type="dxa"/>
                      </w:tcPr>
                      <w:p>
                        <w:pPr>
                          <w:pStyle w:val="TableParagraph"/>
                          <w:spacing w:before="16"/>
                          <w:ind w:left="242" w:right="240"/>
                          <w:rPr>
                            <w:sz w:val="21"/>
                          </w:rPr>
                        </w:pPr>
                        <w:r>
                          <w:rPr>
                            <w:sz w:val="21"/>
                          </w:rPr>
                          <w:t>5 厘米中粒式沥青砼</w:t>
                        </w:r>
                      </w:p>
                    </w:tc>
                    <w:tc>
                      <w:tcPr>
                        <w:tcW w:w="1844" w:type="dxa"/>
                      </w:tcPr>
                      <w:p>
                        <w:pPr>
                          <w:pStyle w:val="TableParagraph"/>
                          <w:spacing w:before="63"/>
                          <w:rPr>
                            <w:rFonts w:ascii="Times New Roman"/>
                            <w:b/>
                            <w:sz w:val="21"/>
                          </w:rPr>
                        </w:pPr>
                        <w:r>
                          <w:rPr>
                            <w:rFonts w:ascii="Times New Roman"/>
                            <w:b/>
                            <w:w w:val="100"/>
                            <w:sz w:val="21"/>
                          </w:rPr>
                          <w:t>5</w:t>
                        </w:r>
                      </w:p>
                    </w:tc>
                    <w:tc>
                      <w:tcPr>
                        <w:tcW w:w="2278" w:type="dxa"/>
                      </w:tcPr>
                      <w:p>
                        <w:pPr>
                          <w:pStyle w:val="TableParagraph"/>
                          <w:spacing w:before="58"/>
                          <w:ind w:left="228" w:right="227"/>
                          <w:rPr>
                            <w:rFonts w:ascii="Times New Roman"/>
                            <w:sz w:val="21"/>
                          </w:rPr>
                        </w:pPr>
                        <w:r>
                          <w:rPr>
                            <w:rFonts w:ascii="Times New Roman"/>
                            <w:sz w:val="21"/>
                          </w:rPr>
                          <w:t>21.3</w:t>
                        </w:r>
                      </w:p>
                    </w:tc>
                  </w:tr>
                  <w:tr>
                    <w:trPr>
                      <w:trHeight w:val="557" w:hRule="exact"/>
                    </w:trPr>
                    <w:tc>
                      <w:tcPr>
                        <w:tcW w:w="3682" w:type="dxa"/>
                      </w:tcPr>
                      <w:p>
                        <w:pPr>
                          <w:pStyle w:val="TableParagraph"/>
                          <w:spacing w:line="241"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52"/>
                          <w:ind w:left="341" w:right="341"/>
                          <w:rPr>
                            <w:rFonts w:ascii="Times New Roman"/>
                            <w:b/>
                            <w:sz w:val="21"/>
                          </w:rPr>
                        </w:pPr>
                        <w:r>
                          <w:rPr>
                            <w:rFonts w:ascii="Times New Roman"/>
                            <w:b/>
                            <w:sz w:val="21"/>
                          </w:rPr>
                          <w:t>20</w:t>
                        </w:r>
                      </w:p>
                    </w:tc>
                    <w:tc>
                      <w:tcPr>
                        <w:tcW w:w="2278" w:type="dxa"/>
                      </w:tcPr>
                      <w:p>
                        <w:pPr>
                          <w:pStyle w:val="TableParagraph"/>
                          <w:spacing w:before="147"/>
                          <w:ind w:left="227" w:right="228"/>
                          <w:rPr>
                            <w:rFonts w:ascii="Times New Roman"/>
                            <w:sz w:val="21"/>
                          </w:rPr>
                        </w:pPr>
                        <w:r>
                          <w:rPr>
                            <w:rFonts w:ascii="Times New Roman"/>
                            <w:sz w:val="21"/>
                          </w:rPr>
                          <w:t>29</w:t>
                        </w:r>
                      </w:p>
                    </w:tc>
                  </w:tr>
                  <w:tr>
                    <w:trPr>
                      <w:trHeight w:val="396" w:hRule="exact"/>
                    </w:trPr>
                    <w:tc>
                      <w:tcPr>
                        <w:tcW w:w="3682" w:type="dxa"/>
                      </w:tcPr>
                      <w:p>
                        <w:pPr>
                          <w:pStyle w:val="TableParagraph"/>
                          <w:spacing w:before="23"/>
                          <w:ind w:left="242" w:right="240"/>
                          <w:rPr>
                            <w:sz w:val="21"/>
                          </w:rPr>
                        </w:pPr>
                        <w:r>
                          <w:rPr>
                            <w:sz w:val="21"/>
                          </w:rPr>
                          <w:t>20 厘米石灰、碎石基层（7：93）</w:t>
                        </w:r>
                      </w:p>
                    </w:tc>
                    <w:tc>
                      <w:tcPr>
                        <w:tcW w:w="1844" w:type="dxa"/>
                      </w:tcPr>
                      <w:p>
                        <w:pPr>
                          <w:pStyle w:val="TableParagraph"/>
                          <w:spacing w:before="70"/>
                          <w:ind w:left="341" w:right="341"/>
                          <w:rPr>
                            <w:rFonts w:ascii="Times New Roman"/>
                            <w:b/>
                            <w:sz w:val="21"/>
                          </w:rPr>
                        </w:pPr>
                        <w:r>
                          <w:rPr>
                            <w:rFonts w:ascii="Times New Roman"/>
                            <w:b/>
                            <w:sz w:val="21"/>
                          </w:rPr>
                          <w:t>20</w:t>
                        </w:r>
                      </w:p>
                    </w:tc>
                    <w:tc>
                      <w:tcPr>
                        <w:tcW w:w="2278" w:type="dxa"/>
                      </w:tcPr>
                      <w:p>
                        <w:pPr>
                          <w:pStyle w:val="TableParagraph"/>
                          <w:spacing w:before="65"/>
                          <w:ind w:left="228" w:right="227"/>
                          <w:rPr>
                            <w:rFonts w:ascii="Times New Roman"/>
                            <w:sz w:val="21"/>
                          </w:rPr>
                        </w:pPr>
                        <w:r>
                          <w:rPr>
                            <w:rFonts w:ascii="Times New Roman"/>
                            <w:sz w:val="21"/>
                          </w:rPr>
                          <w:t>198.3</w:t>
                        </w:r>
                      </w:p>
                    </w:tc>
                  </w:tr>
                  <w:tr>
                    <w:trPr>
                      <w:trHeight w:val="398" w:hRule="exact"/>
                    </w:trPr>
                    <w:tc>
                      <w:tcPr>
                        <w:tcW w:w="3682" w:type="dxa"/>
                      </w:tcPr>
                      <w:p>
                        <w:pPr>
                          <w:pStyle w:val="TableParagraph"/>
                          <w:spacing w:before="26"/>
                          <w:ind w:left="240" w:right="240"/>
                          <w:rPr>
                            <w:sz w:val="21"/>
                          </w:rPr>
                        </w:pPr>
                        <w:r>
                          <w:rPr>
                            <w:sz w:val="21"/>
                          </w:rPr>
                          <w:t>页岩分层压实</w:t>
                        </w:r>
                      </w:p>
                    </w:tc>
                    <w:tc>
                      <w:tcPr>
                        <w:tcW w:w="1844" w:type="dxa"/>
                      </w:tcPr>
                      <w:p>
                        <w:pPr>
                          <w:pStyle w:val="TableParagraph"/>
                          <w:spacing w:before="26"/>
                          <w:ind w:left="341" w:right="341"/>
                          <w:rPr>
                            <w:b/>
                            <w:sz w:val="21"/>
                          </w:rPr>
                        </w:pPr>
                        <w:r>
                          <w:rPr>
                            <w:b/>
                            <w:sz w:val="21"/>
                          </w:rPr>
                          <w:t>——</w:t>
                        </w:r>
                      </w:p>
                    </w:tc>
                    <w:tc>
                      <w:tcPr>
                        <w:tcW w:w="2278" w:type="dxa"/>
                      </w:tcPr>
                      <w:p>
                        <w:pPr>
                          <w:pStyle w:val="TableParagraph"/>
                          <w:spacing w:before="68"/>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10"/>
        <w:rPr>
          <w:b/>
          <w:sz w:val="29"/>
        </w:rPr>
      </w:pPr>
    </w:p>
    <w:p>
      <w:pPr>
        <w:pStyle w:val="BodyText"/>
        <w:spacing w:line="338" w:lineRule="auto"/>
        <w:ind w:left="218" w:right="231" w:firstLine="479"/>
        <w:jc w:val="both"/>
      </w:pPr>
      <w:r>
        <w:rPr/>
        <w:t>人行道：</w:t>
      </w:r>
      <w:r>
        <w:rPr>
          <w:rFonts w:ascii="Times New Roman" w:eastAsia="Times New Roman"/>
        </w:rPr>
        <w:t>250*500*50mm</w:t>
      </w:r>
      <w:r>
        <w:rPr>
          <w:rFonts w:ascii="Times New Roman" w:eastAsia="Times New Roman"/>
          <w:spacing w:val="-4"/>
        </w:rPr>
        <w:t> </w:t>
      </w:r>
      <w:r>
        <w:rPr/>
        <w:t>条纹面砖</w:t>
      </w:r>
      <w:r>
        <w:rPr>
          <w:rFonts w:ascii="Times New Roman" w:eastAsia="Times New Roman"/>
        </w:rPr>
        <w:t>+60mm</w:t>
      </w:r>
      <w:r>
        <w:rPr>
          <w:rFonts w:ascii="Times New Roman" w:eastAsia="Times New Roman"/>
          <w:spacing w:val="-4"/>
        </w:rPr>
        <w:t> </w:t>
      </w:r>
      <w:r>
        <w:rPr>
          <w:spacing w:val="-33"/>
        </w:rPr>
        <w:t>厚 </w:t>
      </w:r>
      <w:r>
        <w:rPr>
          <w:rFonts w:ascii="Times New Roman" w:eastAsia="Times New Roman"/>
        </w:rPr>
        <w:t>C10</w:t>
      </w:r>
      <w:r>
        <w:rPr>
          <w:rFonts w:ascii="Times New Roman" w:eastAsia="Times New Roman"/>
          <w:spacing w:val="-5"/>
        </w:rPr>
        <w:t> </w:t>
      </w:r>
      <w:r>
        <w:rPr/>
        <w:t>砼垫层</w:t>
      </w:r>
      <w:r>
        <w:rPr>
          <w:rFonts w:ascii="Times New Roman" w:eastAsia="Times New Roman"/>
        </w:rPr>
        <w:t>+50mm</w:t>
      </w:r>
      <w:r>
        <w:rPr>
          <w:rFonts w:ascii="Times New Roman" w:eastAsia="Times New Roman"/>
          <w:spacing w:val="-4"/>
        </w:rPr>
        <w:t> </w:t>
      </w:r>
      <w:r>
        <w:rPr/>
        <w:t>厚填隙碎石层</w:t>
      </w:r>
      <w:r>
        <w:rPr>
          <w:rFonts w:ascii="Times New Roman" w:eastAsia="Times New Roman"/>
        </w:rPr>
        <w:t>+</w:t>
      </w:r>
      <w:r>
        <w:rPr/>
        <w:t>页岩分层压实，同时为了方便残疾人通行，人行道上面层方块转按照无障碍设计设置盲道和无障碍通道。</w:t>
      </w:r>
    </w:p>
    <w:p>
      <w:pPr>
        <w:pStyle w:val="Heading3"/>
        <w:spacing w:before="55"/>
      </w:pPr>
      <w:r>
        <w:rPr>
          <w:rFonts w:ascii="Times New Roman" w:eastAsia="Times New Roman"/>
          <w:w w:val="95"/>
        </w:rPr>
        <w:t>3</w:t>
      </w:r>
      <w:r>
        <w:rPr>
          <w:w w:val="95"/>
        </w:rPr>
        <w:t>、排水工程</w:t>
      </w:r>
    </w:p>
    <w:p>
      <w:pPr>
        <w:pStyle w:val="BodyText"/>
        <w:spacing w:before="135"/>
        <w:ind w:left="698"/>
      </w:pPr>
      <w:r>
        <w:rPr/>
        <w:t>①管线位置</w:t>
      </w:r>
    </w:p>
    <w:p>
      <w:pPr>
        <w:pStyle w:val="BodyText"/>
        <w:spacing w:line="338" w:lineRule="auto" w:before="151"/>
        <w:ind w:left="218" w:right="231" w:firstLine="479"/>
        <w:jc w:val="both"/>
      </w:pPr>
      <w:r>
        <w:rPr>
          <w:spacing w:val="-11"/>
        </w:rPr>
        <w:t>本项目雨、污排水管网采用分流制，道路红线宽 </w:t>
      </w:r>
      <w:r>
        <w:rPr>
          <w:rFonts w:ascii="Times New Roman" w:eastAsia="Times New Roman"/>
        </w:rPr>
        <w:t>24~42 </w:t>
      </w:r>
      <w:r>
        <w:rPr>
          <w:spacing w:val="-6"/>
        </w:rPr>
        <w:t>米，管道沿道路全线</w:t>
      </w:r>
      <w:r>
        <w:rPr>
          <w:spacing w:val="-8"/>
        </w:rPr>
        <w:t>布置。雨水管布置于道路东西两侧的非机动车道下，距道路中线 </w:t>
      </w:r>
      <w:r>
        <w:rPr>
          <w:rFonts w:ascii="Times New Roman" w:eastAsia="Times New Roman"/>
        </w:rPr>
        <w:t>15~20m</w:t>
      </w:r>
      <w:r>
        <w:rPr/>
        <w:t>，污水</w:t>
      </w:r>
      <w:r>
        <w:rPr>
          <w:spacing w:val="-4"/>
        </w:rPr>
        <w:t>管布置于道路东西两侧，距道路中线 </w:t>
      </w:r>
      <w:r>
        <w:rPr>
          <w:rFonts w:ascii="Times New Roman" w:eastAsia="Times New Roman"/>
        </w:rPr>
        <w:t>5~10m</w:t>
      </w:r>
      <w:r>
        <w:rPr/>
        <w:t>。</w:t>
      </w:r>
    </w:p>
    <w:p>
      <w:pPr>
        <w:pStyle w:val="BodyText"/>
        <w:spacing w:before="26"/>
        <w:ind w:left="698"/>
      </w:pPr>
      <w:r>
        <w:rPr/>
        <w:t>②雨水方案</w:t>
      </w:r>
    </w:p>
    <w:p>
      <w:pPr>
        <w:pStyle w:val="BodyText"/>
        <w:spacing w:line="338" w:lineRule="auto" w:before="151"/>
        <w:ind w:left="218" w:right="220" w:firstLine="479"/>
        <w:jc w:val="both"/>
      </w:pPr>
      <w:r>
        <w:rPr>
          <w:spacing w:val="-2"/>
        </w:rPr>
        <w:t>新建雨水管道采用柔性承插接口钢筋混凝土管材，距道路中线 </w:t>
      </w:r>
      <w:r>
        <w:rPr>
          <w:rFonts w:ascii="Times New Roman" w:eastAsia="Times New Roman"/>
        </w:rPr>
        <w:t>15~20m</w:t>
      </w:r>
      <w:r>
        <w:rPr/>
        <w:t>，管</w:t>
      </w:r>
      <w:r>
        <w:rPr>
          <w:spacing w:val="-31"/>
        </w:rPr>
        <w:t>径 </w:t>
      </w:r>
      <w:r>
        <w:rPr>
          <w:rFonts w:ascii="Times New Roman" w:eastAsia="Times New Roman"/>
        </w:rPr>
        <w:t>DN600~800</w:t>
      </w:r>
      <w:r>
        <w:rPr>
          <w:spacing w:val="-4"/>
        </w:rPr>
        <w:t>，雨水检查井与雨水检查井采用 </w:t>
      </w:r>
      <w:r>
        <w:rPr>
          <w:rFonts w:ascii="Times New Roman" w:eastAsia="Times New Roman"/>
        </w:rPr>
        <w:t>DN400 </w:t>
      </w:r>
      <w:r>
        <w:rPr/>
        <w:t>钢筋混凝土平口管连接。</w:t>
      </w:r>
    </w:p>
    <w:p>
      <w:pPr>
        <w:pStyle w:val="BodyText"/>
        <w:spacing w:before="24"/>
        <w:ind w:left="698"/>
      </w:pPr>
      <w:r>
        <w:rPr/>
        <w:t>③污水方案</w:t>
      </w:r>
    </w:p>
    <w:p>
      <w:pPr>
        <w:pStyle w:val="BodyText"/>
        <w:spacing w:line="336" w:lineRule="auto" w:before="153"/>
        <w:ind w:left="218" w:right="226" w:firstLine="479"/>
        <w:jc w:val="both"/>
      </w:pPr>
      <w:r>
        <w:rPr/>
        <w:t>新建污水管道采用柔性承插接口钢筋混凝土管材，管径 </w:t>
      </w:r>
      <w:r>
        <w:rPr>
          <w:rFonts w:ascii="Times New Roman" w:eastAsia="Times New Roman"/>
        </w:rPr>
        <w:t>DN600~800</w:t>
      </w:r>
      <w:r>
        <w:rPr/>
        <w:t>，道路两侧分别预埋用户支管。</w:t>
      </w:r>
    </w:p>
    <w:p>
      <w:pPr>
        <w:pStyle w:val="Heading3"/>
        <w:spacing w:before="57"/>
      </w:pPr>
      <w:r>
        <w:rPr>
          <w:rFonts w:ascii="Times New Roman" w:eastAsia="Times New Roman"/>
          <w:w w:val="95"/>
        </w:rPr>
        <w:t>4</w:t>
      </w:r>
      <w:r>
        <w:rPr>
          <w:w w:val="95"/>
        </w:rPr>
        <w:t>、照明工程</w:t>
      </w:r>
    </w:p>
    <w:p>
      <w:pPr>
        <w:pStyle w:val="BodyText"/>
        <w:spacing w:line="345" w:lineRule="auto" w:before="133"/>
        <w:ind w:left="218" w:right="231" w:firstLine="479"/>
        <w:jc w:val="both"/>
      </w:pPr>
      <w:r>
        <w:rPr>
          <w:spacing w:val="-6"/>
        </w:rPr>
        <w:t>本工程照明系统包括供电、配电线路、照明控制、光源和防雷接地。配电系</w:t>
      </w:r>
      <w:r>
        <w:rPr>
          <w:spacing w:val="-13"/>
        </w:rPr>
        <w:t>统接地形式均采用 </w:t>
      </w:r>
      <w:r>
        <w:rPr>
          <w:rFonts w:ascii="Times New Roman" w:eastAsia="Times New Roman"/>
        </w:rPr>
        <w:t>TN-S </w:t>
      </w:r>
      <w:r>
        <w:rPr>
          <w:spacing w:val="-5"/>
        </w:rPr>
        <w:t>系统。为保证负荷平衡，路灯采用三相间隔供电，电力</w:t>
      </w:r>
      <w:r>
        <w:rPr>
          <w:spacing w:val="-9"/>
        </w:rPr>
        <w:t>电缆直接埋地敷设，埋深不小于 </w:t>
      </w:r>
      <w:r>
        <w:rPr>
          <w:rFonts w:ascii="Times New Roman" w:eastAsia="Times New Roman"/>
        </w:rPr>
        <w:t>0.7m</w:t>
      </w:r>
      <w:r>
        <w:rPr/>
        <w:t>。</w:t>
      </w:r>
    </w:p>
    <w:p>
      <w:pPr>
        <w:spacing w:after="0" w:line="345" w:lineRule="auto"/>
        <w:jc w:val="both"/>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
        <w:gridCol w:w="1488"/>
        <w:gridCol w:w="2105"/>
        <w:gridCol w:w="1841"/>
        <w:gridCol w:w="744"/>
        <w:gridCol w:w="1858"/>
        <w:gridCol w:w="379"/>
      </w:tblGrid>
      <w:tr>
        <w:trPr>
          <w:trHeight w:val="9851" w:hRule="exact"/>
        </w:trPr>
        <w:tc>
          <w:tcPr>
            <w:tcW w:w="8529" w:type="dxa"/>
            <w:gridSpan w:val="7"/>
            <w:tcBorders>
              <w:bottom w:val="nil"/>
            </w:tcBorders>
          </w:tcPr>
          <w:p>
            <w:pPr>
              <w:pStyle w:val="TableParagraph"/>
              <w:spacing w:line="292" w:lineRule="exact"/>
              <w:ind w:left="583" w:right="-17"/>
              <w:jc w:val="left"/>
              <w:rPr>
                <w:sz w:val="24"/>
              </w:rPr>
            </w:pPr>
            <w:r>
              <w:rPr>
                <w:spacing w:val="-16"/>
                <w:sz w:val="24"/>
              </w:rPr>
              <w:t>沿道路双侧布置，负荷等级为城市三级用电负荷，采用单挑路灯，杆高 </w:t>
            </w:r>
            <w:r>
              <w:rPr>
                <w:rFonts w:ascii="Times New Roman" w:eastAsia="Times New Roman"/>
                <w:sz w:val="24"/>
              </w:rPr>
              <w:t>10m</w:t>
            </w:r>
            <w:r>
              <w:rPr>
                <w:sz w:val="24"/>
              </w:rPr>
              <w:t>，</w:t>
            </w:r>
          </w:p>
          <w:p>
            <w:pPr>
              <w:pStyle w:val="TableParagraph"/>
              <w:spacing w:before="135"/>
              <w:ind w:left="103"/>
              <w:jc w:val="left"/>
              <w:rPr>
                <w:sz w:val="24"/>
              </w:rPr>
            </w:pPr>
            <w:r>
              <w:rPr>
                <w:sz w:val="24"/>
              </w:rPr>
              <w:t>臂长 </w:t>
            </w:r>
            <w:r>
              <w:rPr>
                <w:rFonts w:ascii="Times New Roman" w:eastAsia="Times New Roman"/>
                <w:sz w:val="24"/>
              </w:rPr>
              <w:t>1.5m</w:t>
            </w:r>
            <w:r>
              <w:rPr>
                <w:sz w:val="24"/>
              </w:rPr>
              <w:t>，灯杆间距 </w:t>
            </w:r>
            <w:r>
              <w:rPr>
                <w:rFonts w:ascii="Times New Roman" w:eastAsia="Times New Roman"/>
                <w:sz w:val="24"/>
              </w:rPr>
              <w:t>25m</w:t>
            </w:r>
            <w:r>
              <w:rPr>
                <w:sz w:val="24"/>
              </w:rPr>
              <w:t>，路灯采用 </w:t>
            </w:r>
            <w:r>
              <w:rPr>
                <w:rFonts w:ascii="Times New Roman" w:eastAsia="Times New Roman"/>
                <w:sz w:val="24"/>
              </w:rPr>
              <w:t>LED </w:t>
            </w:r>
            <w:r>
              <w:rPr>
                <w:sz w:val="24"/>
              </w:rPr>
              <w:t>灯具。</w:t>
            </w:r>
          </w:p>
          <w:p>
            <w:pPr>
              <w:pStyle w:val="TableParagraph"/>
              <w:spacing w:before="132"/>
              <w:ind w:left="585"/>
              <w:jc w:val="left"/>
              <w:rPr>
                <w:b/>
                <w:sz w:val="24"/>
              </w:rPr>
            </w:pPr>
            <w:r>
              <w:rPr>
                <w:rFonts w:ascii="Times New Roman" w:eastAsia="Times New Roman"/>
                <w:b/>
                <w:w w:val="95"/>
                <w:sz w:val="24"/>
              </w:rPr>
              <w:t>5</w:t>
            </w:r>
            <w:r>
              <w:rPr>
                <w:b/>
                <w:w w:val="95"/>
                <w:sz w:val="24"/>
              </w:rPr>
              <w:t>、绿化工程</w:t>
            </w:r>
          </w:p>
          <w:p>
            <w:pPr>
              <w:pStyle w:val="TableParagraph"/>
              <w:spacing w:line="355" w:lineRule="auto" w:before="135"/>
              <w:ind w:left="103" w:firstLine="479"/>
              <w:jc w:val="left"/>
              <w:rPr>
                <w:sz w:val="24"/>
              </w:rPr>
            </w:pPr>
            <w:r>
              <w:rPr>
                <w:spacing w:val="-4"/>
                <w:sz w:val="24"/>
              </w:rPr>
              <w:t>本工程在道路两侧和中央设置防护绿化带，道路两侧种植小乔木、灌木、草皮和花卉，人行道一侧种植行道树。</w:t>
            </w:r>
          </w:p>
          <w:p>
            <w:pPr>
              <w:pStyle w:val="TableParagraph"/>
              <w:spacing w:before="38"/>
              <w:ind w:left="585"/>
              <w:jc w:val="left"/>
              <w:rPr>
                <w:b/>
                <w:sz w:val="24"/>
              </w:rPr>
            </w:pPr>
            <w:r>
              <w:rPr>
                <w:b/>
                <w:w w:val="95"/>
                <w:sz w:val="24"/>
              </w:rPr>
              <w:t>八、主要原辅料及施工机械</w:t>
            </w:r>
          </w:p>
          <w:p>
            <w:pPr>
              <w:pStyle w:val="TableParagraph"/>
              <w:spacing w:before="151"/>
              <w:ind w:left="585"/>
              <w:jc w:val="left"/>
              <w:rPr>
                <w:b/>
                <w:sz w:val="24"/>
              </w:rPr>
            </w:pPr>
            <w:r>
              <w:rPr>
                <w:rFonts w:ascii="Times New Roman" w:eastAsia="Times New Roman"/>
                <w:b/>
                <w:w w:val="95"/>
                <w:sz w:val="24"/>
              </w:rPr>
              <w:t>1</w:t>
            </w:r>
            <w:r>
              <w:rPr>
                <w:b/>
                <w:w w:val="95"/>
                <w:sz w:val="24"/>
              </w:rPr>
              <w:t>、施工原辅材料用量及能耗</w:t>
            </w:r>
          </w:p>
          <w:p>
            <w:pPr>
              <w:pStyle w:val="TableParagraph"/>
              <w:spacing w:line="355" w:lineRule="auto" w:before="136"/>
              <w:ind w:left="103" w:right="28" w:firstLine="479"/>
              <w:jc w:val="left"/>
              <w:rPr>
                <w:sz w:val="24"/>
              </w:rPr>
            </w:pPr>
            <w:r>
              <w:rPr>
                <w:spacing w:val="-7"/>
                <w:sz w:val="24"/>
              </w:rPr>
              <w:t>施工期主要原辅材料为水泥、钢材、木材、沥青、石料等，均外购。项目周</w:t>
            </w:r>
            <w:r>
              <w:rPr>
                <w:spacing w:val="-1"/>
                <w:sz w:val="24"/>
              </w:rPr>
              <w:t>边运输条件良好，本项目不单独设置取料场。</w:t>
            </w:r>
          </w:p>
          <w:p>
            <w:pPr>
              <w:pStyle w:val="TableParagraph"/>
              <w:spacing w:before="39"/>
              <w:ind w:left="583"/>
              <w:jc w:val="left"/>
              <w:rPr>
                <w:sz w:val="24"/>
              </w:rPr>
            </w:pPr>
            <w:r>
              <w:rPr>
                <w:sz w:val="24"/>
              </w:rPr>
              <w:t>本项目工程材料数量见下表。</w:t>
            </w:r>
          </w:p>
          <w:p>
            <w:pPr>
              <w:pStyle w:val="TableParagraph"/>
              <w:tabs>
                <w:tab w:pos="862" w:val="left" w:leader="none"/>
              </w:tabs>
              <w:spacing w:before="151"/>
              <w:ind w:right="2"/>
              <w:rPr>
                <w:b/>
                <w:sz w:val="24"/>
              </w:rPr>
            </w:pPr>
            <w:r>
              <w:rPr>
                <w:b/>
                <w:sz w:val="24"/>
              </w:rPr>
              <w:t>表</w:t>
            </w:r>
            <w:r>
              <w:rPr>
                <w:b/>
                <w:spacing w:val="-60"/>
                <w:sz w:val="24"/>
              </w:rPr>
              <w:t> </w:t>
            </w:r>
            <w:r>
              <w:rPr>
                <w:rFonts w:ascii="Times New Roman" w:eastAsia="Times New Roman"/>
                <w:b/>
                <w:sz w:val="24"/>
              </w:rPr>
              <w:t>1-7</w:t>
              <w:tab/>
            </w:r>
            <w:r>
              <w:rPr>
                <w:b/>
                <w:w w:val="95"/>
                <w:sz w:val="24"/>
              </w:rPr>
              <w:t>项目施工期原辅材料用量及能耗估算表</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9"/>
              <w:jc w:val="left"/>
              <w:rPr>
                <w:sz w:val="28"/>
              </w:rPr>
            </w:pPr>
          </w:p>
          <w:p>
            <w:pPr>
              <w:pStyle w:val="TableParagraph"/>
              <w:ind w:left="585"/>
              <w:jc w:val="left"/>
              <w:rPr>
                <w:b/>
                <w:sz w:val="24"/>
              </w:rPr>
            </w:pPr>
            <w:r>
              <w:rPr>
                <w:rFonts w:ascii="Times New Roman" w:eastAsia="Times New Roman"/>
                <w:b/>
                <w:w w:val="95"/>
                <w:sz w:val="24"/>
              </w:rPr>
              <w:t>2</w:t>
            </w:r>
            <w:r>
              <w:rPr>
                <w:b/>
                <w:w w:val="95"/>
                <w:sz w:val="24"/>
              </w:rPr>
              <w:t>、主要施工机械</w:t>
            </w:r>
          </w:p>
          <w:p>
            <w:pPr>
              <w:pStyle w:val="TableParagraph"/>
              <w:spacing w:before="135"/>
              <w:ind w:left="583"/>
              <w:jc w:val="left"/>
              <w:rPr>
                <w:sz w:val="24"/>
              </w:rPr>
            </w:pPr>
            <w:r>
              <w:rPr>
                <w:sz w:val="24"/>
              </w:rPr>
              <w:t>本项目施工期主要机械设备见表 </w:t>
            </w:r>
            <w:r>
              <w:rPr>
                <w:rFonts w:ascii="Times New Roman" w:eastAsia="Times New Roman"/>
                <w:sz w:val="24"/>
              </w:rPr>
              <w:t>1-8</w:t>
            </w:r>
            <w:r>
              <w:rPr>
                <w:sz w:val="24"/>
              </w:rPr>
              <w:t>。</w:t>
            </w:r>
          </w:p>
          <w:p>
            <w:pPr>
              <w:pStyle w:val="TableParagraph"/>
              <w:tabs>
                <w:tab w:pos="861" w:val="left" w:leader="none"/>
              </w:tabs>
              <w:spacing w:before="133"/>
              <w:ind w:right="2"/>
              <w:rPr>
                <w:b/>
                <w:sz w:val="24"/>
              </w:rPr>
            </w:pPr>
            <w:r>
              <w:rPr>
                <w:b/>
                <w:sz w:val="24"/>
              </w:rPr>
              <w:t>表</w:t>
            </w:r>
            <w:r>
              <w:rPr>
                <w:b/>
                <w:spacing w:val="-60"/>
                <w:sz w:val="24"/>
              </w:rPr>
              <w:t> </w:t>
            </w:r>
            <w:r>
              <w:rPr>
                <w:rFonts w:ascii="Times New Roman" w:eastAsia="Times New Roman"/>
                <w:b/>
                <w:sz w:val="24"/>
              </w:rPr>
              <w:t>1-8</w:t>
              <w:tab/>
            </w:r>
            <w:r>
              <w:rPr>
                <w:b/>
                <w:w w:val="95"/>
                <w:sz w:val="24"/>
              </w:rPr>
              <w:t>项目建设主要机械设备表</w:t>
            </w:r>
          </w:p>
        </w:tc>
      </w:tr>
      <w:tr>
        <w:trPr>
          <w:trHeight w:val="555" w:hRule="exact"/>
        </w:trPr>
        <w:tc>
          <w:tcPr>
            <w:tcW w:w="113" w:type="dxa"/>
            <w:tcBorders>
              <w:top w:val="nil"/>
              <w:bottom w:val="nil"/>
            </w:tcBorders>
          </w:tcPr>
          <w:p>
            <w:pPr/>
          </w:p>
        </w:tc>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0"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c>
          <w:tcPr>
            <w:tcW w:w="379" w:type="dxa"/>
            <w:vMerge w:val="restart"/>
            <w:tcBorders>
              <w:top w:val="nil"/>
            </w:tcBorders>
          </w:tcPr>
          <w:p>
            <w:pPr/>
          </w:p>
        </w:tc>
      </w:tr>
      <w:tr>
        <w:trPr>
          <w:trHeight w:val="283" w:hRule="exact"/>
        </w:trPr>
        <w:tc>
          <w:tcPr>
            <w:tcW w:w="113" w:type="dxa"/>
            <w:vMerge w:val="restart"/>
            <w:tcBorders>
              <w:top w:val="nil"/>
            </w:tcBorders>
          </w:tcPr>
          <w:p>
            <w:pPr/>
          </w:p>
        </w:tc>
        <w:tc>
          <w:tcPr>
            <w:tcW w:w="1488" w:type="dxa"/>
            <w:vMerge w:val="restart"/>
          </w:tcPr>
          <w:p>
            <w:pPr>
              <w:pStyle w:val="TableParagraph"/>
              <w:spacing w:line="241" w:lineRule="exact"/>
              <w:ind w:left="422"/>
              <w:jc w:val="left"/>
              <w:rPr>
                <w:sz w:val="21"/>
              </w:rPr>
            </w:pPr>
            <w:r>
              <w:rPr>
                <w:sz w:val="21"/>
              </w:rPr>
              <w:t>土石方</w:t>
            </w:r>
          </w:p>
        </w:tc>
        <w:tc>
          <w:tcPr>
            <w:tcW w:w="2105" w:type="dxa"/>
          </w:tcPr>
          <w:p>
            <w:pPr>
              <w:pStyle w:val="TableParagraph"/>
              <w:spacing w:line="241" w:lineRule="exact"/>
              <w:ind w:left="186" w:right="188"/>
              <w:rPr>
                <w:sz w:val="21"/>
              </w:rPr>
            </w:pPr>
            <w:r>
              <w:rPr>
                <w:sz w:val="21"/>
              </w:rPr>
              <w:t>轮式装载机</w:t>
            </w:r>
          </w:p>
        </w:tc>
        <w:tc>
          <w:tcPr>
            <w:tcW w:w="1841" w:type="dxa"/>
          </w:tcPr>
          <w:p>
            <w:pPr>
              <w:pStyle w:val="TableParagraph"/>
              <w:spacing w:line="257"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90</w:t>
            </w:r>
          </w:p>
        </w:tc>
        <w:tc>
          <w:tcPr>
            <w:tcW w:w="379" w:type="dxa"/>
            <w:vMerge/>
          </w:tcPr>
          <w:p>
            <w:pPr/>
          </w:p>
        </w:tc>
      </w:tr>
      <w:tr>
        <w:trPr>
          <w:trHeight w:val="281" w:hRule="exact"/>
        </w:trPr>
        <w:tc>
          <w:tcPr>
            <w:tcW w:w="113" w:type="dxa"/>
            <w:vMerge/>
          </w:tcPr>
          <w:p>
            <w:pPr/>
          </w:p>
        </w:tc>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c>
          <w:tcPr>
            <w:tcW w:w="379"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3" w:lineRule="exact"/>
              <w:ind w:left="186" w:right="186"/>
              <w:rPr>
                <w:sz w:val="21"/>
              </w:rPr>
            </w:pPr>
            <w:r>
              <w:rPr>
                <w:sz w:val="21"/>
              </w:rPr>
              <w:t>振动式压路机</w:t>
            </w:r>
          </w:p>
        </w:tc>
        <w:tc>
          <w:tcPr>
            <w:tcW w:w="1841" w:type="dxa"/>
          </w:tcPr>
          <w:p>
            <w:pPr>
              <w:pStyle w:val="TableParagraph"/>
              <w:spacing w:line="259"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86</w:t>
            </w:r>
          </w:p>
        </w:tc>
        <w:tc>
          <w:tcPr>
            <w:tcW w:w="379"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6"/>
              <w:rPr>
                <w:sz w:val="21"/>
              </w:rPr>
            </w:pPr>
            <w:r>
              <w:rPr>
                <w:sz w:val="21"/>
              </w:rPr>
              <w:t>双轮双振压路机</w:t>
            </w:r>
          </w:p>
        </w:tc>
        <w:tc>
          <w:tcPr>
            <w:tcW w:w="1841" w:type="dxa"/>
          </w:tcPr>
          <w:p>
            <w:pPr>
              <w:pStyle w:val="TableParagraph"/>
              <w:spacing w:line="257"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c>
          <w:tcPr>
            <w:tcW w:w="379" w:type="dxa"/>
            <w:vMerge/>
          </w:tcPr>
          <w:p>
            <w:pPr/>
          </w:p>
        </w:tc>
      </w:tr>
      <w:tr>
        <w:trPr>
          <w:trHeight w:val="281" w:hRule="exact"/>
        </w:trPr>
        <w:tc>
          <w:tcPr>
            <w:tcW w:w="113" w:type="dxa"/>
            <w:vMerge/>
          </w:tcPr>
          <w:p>
            <w:pPr/>
          </w:p>
        </w:tc>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c>
          <w:tcPr>
            <w:tcW w:w="379"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c>
          <w:tcPr>
            <w:tcW w:w="379" w:type="dxa"/>
            <w:vMerge/>
          </w:tcPr>
          <w:p>
            <w:pPr/>
          </w:p>
        </w:tc>
      </w:tr>
      <w:tr>
        <w:trPr>
          <w:trHeight w:val="283" w:hRule="exact"/>
        </w:trPr>
        <w:tc>
          <w:tcPr>
            <w:tcW w:w="113" w:type="dxa"/>
            <w:vMerge/>
          </w:tcPr>
          <w:p>
            <w:pPr/>
          </w:p>
        </w:tc>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c>
          <w:tcPr>
            <w:tcW w:w="379" w:type="dxa"/>
            <w:vMerge/>
          </w:tcPr>
          <w:p>
            <w:pPr/>
          </w:p>
        </w:tc>
      </w:tr>
      <w:tr>
        <w:trPr>
          <w:trHeight w:val="281" w:hRule="exact"/>
        </w:trPr>
        <w:tc>
          <w:tcPr>
            <w:tcW w:w="113" w:type="dxa"/>
            <w:vMerge/>
          </w:tcPr>
          <w:p>
            <w:pPr/>
          </w:p>
        </w:tc>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c>
          <w:tcPr>
            <w:tcW w:w="379" w:type="dxa"/>
            <w:vMerge/>
          </w:tcPr>
          <w:p>
            <w:pPr/>
          </w:p>
        </w:tc>
      </w:tr>
      <w:tr>
        <w:trPr>
          <w:trHeight w:val="283" w:hRule="exact"/>
        </w:trPr>
        <w:tc>
          <w:tcPr>
            <w:tcW w:w="113" w:type="dxa"/>
            <w:vMerge/>
            <w:tcBorders>
              <w:bottom w:val="nil"/>
            </w:tcBorders>
          </w:tcPr>
          <w:p>
            <w:pPr/>
          </w:p>
        </w:tc>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c>
          <w:tcPr>
            <w:tcW w:w="379" w:type="dxa"/>
            <w:vMerge/>
          </w:tcPr>
          <w:p>
            <w:pPr/>
          </w:p>
        </w:tc>
      </w:tr>
      <w:tr>
        <w:trPr>
          <w:trHeight w:val="283" w:hRule="exact"/>
        </w:trPr>
        <w:tc>
          <w:tcPr>
            <w:tcW w:w="113" w:type="dxa"/>
            <w:vMerge w:val="restart"/>
            <w:tcBorders>
              <w:top w:val="nil"/>
            </w:tcBorders>
          </w:tcPr>
          <w:p>
            <w:pPr/>
          </w:p>
        </w:tc>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c>
          <w:tcPr>
            <w:tcW w:w="379" w:type="dxa"/>
            <w:vMerge/>
          </w:tcPr>
          <w:p>
            <w:pPr/>
          </w:p>
        </w:tc>
      </w:tr>
      <w:tr>
        <w:trPr>
          <w:trHeight w:val="281" w:hRule="exact"/>
        </w:trPr>
        <w:tc>
          <w:tcPr>
            <w:tcW w:w="113" w:type="dxa"/>
            <w:vMerge/>
          </w:tcPr>
          <w:p>
            <w:pPr/>
          </w:p>
        </w:tc>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c>
          <w:tcPr>
            <w:tcW w:w="379" w:type="dxa"/>
            <w:vMerge/>
          </w:tcPr>
          <w:p>
            <w:pPr/>
          </w:p>
        </w:tc>
      </w:tr>
      <w:tr>
        <w:trPr>
          <w:trHeight w:val="293" w:hRule="exact"/>
        </w:trPr>
        <w:tc>
          <w:tcPr>
            <w:tcW w:w="113" w:type="dxa"/>
            <w:vMerge/>
          </w:tcPr>
          <w:p>
            <w:pPr/>
          </w:p>
        </w:tc>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6" w:lineRule="exact"/>
              <w:ind w:left="107" w:right="107"/>
              <w:rPr>
                <w:rFonts w:ascii="Times New Roman"/>
                <w:sz w:val="21"/>
              </w:rPr>
            </w:pPr>
            <w:r>
              <w:rPr>
                <w:rFonts w:ascii="Times New Roman"/>
                <w:sz w:val="21"/>
              </w:rPr>
              <w:t>FKV-7</w:t>
            </w:r>
          </w:p>
        </w:tc>
        <w:tc>
          <w:tcPr>
            <w:tcW w:w="744" w:type="dxa"/>
          </w:tcPr>
          <w:p>
            <w:pPr>
              <w:pStyle w:val="TableParagraph"/>
              <w:spacing w:line="236" w:lineRule="exact"/>
              <w:rPr>
                <w:rFonts w:ascii="Times New Roman"/>
                <w:sz w:val="21"/>
              </w:rPr>
            </w:pPr>
            <w:r>
              <w:rPr>
                <w:rFonts w:ascii="Times New Roman"/>
                <w:w w:val="100"/>
                <w:sz w:val="21"/>
              </w:rPr>
              <w:t>4</w:t>
            </w:r>
          </w:p>
        </w:tc>
        <w:tc>
          <w:tcPr>
            <w:tcW w:w="1858" w:type="dxa"/>
          </w:tcPr>
          <w:p>
            <w:pPr>
              <w:pStyle w:val="TableParagraph"/>
              <w:spacing w:line="236" w:lineRule="exact"/>
              <w:ind w:left="105" w:right="108"/>
              <w:rPr>
                <w:rFonts w:ascii="Times New Roman"/>
                <w:sz w:val="21"/>
              </w:rPr>
            </w:pPr>
            <w:r>
              <w:rPr>
                <w:rFonts w:ascii="Times New Roman"/>
                <w:sz w:val="21"/>
              </w:rPr>
              <w:t>98</w:t>
            </w:r>
          </w:p>
        </w:tc>
        <w:tc>
          <w:tcPr>
            <w:tcW w:w="379" w:type="dxa"/>
            <w:vMerge/>
          </w:tcPr>
          <w:p>
            <w:pPr/>
          </w:p>
        </w:tc>
      </w:tr>
    </w:tbl>
    <w:p>
      <w:pPr>
        <w:rPr>
          <w:sz w:val="2"/>
          <w:szCs w:val="2"/>
        </w:rPr>
      </w:pPr>
      <w:r>
        <w:rPr/>
        <w:pict>
          <v:shape style="position:absolute;margin-left:104.660004pt;margin-top:329.329956pt;width:386.4pt;height:144.5pt;mso-position-horizontal-relative:page;mso-position-vertical-relative:page;z-index:119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01"/>
                    <w:gridCol w:w="2024"/>
                    <w:gridCol w:w="1688"/>
                    <w:gridCol w:w="1351"/>
                    <w:gridCol w:w="1349"/>
                  </w:tblGrid>
                  <w:tr>
                    <w:trPr>
                      <w:trHeight w:val="250" w:hRule="exact"/>
                    </w:trPr>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right="350"/>
                          <w:jc w:val="right"/>
                          <w:rPr>
                            <w:sz w:val="21"/>
                          </w:rPr>
                        </w:pPr>
                        <w:r>
                          <w:rPr>
                            <w:sz w:val="21"/>
                          </w:rPr>
                          <w:t>总耗量</w:t>
                        </w:r>
                      </w:p>
                    </w:tc>
                    <w:tc>
                      <w:tcPr>
                        <w:tcW w:w="1349" w:type="dxa"/>
                      </w:tcPr>
                      <w:p>
                        <w:pPr>
                          <w:pStyle w:val="TableParagraph"/>
                          <w:spacing w:line="222" w:lineRule="exact"/>
                          <w:ind w:left="229" w:right="229"/>
                          <w:rPr>
                            <w:sz w:val="21"/>
                          </w:rPr>
                        </w:pPr>
                        <w:r>
                          <w:rPr>
                            <w:sz w:val="21"/>
                          </w:rPr>
                          <w:t>来源</w:t>
                        </w:r>
                      </w:p>
                    </w:tc>
                  </w:tr>
                  <w:tr>
                    <w:trPr>
                      <w:trHeight w:val="250" w:hRule="exact"/>
                    </w:trPr>
                    <w:tc>
                      <w:tcPr>
                        <w:tcW w:w="1301" w:type="dxa"/>
                        <w:vMerge w:val="restart"/>
                      </w:tcPr>
                      <w:p>
                        <w:pPr>
                          <w:pStyle w:val="TableParagraph"/>
                          <w:jc w:val="left"/>
                          <w:rPr>
                            <w:sz w:val="20"/>
                          </w:rPr>
                        </w:pPr>
                      </w:p>
                      <w:p>
                        <w:pPr>
                          <w:pStyle w:val="TableParagraph"/>
                          <w:spacing w:before="12"/>
                          <w:jc w:val="left"/>
                          <w:rPr>
                            <w:sz w:val="23"/>
                          </w:rPr>
                        </w:pPr>
                      </w:p>
                      <w:p>
                        <w:pPr>
                          <w:pStyle w:val="TableParagraph"/>
                          <w:spacing w:before="1"/>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1400</w:t>
                        </w:r>
                      </w:p>
                    </w:tc>
                    <w:tc>
                      <w:tcPr>
                        <w:tcW w:w="1349" w:type="dxa"/>
                        <w:vMerge w:val="restart"/>
                      </w:tcPr>
                      <w:p>
                        <w:pPr>
                          <w:pStyle w:val="TableParagraph"/>
                          <w:jc w:val="left"/>
                          <w:rPr>
                            <w:sz w:val="20"/>
                          </w:rPr>
                        </w:pPr>
                      </w:p>
                      <w:p>
                        <w:pPr>
                          <w:pStyle w:val="TableParagraph"/>
                          <w:spacing w:before="12"/>
                          <w:jc w:val="left"/>
                          <w:rPr>
                            <w:sz w:val="23"/>
                          </w:rPr>
                        </w:pPr>
                      </w:p>
                      <w:p>
                        <w:pPr>
                          <w:pStyle w:val="TableParagraph"/>
                          <w:spacing w:before="1"/>
                          <w:ind w:left="103"/>
                          <w:jc w:val="left"/>
                          <w:rPr>
                            <w:sz w:val="21"/>
                          </w:rPr>
                        </w:pPr>
                        <w:r>
                          <w:rPr>
                            <w:sz w:val="21"/>
                          </w:rPr>
                          <w:t>原（辅）料</w:t>
                        </w:r>
                      </w:p>
                    </w:tc>
                  </w:tr>
                  <w:tr>
                    <w:trPr>
                      <w:trHeight w:val="252" w:hRule="exact"/>
                    </w:trPr>
                    <w:tc>
                      <w:tcPr>
                        <w:tcW w:w="1301" w:type="dxa"/>
                        <w:vMerge/>
                      </w:tcPr>
                      <w:p>
                        <w:pPr/>
                      </w:p>
                    </w:tc>
                    <w:tc>
                      <w:tcPr>
                        <w:tcW w:w="2024" w:type="dxa"/>
                      </w:tcPr>
                      <w:p>
                        <w:pPr>
                          <w:pStyle w:val="TableParagraph"/>
                          <w:spacing w:line="224" w:lineRule="exact"/>
                          <w:ind w:left="461" w:right="459"/>
                          <w:rPr>
                            <w:sz w:val="21"/>
                          </w:rPr>
                        </w:pPr>
                        <w:r>
                          <w:rPr>
                            <w:sz w:val="21"/>
                          </w:rPr>
                          <w:t>混凝土</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40" w:lineRule="exact"/>
                          <w:ind w:left="441" w:right="439"/>
                          <w:rPr>
                            <w:rFonts w:ascii="Times New Roman"/>
                            <w:sz w:val="21"/>
                          </w:rPr>
                        </w:pPr>
                        <w:r>
                          <w:rPr>
                            <w:rFonts w:ascii="Times New Roman"/>
                            <w:sz w:val="21"/>
                          </w:rPr>
                          <w:t>540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砂砾石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3540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钢筋</w:t>
                        </w:r>
                      </w:p>
                    </w:tc>
                    <w:tc>
                      <w:tcPr>
                        <w:tcW w:w="1688" w:type="dxa"/>
                      </w:tcPr>
                      <w:p>
                        <w:pPr>
                          <w:pStyle w:val="TableParagraph"/>
                          <w:spacing w:line="237" w:lineRule="exact"/>
                          <w:ind w:left="3"/>
                          <w:rPr>
                            <w:rFonts w:ascii="Times New Roman"/>
                            <w:sz w:val="21"/>
                          </w:rPr>
                        </w:pPr>
                        <w:r>
                          <w:rPr>
                            <w:rFonts w:ascii="Times New Roman"/>
                            <w:w w:val="100"/>
                            <w:sz w:val="21"/>
                          </w:rPr>
                          <w:t>t</w:t>
                        </w:r>
                      </w:p>
                    </w:tc>
                    <w:tc>
                      <w:tcPr>
                        <w:tcW w:w="1351" w:type="dxa"/>
                      </w:tcPr>
                      <w:p>
                        <w:pPr>
                          <w:pStyle w:val="TableParagraph"/>
                          <w:spacing w:line="237" w:lineRule="exact"/>
                          <w:ind w:left="439" w:right="439"/>
                          <w:rPr>
                            <w:rFonts w:ascii="Times New Roman"/>
                            <w:sz w:val="21"/>
                          </w:rPr>
                        </w:pPr>
                        <w:r>
                          <w:rPr>
                            <w:rFonts w:ascii="Times New Roman"/>
                            <w:sz w:val="21"/>
                          </w:rPr>
                          <w:t>30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碎石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441" w:right="439"/>
                          <w:rPr>
                            <w:rFonts w:ascii="Times New Roman"/>
                            <w:sz w:val="21"/>
                          </w:rPr>
                        </w:pPr>
                        <w:r>
                          <w:rPr>
                            <w:rFonts w:ascii="Times New Roman"/>
                            <w:sz w:val="21"/>
                          </w:rPr>
                          <w:t>5680</w:t>
                        </w:r>
                      </w:p>
                    </w:tc>
                    <w:tc>
                      <w:tcPr>
                        <w:tcW w:w="1349" w:type="dxa"/>
                        <w:vMerge/>
                      </w:tcPr>
                      <w:p>
                        <w:pPr/>
                      </w:p>
                    </w:tc>
                  </w:tr>
                  <w:tr>
                    <w:trPr>
                      <w:trHeight w:val="250" w:hRule="exact"/>
                    </w:trPr>
                    <w:tc>
                      <w:tcPr>
                        <w:tcW w:w="1301" w:type="dxa"/>
                        <w:vMerge/>
                      </w:tcPr>
                      <w:p>
                        <w:pPr/>
                      </w:p>
                    </w:tc>
                    <w:tc>
                      <w:tcPr>
                        <w:tcW w:w="2024" w:type="dxa"/>
                      </w:tcPr>
                      <w:p>
                        <w:pPr>
                          <w:pStyle w:val="TableParagraph"/>
                          <w:spacing w:line="222" w:lineRule="exact"/>
                          <w:ind w:left="461" w:right="459"/>
                          <w:rPr>
                            <w:sz w:val="21"/>
                          </w:rPr>
                        </w:pPr>
                        <w:r>
                          <w:rPr>
                            <w:sz w:val="21"/>
                          </w:rPr>
                          <w:t>木材</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37" w:lineRule="exact"/>
                          <w:ind w:left="441" w:right="439"/>
                          <w:rPr>
                            <w:rFonts w:ascii="Times New Roman"/>
                            <w:sz w:val="21"/>
                          </w:rPr>
                        </w:pPr>
                        <w:r>
                          <w:rPr>
                            <w:rFonts w:ascii="Times New Roman"/>
                            <w:sz w:val="21"/>
                          </w:rPr>
                          <w:t>300</w:t>
                        </w:r>
                      </w:p>
                    </w:tc>
                    <w:tc>
                      <w:tcPr>
                        <w:tcW w:w="1349" w:type="dxa"/>
                        <w:vMerge/>
                      </w:tcPr>
                      <w:p>
                        <w:pPr/>
                      </w:p>
                    </w:tc>
                  </w:tr>
                  <w:tr>
                    <w:trPr>
                      <w:trHeight w:val="284" w:hRule="exact"/>
                    </w:trPr>
                    <w:tc>
                      <w:tcPr>
                        <w:tcW w:w="1301" w:type="dxa"/>
                        <w:vMerge w:val="restart"/>
                      </w:tcPr>
                      <w:p>
                        <w:pPr>
                          <w:pStyle w:val="TableParagraph"/>
                          <w:spacing w:before="11"/>
                          <w:jc w:val="left"/>
                          <w:rPr>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10"/>
                          <w:ind w:left="609" w:right="605"/>
                          <w:rPr>
                            <w:rFonts w:ascii="Times New Roman"/>
                            <w:sz w:val="21"/>
                          </w:rPr>
                        </w:pPr>
                        <w:r>
                          <w:rPr>
                            <w:rFonts w:ascii="Times New Roman"/>
                            <w:sz w:val="21"/>
                          </w:rPr>
                          <w:t>kW</w:t>
                        </w:r>
                      </w:p>
                    </w:tc>
                    <w:tc>
                      <w:tcPr>
                        <w:tcW w:w="1351" w:type="dxa"/>
                      </w:tcPr>
                      <w:p>
                        <w:pPr>
                          <w:pStyle w:val="TableParagraph"/>
                          <w:spacing w:before="13"/>
                          <w:ind w:right="403"/>
                          <w:jc w:val="right"/>
                          <w:rPr>
                            <w:rFonts w:ascii="Times New Roman"/>
                            <w:sz w:val="21"/>
                          </w:rPr>
                        </w:pPr>
                        <w:r>
                          <w:rPr>
                            <w:rFonts w:ascii="Times New Roman"/>
                            <w:sz w:val="21"/>
                          </w:rPr>
                          <w:t>87000</w:t>
                        </w:r>
                      </w:p>
                    </w:tc>
                    <w:tc>
                      <w:tcPr>
                        <w:tcW w:w="1349" w:type="dxa"/>
                      </w:tcPr>
                      <w:p>
                        <w:pPr>
                          <w:pStyle w:val="TableParagraph"/>
                          <w:spacing w:line="239" w:lineRule="exact"/>
                          <w:ind w:left="230" w:right="229"/>
                          <w:rPr>
                            <w:sz w:val="21"/>
                          </w:rPr>
                        </w:pPr>
                        <w:r>
                          <w:rPr>
                            <w:sz w:val="21"/>
                          </w:rPr>
                          <w:t>当地电网</w:t>
                        </w:r>
                      </w:p>
                    </w:tc>
                  </w:tr>
                  <w:tr>
                    <w:trPr>
                      <w:trHeight w:val="281" w:hRule="exact"/>
                    </w:trPr>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vMerge/>
                      </w:tcPr>
                      <w:p>
                        <w:pPr/>
                      </w:p>
                    </w:tc>
                    <w:tc>
                      <w:tcPr>
                        <w:tcW w:w="2024" w:type="dxa"/>
                      </w:tcPr>
                      <w:p>
                        <w:pPr>
                          <w:pStyle w:val="TableParagraph"/>
                          <w:spacing w:line="243" w:lineRule="exact"/>
                          <w:ind w:left="461" w:right="459"/>
                          <w:rPr>
                            <w:sz w:val="21"/>
                          </w:rPr>
                        </w:pPr>
                        <w:r>
                          <w:rPr>
                            <w:sz w:val="21"/>
                          </w:rPr>
                          <w:t>柴油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ind w:left="439" w:right="439"/>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r>
                  <w:tr>
                    <w:trPr>
                      <w:trHeight w:val="283" w:hRule="exact"/>
                    </w:trPr>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1"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r>
                </w:tbl>
                <w:p>
                  <w:pPr>
                    <w:pStyle w:val="BodyText"/>
                  </w:pPr>
                </w:p>
              </w:txbxContent>
            </v:textbox>
            <w10:wrap type="none"/>
          </v:shape>
        </w:pict>
      </w:r>
      <w:r>
        <w:rPr/>
        <w:pict>
          <v:shape style="position:absolute;margin-left:104.779999pt;margin-top:329.449982pt;width:385.9pt;height:144.3pt;mso-position-horizontal-relative:page;mso-position-vertical-relative:page;z-index:121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303"/>
                    <w:gridCol w:w="2024"/>
                    <w:gridCol w:w="1688"/>
                    <w:gridCol w:w="1351"/>
                    <w:gridCol w:w="1352"/>
                  </w:tblGrid>
                  <w:tr>
                    <w:trPr>
                      <w:trHeight w:val="252" w:hRule="exact"/>
                    </w:trPr>
                    <w:tc>
                      <w:tcPr>
                        <w:tcW w:w="1303" w:type="dxa"/>
                      </w:tcPr>
                      <w:p>
                        <w:pPr/>
                      </w:p>
                    </w:tc>
                    <w:tc>
                      <w:tcPr>
                        <w:tcW w:w="2024" w:type="dxa"/>
                      </w:tcPr>
                      <w:p>
                        <w:pPr/>
                      </w:p>
                    </w:tc>
                    <w:tc>
                      <w:tcPr>
                        <w:tcW w:w="1688" w:type="dxa"/>
                      </w:tcPr>
                      <w:p>
                        <w:pPr/>
                      </w:p>
                    </w:tc>
                    <w:tc>
                      <w:tcPr>
                        <w:tcW w:w="1351" w:type="dxa"/>
                      </w:tcPr>
                      <w:p>
                        <w:pPr/>
                      </w:p>
                    </w:tc>
                    <w:tc>
                      <w:tcPr>
                        <w:tcW w:w="1352" w:type="dxa"/>
                      </w:tcPr>
                      <w:p>
                        <w:pPr/>
                      </w:p>
                    </w:tc>
                  </w:tr>
                  <w:tr>
                    <w:trPr>
                      <w:trHeight w:val="250" w:hRule="exact"/>
                    </w:trPr>
                    <w:tc>
                      <w:tcPr>
                        <w:tcW w:w="1303" w:type="dxa"/>
                        <w:vMerge w:val="restart"/>
                      </w:tcPr>
                      <w:p>
                        <w:pPr/>
                      </w:p>
                    </w:tc>
                    <w:tc>
                      <w:tcPr>
                        <w:tcW w:w="2024" w:type="dxa"/>
                      </w:tcPr>
                      <w:p>
                        <w:pPr/>
                      </w:p>
                    </w:tc>
                    <w:tc>
                      <w:tcPr>
                        <w:tcW w:w="1688" w:type="dxa"/>
                      </w:tcPr>
                      <w:p>
                        <w:pPr/>
                      </w:p>
                    </w:tc>
                    <w:tc>
                      <w:tcPr>
                        <w:tcW w:w="1351" w:type="dxa"/>
                      </w:tcPr>
                      <w:p>
                        <w:pPr/>
                      </w:p>
                    </w:tc>
                    <w:tc>
                      <w:tcPr>
                        <w:tcW w:w="1352" w:type="dxa"/>
                        <w:vMerge w:val="restart"/>
                      </w:tcPr>
                      <w:p>
                        <w:pPr/>
                      </w:p>
                    </w:tc>
                  </w:tr>
                  <w:tr>
                    <w:trPr>
                      <w:trHeight w:val="252" w:hRule="exact"/>
                    </w:trPr>
                    <w:tc>
                      <w:tcPr>
                        <w:tcW w:w="1303" w:type="dxa"/>
                        <w:vMerge/>
                      </w:tcPr>
                      <w:p>
                        <w:pPr/>
                      </w:p>
                    </w:tc>
                    <w:tc>
                      <w:tcPr>
                        <w:tcW w:w="2024" w:type="dxa"/>
                      </w:tcPr>
                      <w:p>
                        <w:pPr/>
                      </w:p>
                    </w:tc>
                    <w:tc>
                      <w:tcPr>
                        <w:tcW w:w="1688" w:type="dxa"/>
                      </w:tcPr>
                      <w:p>
                        <w:pPr/>
                      </w:p>
                    </w:tc>
                    <w:tc>
                      <w:tcPr>
                        <w:tcW w:w="1351" w:type="dxa"/>
                      </w:tcPr>
                      <w:p>
                        <w:pPr/>
                      </w:p>
                    </w:tc>
                    <w:tc>
                      <w:tcPr>
                        <w:tcW w:w="1352" w:type="dxa"/>
                        <w:vMerge/>
                      </w:tcPr>
                      <w:p>
                        <w:pPr/>
                      </w:p>
                    </w:tc>
                  </w:tr>
                  <w:tr>
                    <w:trPr>
                      <w:trHeight w:val="250" w:hRule="exact"/>
                    </w:trPr>
                    <w:tc>
                      <w:tcPr>
                        <w:tcW w:w="1303" w:type="dxa"/>
                        <w:vMerge/>
                      </w:tcPr>
                      <w:p>
                        <w:pPr/>
                      </w:p>
                    </w:tc>
                    <w:tc>
                      <w:tcPr>
                        <w:tcW w:w="2024" w:type="dxa"/>
                      </w:tcPr>
                      <w:p>
                        <w:pPr/>
                      </w:p>
                    </w:tc>
                    <w:tc>
                      <w:tcPr>
                        <w:tcW w:w="1688" w:type="dxa"/>
                      </w:tcPr>
                      <w:p>
                        <w:pPr/>
                      </w:p>
                    </w:tc>
                    <w:tc>
                      <w:tcPr>
                        <w:tcW w:w="1351" w:type="dxa"/>
                      </w:tcPr>
                      <w:p>
                        <w:pPr/>
                      </w:p>
                    </w:tc>
                    <w:tc>
                      <w:tcPr>
                        <w:tcW w:w="1352" w:type="dxa"/>
                        <w:vMerge/>
                      </w:tcPr>
                      <w:p>
                        <w:pPr/>
                      </w:p>
                    </w:tc>
                  </w:tr>
                  <w:tr>
                    <w:trPr>
                      <w:trHeight w:val="250" w:hRule="exact"/>
                    </w:trPr>
                    <w:tc>
                      <w:tcPr>
                        <w:tcW w:w="1303" w:type="dxa"/>
                        <w:vMerge/>
                      </w:tcPr>
                      <w:p>
                        <w:pPr/>
                      </w:p>
                    </w:tc>
                    <w:tc>
                      <w:tcPr>
                        <w:tcW w:w="2024" w:type="dxa"/>
                      </w:tcPr>
                      <w:p>
                        <w:pPr/>
                      </w:p>
                    </w:tc>
                    <w:tc>
                      <w:tcPr>
                        <w:tcW w:w="1688" w:type="dxa"/>
                      </w:tcPr>
                      <w:p>
                        <w:pPr/>
                      </w:p>
                    </w:tc>
                    <w:tc>
                      <w:tcPr>
                        <w:tcW w:w="1351" w:type="dxa"/>
                      </w:tcPr>
                      <w:p>
                        <w:pPr/>
                      </w:p>
                    </w:tc>
                    <w:tc>
                      <w:tcPr>
                        <w:tcW w:w="1352" w:type="dxa"/>
                        <w:vMerge/>
                      </w:tcPr>
                      <w:p>
                        <w:pPr/>
                      </w:p>
                    </w:tc>
                  </w:tr>
                  <w:tr>
                    <w:trPr>
                      <w:trHeight w:val="250" w:hRule="exact"/>
                    </w:trPr>
                    <w:tc>
                      <w:tcPr>
                        <w:tcW w:w="1303" w:type="dxa"/>
                        <w:vMerge/>
                      </w:tcPr>
                      <w:p>
                        <w:pPr/>
                      </w:p>
                    </w:tc>
                    <w:tc>
                      <w:tcPr>
                        <w:tcW w:w="2024" w:type="dxa"/>
                      </w:tcPr>
                      <w:p>
                        <w:pPr/>
                      </w:p>
                    </w:tc>
                    <w:tc>
                      <w:tcPr>
                        <w:tcW w:w="1688" w:type="dxa"/>
                      </w:tcPr>
                      <w:p>
                        <w:pPr/>
                      </w:p>
                    </w:tc>
                    <w:tc>
                      <w:tcPr>
                        <w:tcW w:w="1351" w:type="dxa"/>
                      </w:tcPr>
                      <w:p>
                        <w:pPr/>
                      </w:p>
                    </w:tc>
                    <w:tc>
                      <w:tcPr>
                        <w:tcW w:w="1352" w:type="dxa"/>
                        <w:vMerge/>
                      </w:tcPr>
                      <w:p>
                        <w:pPr/>
                      </w:p>
                    </w:tc>
                  </w:tr>
                  <w:tr>
                    <w:trPr>
                      <w:trHeight w:val="250" w:hRule="exact"/>
                    </w:trPr>
                    <w:tc>
                      <w:tcPr>
                        <w:tcW w:w="1303" w:type="dxa"/>
                        <w:vMerge/>
                      </w:tcPr>
                      <w:p>
                        <w:pPr/>
                      </w:p>
                    </w:tc>
                    <w:tc>
                      <w:tcPr>
                        <w:tcW w:w="2024" w:type="dxa"/>
                      </w:tcPr>
                      <w:p>
                        <w:pPr/>
                      </w:p>
                    </w:tc>
                    <w:tc>
                      <w:tcPr>
                        <w:tcW w:w="1688" w:type="dxa"/>
                      </w:tcPr>
                      <w:p>
                        <w:pPr/>
                      </w:p>
                    </w:tc>
                    <w:tc>
                      <w:tcPr>
                        <w:tcW w:w="1351" w:type="dxa"/>
                      </w:tcPr>
                      <w:p>
                        <w:pPr/>
                      </w:p>
                    </w:tc>
                    <w:tc>
                      <w:tcPr>
                        <w:tcW w:w="1352" w:type="dxa"/>
                        <w:vMerge/>
                      </w:tcPr>
                      <w:p>
                        <w:pPr/>
                      </w:p>
                    </w:tc>
                  </w:tr>
                  <w:tr>
                    <w:trPr>
                      <w:trHeight w:val="284" w:hRule="exact"/>
                    </w:trPr>
                    <w:tc>
                      <w:tcPr>
                        <w:tcW w:w="1303" w:type="dxa"/>
                        <w:vMerge w:val="restart"/>
                      </w:tcPr>
                      <w:p>
                        <w:pPr/>
                      </w:p>
                    </w:tc>
                    <w:tc>
                      <w:tcPr>
                        <w:tcW w:w="2024" w:type="dxa"/>
                      </w:tcPr>
                      <w:p>
                        <w:pPr/>
                      </w:p>
                    </w:tc>
                    <w:tc>
                      <w:tcPr>
                        <w:tcW w:w="1688" w:type="dxa"/>
                      </w:tcPr>
                      <w:p>
                        <w:pPr/>
                      </w:p>
                    </w:tc>
                    <w:tc>
                      <w:tcPr>
                        <w:tcW w:w="1351" w:type="dxa"/>
                      </w:tcPr>
                      <w:p>
                        <w:pPr/>
                      </w:p>
                    </w:tc>
                    <w:tc>
                      <w:tcPr>
                        <w:tcW w:w="1352" w:type="dxa"/>
                      </w:tcPr>
                      <w:p>
                        <w:pPr/>
                      </w:p>
                    </w:tc>
                  </w:tr>
                  <w:tr>
                    <w:trPr>
                      <w:trHeight w:val="281" w:hRule="exact"/>
                    </w:trPr>
                    <w:tc>
                      <w:tcPr>
                        <w:tcW w:w="1303" w:type="dxa"/>
                        <w:vMerge/>
                      </w:tcPr>
                      <w:p>
                        <w:pPr/>
                      </w:p>
                    </w:tc>
                    <w:tc>
                      <w:tcPr>
                        <w:tcW w:w="2024" w:type="dxa"/>
                      </w:tcPr>
                      <w:p>
                        <w:pPr/>
                      </w:p>
                    </w:tc>
                    <w:tc>
                      <w:tcPr>
                        <w:tcW w:w="1688" w:type="dxa"/>
                      </w:tcPr>
                      <w:p>
                        <w:pPr/>
                      </w:p>
                    </w:tc>
                    <w:tc>
                      <w:tcPr>
                        <w:tcW w:w="1351" w:type="dxa"/>
                      </w:tcPr>
                      <w:p>
                        <w:pPr/>
                      </w:p>
                    </w:tc>
                    <w:tc>
                      <w:tcPr>
                        <w:tcW w:w="1352" w:type="dxa"/>
                      </w:tcPr>
                      <w:p>
                        <w:pPr/>
                      </w:p>
                    </w:tc>
                  </w:tr>
                  <w:tr>
                    <w:trPr>
                      <w:trHeight w:val="283" w:hRule="exact"/>
                    </w:trPr>
                    <w:tc>
                      <w:tcPr>
                        <w:tcW w:w="1303" w:type="dxa"/>
                        <w:vMerge/>
                      </w:tcPr>
                      <w:p>
                        <w:pPr/>
                      </w:p>
                    </w:tc>
                    <w:tc>
                      <w:tcPr>
                        <w:tcW w:w="2024" w:type="dxa"/>
                      </w:tcPr>
                      <w:p>
                        <w:pPr/>
                      </w:p>
                    </w:tc>
                    <w:tc>
                      <w:tcPr>
                        <w:tcW w:w="1688" w:type="dxa"/>
                      </w:tcPr>
                      <w:p>
                        <w:pPr/>
                      </w:p>
                    </w:tc>
                    <w:tc>
                      <w:tcPr>
                        <w:tcW w:w="1351" w:type="dxa"/>
                      </w:tcPr>
                      <w:p>
                        <w:pPr/>
                      </w:p>
                    </w:tc>
                    <w:tc>
                      <w:tcPr>
                        <w:tcW w:w="1352" w:type="dxa"/>
                      </w:tcPr>
                      <w:p>
                        <w:pPr/>
                      </w:p>
                    </w:tc>
                  </w:tr>
                  <w:tr>
                    <w:trPr>
                      <w:trHeight w:val="286" w:hRule="exact"/>
                    </w:trPr>
                    <w:tc>
                      <w:tcPr>
                        <w:tcW w:w="1303" w:type="dxa"/>
                      </w:tcPr>
                      <w:p>
                        <w:pPr/>
                      </w:p>
                    </w:tc>
                    <w:tc>
                      <w:tcPr>
                        <w:tcW w:w="2024" w:type="dxa"/>
                      </w:tcPr>
                      <w:p>
                        <w:pPr/>
                      </w:p>
                    </w:tc>
                    <w:tc>
                      <w:tcPr>
                        <w:tcW w:w="1688" w:type="dxa"/>
                      </w:tcPr>
                      <w:p>
                        <w:pPr/>
                      </w:p>
                    </w:tc>
                    <w:tc>
                      <w:tcPr>
                        <w:tcW w:w="1351" w:type="dxa"/>
                      </w:tcPr>
                      <w:p>
                        <w:pPr/>
                      </w:p>
                    </w:tc>
                    <w:tc>
                      <w:tcPr>
                        <w:tcW w:w="1352"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46.3pt;mso-position-horizontal-relative:char;mso-position-vertical-relative:line" type="#_x0000_t202" filled="false" stroked="true" strokeweight=".47998pt" strokecolor="#000000">
            <w10:anchorlock/>
            <v:textbox inset="0,0,0,0">
              <w:txbxContent>
                <w:p>
                  <w:pPr>
                    <w:spacing w:line="274" w:lineRule="exact" w:before="0"/>
                    <w:ind w:left="585" w:right="0" w:firstLine="0"/>
                    <w:jc w:val="left"/>
                    <w:rPr>
                      <w:b/>
                      <w:sz w:val="24"/>
                    </w:rPr>
                  </w:pPr>
                  <w:r>
                    <w:rPr>
                      <w:b/>
                      <w:w w:val="95"/>
                      <w:sz w:val="24"/>
                    </w:rPr>
                    <w:t>九、工程占地及拆迁</w:t>
                  </w:r>
                </w:p>
                <w:p>
                  <w:pPr>
                    <w:spacing w:before="154"/>
                    <w:ind w:left="585" w:right="0" w:firstLine="0"/>
                    <w:jc w:val="left"/>
                    <w:rPr>
                      <w:b/>
                      <w:sz w:val="24"/>
                    </w:rPr>
                  </w:pPr>
                  <w:r>
                    <w:rPr>
                      <w:rFonts w:ascii="Times New Roman" w:eastAsia="Times New Roman"/>
                      <w:b/>
                      <w:w w:val="95"/>
                      <w:sz w:val="24"/>
                    </w:rPr>
                    <w:t>1</w:t>
                  </w:r>
                  <w:r>
                    <w:rPr>
                      <w:b/>
                      <w:w w:val="95"/>
                      <w:sz w:val="24"/>
                    </w:rPr>
                    <w:t>、占地</w:t>
                  </w:r>
                </w:p>
                <w:p>
                  <w:pPr>
                    <w:pStyle w:val="BodyText"/>
                    <w:spacing w:before="133"/>
                    <w:ind w:left="583"/>
                  </w:pPr>
                  <w:r>
                    <w:rPr/>
                    <w:t>本项目不涉及永久占地。</w:t>
                  </w:r>
                </w:p>
                <w:p>
                  <w:pPr>
                    <w:pStyle w:val="BodyText"/>
                    <w:spacing w:before="153"/>
                    <w:ind w:left="583"/>
                  </w:pPr>
                  <w:r>
                    <w:rPr/>
                    <w:t>工程临时占地为施工场地和临时弃渣场占地。</w:t>
                  </w:r>
                </w:p>
                <w:p>
                  <w:pPr>
                    <w:pStyle w:val="BodyText"/>
                    <w:spacing w:line="345" w:lineRule="auto" w:before="151"/>
                    <w:ind w:left="103" w:right="98" w:firstLine="479"/>
                    <w:jc w:val="both"/>
                  </w:pPr>
                  <w:r>
                    <w:rPr>
                      <w:spacing w:val="-7"/>
                    </w:rPr>
                    <w:t>本项目设置 </w:t>
                  </w:r>
                  <w:r>
                    <w:rPr>
                      <w:rFonts w:ascii="Times New Roman" w:eastAsia="Times New Roman"/>
                    </w:rPr>
                    <w:t>1 </w:t>
                  </w:r>
                  <w:r>
                    <w:rPr>
                      <w:spacing w:val="-3"/>
                    </w:rPr>
                    <w:t>个施工场地。位于红线北侧 </w:t>
                  </w:r>
                  <w:r>
                    <w:rPr>
                      <w:rFonts w:ascii="Times New Roman" w:eastAsia="Times New Roman"/>
                    </w:rPr>
                    <w:t>50m </w:t>
                  </w:r>
                  <w:r>
                    <w:rPr>
                      <w:spacing w:val="-6"/>
                    </w:rPr>
                    <w:t>处，占地面积 </w:t>
                  </w:r>
                  <w:r>
                    <w:rPr>
                      <w:rFonts w:ascii="Times New Roman" w:eastAsia="Times New Roman"/>
                    </w:rPr>
                    <w:t>200m</w:t>
                  </w:r>
                  <w:r>
                    <w:rPr>
                      <w:rFonts w:ascii="Times New Roman" w:eastAsia="Times New Roman"/>
                      <w:position w:val="11"/>
                      <w:sz w:val="16"/>
                    </w:rPr>
                    <w:t>2</w:t>
                  </w:r>
                  <w:r>
                    <w:rPr/>
                    <w:t>，包括</w:t>
                  </w:r>
                  <w:r>
                    <w:rPr>
                      <w:spacing w:val="-9"/>
                    </w:rPr>
                    <w:t>临时办公、材料仓库和堆场、机械设备临时堆放场等，不另设料场。占地类型为农</w:t>
                  </w:r>
                  <w:r>
                    <w:rPr>
                      <w:spacing w:val="-1"/>
                    </w:rPr>
                    <w:t>田。</w:t>
                  </w:r>
                </w:p>
                <w:p>
                  <w:pPr>
                    <w:pStyle w:val="BodyText"/>
                    <w:spacing w:line="336" w:lineRule="auto" w:before="48"/>
                    <w:ind w:left="103" w:right="33" w:firstLine="479"/>
                  </w:pPr>
                  <w:r>
                    <w:rPr/>
                    <w:t>本项目设置 </w:t>
                  </w:r>
                  <w:r>
                    <w:rPr>
                      <w:rFonts w:ascii="Times New Roman" w:eastAsia="Times New Roman"/>
                    </w:rPr>
                    <w:t>1 </w:t>
                  </w:r>
                  <w:r>
                    <w:rPr/>
                    <w:t>个临时弃渣场，位于红线北侧 </w:t>
                  </w:r>
                  <w:r>
                    <w:rPr>
                      <w:rFonts w:ascii="Times New Roman" w:eastAsia="Times New Roman"/>
                    </w:rPr>
                    <w:t>50m </w:t>
                  </w:r>
                  <w:r>
                    <w:rPr/>
                    <w:t>处，占地面积 </w:t>
                  </w:r>
                  <w:r>
                    <w:rPr>
                      <w:rFonts w:ascii="Times New Roman" w:eastAsia="Times New Roman"/>
                    </w:rPr>
                    <w:t>200m</w:t>
                  </w:r>
                  <w:r>
                    <w:rPr>
                      <w:rFonts w:ascii="Times New Roman" w:eastAsia="Times New Roman"/>
                      <w:position w:val="11"/>
                      <w:sz w:val="16"/>
                    </w:rPr>
                    <w:t>2</w:t>
                  </w:r>
                  <w:r>
                    <w:rPr/>
                    <w:t>，用于施工期土石方的临时堆存。占地类型为农田。本项目不设取、弃土场。</w:t>
                  </w:r>
                </w:p>
                <w:p>
                  <w:pPr>
                    <w:spacing w:before="57"/>
                    <w:ind w:left="585" w:right="0" w:firstLine="0"/>
                    <w:jc w:val="left"/>
                    <w:rPr>
                      <w:b/>
                      <w:sz w:val="24"/>
                    </w:rPr>
                  </w:pPr>
                  <w:r>
                    <w:rPr>
                      <w:rFonts w:ascii="Times New Roman" w:eastAsia="Times New Roman"/>
                      <w:b/>
                      <w:w w:val="95"/>
                      <w:sz w:val="24"/>
                    </w:rPr>
                    <w:t>2</w:t>
                  </w:r>
                  <w:r>
                    <w:rPr>
                      <w:b/>
                      <w:w w:val="95"/>
                      <w:sz w:val="24"/>
                    </w:rPr>
                    <w:t>、征地拆迁</w:t>
                  </w:r>
                </w:p>
                <w:p>
                  <w:pPr>
                    <w:spacing w:line="357" w:lineRule="auto" w:before="132"/>
                    <w:ind w:left="585" w:right="4567" w:hanging="3"/>
                    <w:jc w:val="left"/>
                    <w:rPr>
                      <w:b/>
                      <w:sz w:val="24"/>
                    </w:rPr>
                  </w:pPr>
                  <w:r>
                    <w:rPr>
                      <w:sz w:val="24"/>
                    </w:rPr>
                    <w:t>工程为道路建设，不涉及拆迁。</w:t>
                  </w:r>
                  <w:r>
                    <w:rPr>
                      <w:b/>
                      <w:w w:val="95"/>
                      <w:sz w:val="24"/>
                    </w:rPr>
                    <w:t>十、临时工程布置合理性分析</w:t>
                  </w:r>
                </w:p>
                <w:p>
                  <w:pPr>
                    <w:pStyle w:val="BodyText"/>
                    <w:spacing w:line="355" w:lineRule="auto" w:before="35"/>
                    <w:ind w:left="103" w:right="7" w:firstLine="479"/>
                  </w:pPr>
                  <w:r>
                    <w:rPr/>
                    <w:t>本项目不设施工营地、施工便道，临时工程为施工场地和临时弃渣场，具体方案如下：</w:t>
                  </w:r>
                </w:p>
                <w:p>
                  <w:pPr>
                    <w:pStyle w:val="BodyText"/>
                    <w:spacing w:line="350" w:lineRule="auto" w:before="38"/>
                    <w:ind w:left="103" w:right="-7" w:firstLine="479"/>
                  </w:pPr>
                  <w:r>
                    <w:rPr>
                      <w:spacing w:val="-10"/>
                    </w:rPr>
                    <w:t>施工场地：本项目设置</w:t>
                  </w:r>
                  <w:r>
                    <w:rPr>
                      <w:rFonts w:ascii="Times New Roman" w:eastAsia="Times New Roman"/>
                    </w:rPr>
                    <w:t>1</w:t>
                  </w:r>
                  <w:r>
                    <w:rPr>
                      <w:rFonts w:ascii="Times New Roman" w:eastAsia="Times New Roman"/>
                      <w:spacing w:val="-24"/>
                    </w:rPr>
                    <w:t> </w:t>
                  </w:r>
                  <w:r>
                    <w:rPr>
                      <w:spacing w:val="-9"/>
                    </w:rPr>
                    <w:t>个施工场地。位于红线北侧</w:t>
                  </w:r>
                  <w:r>
                    <w:rPr>
                      <w:rFonts w:ascii="Times New Roman" w:eastAsia="Times New Roman"/>
                    </w:rPr>
                    <w:t>50m</w:t>
                  </w:r>
                  <w:r>
                    <w:rPr>
                      <w:rFonts w:ascii="Times New Roman" w:eastAsia="Times New Roman"/>
                      <w:spacing w:val="-24"/>
                    </w:rPr>
                    <w:t> </w:t>
                  </w:r>
                  <w:r>
                    <w:rPr>
                      <w:spacing w:val="-14"/>
                    </w:rPr>
                    <w:t>处，占地面积</w:t>
                  </w:r>
                  <w:r>
                    <w:rPr>
                      <w:rFonts w:ascii="Times New Roman" w:eastAsia="Times New Roman"/>
                    </w:rPr>
                    <w:t>200m</w:t>
                  </w:r>
                  <w:r>
                    <w:rPr>
                      <w:rFonts w:ascii="Times New Roman" w:eastAsia="Times New Roman"/>
                      <w:position w:val="11"/>
                      <w:sz w:val="16"/>
                    </w:rPr>
                    <w:t>2</w:t>
                  </w:r>
                  <w:r>
                    <w:rPr/>
                    <w:t>， </w:t>
                  </w:r>
                  <w:r>
                    <w:rPr>
                      <w:spacing w:val="-9"/>
                    </w:rPr>
                    <w:t>包括临时办公、材料仓库和堆场、机械设备临时堆放场等，不另设料场。占地类型为农田、荒地。项目施工所需混凝土及沥青均属商品混凝土和商品沥青，项目不设置混凝土搅拌站和沥青拌合站。</w:t>
                  </w:r>
                </w:p>
                <w:p>
                  <w:pPr>
                    <w:pStyle w:val="BodyText"/>
                    <w:spacing w:line="336" w:lineRule="auto" w:before="43"/>
                    <w:ind w:left="103" w:right="98" w:firstLine="479"/>
                    <w:jc w:val="both"/>
                  </w:pPr>
                  <w:r>
                    <w:rPr>
                      <w:spacing w:val="-4"/>
                    </w:rPr>
                    <w:t>临时弃渣场：本项目设置 </w:t>
                  </w:r>
                  <w:r>
                    <w:rPr>
                      <w:rFonts w:ascii="Times New Roman" w:eastAsia="Times New Roman"/>
                    </w:rPr>
                    <w:t>1 </w:t>
                  </w:r>
                  <w:r>
                    <w:rPr>
                      <w:spacing w:val="-3"/>
                    </w:rPr>
                    <w:t>个临时弃渣场，位于红线北侧 </w:t>
                  </w:r>
                  <w:r>
                    <w:rPr>
                      <w:rFonts w:ascii="Times New Roman" w:eastAsia="Times New Roman"/>
                    </w:rPr>
                    <w:t>50m </w:t>
                  </w:r>
                  <w:r>
                    <w:rPr/>
                    <w:t>处，占地面</w:t>
                  </w:r>
                  <w:r>
                    <w:rPr>
                      <w:spacing w:val="-29"/>
                    </w:rPr>
                    <w:t>积 </w:t>
                  </w:r>
                  <w:r>
                    <w:rPr>
                      <w:rFonts w:ascii="Times New Roman" w:eastAsia="Times New Roman"/>
                      <w:spacing w:val="-4"/>
                    </w:rPr>
                    <w:t>200m</w:t>
                  </w:r>
                  <w:r>
                    <w:rPr>
                      <w:rFonts w:ascii="Times New Roman" w:eastAsia="Times New Roman"/>
                      <w:spacing w:val="-4"/>
                      <w:position w:val="11"/>
                      <w:sz w:val="16"/>
                    </w:rPr>
                    <w:t>2</w:t>
                  </w:r>
                  <w:r>
                    <w:rPr>
                      <w:spacing w:val="-6"/>
                    </w:rPr>
                    <w:t>，用于施工期土石方的临时堆存。占地类型为农田。本项目不设取、弃</w:t>
                  </w:r>
                  <w:r>
                    <w:rPr>
                      <w:spacing w:val="-19"/>
                    </w:rPr>
                    <w:t>土场。根据现场调查，本项目道路建设时，道路沿线为居民，施工场地周边 </w:t>
                  </w:r>
                  <w:r>
                    <w:rPr>
                      <w:rFonts w:ascii="Times New Roman" w:eastAsia="Times New Roman"/>
                    </w:rPr>
                    <w:t>200m </w:t>
                  </w:r>
                  <w:r>
                    <w:rPr/>
                    <w:t>范围主要为居民，设置在尽量远离居民区一侧。因此，临时弃渣场布置合理。</w:t>
                  </w:r>
                </w:p>
                <w:p>
                  <w:pPr>
                    <w:spacing w:before="58"/>
                    <w:ind w:left="585" w:right="0" w:firstLine="0"/>
                    <w:jc w:val="left"/>
                    <w:rPr>
                      <w:b/>
                      <w:sz w:val="24"/>
                    </w:rPr>
                  </w:pPr>
                  <w:r>
                    <w:rPr>
                      <w:b/>
                      <w:w w:val="95"/>
                      <w:sz w:val="24"/>
                    </w:rPr>
                    <w:t>十、施工工期</w:t>
                  </w:r>
                </w:p>
                <w:p>
                  <w:pPr>
                    <w:pStyle w:val="BodyText"/>
                    <w:spacing w:line="338" w:lineRule="auto" w:before="151"/>
                    <w:ind w:left="103" w:firstLine="479"/>
                  </w:pPr>
                  <w:r>
                    <w:rPr>
                      <w:spacing w:val="-16"/>
                    </w:rPr>
                    <w:t>根据现场调查，目前已于 </w:t>
                  </w:r>
                  <w:r>
                    <w:rPr>
                      <w:rFonts w:ascii="Times New Roman" w:eastAsia="Times New Roman"/>
                    </w:rPr>
                    <w:t>2016 </w:t>
                  </w:r>
                  <w:r>
                    <w:rPr>
                      <w:spacing w:val="-30"/>
                    </w:rPr>
                    <w:t>年 </w:t>
                  </w:r>
                  <w:r>
                    <w:rPr>
                      <w:rFonts w:ascii="Times New Roman" w:eastAsia="Times New Roman"/>
                    </w:rPr>
                    <w:t>12 </w:t>
                  </w:r>
                  <w:r>
                    <w:rPr>
                      <w:spacing w:val="-11"/>
                    </w:rPr>
                    <w:t>月动工建设，目前完成了道路降坡工程， </w:t>
                  </w:r>
                  <w:r>
                    <w:rPr>
                      <w:spacing w:val="-28"/>
                    </w:rPr>
                    <w:t>已于 </w:t>
                  </w:r>
                  <w:r>
                    <w:rPr>
                      <w:rFonts w:ascii="Times New Roman" w:eastAsia="Times New Roman"/>
                    </w:rPr>
                    <w:t>2017 </w:t>
                  </w:r>
                  <w:r>
                    <w:rPr>
                      <w:spacing w:val="-30"/>
                    </w:rPr>
                    <w:t>年 </w:t>
                  </w:r>
                  <w:r>
                    <w:rPr>
                      <w:rFonts w:ascii="Times New Roman" w:eastAsia="Times New Roman"/>
                    </w:rPr>
                    <w:t>7 </w:t>
                  </w:r>
                  <w:r>
                    <w:rPr/>
                    <w:t>月停止建设，待完善环评手续后继续施工建设。</w:t>
                  </w:r>
                </w:p>
              </w:txbxContent>
            </v:textbox>
            <v:stroke dashstyle="solid"/>
          </v:shape>
        </w:pict>
      </w:r>
      <w:r>
        <w:rPr>
          <w:spacing w:val="-49"/>
          <w:sz w:val="20"/>
        </w:rPr>
      </w:r>
    </w:p>
    <w:p>
      <w:pPr>
        <w:spacing w:after="0" w:line="240" w:lineRule="auto"/>
        <w:rPr>
          <w:sz w:val="20"/>
        </w:rPr>
        <w:sectPr>
          <w:pgSz w:w="11910" w:h="16850"/>
          <w:pgMar w:header="0" w:footer="1141" w:top="1440" w:bottom="1340" w:left="1580" w:right="1580"/>
        </w:sectPr>
      </w:pPr>
    </w:p>
    <w:p>
      <w:pPr>
        <w:spacing w:line="240" w:lineRule="auto"/>
        <w:ind w:left="105" w:right="0" w:firstLine="0"/>
        <w:rPr>
          <w:sz w:val="20"/>
        </w:rPr>
      </w:pPr>
      <w:r>
        <w:rPr>
          <w:rFonts w:ascii="Times New Roman"/>
          <w:spacing w:val="-49"/>
          <w:sz w:val="20"/>
        </w:rPr>
        <w:t> </w:t>
      </w:r>
      <w:r>
        <w:rPr>
          <w:spacing w:val="-49"/>
          <w:sz w:val="20"/>
        </w:rPr>
        <w:pict>
          <v:shape style="width:426.45pt;height:683.4pt;mso-position-horizontal-relative:char;mso-position-vertical-relative:line" type="#_x0000_t202" filled="false" stroked="true" strokeweight=".47998pt" strokecolor="#000000">
            <w10:anchorlock/>
            <v:textbox inset="0,0,0,0">
              <w:txbxContent>
                <w:p>
                  <w:pPr>
                    <w:spacing w:line="274" w:lineRule="exact" w:before="0"/>
                    <w:ind w:left="103" w:right="0" w:firstLine="0"/>
                    <w:jc w:val="left"/>
                    <w:rPr>
                      <w:b/>
                      <w:sz w:val="24"/>
                    </w:rPr>
                  </w:pPr>
                  <w:r>
                    <w:rPr>
                      <w:b/>
                      <w:w w:val="95"/>
                      <w:sz w:val="24"/>
                      <w:shd w:fill="E4E4E4" w:color="auto" w:val="clear"/>
                    </w:rPr>
                    <w:t>与本项目有关的原有污染情况及主要环境问题</w:t>
                  </w:r>
                </w:p>
                <w:p>
                  <w:pPr>
                    <w:pStyle w:val="BodyText"/>
                    <w:spacing w:line="357" w:lineRule="auto" w:before="148"/>
                    <w:ind w:left="103" w:right="6"/>
                    <w:rPr>
                      <w:rFonts w:ascii="华文中宋" w:eastAsia="华文中宋" w:hint="eastAsia"/>
                    </w:rPr>
                  </w:pPr>
                  <w:r>
                    <w:rPr/>
                    <w:t>   经现场调查，目前项目所在地已动工建设，主要分布耕地林地。</w:t>
                  </w:r>
                  <w:r>
                    <w:rPr>
                      <w:rFonts w:ascii="华文中宋" w:eastAsia="华文中宋" w:hint="eastAsia"/>
                    </w:rPr>
                    <w:t>项目占用土地性质为交通设施用地，不占用基本农田、基本林地，不占用生态区生态用地， 不存在原有污染，无环境遗留问题。施工期间无投诉。</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177376"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8"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r>
        <w:rPr>
          <w:rFonts w:ascii="Times New Roman" w:hAnsi="Times New Roman" w:eastAsia="Times New Roman"/>
          <w:w w:val="95"/>
        </w:rPr>
        <w:t>17.0m/s</w:t>
      </w:r>
      <w:r>
        <w:rPr>
          <w:w w:val="95"/>
        </w:rPr>
        <w:t>。</w:t>
      </w:r>
    </w:p>
    <w:p>
      <w:pPr>
        <w:pStyle w:val="Heading3"/>
        <w:spacing w:before="24"/>
        <w:ind w:left="699"/>
      </w:pPr>
      <w:r>
        <w:rPr>
          <w:w w:val="95"/>
        </w:rPr>
        <w:t>四、动植物资源</w:t>
      </w:r>
    </w:p>
    <w:p>
      <w:pPr>
        <w:spacing w:before="154"/>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6"/>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177352"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w:t>
      </w:r>
      <w:r>
        <w:rPr/>
        <w:t>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。工区位于明月峡背斜北东倾伏段，大地构造处于四川沉降带川东褶皱带东侧的北部边缘，北部为麻柳场向斜穿过，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34"/>
      </w:pPr>
      <w:r>
        <w:rPr/>
        <w:pict>
          <v:group style="position:absolute;margin-left:88.094002pt;margin-top:71.749977pt;width:419.4pt;height:678.4pt;mso-position-horizontal-relative:page;mso-position-vertical-relative:page;z-index:-177328"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w:t>
      </w:r>
      <w:r>
        <w:rPr>
          <w:spacing w:val="-1"/>
        </w:rPr>
        <w:t>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Heading3"/>
        <w:spacing w:before="65"/>
        <w:ind w:left="699"/>
      </w:pPr>
      <w:r>
        <w:rPr/>
        <w:t>六、土壤</w:t>
      </w:r>
    </w:p>
    <w:p>
      <w:pPr>
        <w:pStyle w:val="BodyText"/>
        <w:spacing w:before="151"/>
        <w:ind w:left="697"/>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spacing w:after="0"/>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29.5pt;mso-position-horizontal-relative:char;mso-position-vertical-relative:line" type="#_x0000_t202" filled="false" stroked="true" strokeweight=".48001pt" strokecolor="#000000">
            <w10:anchorlock/>
            <v:textbox inset="0,0,0,0">
              <w:txbxContent>
                <w:p>
                  <w:pPr>
                    <w:pStyle w:val="BodyText"/>
                    <w:spacing w:line="292" w:lineRule="exact"/>
                    <w:ind w:left="100"/>
                  </w:pPr>
                  <w:r>
                    <w:rPr/>
                    <w:t>壤总面积的 </w:t>
                  </w:r>
                  <w:r>
                    <w:rPr>
                      <w:rFonts w:ascii="Times New Roman" w:eastAsia="Times New Roman"/>
                    </w:rPr>
                    <w:t>55.05%</w:t>
                  </w:r>
                  <w:r>
                    <w:rPr/>
                    <w:t>，农业土壤面积 </w:t>
                  </w:r>
                  <w:r>
                    <w:rPr>
                      <w:rFonts w:ascii="Times New Roman" w:eastAsia="Times New Roman"/>
                    </w:rPr>
                    <w:t>46432 </w:t>
                  </w:r>
                  <w:r>
                    <w:rPr/>
                    <w:t>公顷，占土壤总面积的 </w:t>
                  </w:r>
                  <w:r>
                    <w:rPr>
                      <w:rFonts w:ascii="Times New Roman" w:eastAsia="Times New Roman"/>
                    </w:rPr>
                    <w:t>44.95%</w:t>
                  </w:r>
                  <w:r>
                    <w:rPr/>
                    <w:t>。农</w:t>
                  </w:r>
                </w:p>
                <w:p>
                  <w:pPr>
                    <w:pStyle w:val="BodyText"/>
                    <w:spacing w:line="336" w:lineRule="auto" w:before="135"/>
                    <w:ind w:left="100"/>
                  </w:pP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t>环境质量状况</w:t>
        <w:tab/>
      </w:r>
      <w:r>
        <w:rPr>
          <w:w w:val="95"/>
        </w:rPr>
        <w:t>（表三）</w:t>
      </w:r>
    </w:p>
    <w:p>
      <w:pPr>
        <w:pStyle w:val="BodyText"/>
        <w:spacing w:before="7"/>
        <w:rPr>
          <w:b/>
          <w:sz w:val="25"/>
        </w:rPr>
      </w:pPr>
    </w:p>
    <w:p>
      <w:pPr>
        <w:pStyle w:val="Heading3"/>
        <w:spacing w:line="357" w:lineRule="auto" w:before="1"/>
        <w:ind w:left="226" w:right="195"/>
      </w:pPr>
      <w:r>
        <w:rPr/>
        <w:t>建设项目所在地区域环境质量现状及主要环境问题（环境空气、地面水、声环</w:t>
      </w:r>
      <w:r>
        <w:rPr>
          <w:w w:val="99"/>
        </w:rPr>
        <w:t>境、生态环境等</w:t>
      </w:r>
      <w:r>
        <w:rPr>
          <w:spacing w:val="-120"/>
          <w:w w:val="99"/>
        </w:rPr>
        <w:t>）</w:t>
      </w:r>
      <w:r>
        <w:rPr>
          <w:w w:val="99"/>
        </w:rPr>
        <w:t>：</w:t>
      </w:r>
    </w:p>
    <w:p>
      <w:pPr>
        <w:pStyle w:val="BodyText"/>
        <w:spacing w:before="154"/>
        <w:ind w:left="706"/>
      </w:pPr>
      <w:r>
        <w:rPr/>
        <w:t>本次环评的大气环境质量现状和地表水环境质量现状引用“开江县永安路</w:t>
      </w:r>
    </w:p>
    <w:p>
      <w:pPr>
        <w:pStyle w:val="BodyText"/>
        <w:spacing w:before="154"/>
        <w:ind w:left="226"/>
        <w:rPr>
          <w:rFonts w:ascii="Times New Roman" w:eastAsia="Times New Roman"/>
        </w:rPr>
      </w:pPr>
      <w:r>
        <w:rPr/>
        <w:t>、龙池街等市政道路改造及管网工程建设项目的监测报告（川工环监字（</w:t>
      </w:r>
      <w:r>
        <w:rPr>
          <w:rFonts w:ascii="Times New Roman" w:eastAsia="Times New Roman"/>
        </w:rPr>
        <w:t>2017</w:t>
      </w:r>
    </w:p>
    <w:p>
      <w:pPr>
        <w:pStyle w:val="BodyText"/>
        <w:spacing w:before="136"/>
        <w:ind w:left="226"/>
      </w:pPr>
      <w:r>
        <w:rPr>
          <w:spacing w:val="-1"/>
        </w:rPr>
        <w:t>）</w:t>
      </w:r>
      <w:r>
        <w:rPr/>
        <w:t>第2183号</w:t>
      </w:r>
      <w:r>
        <w:rPr>
          <w:spacing w:val="-120"/>
        </w:rPr>
        <w:t>）”</w:t>
      </w:r>
      <w:r>
        <w:rPr/>
        <w:t>。</w:t>
      </w:r>
    </w:p>
    <w:p>
      <w:pPr>
        <w:pStyle w:val="Heading3"/>
        <w:spacing w:before="151"/>
        <w:ind w:left="708"/>
      </w:pPr>
      <w:r>
        <w:rPr/>
        <w:t>一、 环境空气质量现状</w:t>
      </w:r>
    </w:p>
    <w:p>
      <w:pPr>
        <w:pStyle w:val="BodyText"/>
        <w:spacing w:line="336" w:lineRule="auto" w:before="154"/>
        <w:ind w:left="226" w:right="195" w:firstLine="479"/>
      </w:pPr>
      <w:r>
        <w:rPr/>
        <w:t>引用大气监测时间为</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~8</w:t>
      </w:r>
      <w:r>
        <w:rPr/>
        <w:t>月</w:t>
      </w:r>
      <w:r>
        <w:rPr>
          <w:rFonts w:ascii="Times New Roman" w:eastAsia="Times New Roman"/>
        </w:rPr>
        <w:t>20</w:t>
      </w:r>
      <w:r>
        <w:rPr/>
        <w:t>日，引用监测点位位于本项目东侧</w:t>
      </w:r>
      <w:r>
        <w:rPr>
          <w:rFonts w:ascii="Times New Roman" w:eastAsia="Times New Roman"/>
        </w:rPr>
        <w:t>1010m</w:t>
      </w:r>
      <w:r>
        <w:rPr/>
        <w:t>处本次引用数据满足导则的要求，合理有效。</w:t>
      </w:r>
    </w:p>
    <w:p>
      <w:pPr>
        <w:pStyle w:val="Heading3"/>
        <w:spacing w:before="29"/>
        <w:ind w:left="708"/>
      </w:pPr>
      <w:r>
        <w:rPr>
          <w:rFonts w:ascii="Times New Roman" w:eastAsia="Times New Roman"/>
        </w:rPr>
        <w:t>1</w:t>
      </w:r>
      <w:r>
        <w:rPr/>
        <w:t>、引用监测项目</w:t>
      </w:r>
    </w:p>
    <w:p>
      <w:pPr>
        <w:spacing w:before="132"/>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2"/>
        <w:ind w:left="708"/>
      </w:pPr>
      <w:r>
        <w:rPr>
          <w:rFonts w:ascii="Times New Roman" w:eastAsia="Times New Roman"/>
          <w:w w:val="95"/>
        </w:rPr>
        <w:t>2</w:t>
      </w:r>
      <w:r>
        <w:rPr>
          <w:w w:val="95"/>
        </w:rPr>
        <w:t>、监测时间及频率</w:t>
      </w:r>
    </w:p>
    <w:p>
      <w:pPr>
        <w:pStyle w:val="BodyText"/>
        <w:spacing w:line="338" w:lineRule="auto" w:before="133"/>
        <w:ind w:left="226" w:right="272" w:firstLine="479"/>
      </w:pPr>
      <w:r>
        <w:rPr>
          <w:spacing w:val="-11"/>
        </w:rPr>
        <w:t>按《环境空气质量标准》</w:t>
      </w:r>
      <w:r>
        <w:rPr/>
        <w:t>（</w:t>
      </w:r>
      <w:r>
        <w:rPr>
          <w:rFonts w:ascii="Times New Roman" w:eastAsia="Times New Roman"/>
        </w:rPr>
        <w:t>GB3095-2012</w:t>
      </w:r>
      <w:r>
        <w:rPr/>
        <w:t>）和国家环保总局颁布的《环境监</w:t>
      </w:r>
      <w:r>
        <w:rPr>
          <w:spacing w:val="-1"/>
        </w:rPr>
        <w:t>测技术规范》执行。</w:t>
      </w:r>
    </w:p>
    <w:p>
      <w:pPr>
        <w:pStyle w:val="BodyText"/>
        <w:spacing w:line="328" w:lineRule="auto" w:before="53"/>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17"/>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5"/>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0"/>
        <w:ind w:left="708"/>
      </w:pPr>
      <w:r>
        <w:rPr>
          <w:rFonts w:ascii="Times New Roman" w:eastAsia="Times New Roman"/>
          <w:w w:val="95"/>
        </w:rPr>
        <w:t>3</w:t>
      </w:r>
      <w:r>
        <w:rPr>
          <w:w w:val="95"/>
        </w:rPr>
        <w:t>、引用监测点位</w:t>
      </w:r>
    </w:p>
    <w:p>
      <w:pPr>
        <w:pStyle w:val="BodyText"/>
        <w:spacing w:before="135"/>
        <w:ind w:left="706"/>
      </w:pPr>
      <w:r>
        <w:rPr/>
        <w:t>监测点位布设见表</w:t>
      </w:r>
      <w:r>
        <w:rPr>
          <w:rFonts w:ascii="Times New Roman" w:eastAsia="Times New Roman"/>
        </w:rPr>
        <w:t>3-1</w:t>
      </w:r>
      <w:r>
        <w:rPr/>
        <w:t>。</w:t>
      </w:r>
    </w:p>
    <w:p>
      <w:pPr>
        <w:pStyle w:val="Heading3"/>
        <w:tabs>
          <w:tab w:pos="801" w:val="left" w:leader="none"/>
        </w:tabs>
        <w:spacing w:before="135" w:after="18"/>
        <w:ind w:left="0" w:right="61"/>
        <w:jc w:val="center"/>
      </w:pPr>
      <w:r>
        <w:rPr/>
        <w:t>表</w:t>
      </w:r>
      <w:r>
        <w:rPr>
          <w:rFonts w:ascii="Times New Roman" w:eastAsia="Times New Roman"/>
        </w:rPr>
        <w:t>3-1</w:t>
        <w:tab/>
      </w:r>
      <w:r>
        <w:rPr>
          <w:w w:val="95"/>
        </w:rPr>
        <w:t>大气环境监测点位</w:t>
      </w:r>
    </w:p>
    <w:tbl>
      <w:tblPr>
        <w:tblW w:w="0" w:type="auto"/>
        <w:jc w:val="left"/>
        <w:tblInd w:w="7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9" w:hRule="exact"/>
        </w:trPr>
        <w:tc>
          <w:tcPr>
            <w:tcW w:w="1291" w:type="dxa"/>
          </w:tcPr>
          <w:p>
            <w:pPr>
              <w:pStyle w:val="TableParagraph"/>
              <w:spacing w:line="270" w:lineRule="exact"/>
              <w:ind w:left="410" w:right="410"/>
              <w:rPr>
                <w:sz w:val="21"/>
              </w:rPr>
            </w:pPr>
            <w:r>
              <w:rPr>
                <w:sz w:val="21"/>
              </w:rPr>
              <w:t>序号</w:t>
            </w:r>
          </w:p>
        </w:tc>
        <w:tc>
          <w:tcPr>
            <w:tcW w:w="3068" w:type="dxa"/>
          </w:tcPr>
          <w:p>
            <w:pPr>
              <w:pStyle w:val="TableParagraph"/>
              <w:spacing w:line="270" w:lineRule="exact"/>
              <w:ind w:left="1003"/>
              <w:jc w:val="left"/>
              <w:rPr>
                <w:sz w:val="21"/>
              </w:rPr>
            </w:pPr>
            <w:r>
              <w:rPr>
                <w:sz w:val="21"/>
              </w:rPr>
              <w:t>监测点位置</w:t>
            </w:r>
          </w:p>
        </w:tc>
        <w:tc>
          <w:tcPr>
            <w:tcW w:w="2828" w:type="dxa"/>
          </w:tcPr>
          <w:p>
            <w:pPr>
              <w:pStyle w:val="TableParagraph"/>
              <w:spacing w:line="285" w:lineRule="exact"/>
              <w:ind w:left="599" w:right="600"/>
              <w:rPr>
                <w:sz w:val="21"/>
              </w:rPr>
            </w:pPr>
            <w:r>
              <w:rPr>
                <w:sz w:val="21"/>
              </w:rPr>
              <w:t>监测</w:t>
            </w:r>
            <w:r>
              <w:rPr>
                <w:rFonts w:ascii="Times New Roman" w:eastAsia="Times New Roman"/>
                <w:sz w:val="21"/>
              </w:rPr>
              <w:t>/</w:t>
            </w:r>
            <w:r>
              <w:rPr>
                <w:sz w:val="21"/>
              </w:rPr>
              <w:t>调研项目</w:t>
            </w:r>
          </w:p>
        </w:tc>
      </w:tr>
      <w:tr>
        <w:trPr>
          <w:trHeight w:val="554" w:hRule="exact"/>
        </w:trPr>
        <w:tc>
          <w:tcPr>
            <w:tcW w:w="1291" w:type="dxa"/>
          </w:tcPr>
          <w:p>
            <w:pPr>
              <w:pStyle w:val="TableParagraph"/>
              <w:spacing w:before="144"/>
              <w:ind w:left="410" w:right="409"/>
              <w:rPr>
                <w:rFonts w:ascii="Times New Roman"/>
                <w:sz w:val="21"/>
              </w:rPr>
            </w:pPr>
            <w:r>
              <w:rPr>
                <w:rFonts w:ascii="Times New Roman"/>
                <w:sz w:val="21"/>
              </w:rPr>
              <w:t>G1</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及管网工程建设项目地上风向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554" w:hRule="exact"/>
        </w:trPr>
        <w:tc>
          <w:tcPr>
            <w:tcW w:w="1291" w:type="dxa"/>
          </w:tcPr>
          <w:p>
            <w:pPr>
              <w:pStyle w:val="TableParagraph"/>
              <w:spacing w:before="144"/>
              <w:ind w:left="410" w:right="410"/>
              <w:rPr>
                <w:rFonts w:ascii="Times New Roman"/>
                <w:sz w:val="21"/>
              </w:rPr>
            </w:pPr>
            <w:r>
              <w:rPr>
                <w:rFonts w:ascii="Times New Roman"/>
                <w:sz w:val="21"/>
              </w:rPr>
              <w:t>G2</w:t>
            </w:r>
          </w:p>
        </w:tc>
        <w:tc>
          <w:tcPr>
            <w:tcW w:w="3068" w:type="dxa"/>
          </w:tcPr>
          <w:p>
            <w:pPr>
              <w:pStyle w:val="TableParagraph"/>
              <w:spacing w:line="240" w:lineRule="exact"/>
              <w:ind w:left="163" w:hanging="61"/>
              <w:jc w:val="left"/>
              <w:rPr>
                <w:sz w:val="21"/>
              </w:rPr>
            </w:pPr>
            <w:r>
              <w:rPr>
                <w:sz w:val="21"/>
              </w:rPr>
              <w:t>永安路、龙池街等市政道路改造</w:t>
            </w:r>
          </w:p>
          <w:p>
            <w:pPr>
              <w:pStyle w:val="TableParagraph"/>
              <w:spacing w:line="274" w:lineRule="exact"/>
              <w:ind w:left="163"/>
              <w:jc w:val="left"/>
              <w:rPr>
                <w:sz w:val="21"/>
              </w:rPr>
            </w:pPr>
            <w:r>
              <w:rPr>
                <w:sz w:val="21"/>
              </w:rPr>
              <w:t>及管网工程建设项目地下风向</w:t>
            </w:r>
          </w:p>
        </w:tc>
        <w:tc>
          <w:tcPr>
            <w:tcW w:w="2828" w:type="dxa"/>
          </w:tcPr>
          <w:p>
            <w:pPr>
              <w:pStyle w:val="TableParagraph"/>
              <w:spacing w:before="102"/>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spacing w:before="202"/>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2"/>
        <w:ind w:left="706"/>
      </w:pPr>
      <w:r>
        <w:rPr/>
        <w:t>采用单项质量指数法进行评价，其评价式为：</w:t>
      </w:r>
    </w:p>
    <w:p>
      <w:pPr>
        <w:pStyle w:val="BodyText"/>
        <w:rPr>
          <w:sz w:val="8"/>
        </w:rPr>
      </w:pPr>
    </w:p>
    <w:p>
      <w:pPr>
        <w:spacing w:after="0"/>
        <w:rPr>
          <w:sz w:val="8"/>
        </w:rPr>
        <w:sectPr>
          <w:pgSz w:w="11910" w:h="16850"/>
          <w:pgMar w:header="0" w:footer="1141" w:top="1400" w:bottom="1400" w:left="1620" w:right="1560"/>
        </w:sectPr>
      </w:pPr>
    </w:p>
    <w:p>
      <w:pPr>
        <w:spacing w:before="225"/>
        <w:ind w:left="0" w:right="0" w:firstLine="0"/>
        <w:jc w:val="right"/>
        <w:rPr>
          <w:rFonts w:ascii="Symbol" w:hAnsi="Symbol"/>
          <w:sz w:val="24"/>
        </w:rPr>
      </w:pPr>
      <w:r>
        <w:rPr/>
        <w:pict>
          <v:line style="position:absolute;mso-position-horizontal-relative:page;mso-position-vertical-relative:paragraph;z-index:-177280" from="300.182922pt,20.336380pt" to="315.907126pt,20.336380pt" stroked="true" strokeweight=".589974pt" strokecolor="#000000">
            <v:stroke dashstyle="solid"/>
            <w10:wrap type="none"/>
          </v:line>
        </w:pict>
      </w:r>
      <w:r>
        <w:rPr/>
        <w:pict>
          <v:group style="position:absolute;margin-left:86.528999pt;margin-top:100.804977pt;width:422.4pt;height:662.2pt;mso-position-horizontal-relative:page;mso-position-vertical-relative:page;z-index:-177256" coordorigin="1731,2016" coordsize="8448,13244">
            <v:line style="position:absolute" from="1745,2031" to="10163,2031" stroked="true" strokeweight=".72pt" strokecolor="#000000">
              <v:stroke dashstyle="solid"/>
            </v:line>
            <v:line style="position:absolute" from="1738,2024" to="1738,15252" stroked="true" strokeweight=".72pt" strokecolor="#000000">
              <v:stroke dashstyle="solid"/>
            </v:line>
            <v:line style="position:absolute" from="1745,15245" to="10163,15245" stroked="true" strokeweight=".72003pt" strokecolor="#000000">
              <v:stroke dashstyle="solid"/>
            </v:line>
            <v:line style="position:absolute" from="10171,2024" to="10171,15252" stroked="true" strokeweight=".72pt" strokecolor="#000000">
              <v:stroke dashstyle="solid"/>
            </v:line>
            <w10:wrap type="none"/>
          </v:group>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84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560"/>
          <w:cols w:num="2" w:equalWidth="0">
            <w:col w:w="4327" w:space="40"/>
            <w:col w:w="4363"/>
          </w:cols>
        </w:sectPr>
      </w:pPr>
    </w:p>
    <w:p>
      <w:pPr>
        <w:spacing w:before="17"/>
        <w:ind w:left="706" w:right="0" w:firstLine="0"/>
        <w:jc w:val="left"/>
        <w:rPr>
          <w:sz w:val="24"/>
        </w:rPr>
      </w:pPr>
      <w:r>
        <w:rPr/>
        <w:pict>
          <v:group style="position:absolute;margin-left:86.528999pt;margin-top:71.624977pt;width:422.4pt;height:690.15pt;mso-position-horizontal-relative:page;mso-position-vertical-relative:page;z-index:-177232" coordorigin="1731,1432" coordsize="8448,13803">
            <v:line style="position:absolute" from="1745,1447" to="10163,1447" stroked="true" strokeweight=".72pt" strokecolor="#000000">
              <v:stroke dashstyle="solid"/>
            </v:line>
            <v:line style="position:absolute" from="1738,1440" to="1738,15228" stroked="true" strokeweight=".72pt" strokecolor="#000000">
              <v:stroke dashstyle="solid"/>
            </v:line>
            <v:line style="position:absolute" from="1745,15221" to="10163,15221" stroked="true" strokeweight=".72003pt" strokecolor="#000000">
              <v:stroke dashstyle="solid"/>
            </v:line>
            <v:line style="position:absolute" from="10171,1440" to="10171,15228" stroked="true" strokeweight=".72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8"/>
        <w:ind w:left="1456"/>
      </w:pPr>
      <w:r>
        <w:rPr/>
        <w:pict>
          <v:shape style="position:absolute;margin-left:317.950012pt;margin-top:8.5047pt;width:4.05pt;height:8.950pt;mso-position-horizontal-relative:page;mso-position-vertical-relative:paragraph;z-index:-177208"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6"/>
        <w:ind w:left="1456"/>
      </w:pPr>
      <w:r>
        <w:rPr/>
        <w:pict>
          <v:shape style="position:absolute;margin-left:332.950012pt;margin-top:8.447685pt;width:4.05pt;height:8.950pt;mso-position-horizontal-relative:page;mso-position-vertical-relative:paragraph;z-index:-17718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1"/>
        <w:ind w:left="706"/>
      </w:pPr>
      <w:r>
        <w:rPr/>
        <w:t>（</w:t>
      </w:r>
      <w:r>
        <w:rPr>
          <w:rFonts w:ascii="Times New Roman" w:eastAsia="Times New Roman"/>
        </w:rPr>
        <w:t>2</w:t>
      </w:r>
      <w:r>
        <w:rPr/>
        <w:t>）评价标准</w:t>
      </w:r>
    </w:p>
    <w:p>
      <w:pPr>
        <w:pStyle w:val="Heading3"/>
        <w:spacing w:line="350" w:lineRule="auto" w:before="135"/>
        <w:ind w:left="226" w:right="223" w:firstLine="482"/>
        <w:jc w:val="both"/>
        <w:rPr>
          <w:b w:val="0"/>
        </w:rPr>
      </w:pPr>
      <w:r>
        <w:rPr/>
        <w:t>根据《环境影响评价导则 大气环境》</w:t>
      </w:r>
      <w:r>
        <w:rPr>
          <w:rFonts w:ascii="Times New Roman" w:eastAsia="Times New Roman"/>
        </w:rPr>
        <w:t>(HJ2.2-2008)</w:t>
      </w:r>
      <w:r>
        <w:rPr/>
        <w:t>中</w:t>
      </w:r>
      <w:r>
        <w:rPr>
          <w:rFonts w:ascii="Times New Roman" w:eastAsia="Times New Roman"/>
        </w:rPr>
        <w:t>7.36</w:t>
      </w:r>
      <w:r>
        <w:rPr/>
        <w:t>中要求，列表给出各监测点大气污染物的不同取值时间的浓度变化范围，计算并列表给出各取值时间最大浓度值占标准质量浓度限值的百分比和超标率。</w:t>
      </w:r>
      <w:r>
        <w:rPr>
          <w:b w:val="0"/>
        </w:rPr>
        <w:t>环境空气质量现状评价结果列于表</w:t>
      </w:r>
      <w:r>
        <w:rPr>
          <w:rFonts w:ascii="Times New Roman" w:eastAsia="Times New Roman"/>
          <w:b w:val="0"/>
        </w:rPr>
        <w:t>3-3</w:t>
      </w:r>
      <w:r>
        <w:rPr>
          <w:b w:val="0"/>
        </w:rPr>
        <w:t>。</w:t>
      </w:r>
    </w:p>
    <w:p>
      <w:pPr>
        <w:tabs>
          <w:tab w:pos="3437" w:val="left" w:leader="none"/>
        </w:tabs>
        <w:spacing w:before="13"/>
        <w:ind w:left="2576" w:right="0" w:firstLine="0"/>
        <w:jc w:val="left"/>
        <w:rPr>
          <w:b/>
          <w:sz w:val="24"/>
        </w:rPr>
      </w:pPr>
      <w:r>
        <w:rPr/>
        <w:pict>
          <v:shape style="position:absolute;margin-left:92.304001pt;margin-top:18.14562pt;width:411.1pt;height:154.5pt;mso-position-horizontal-relative:page;mso-position-vertical-relative:paragraph;z-index:1504"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93"/>
                    <w:gridCol w:w="1003"/>
                    <w:gridCol w:w="545"/>
                    <w:gridCol w:w="662"/>
                    <w:gridCol w:w="2844"/>
                    <w:gridCol w:w="770"/>
                    <w:gridCol w:w="1004"/>
                    <w:gridCol w:w="778"/>
                  </w:tblGrid>
                  <w:tr>
                    <w:trPr>
                      <w:trHeight w:val="365" w:hRule="exact"/>
                    </w:trPr>
                    <w:tc>
                      <w:tcPr>
                        <w:tcW w:w="593" w:type="dxa"/>
                        <w:vMerge w:val="restart"/>
                        <w:tcBorders>
                          <w:left w:val="single" w:sz="6" w:space="0" w:color="000000"/>
                          <w:right w:val="single" w:sz="6" w:space="0" w:color="000000"/>
                        </w:tcBorders>
                      </w:tcPr>
                      <w:p>
                        <w:pPr>
                          <w:pStyle w:val="TableParagraph"/>
                          <w:spacing w:line="272" w:lineRule="exact" w:before="173"/>
                          <w:ind w:left="184" w:right="60" w:hanging="106"/>
                          <w:jc w:val="left"/>
                          <w:rPr>
                            <w:sz w:val="21"/>
                          </w:rPr>
                        </w:pPr>
                        <w:r>
                          <w:rPr>
                            <w:sz w:val="21"/>
                          </w:rPr>
                          <w:t>采样点</w:t>
                        </w:r>
                      </w:p>
                    </w:tc>
                    <w:tc>
                      <w:tcPr>
                        <w:tcW w:w="1003" w:type="dxa"/>
                        <w:vMerge w:val="restart"/>
                        <w:tcBorders>
                          <w:left w:val="single" w:sz="6" w:space="0" w:color="000000"/>
                          <w:right w:val="single" w:sz="6" w:space="0" w:color="000000"/>
                        </w:tcBorders>
                      </w:tcPr>
                      <w:p>
                        <w:pPr>
                          <w:pStyle w:val="TableParagraph"/>
                          <w:spacing w:line="272" w:lineRule="exact" w:before="173"/>
                          <w:ind w:left="285" w:right="263"/>
                          <w:jc w:val="left"/>
                          <w:rPr>
                            <w:sz w:val="21"/>
                          </w:rPr>
                        </w:pPr>
                        <w:r>
                          <w:rPr>
                            <w:sz w:val="21"/>
                          </w:rPr>
                          <w:t>监测项目</w:t>
                        </w:r>
                      </w:p>
                    </w:tc>
                    <w:tc>
                      <w:tcPr>
                        <w:tcW w:w="545" w:type="dxa"/>
                        <w:vMerge w:val="restart"/>
                        <w:tcBorders>
                          <w:left w:val="single" w:sz="6" w:space="0" w:color="000000"/>
                          <w:right w:val="single" w:sz="6" w:space="0" w:color="000000"/>
                        </w:tcBorders>
                      </w:tcPr>
                      <w:p>
                        <w:pPr>
                          <w:pStyle w:val="TableParagraph"/>
                          <w:spacing w:line="272" w:lineRule="exact" w:before="173"/>
                          <w:ind w:left="55" w:right="36"/>
                          <w:jc w:val="left"/>
                          <w:rPr>
                            <w:sz w:val="21"/>
                          </w:rPr>
                        </w:pPr>
                        <w:r>
                          <w:rPr>
                            <w:sz w:val="21"/>
                          </w:rPr>
                          <w:t>采样天数</w:t>
                        </w:r>
                      </w:p>
                    </w:tc>
                    <w:tc>
                      <w:tcPr>
                        <w:tcW w:w="5281" w:type="dxa"/>
                        <w:gridSpan w:val="4"/>
                        <w:tcBorders>
                          <w:left w:val="single" w:sz="6" w:space="0" w:color="000000"/>
                          <w:bottom w:val="single" w:sz="6" w:space="0" w:color="000000"/>
                          <w:right w:val="single" w:sz="6" w:space="0" w:color="000000"/>
                        </w:tcBorders>
                      </w:tcPr>
                      <w:p>
                        <w:pPr>
                          <w:pStyle w:val="TableParagraph"/>
                          <w:spacing w:before="2"/>
                          <w:ind w:left="1983" w:right="1983"/>
                          <w:rPr>
                            <w:sz w:val="21"/>
                          </w:rPr>
                        </w:pPr>
                        <w:r>
                          <w:rPr>
                            <w:sz w:val="21"/>
                          </w:rPr>
                          <w:t>评价结果统计</w:t>
                        </w:r>
                      </w:p>
                    </w:tc>
                    <w:tc>
                      <w:tcPr>
                        <w:tcW w:w="778" w:type="dxa"/>
                        <w:vMerge w:val="restart"/>
                        <w:tcBorders>
                          <w:left w:val="single" w:sz="6" w:space="0" w:color="000000"/>
                          <w:right w:val="single" w:sz="6" w:space="0" w:color="000000"/>
                        </w:tcBorders>
                      </w:tcPr>
                      <w:p>
                        <w:pPr>
                          <w:pStyle w:val="TableParagraph"/>
                          <w:spacing w:line="271" w:lineRule="exact" w:before="160"/>
                          <w:ind w:left="64"/>
                          <w:jc w:val="left"/>
                          <w:rPr>
                            <w:sz w:val="21"/>
                          </w:rPr>
                        </w:pPr>
                        <w:r>
                          <w:rPr>
                            <w:sz w:val="21"/>
                          </w:rPr>
                          <w:t>标准值</w:t>
                        </w:r>
                      </w:p>
                      <w:p>
                        <w:pPr>
                          <w:pStyle w:val="TableParagraph"/>
                          <w:spacing w:line="272" w:lineRule="exact"/>
                          <w:ind w:left="28"/>
                          <w:jc w:val="left"/>
                          <w:rPr>
                            <w:rFonts w:ascii="Times New Roman"/>
                            <w:sz w:val="21"/>
                          </w:rPr>
                        </w:pPr>
                        <w:r>
                          <w:rPr>
                            <w:rFonts w:ascii="Times New Roman"/>
                            <w:sz w:val="21"/>
                          </w:rPr>
                          <w:t>(mg/m</w:t>
                        </w:r>
                        <w:r>
                          <w:rPr>
                            <w:rFonts w:ascii="Times New Roman"/>
                            <w:position w:val="10"/>
                            <w:sz w:val="14"/>
                          </w:rPr>
                          <w:t>3</w:t>
                        </w:r>
                        <w:r>
                          <w:rPr>
                            <w:rFonts w:ascii="Times New Roman"/>
                            <w:sz w:val="21"/>
                          </w:rPr>
                          <w:t>)</w:t>
                        </w:r>
                      </w:p>
                    </w:tc>
                  </w:tr>
                  <w:tr>
                    <w:trPr>
                      <w:trHeight w:val="559" w:hRule="exact"/>
                    </w:trPr>
                    <w:tc>
                      <w:tcPr>
                        <w:tcW w:w="593" w:type="dxa"/>
                        <w:vMerge/>
                        <w:tcBorders>
                          <w:left w:val="single" w:sz="6" w:space="0" w:color="000000"/>
                          <w:bottom w:val="single" w:sz="6" w:space="0" w:color="000000"/>
                          <w:right w:val="single" w:sz="6" w:space="0" w:color="000000"/>
                        </w:tcBorders>
                      </w:tcPr>
                      <w:p>
                        <w:pPr/>
                      </w:p>
                    </w:tc>
                    <w:tc>
                      <w:tcPr>
                        <w:tcW w:w="1003" w:type="dxa"/>
                        <w:vMerge/>
                        <w:tcBorders>
                          <w:left w:val="single" w:sz="6" w:space="0" w:color="000000"/>
                          <w:bottom w:val="single" w:sz="6" w:space="0" w:color="000000"/>
                          <w:right w:val="single" w:sz="6" w:space="0" w:color="000000"/>
                        </w:tcBorders>
                      </w:tcPr>
                      <w:p>
                        <w:pPr/>
                      </w:p>
                    </w:tc>
                    <w:tc>
                      <w:tcPr>
                        <w:tcW w:w="545" w:type="dxa"/>
                        <w:vMerge/>
                        <w:tcBorders>
                          <w:left w:val="single" w:sz="6" w:space="0" w:color="000000"/>
                          <w:bottom w:val="single" w:sz="6" w:space="0" w:color="000000"/>
                          <w:right w:val="single" w:sz="6" w:space="0" w:color="000000"/>
                        </w:tcBorders>
                      </w:tcPr>
                      <w:p>
                        <w:pP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4" w:right="94"/>
                          <w:rPr>
                            <w:sz w:val="21"/>
                          </w:rPr>
                        </w:pPr>
                        <w:r>
                          <w:rPr>
                            <w:sz w:val="21"/>
                          </w:rPr>
                          <w:t>样品</w:t>
                        </w:r>
                      </w:p>
                      <w:p>
                        <w:pPr>
                          <w:pStyle w:val="TableParagraph"/>
                          <w:spacing w:line="273" w:lineRule="exact"/>
                          <w:ind w:right="2"/>
                          <w:rPr>
                            <w:sz w:val="21"/>
                          </w:rPr>
                        </w:pPr>
                        <w:r>
                          <w:rPr>
                            <w:w w:val="100"/>
                            <w:sz w:val="21"/>
                          </w:rPr>
                          <w:t>数</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905" w:right="905"/>
                          <w:rPr>
                            <w:sz w:val="21"/>
                          </w:rPr>
                        </w:pPr>
                        <w:r>
                          <w:rPr>
                            <w:sz w:val="21"/>
                          </w:rPr>
                          <w:t>浓度范围</w:t>
                        </w:r>
                      </w:p>
                      <w:p>
                        <w:pPr>
                          <w:pStyle w:val="TableParagraph"/>
                          <w:spacing w:line="289" w:lineRule="exact"/>
                          <w:ind w:left="905" w:right="905"/>
                          <w:rPr>
                            <w:sz w:val="21"/>
                          </w:rPr>
                        </w:pPr>
                        <w:r>
                          <w:rPr>
                            <w:sz w:val="21"/>
                          </w:rPr>
                          <w:t>（</w:t>
                        </w:r>
                        <w:r>
                          <w:rPr>
                            <w:rFonts w:ascii="Times New Roman" w:eastAsia="Times New Roman"/>
                            <w:sz w:val="21"/>
                          </w:rPr>
                          <w:t>mg/m</w:t>
                        </w:r>
                        <w:r>
                          <w:rPr>
                            <w:rFonts w:ascii="Times New Roman" w:eastAsia="Times New Roman"/>
                            <w:position w:val="10"/>
                            <w:sz w:val="14"/>
                          </w:rPr>
                          <w:t>3</w:t>
                        </w:r>
                        <w:r>
                          <w:rPr>
                            <w:sz w:val="21"/>
                          </w:rPr>
                          <w:t>）</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line="255" w:lineRule="exact"/>
                          <w:ind w:left="44" w:right="42"/>
                          <w:rPr>
                            <w:sz w:val="21"/>
                          </w:rPr>
                        </w:pPr>
                        <w:r>
                          <w:rPr>
                            <w:sz w:val="21"/>
                          </w:rPr>
                          <w:t>超标率</w:t>
                        </w:r>
                      </w:p>
                      <w:p>
                        <w:pPr>
                          <w:pStyle w:val="TableParagraph"/>
                          <w:spacing w:before="26"/>
                          <w:rPr>
                            <w:rFonts w:ascii="Times New Roman"/>
                            <w:sz w:val="21"/>
                          </w:rPr>
                        </w:pPr>
                        <w:r>
                          <w:rPr>
                            <w:rFonts w:ascii="Times New Roman"/>
                            <w:w w:val="100"/>
                            <w:sz w:val="21"/>
                          </w:rPr>
                          <w:t>%</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line="239" w:lineRule="exact"/>
                          <w:ind w:left="283"/>
                          <w:jc w:val="left"/>
                          <w:rPr>
                            <w:sz w:val="21"/>
                          </w:rPr>
                        </w:pPr>
                        <w:r>
                          <w:rPr>
                            <w:sz w:val="21"/>
                          </w:rPr>
                          <w:t>最高</w:t>
                        </w:r>
                      </w:p>
                      <w:p>
                        <w:pPr>
                          <w:pStyle w:val="TableParagraph"/>
                          <w:spacing w:line="273" w:lineRule="exact"/>
                          <w:ind w:left="74"/>
                          <w:jc w:val="left"/>
                          <w:rPr>
                            <w:sz w:val="21"/>
                          </w:rPr>
                        </w:pPr>
                        <w:r>
                          <w:rPr>
                            <w:sz w:val="21"/>
                          </w:rPr>
                          <w:t>超标倍数</w:t>
                        </w:r>
                      </w:p>
                    </w:tc>
                    <w:tc>
                      <w:tcPr>
                        <w:tcW w:w="778" w:type="dxa"/>
                        <w:vMerge/>
                        <w:tcBorders>
                          <w:left w:val="single" w:sz="6" w:space="0" w:color="000000"/>
                          <w:bottom w:val="single" w:sz="6" w:space="0" w:color="000000"/>
                          <w:right w:val="single" w:sz="6" w:space="0" w:color="000000"/>
                        </w:tcBorders>
                      </w:tcPr>
                      <w:p>
                        <w:pP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6"/>
                          <w:jc w:val="left"/>
                          <w:rPr>
                            <w:sz w:val="30"/>
                          </w:rPr>
                        </w:pPr>
                      </w:p>
                      <w:p>
                        <w:pPr>
                          <w:pStyle w:val="TableParagraph"/>
                          <w:ind w:left="160"/>
                          <w:jc w:val="left"/>
                          <w:rPr>
                            <w:rFonts w:ascii="Times New Roman"/>
                            <w:sz w:val="21"/>
                          </w:rPr>
                        </w:pPr>
                        <w:r>
                          <w:rPr>
                            <w:rFonts w:ascii="Times New Roman"/>
                            <w:sz w:val="21"/>
                          </w:rPr>
                          <w:t>G1</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0.15</w:t>
                        </w:r>
                      </w:p>
                    </w:tc>
                  </w:tr>
                  <w:tr>
                    <w:trPr>
                      <w:trHeight w:val="355"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4"/>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0.5</w:t>
                        </w:r>
                      </w:p>
                    </w:tc>
                  </w:tr>
                  <w:tr>
                    <w:trPr>
                      <w:trHeight w:val="355" w:hRule="exact"/>
                    </w:trPr>
                    <w:tc>
                      <w:tcPr>
                        <w:tcW w:w="593" w:type="dxa"/>
                        <w:vMerge/>
                        <w:tcBorders>
                          <w:left w:val="single" w:sz="6" w:space="0" w:color="000000"/>
                          <w:bottom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0.2</w:t>
                        </w:r>
                      </w:p>
                    </w:tc>
                  </w:tr>
                  <w:tr>
                    <w:trPr>
                      <w:trHeight w:val="355" w:hRule="exact"/>
                    </w:trPr>
                    <w:tc>
                      <w:tcPr>
                        <w:tcW w:w="593" w:type="dxa"/>
                        <w:vMerge w:val="restart"/>
                        <w:tcBorders>
                          <w:top w:val="single" w:sz="6" w:space="0" w:color="000000"/>
                          <w:left w:val="single" w:sz="6" w:space="0" w:color="000000"/>
                          <w:right w:val="single" w:sz="6" w:space="0" w:color="000000"/>
                        </w:tcBorders>
                      </w:tcPr>
                      <w:p>
                        <w:pPr>
                          <w:pStyle w:val="TableParagraph"/>
                          <w:spacing w:before="4"/>
                          <w:jc w:val="left"/>
                          <w:rPr>
                            <w:sz w:val="30"/>
                          </w:rPr>
                        </w:pPr>
                      </w:p>
                      <w:p>
                        <w:pPr>
                          <w:pStyle w:val="TableParagraph"/>
                          <w:ind w:left="160"/>
                          <w:jc w:val="left"/>
                          <w:rPr>
                            <w:rFonts w:ascii="Times New Roman"/>
                            <w:sz w:val="21"/>
                          </w:rPr>
                        </w:pPr>
                        <w:r>
                          <w:rPr>
                            <w:rFonts w:ascii="Times New Roman"/>
                            <w:sz w:val="21"/>
                          </w:rPr>
                          <w:t>G2</w:t>
                        </w: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273"/>
                          <w:jc w:val="left"/>
                          <w:rPr>
                            <w:rFonts w:ascii="Times New Roman"/>
                            <w:sz w:val="14"/>
                          </w:rPr>
                        </w:pPr>
                        <w:r>
                          <w:rPr>
                            <w:rFonts w:ascii="Times New Roman"/>
                            <w:sz w:val="21"/>
                          </w:rPr>
                          <w:t>PM</w:t>
                        </w:r>
                        <w:r>
                          <w:rPr>
                            <w:rFonts w:ascii="Times New Roman"/>
                            <w:position w:val="-2"/>
                            <w:sz w:val="14"/>
                          </w:rPr>
                          <w:t>10</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6"/>
                          <w:jc w:val="right"/>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0.15</w:t>
                        </w:r>
                      </w:p>
                    </w:tc>
                  </w:tr>
                  <w:tr>
                    <w:trPr>
                      <w:trHeight w:val="35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bottom w:val="single" w:sz="6" w:space="0" w:color="000000"/>
                          <w:right w:val="single" w:sz="6" w:space="0" w:color="000000"/>
                        </w:tcBorders>
                      </w:tcPr>
                      <w:p>
                        <w:pPr>
                          <w:pStyle w:val="TableParagraph"/>
                          <w:spacing w:before="41"/>
                          <w:ind w:left="326"/>
                          <w:jc w:val="left"/>
                          <w:rPr>
                            <w:rFonts w:ascii="Times New Roman"/>
                            <w:sz w:val="14"/>
                          </w:rPr>
                        </w:pPr>
                        <w:r>
                          <w:rPr>
                            <w:rFonts w:ascii="Times New Roman"/>
                            <w:sz w:val="21"/>
                          </w:rPr>
                          <w:t>SO</w:t>
                        </w:r>
                        <w:r>
                          <w:rPr>
                            <w:rFonts w:ascii="Times New Roman"/>
                            <w:position w:val="-2"/>
                            <w:sz w:val="14"/>
                          </w:rPr>
                          <w:t>2</w:t>
                        </w:r>
                      </w:p>
                    </w:tc>
                    <w:tc>
                      <w:tcPr>
                        <w:tcW w:w="545" w:type="dxa"/>
                        <w:tcBorders>
                          <w:top w:val="single" w:sz="6" w:space="0" w:color="000000"/>
                          <w:left w:val="single" w:sz="6" w:space="0" w:color="000000"/>
                          <w:bottom w:val="single" w:sz="6" w:space="0" w:color="000000"/>
                          <w:right w:val="single" w:sz="6" w:space="0" w:color="000000"/>
                        </w:tcBorders>
                      </w:tcPr>
                      <w:p>
                        <w:pPr>
                          <w:pStyle w:val="TableParagraph"/>
                          <w:spacing w:before="41"/>
                          <w:ind w:right="2"/>
                          <w:rPr>
                            <w:rFonts w:ascii="Times New Roman"/>
                            <w:sz w:val="21"/>
                          </w:rPr>
                        </w:pPr>
                        <w:r>
                          <w:rPr>
                            <w:rFonts w:ascii="Times New Roman"/>
                            <w:w w:val="100"/>
                            <w:sz w:val="21"/>
                          </w:rPr>
                          <w:t>7</w:t>
                        </w:r>
                      </w:p>
                    </w:tc>
                    <w:tc>
                      <w:tcPr>
                        <w:tcW w:w="662" w:type="dxa"/>
                        <w:tcBorders>
                          <w:top w:val="single" w:sz="6" w:space="0" w:color="000000"/>
                          <w:left w:val="single" w:sz="6" w:space="0" w:color="000000"/>
                          <w:bottom w:val="single" w:sz="6" w:space="0" w:color="000000"/>
                          <w:right w:val="single" w:sz="6" w:space="0" w:color="000000"/>
                        </w:tcBorders>
                      </w:tcPr>
                      <w:p>
                        <w:pPr>
                          <w:pStyle w:val="TableParagraph"/>
                          <w:spacing w:before="41"/>
                          <w:ind w:left="92" w:right="94"/>
                          <w:rPr>
                            <w:rFonts w:ascii="Times New Roman"/>
                            <w:sz w:val="21"/>
                          </w:rPr>
                        </w:pPr>
                        <w:r>
                          <w:rPr>
                            <w:rFonts w:ascii="Times New Roman"/>
                            <w:sz w:val="21"/>
                          </w:rPr>
                          <w:t>28</w:t>
                        </w:r>
                      </w:p>
                    </w:tc>
                    <w:tc>
                      <w:tcPr>
                        <w:tcW w:w="2844" w:type="dxa"/>
                        <w:tcBorders>
                          <w:top w:val="single" w:sz="6" w:space="0" w:color="000000"/>
                          <w:left w:val="single" w:sz="6" w:space="0" w:color="000000"/>
                          <w:bottom w:val="single" w:sz="6" w:space="0" w:color="000000"/>
                          <w:right w:val="single" w:sz="6" w:space="0" w:color="000000"/>
                        </w:tcBorders>
                      </w:tcPr>
                      <w:p>
                        <w:pPr>
                          <w:pStyle w:val="TableParagraph"/>
                          <w:spacing w:line="290" w:lineRule="exact"/>
                          <w:ind w:right="749"/>
                          <w:jc w:val="right"/>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770" w:type="dxa"/>
                        <w:tcBorders>
                          <w:top w:val="single" w:sz="6" w:space="0" w:color="000000"/>
                          <w:left w:val="single" w:sz="6" w:space="0" w:color="000000"/>
                          <w:bottom w:val="single" w:sz="6" w:space="0" w:color="000000"/>
                          <w:right w:val="single" w:sz="6" w:space="0" w:color="000000"/>
                        </w:tcBorders>
                      </w:tcPr>
                      <w:p>
                        <w:pPr>
                          <w:pStyle w:val="TableParagraph"/>
                          <w:spacing w:before="41"/>
                          <w:ind w:left="2"/>
                          <w:rPr>
                            <w:rFonts w:ascii="Times New Roman"/>
                            <w:sz w:val="21"/>
                          </w:rPr>
                        </w:pPr>
                        <w:r>
                          <w:rPr>
                            <w:rFonts w:ascii="Times New Roman"/>
                            <w:w w:val="100"/>
                            <w:sz w:val="21"/>
                          </w:rPr>
                          <w:t>0</w:t>
                        </w:r>
                      </w:p>
                    </w:tc>
                    <w:tc>
                      <w:tcPr>
                        <w:tcW w:w="1004" w:type="dxa"/>
                        <w:tcBorders>
                          <w:top w:val="single" w:sz="6" w:space="0" w:color="000000"/>
                          <w:left w:val="single" w:sz="6" w:space="0" w:color="000000"/>
                          <w:bottom w:val="single" w:sz="6" w:space="0" w:color="000000"/>
                          <w:right w:val="single" w:sz="6" w:space="0" w:color="000000"/>
                        </w:tcBorders>
                      </w:tcPr>
                      <w:p>
                        <w:pPr>
                          <w:pStyle w:val="TableParagraph"/>
                          <w:spacing w:before="41"/>
                          <w:rPr>
                            <w:rFonts w:ascii="Times New Roman"/>
                            <w:sz w:val="21"/>
                          </w:rPr>
                        </w:pPr>
                        <w:r>
                          <w:rPr>
                            <w:rFonts w:ascii="Times New Roman"/>
                            <w:w w:val="100"/>
                            <w:sz w:val="21"/>
                          </w:rPr>
                          <w:t>0</w:t>
                        </w:r>
                      </w:p>
                    </w:tc>
                    <w:tc>
                      <w:tcPr>
                        <w:tcW w:w="778" w:type="dxa"/>
                        <w:tcBorders>
                          <w:top w:val="single" w:sz="6" w:space="0" w:color="000000"/>
                          <w:left w:val="single" w:sz="6" w:space="0" w:color="000000"/>
                          <w:bottom w:val="single" w:sz="6" w:space="0" w:color="000000"/>
                          <w:right w:val="single" w:sz="6" w:space="0" w:color="000000"/>
                        </w:tcBorders>
                      </w:tcPr>
                      <w:p>
                        <w:pPr>
                          <w:pStyle w:val="TableParagraph"/>
                          <w:spacing w:before="41"/>
                          <w:ind w:left="177" w:right="177"/>
                          <w:rPr>
                            <w:rFonts w:ascii="Times New Roman"/>
                            <w:sz w:val="21"/>
                          </w:rPr>
                        </w:pPr>
                        <w:r>
                          <w:rPr>
                            <w:rFonts w:ascii="Times New Roman"/>
                            <w:sz w:val="21"/>
                          </w:rPr>
                          <w:t>0.5</w:t>
                        </w:r>
                      </w:p>
                    </w:tc>
                  </w:tr>
                  <w:tr>
                    <w:trPr>
                      <w:trHeight w:val="363" w:hRule="exact"/>
                    </w:trPr>
                    <w:tc>
                      <w:tcPr>
                        <w:tcW w:w="593" w:type="dxa"/>
                        <w:vMerge/>
                        <w:tcBorders>
                          <w:left w:val="single" w:sz="6" w:space="0" w:color="000000"/>
                          <w:right w:val="single" w:sz="6" w:space="0" w:color="000000"/>
                        </w:tcBorders>
                      </w:tcPr>
                      <w:p>
                        <w:pPr/>
                      </w:p>
                    </w:tc>
                    <w:tc>
                      <w:tcPr>
                        <w:tcW w:w="1003" w:type="dxa"/>
                        <w:tcBorders>
                          <w:top w:val="single" w:sz="6" w:space="0" w:color="000000"/>
                          <w:left w:val="single" w:sz="6" w:space="0" w:color="000000"/>
                          <w:right w:val="single" w:sz="6" w:space="0" w:color="000000"/>
                        </w:tcBorders>
                      </w:tcPr>
                      <w:p>
                        <w:pPr>
                          <w:pStyle w:val="TableParagraph"/>
                          <w:spacing w:before="44"/>
                          <w:ind w:left="307"/>
                          <w:jc w:val="left"/>
                          <w:rPr>
                            <w:rFonts w:ascii="Times New Roman"/>
                            <w:sz w:val="14"/>
                          </w:rPr>
                        </w:pPr>
                        <w:r>
                          <w:rPr>
                            <w:rFonts w:ascii="Times New Roman"/>
                            <w:sz w:val="21"/>
                          </w:rPr>
                          <w:t>NO</w:t>
                        </w:r>
                        <w:r>
                          <w:rPr>
                            <w:rFonts w:ascii="Times New Roman"/>
                            <w:position w:val="-2"/>
                            <w:sz w:val="14"/>
                          </w:rPr>
                          <w:t>2</w:t>
                        </w:r>
                      </w:p>
                    </w:tc>
                    <w:tc>
                      <w:tcPr>
                        <w:tcW w:w="545" w:type="dxa"/>
                        <w:tcBorders>
                          <w:top w:val="single" w:sz="6" w:space="0" w:color="000000"/>
                          <w:left w:val="single" w:sz="6" w:space="0" w:color="000000"/>
                          <w:right w:val="single" w:sz="6" w:space="0" w:color="000000"/>
                        </w:tcBorders>
                      </w:tcPr>
                      <w:p>
                        <w:pPr>
                          <w:pStyle w:val="TableParagraph"/>
                          <w:spacing w:before="44"/>
                          <w:ind w:right="2"/>
                          <w:rPr>
                            <w:rFonts w:ascii="Times New Roman"/>
                            <w:sz w:val="21"/>
                          </w:rPr>
                        </w:pPr>
                        <w:r>
                          <w:rPr>
                            <w:rFonts w:ascii="Times New Roman"/>
                            <w:w w:val="100"/>
                            <w:sz w:val="21"/>
                          </w:rPr>
                          <w:t>7</w:t>
                        </w:r>
                      </w:p>
                    </w:tc>
                    <w:tc>
                      <w:tcPr>
                        <w:tcW w:w="662" w:type="dxa"/>
                        <w:tcBorders>
                          <w:top w:val="single" w:sz="6" w:space="0" w:color="000000"/>
                          <w:left w:val="single" w:sz="6" w:space="0" w:color="000000"/>
                          <w:right w:val="single" w:sz="6" w:space="0" w:color="000000"/>
                        </w:tcBorders>
                      </w:tcPr>
                      <w:p>
                        <w:pPr>
                          <w:pStyle w:val="TableParagraph"/>
                          <w:spacing w:before="44"/>
                          <w:ind w:left="92" w:right="94"/>
                          <w:rPr>
                            <w:rFonts w:ascii="Times New Roman"/>
                            <w:sz w:val="21"/>
                          </w:rPr>
                        </w:pPr>
                        <w:r>
                          <w:rPr>
                            <w:rFonts w:ascii="Times New Roman"/>
                            <w:sz w:val="21"/>
                          </w:rPr>
                          <w:t>28</w:t>
                        </w:r>
                      </w:p>
                    </w:tc>
                    <w:tc>
                      <w:tcPr>
                        <w:tcW w:w="2844" w:type="dxa"/>
                        <w:tcBorders>
                          <w:top w:val="single" w:sz="6" w:space="0" w:color="000000"/>
                          <w:left w:val="single" w:sz="6" w:space="0" w:color="000000"/>
                          <w:right w:val="single" w:sz="6" w:space="0" w:color="000000"/>
                        </w:tcBorders>
                      </w:tcPr>
                      <w:p>
                        <w:pPr>
                          <w:pStyle w:val="TableParagraph"/>
                          <w:spacing w:before="2"/>
                          <w:ind w:right="749"/>
                          <w:jc w:val="right"/>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770" w:type="dxa"/>
                        <w:tcBorders>
                          <w:top w:val="single" w:sz="6" w:space="0" w:color="000000"/>
                          <w:left w:val="single" w:sz="6" w:space="0" w:color="000000"/>
                          <w:right w:val="single" w:sz="6" w:space="0" w:color="000000"/>
                        </w:tcBorders>
                      </w:tcPr>
                      <w:p>
                        <w:pPr>
                          <w:pStyle w:val="TableParagraph"/>
                          <w:spacing w:before="44"/>
                          <w:ind w:left="2"/>
                          <w:rPr>
                            <w:rFonts w:ascii="Times New Roman"/>
                            <w:sz w:val="21"/>
                          </w:rPr>
                        </w:pPr>
                        <w:r>
                          <w:rPr>
                            <w:rFonts w:ascii="Times New Roman"/>
                            <w:w w:val="100"/>
                            <w:sz w:val="21"/>
                          </w:rPr>
                          <w:t>0</w:t>
                        </w:r>
                      </w:p>
                    </w:tc>
                    <w:tc>
                      <w:tcPr>
                        <w:tcW w:w="1004" w:type="dxa"/>
                        <w:tcBorders>
                          <w:top w:val="single" w:sz="6" w:space="0" w:color="000000"/>
                          <w:left w:val="single" w:sz="6" w:space="0" w:color="000000"/>
                          <w:right w:val="single" w:sz="6" w:space="0" w:color="000000"/>
                        </w:tcBorders>
                      </w:tcPr>
                      <w:p>
                        <w:pPr>
                          <w:pStyle w:val="TableParagraph"/>
                          <w:spacing w:before="44"/>
                          <w:rPr>
                            <w:rFonts w:ascii="Times New Roman"/>
                            <w:sz w:val="21"/>
                          </w:rPr>
                        </w:pPr>
                        <w:r>
                          <w:rPr>
                            <w:rFonts w:ascii="Times New Roman"/>
                            <w:w w:val="100"/>
                            <w:sz w:val="21"/>
                          </w:rPr>
                          <w:t>0</w:t>
                        </w:r>
                      </w:p>
                    </w:tc>
                    <w:tc>
                      <w:tcPr>
                        <w:tcW w:w="778" w:type="dxa"/>
                        <w:tcBorders>
                          <w:top w:val="single" w:sz="6" w:space="0" w:color="000000"/>
                          <w:left w:val="single" w:sz="6" w:space="0" w:color="000000"/>
                          <w:right w:val="single" w:sz="6" w:space="0" w:color="000000"/>
                        </w:tcBorders>
                      </w:tcPr>
                      <w:p>
                        <w:pPr>
                          <w:pStyle w:val="TableParagraph"/>
                          <w:spacing w:before="44"/>
                          <w:ind w:left="177" w:right="177"/>
                          <w:rPr>
                            <w:rFonts w:ascii="Times New Roman"/>
                            <w:sz w:val="21"/>
                          </w:rPr>
                        </w:pPr>
                        <w:r>
                          <w:rPr>
                            <w:rFonts w:ascii="Times New Roman"/>
                            <w:sz w:val="21"/>
                          </w:rPr>
                          <w:t>0.2</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3-3</w:t>
        <w:tab/>
      </w:r>
      <w:r>
        <w:rPr>
          <w:b/>
          <w:w w:val="95"/>
          <w:sz w:val="24"/>
        </w:rPr>
        <w:t>大气环境质量现状评价结果表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6"/>
        <w:rPr>
          <w:b/>
          <w:sz w:val="26"/>
        </w:rPr>
      </w:pPr>
    </w:p>
    <w:p>
      <w:pPr>
        <w:pStyle w:val="BodyText"/>
        <w:spacing w:line="333" w:lineRule="auto"/>
        <w:ind w:left="226" w:right="222" w:firstLine="479"/>
        <w:jc w:val="both"/>
      </w:pPr>
      <w:r>
        <w:rPr>
          <w:spacing w:val="-4"/>
        </w:rPr>
        <w:t>统计结果表明，项目所在地环境空气质量良好，</w:t>
      </w:r>
      <w:r>
        <w:rPr>
          <w:rFonts w:ascii="Times New Roman" w:eastAsia="Times New Roman"/>
          <w:spacing w:val="-4"/>
        </w:rPr>
        <w:t>PM</w:t>
      </w:r>
      <w:r>
        <w:rPr>
          <w:rFonts w:ascii="Times New Roman" w:eastAsia="Times New Roman"/>
          <w:spacing w:val="-4"/>
          <w:position w:val="-2"/>
          <w:sz w:val="16"/>
        </w:rPr>
        <w:t>10</w:t>
      </w:r>
      <w:r>
        <w:rPr>
          <w:spacing w:val="-17"/>
        </w:rPr>
        <w:t>、</w:t>
      </w:r>
      <w:r>
        <w:rPr>
          <w:rFonts w:ascii="Times New Roman" w:eastAsia="Times New Roman"/>
        </w:rPr>
        <w:t>SO</w:t>
      </w:r>
      <w:r>
        <w:rPr>
          <w:rFonts w:ascii="Times New Roman" w:eastAsia="Times New Roman"/>
          <w:position w:val="-2"/>
          <w:sz w:val="16"/>
        </w:rPr>
        <w:t>2</w:t>
      </w:r>
      <w:r>
        <w:rPr>
          <w:spacing w:val="-17"/>
        </w:rPr>
        <w:t>、</w:t>
      </w:r>
      <w:r>
        <w:rPr>
          <w:rFonts w:ascii="Times New Roman" w:eastAsia="Times New Roman"/>
        </w:rPr>
        <w:t>NO</w:t>
      </w:r>
      <w:r>
        <w:rPr>
          <w:rFonts w:ascii="Times New Roman" w:eastAsia="Times New Roman"/>
          <w:position w:val="-2"/>
          <w:sz w:val="16"/>
        </w:rPr>
        <w:t>2</w:t>
      </w:r>
      <w:r>
        <w:rPr>
          <w:spacing w:val="-2"/>
        </w:rPr>
        <w:t>均无超标</w:t>
      </w:r>
      <w:r>
        <w:rPr>
          <w:spacing w:val="-10"/>
        </w:rPr>
        <w:t>现象，满足《环境空气质量标准》</w:t>
      </w:r>
      <w:r>
        <w:rPr>
          <w:rFonts w:ascii="Times New Roman" w:eastAsia="Times New Roman"/>
        </w:rPr>
        <w:t>GB3095-2012</w:t>
      </w:r>
      <w:r>
        <w:rPr>
          <w:spacing w:val="-5"/>
        </w:rPr>
        <w:t>二级标准要求，具有一定的环境容量。</w:t>
      </w:r>
    </w:p>
    <w:p>
      <w:pPr>
        <w:pStyle w:val="Heading3"/>
        <w:spacing w:before="57"/>
        <w:ind w:left="708"/>
      </w:pPr>
      <w:r>
        <w:rPr>
          <w:w w:val="95"/>
        </w:rPr>
        <w:t>二、地表水质量现状</w:t>
      </w:r>
    </w:p>
    <w:p>
      <w:pPr>
        <w:pStyle w:val="BodyText"/>
        <w:spacing w:line="348" w:lineRule="auto" w:before="153"/>
        <w:ind w:left="226" w:right="222" w:firstLine="479"/>
        <w:jc w:val="both"/>
      </w:pPr>
      <w:r>
        <w:rPr/>
        <w:t>引用大气监测时间为</w:t>
      </w:r>
      <w:r>
        <w:rPr>
          <w:rFonts w:ascii="Times New Roman" w:hAnsi="Times New Roman" w:eastAsia="Times New Roman"/>
        </w:rPr>
        <w:t>2017</w:t>
      </w:r>
      <w:r>
        <w:rPr/>
        <w:t>年</w:t>
      </w:r>
      <w:r>
        <w:rPr>
          <w:rFonts w:ascii="Times New Roman" w:hAnsi="Times New Roman" w:eastAsia="Times New Roman"/>
        </w:rPr>
        <w:t>8</w:t>
      </w:r>
      <w:r>
        <w:rPr/>
        <w:t>月</w:t>
      </w:r>
      <w:r>
        <w:rPr>
          <w:rFonts w:ascii="Times New Roman" w:hAnsi="Times New Roman" w:eastAsia="Times New Roman"/>
        </w:rPr>
        <w:t>14</w:t>
      </w:r>
      <w:r>
        <w:rPr/>
        <w:t>日</w:t>
      </w:r>
      <w:r>
        <w:rPr>
          <w:rFonts w:ascii="Times New Roman" w:hAnsi="Times New Roman" w:eastAsia="Times New Roman"/>
        </w:rPr>
        <w:t>~8</w:t>
      </w:r>
      <w:r>
        <w:rPr/>
        <w:t>月</w:t>
      </w:r>
      <w:r>
        <w:rPr>
          <w:rFonts w:ascii="Times New Roman" w:hAnsi="Times New Roman" w:eastAsia="Times New Roman"/>
        </w:rPr>
        <w:t>20</w:t>
      </w:r>
      <w:r>
        <w:rPr>
          <w:spacing w:val="-9"/>
        </w:rPr>
        <w:t>日，本项目周边地表水受纳水体为新宁河，与“开江县永安路、龙池街等市政道路改造及管网工程”受纳水体</w:t>
      </w:r>
      <w:r>
        <w:rPr>
          <w:spacing w:val="-1"/>
        </w:rPr>
        <w:t>一致，故本次引用数据满足导则的要求，合理有效。</w:t>
      </w:r>
    </w:p>
    <w:p>
      <w:pPr>
        <w:pStyle w:val="Heading3"/>
        <w:spacing w:before="45"/>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65582pt;width:405.2pt;height:43.2pt;mso-position-horizontal-relative:page;mso-position-vertical-relative:paragraph;z-index:152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1"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90" w:hRule="exact"/>
                    </w:trPr>
                    <w:tc>
                      <w:tcPr>
                        <w:tcW w:w="1603" w:type="dxa"/>
                        <w:vMerge w:val="restart"/>
                      </w:tcPr>
                      <w:p>
                        <w:pPr>
                          <w:pStyle w:val="TableParagraph"/>
                          <w:spacing w:before="112"/>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7"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0"/>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8" w:lineRule="auto" w:before="133"/>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spacing w:after="0" w:line="328" w:lineRule="auto"/>
        <w:sectPr>
          <w:pgSz w:w="11910" w:h="16850"/>
          <w:pgMar w:header="0" w:footer="1141" w:top="140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1628" w:hRule="exact"/>
        </w:trPr>
        <w:tc>
          <w:tcPr>
            <w:tcW w:w="8433" w:type="dxa"/>
            <w:gridSpan w:val="8"/>
            <w:tcBorders>
              <w:bottom w:val="nil"/>
            </w:tcBorders>
          </w:tcPr>
          <w:p>
            <w:pPr>
              <w:pStyle w:val="TableParagraph"/>
              <w:spacing w:line="292" w:lineRule="exact"/>
              <w:ind w:left="571"/>
              <w:jc w:val="left"/>
              <w:rPr>
                <w:sz w:val="24"/>
              </w:rPr>
            </w:pPr>
            <w:r>
              <w:rPr>
                <w:sz w:val="24"/>
              </w:rPr>
              <w:t>（</w:t>
            </w:r>
            <w:r>
              <w:rPr>
                <w:rFonts w:ascii="Times New Roman" w:eastAsia="Times New Roman"/>
                <w:sz w:val="24"/>
              </w:rPr>
              <w:t>2</w:t>
            </w:r>
            <w:r>
              <w:rPr>
                <w:sz w:val="24"/>
              </w:rPr>
              <w:t>）监测时间：</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w:t>
            </w:r>
          </w:p>
          <w:p>
            <w:pPr>
              <w:pStyle w:val="TableParagraph"/>
              <w:spacing w:before="135"/>
              <w:ind w:left="583"/>
              <w:jc w:val="left"/>
              <w:rPr>
                <w:b/>
                <w:sz w:val="24"/>
              </w:rPr>
            </w:pPr>
            <w:r>
              <w:rPr>
                <w:rFonts w:ascii="Times New Roman" w:eastAsia="Times New Roman"/>
                <w:b/>
                <w:w w:val="95"/>
                <w:sz w:val="24"/>
              </w:rPr>
              <w:t>3</w:t>
            </w:r>
            <w:r>
              <w:rPr>
                <w:b/>
                <w:w w:val="95"/>
                <w:sz w:val="24"/>
              </w:rPr>
              <w:t>、采样及分析方法</w:t>
            </w:r>
          </w:p>
          <w:p>
            <w:pPr>
              <w:pStyle w:val="TableParagraph"/>
              <w:spacing w:line="338" w:lineRule="auto" w:before="132"/>
              <w:ind w:left="100" w:right="91" w:firstLine="479"/>
              <w:jc w:val="left"/>
              <w:rPr>
                <w:sz w:val="24"/>
              </w:rPr>
            </w:pPr>
            <w:r>
              <w:rPr>
                <w:spacing w:val="-5"/>
                <w:sz w:val="24"/>
              </w:rPr>
              <w:t>采样按规范进行，分析方法采用《地表水环境质量标准》</w:t>
            </w:r>
            <w:r>
              <w:rPr>
                <w:sz w:val="24"/>
              </w:rPr>
              <w:t>（</w:t>
            </w:r>
            <w:r>
              <w:rPr>
                <w:rFonts w:ascii="Times New Roman" w:eastAsia="Times New Roman"/>
                <w:sz w:val="24"/>
              </w:rPr>
              <w:t>GB3838-2002</w:t>
            </w:r>
            <w:r>
              <w:rPr>
                <w:sz w:val="24"/>
              </w:rPr>
              <w:t>） 中的规定方法。</w:t>
            </w:r>
          </w:p>
          <w:p>
            <w:pPr>
              <w:pStyle w:val="TableParagraph"/>
              <w:spacing w:before="52"/>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7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）Ⅲ类水域标准。采用单项标准指数法评价，其数学模式如下：</w:t>
            </w:r>
          </w:p>
          <w:p>
            <w:pPr>
              <w:pStyle w:val="TableParagraph"/>
              <w:tabs>
                <w:tab w:pos="2536" w:val="left" w:leader="none"/>
              </w:tabs>
              <w:spacing w:line="406" w:lineRule="exact" w:before="9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4"/>
                <w:sz w:val="24"/>
              </w:rPr>
              <w:t>C</w:t>
            </w:r>
            <w:r>
              <w:rPr>
                <w:rFonts w:ascii="Times New Roman" w:hAnsi="Times New Roman"/>
                <w:i/>
                <w:spacing w:val="-5"/>
                <w:position w:val="7"/>
                <w:sz w:val="14"/>
              </w:rPr>
              <w:t>ij</w:t>
            </w:r>
          </w:p>
          <w:p>
            <w:pPr>
              <w:pStyle w:val="TableParagraph"/>
              <w:tabs>
                <w:tab w:pos="3061" w:val="left" w:leader="none"/>
              </w:tabs>
              <w:spacing w:line="192"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8" w:lineRule="exact"/>
              <w:ind w:left="28" w:right="1913"/>
              <w:rPr>
                <w:rFonts w:ascii="Times New Roman"/>
                <w:i/>
                <w:sz w:val="14"/>
              </w:rPr>
            </w:pPr>
            <w:r>
              <w:rPr>
                <w:rFonts w:ascii="Times New Roman"/>
                <w:i/>
                <w:sz w:val="14"/>
              </w:rPr>
              <w:t>is</w:t>
            </w:r>
          </w:p>
          <w:p>
            <w:pPr>
              <w:pStyle w:val="TableParagraph"/>
              <w:spacing w:line="331"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1"/>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1" w:val="left" w:leader="none"/>
                <w:tab w:pos="2841" w:val="left" w:leader="none"/>
              </w:tabs>
              <w:spacing w:line="400" w:lineRule="exact" w:before="59"/>
              <w:ind w:left="28"/>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4"/>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6"/>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6"/>
              <w:ind w:left="225"/>
              <w:jc w:val="left"/>
              <w:rPr>
                <w:sz w:val="21"/>
              </w:rPr>
            </w:pPr>
            <w:r>
              <w:rPr>
                <w:sz w:val="21"/>
              </w:rPr>
              <w:t>断面</w:t>
            </w:r>
          </w:p>
        </w:tc>
        <w:tc>
          <w:tcPr>
            <w:tcW w:w="1661" w:type="dxa"/>
            <w:vMerge w:val="restart"/>
          </w:tcPr>
          <w:p>
            <w:pPr>
              <w:pStyle w:val="TableParagraph"/>
              <w:spacing w:before="126"/>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6"/>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sz w:val="22"/>
              </w:rPr>
            </w:pPr>
          </w:p>
          <w:p>
            <w:pPr>
              <w:pStyle w:val="TableParagraph"/>
              <w:spacing w:before="2"/>
              <w:jc w:val="left"/>
              <w:rPr>
                <w:sz w:val="2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74" w:hRule="exact"/>
        </w:trPr>
        <w:tc>
          <w:tcPr>
            <w:tcW w:w="281" w:type="dxa"/>
            <w:vMerge/>
          </w:tcPr>
          <w:p>
            <w:pPr/>
          </w:p>
        </w:tc>
        <w:tc>
          <w:tcPr>
            <w:tcW w:w="886" w:type="dxa"/>
            <w:vMerge/>
            <w:tcBorders>
              <w:bottom w:val="double" w:sz="4" w:space="0" w:color="000000"/>
            </w:tcBorders>
          </w:tcPr>
          <w:p>
            <w:pPr/>
          </w:p>
        </w:tc>
        <w:tc>
          <w:tcPr>
            <w:tcW w:w="1661" w:type="dxa"/>
            <w:tcBorders>
              <w:bottom w:val="double" w:sz="4" w:space="0" w:color="000000"/>
            </w:tcBorders>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Borders>
              <w:bottom w:val="double" w:sz="4" w:space="0" w:color="000000"/>
            </w:tcBorders>
          </w:tcPr>
          <w:p>
            <w:pPr>
              <w:pStyle w:val="TableParagraph"/>
              <w:spacing w:line="235" w:lineRule="exact"/>
              <w:ind w:left="218" w:right="216"/>
              <w:rPr>
                <w:rFonts w:ascii="Times New Roman"/>
                <w:sz w:val="21"/>
              </w:rPr>
            </w:pPr>
            <w:r>
              <w:rPr>
                <w:rFonts w:ascii="Times New Roman"/>
                <w:sz w:val="21"/>
              </w:rPr>
              <w:t>0.038</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0.070</w:t>
            </w:r>
          </w:p>
        </w:tc>
        <w:tc>
          <w:tcPr>
            <w:tcW w:w="1330" w:type="dxa"/>
            <w:tcBorders>
              <w:bottom w:val="double" w:sz="4" w:space="0" w:color="000000"/>
            </w:tcBorders>
          </w:tcPr>
          <w:p>
            <w:pPr>
              <w:pStyle w:val="TableParagraph"/>
              <w:spacing w:line="235" w:lineRule="exact"/>
              <w:ind w:left="216" w:right="216"/>
              <w:rPr>
                <w:rFonts w:ascii="Times New Roman"/>
                <w:sz w:val="21"/>
              </w:rPr>
            </w:pPr>
            <w:r>
              <w:rPr>
                <w:rFonts w:ascii="Times New Roman"/>
                <w:sz w:val="21"/>
              </w:rPr>
              <w:t>0.047</w:t>
            </w:r>
          </w:p>
        </w:tc>
        <w:tc>
          <w:tcPr>
            <w:tcW w:w="1330" w:type="dxa"/>
            <w:tcBorders>
              <w:bottom w:val="double" w:sz="4" w:space="0" w:color="000000"/>
            </w:tcBorders>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bl>
    <w:p>
      <w:pPr>
        <w:rPr>
          <w:sz w:val="2"/>
          <w:szCs w:val="2"/>
        </w:rPr>
      </w:pPr>
      <w:r>
        <w:rPr/>
        <w:pict>
          <v:line style="position:absolute;mso-position-horizontal-relative:page;mso-position-vertical-relative:page;z-index:-177112" from="247.981384pt,381.844879pt" to="300.581448pt,381.844879pt" stroked="true" strokeweight=".397213pt" strokecolor="#000000">
            <v:stroke dashstyle="solid"/>
            <w10:wrap type="none"/>
          </v:line>
        </w:pict>
      </w:r>
      <w:r>
        <w:rPr/>
        <w:pict>
          <v:line style="position:absolute;mso-position-horizontal-relative:page;mso-position-vertical-relative:page;z-index:-177088" from="249.136475pt,422.820557pt" to="302.448741pt,422.820557pt" stroked="true" strokeweight=".401319pt" strokecolor="#000000">
            <v:stroke dashstyle="solid"/>
            <w10:wrap type="none"/>
          </v:line>
        </w:pict>
      </w:r>
      <w:r>
        <w:rPr/>
        <w:pict>
          <v:line style="position:absolute;mso-position-horizontal-relative:page;mso-position-vertical-relative:page;z-index:-177064" from="239.891632pt,253.623108pt" to="255.177246pt,253.623108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574"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4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Borders>
              <w:top w:val="single" w:sz="12" w:space="0" w:color="000000"/>
            </w:tcBorders>
          </w:tcPr>
          <w:p>
            <w:pPr>
              <w:pStyle w:val="TableParagraph"/>
              <w:spacing w:before="146"/>
              <w:ind w:left="218" w:right="216"/>
              <w:rPr>
                <w:rFonts w:ascii="Times New Roman"/>
                <w:sz w:val="21"/>
              </w:rPr>
            </w:pPr>
            <w:r>
              <w:rPr>
                <w:rFonts w:ascii="Times New Roman"/>
                <w:sz w:val="21"/>
              </w:rPr>
              <w:t>2100</w:t>
            </w:r>
          </w:p>
        </w:tc>
        <w:tc>
          <w:tcPr>
            <w:tcW w:w="1330" w:type="dxa"/>
            <w:tcBorders>
              <w:top w:val="single" w:sz="12" w:space="0" w:color="000000"/>
            </w:tcBorders>
          </w:tcPr>
          <w:p>
            <w:pPr>
              <w:pStyle w:val="TableParagraph"/>
              <w:spacing w:before="146"/>
              <w:ind w:right="444"/>
              <w:jc w:val="right"/>
              <w:rPr>
                <w:rFonts w:ascii="Times New Roman"/>
                <w:sz w:val="21"/>
              </w:rPr>
            </w:pPr>
            <w:r>
              <w:rPr>
                <w:rFonts w:ascii="Times New Roman"/>
                <w:sz w:val="21"/>
              </w:rPr>
              <w:t>2700</w:t>
            </w:r>
          </w:p>
        </w:tc>
        <w:tc>
          <w:tcPr>
            <w:tcW w:w="1330" w:type="dxa"/>
            <w:tcBorders>
              <w:top w:val="single" w:sz="12" w:space="0" w:color="000000"/>
            </w:tcBorders>
          </w:tcPr>
          <w:p>
            <w:pPr>
              <w:pStyle w:val="TableParagraph"/>
              <w:spacing w:before="146"/>
              <w:ind w:left="216" w:right="216"/>
              <w:rPr>
                <w:rFonts w:ascii="Times New Roman"/>
                <w:sz w:val="21"/>
              </w:rPr>
            </w:pPr>
            <w:r>
              <w:rPr>
                <w:rFonts w:ascii="Times New Roman"/>
                <w:sz w:val="21"/>
              </w:rPr>
              <w:t>2300</w:t>
            </w:r>
          </w:p>
        </w:tc>
        <w:tc>
          <w:tcPr>
            <w:tcW w:w="1330" w:type="dxa"/>
            <w:tcBorders>
              <w:top w:val="single" w:sz="12" w:space="0" w:color="000000"/>
            </w:tcBorders>
          </w:tcPr>
          <w:p>
            <w:pPr>
              <w:pStyle w:val="TableParagraph"/>
              <w:spacing w:before="146"/>
              <w:ind w:left="375" w:right="375"/>
              <w:rPr>
                <w:rFonts w:ascii="Times New Roman"/>
                <w:sz w:val="21"/>
              </w:rPr>
            </w:pPr>
            <w:r>
              <w:rPr>
                <w:rFonts w:ascii="Times New Roman"/>
                <w:sz w:val="21"/>
              </w:rPr>
              <w:t>10000</w:t>
            </w:r>
          </w:p>
        </w:tc>
        <w:tc>
          <w:tcPr>
            <w:tcW w:w="283" w:type="dxa"/>
            <w:vMerge w:val="restart"/>
          </w:tcPr>
          <w:p>
            <w:pPr/>
          </w:p>
        </w:tc>
      </w:tr>
      <w:tr>
        <w:trPr>
          <w:trHeight w:val="288" w:hRule="exact"/>
        </w:trPr>
        <w:tc>
          <w:tcPr>
            <w:tcW w:w="281" w:type="dxa"/>
            <w:vMerge/>
          </w:tcPr>
          <w:p>
            <w:pPr/>
          </w:p>
        </w:tc>
        <w:tc>
          <w:tcPr>
            <w:tcW w:w="886" w:type="dxa"/>
            <w:vMerge/>
          </w:tcPr>
          <w:p>
            <w:pPr/>
          </w:p>
        </w:tc>
        <w:tc>
          <w:tcPr>
            <w:tcW w:w="1661" w:type="dxa"/>
          </w:tcPr>
          <w:p>
            <w:pPr>
              <w:pStyle w:val="TableParagraph"/>
              <w:spacing w:line="235" w:lineRule="exact"/>
              <w:ind w:left="490" w:right="486"/>
              <w:rPr>
                <w:sz w:val="21"/>
              </w:rPr>
            </w:pPr>
            <w:r>
              <w:rPr>
                <w:sz w:val="21"/>
              </w:rPr>
              <w:t>石油类</w:t>
            </w:r>
          </w:p>
        </w:tc>
        <w:tc>
          <w:tcPr>
            <w:tcW w:w="1332" w:type="dxa"/>
          </w:tcPr>
          <w:p>
            <w:pPr>
              <w:pStyle w:val="TableParagraph"/>
              <w:spacing w:line="235" w:lineRule="exact"/>
              <w:ind w:left="218" w:right="216"/>
              <w:rPr>
                <w:sz w:val="21"/>
              </w:rPr>
            </w:pPr>
            <w:r>
              <w:rPr>
                <w:sz w:val="21"/>
              </w:rPr>
              <w:t>未检出</w:t>
            </w:r>
          </w:p>
        </w:tc>
        <w:tc>
          <w:tcPr>
            <w:tcW w:w="1330" w:type="dxa"/>
          </w:tcPr>
          <w:p>
            <w:pPr>
              <w:pStyle w:val="TableParagraph"/>
              <w:spacing w:line="235" w:lineRule="exact"/>
              <w:ind w:right="339"/>
              <w:jc w:val="right"/>
              <w:rPr>
                <w:sz w:val="21"/>
              </w:rPr>
            </w:pPr>
            <w:r>
              <w:rPr>
                <w:sz w:val="21"/>
              </w:rPr>
              <w:t>未检出</w:t>
            </w:r>
          </w:p>
        </w:tc>
        <w:tc>
          <w:tcPr>
            <w:tcW w:w="1330" w:type="dxa"/>
          </w:tcPr>
          <w:p>
            <w:pPr>
              <w:pStyle w:val="TableParagraph"/>
              <w:spacing w:line="235"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Pr>
          <w:p>
            <w:pPr/>
          </w:p>
        </w:tc>
      </w:tr>
      <w:tr>
        <w:trPr>
          <w:trHeight w:val="257" w:hRule="exact"/>
        </w:trPr>
        <w:tc>
          <w:tcPr>
            <w:tcW w:w="281" w:type="dxa"/>
            <w:vMerge/>
          </w:tcPr>
          <w:p>
            <w:pPr/>
          </w:p>
        </w:tc>
        <w:tc>
          <w:tcPr>
            <w:tcW w:w="886" w:type="dxa"/>
            <w:vMerge w:val="restart"/>
          </w:tcPr>
          <w:p>
            <w:pPr>
              <w:pStyle w:val="TableParagraph"/>
              <w:jc w:val="left"/>
              <w:rPr>
                <w:sz w:val="22"/>
              </w:rPr>
            </w:pPr>
          </w:p>
          <w:p>
            <w:pPr>
              <w:pStyle w:val="TableParagraph"/>
              <w:jc w:val="left"/>
              <w:rPr>
                <w:sz w:val="22"/>
              </w:rPr>
            </w:pPr>
          </w:p>
          <w:p>
            <w:pPr>
              <w:pStyle w:val="TableParagraph"/>
              <w:spacing w:before="7"/>
              <w:jc w:val="left"/>
              <w:rPr>
                <w:sz w:val="26"/>
              </w:rPr>
            </w:pPr>
          </w:p>
          <w:p>
            <w:pPr>
              <w:pStyle w:val="TableParagraph"/>
              <w:spacing w:before="1"/>
              <w:ind w:left="283"/>
              <w:jc w:val="left"/>
              <w:rPr>
                <w:rFonts w:ascii="Times New Roman"/>
                <w:sz w:val="21"/>
              </w:rPr>
            </w:pPr>
            <w:r>
              <w:rPr>
                <w:rFonts w:ascii="Times New Roman"/>
                <w:sz w:val="21"/>
              </w:rPr>
              <w:t>W2</w:t>
            </w:r>
          </w:p>
        </w:tc>
        <w:tc>
          <w:tcPr>
            <w:tcW w:w="1661" w:type="dxa"/>
          </w:tcPr>
          <w:p>
            <w:pPr>
              <w:pStyle w:val="TableParagraph"/>
              <w:spacing w:line="227" w:lineRule="exact"/>
              <w:ind w:left="489" w:right="486"/>
              <w:rPr>
                <w:rFonts w:ascii="Times New Roman"/>
                <w:sz w:val="21"/>
              </w:rPr>
            </w:pPr>
            <w:r>
              <w:rPr>
                <w:rFonts w:ascii="Times New Roman"/>
                <w:sz w:val="21"/>
              </w:rPr>
              <w:t>pH</w:t>
            </w:r>
          </w:p>
        </w:tc>
        <w:tc>
          <w:tcPr>
            <w:tcW w:w="1332" w:type="dxa"/>
          </w:tcPr>
          <w:p>
            <w:pPr>
              <w:pStyle w:val="TableParagraph"/>
              <w:spacing w:line="227" w:lineRule="exact"/>
              <w:ind w:left="218" w:right="216"/>
              <w:rPr>
                <w:rFonts w:ascii="Times New Roman"/>
                <w:sz w:val="21"/>
              </w:rPr>
            </w:pPr>
            <w:r>
              <w:rPr>
                <w:rFonts w:ascii="Times New Roman"/>
                <w:sz w:val="21"/>
              </w:rPr>
              <w:t>7.58</w:t>
            </w:r>
          </w:p>
        </w:tc>
        <w:tc>
          <w:tcPr>
            <w:tcW w:w="1330" w:type="dxa"/>
          </w:tcPr>
          <w:p>
            <w:pPr>
              <w:pStyle w:val="TableParagraph"/>
              <w:spacing w:line="227" w:lineRule="exact"/>
              <w:ind w:left="216" w:right="216"/>
              <w:rPr>
                <w:rFonts w:ascii="Times New Roman"/>
                <w:sz w:val="21"/>
              </w:rPr>
            </w:pPr>
            <w:r>
              <w:rPr>
                <w:rFonts w:ascii="Times New Roman"/>
                <w:sz w:val="21"/>
              </w:rPr>
              <w:t>7.68</w:t>
            </w:r>
          </w:p>
        </w:tc>
        <w:tc>
          <w:tcPr>
            <w:tcW w:w="1330" w:type="dxa"/>
          </w:tcPr>
          <w:p>
            <w:pPr>
              <w:pStyle w:val="TableParagraph"/>
              <w:spacing w:line="227" w:lineRule="exact"/>
              <w:ind w:left="216" w:right="216"/>
              <w:rPr>
                <w:rFonts w:ascii="Times New Roman"/>
                <w:sz w:val="21"/>
              </w:rPr>
            </w:pPr>
            <w:r>
              <w:rPr>
                <w:rFonts w:ascii="Times New Roman"/>
                <w:sz w:val="21"/>
              </w:rPr>
              <w:t>7.48</w:t>
            </w:r>
          </w:p>
        </w:tc>
        <w:tc>
          <w:tcPr>
            <w:tcW w:w="1330" w:type="dxa"/>
          </w:tcPr>
          <w:p>
            <w:pPr>
              <w:pStyle w:val="TableParagraph"/>
              <w:spacing w:line="227" w:lineRule="exact"/>
              <w:ind w:left="373" w:right="375"/>
              <w:rPr>
                <w:rFonts w:ascii="Times New Roman"/>
                <w:sz w:val="21"/>
              </w:rPr>
            </w:pPr>
            <w:r>
              <w:rPr>
                <w:rFonts w:ascii="Times New Roman"/>
                <w:sz w:val="21"/>
              </w:rPr>
              <w:t>6-9</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89" w:right="486"/>
              <w:rPr>
                <w:rFonts w:ascii="Times New Roman"/>
                <w:sz w:val="21"/>
              </w:rPr>
            </w:pPr>
            <w:r>
              <w:rPr>
                <w:rFonts w:ascii="Times New Roman"/>
                <w:sz w:val="21"/>
              </w:rPr>
              <w:t>COD</w:t>
            </w:r>
          </w:p>
        </w:tc>
        <w:tc>
          <w:tcPr>
            <w:tcW w:w="1332" w:type="dxa"/>
          </w:tcPr>
          <w:p>
            <w:pPr>
              <w:pStyle w:val="TableParagraph"/>
              <w:spacing w:line="227" w:lineRule="exact"/>
              <w:ind w:left="216" w:right="216"/>
              <w:rPr>
                <w:rFonts w:ascii="Times New Roman"/>
                <w:sz w:val="21"/>
              </w:rPr>
            </w:pPr>
            <w:r>
              <w:rPr>
                <w:rFonts w:ascii="Times New Roman"/>
                <w:sz w:val="21"/>
              </w:rPr>
              <w:t>11</w:t>
            </w:r>
          </w:p>
        </w:tc>
        <w:tc>
          <w:tcPr>
            <w:tcW w:w="1330" w:type="dxa"/>
          </w:tcPr>
          <w:p>
            <w:pPr>
              <w:pStyle w:val="TableParagraph"/>
              <w:spacing w:line="227" w:lineRule="exact"/>
              <w:ind w:left="216" w:right="216"/>
              <w:rPr>
                <w:rFonts w:ascii="Times New Roman"/>
                <w:sz w:val="21"/>
              </w:rPr>
            </w:pPr>
            <w:r>
              <w:rPr>
                <w:rFonts w:ascii="Times New Roman"/>
                <w:sz w:val="21"/>
              </w:rPr>
              <w:t>12</w:t>
            </w:r>
          </w:p>
        </w:tc>
        <w:tc>
          <w:tcPr>
            <w:tcW w:w="1330" w:type="dxa"/>
          </w:tcPr>
          <w:p>
            <w:pPr>
              <w:pStyle w:val="TableParagraph"/>
              <w:spacing w:line="227" w:lineRule="exact"/>
              <w:ind w:left="216" w:right="216"/>
              <w:rPr>
                <w:rFonts w:ascii="Times New Roman"/>
                <w:sz w:val="21"/>
              </w:rPr>
            </w:pPr>
            <w:r>
              <w:rPr>
                <w:rFonts w:ascii="Times New Roman"/>
                <w:sz w:val="21"/>
              </w:rPr>
              <w:t>10</w:t>
            </w:r>
          </w:p>
        </w:tc>
        <w:tc>
          <w:tcPr>
            <w:tcW w:w="1330" w:type="dxa"/>
          </w:tcPr>
          <w:p>
            <w:pPr>
              <w:pStyle w:val="TableParagraph"/>
              <w:spacing w:line="227"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9"/>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ind w:left="375" w:right="375"/>
              <w:rPr>
                <w:rFonts w:ascii="Times New Roman"/>
                <w:sz w:val="21"/>
              </w:rPr>
            </w:pPr>
            <w:r>
              <w:rPr>
                <w:rFonts w:ascii="Times New Roman"/>
                <w:sz w:val="21"/>
              </w:rPr>
              <w:t>0.05</w:t>
            </w:r>
          </w:p>
        </w:tc>
        <w:tc>
          <w:tcPr>
            <w:tcW w:w="283" w:type="dxa"/>
            <w:vMerge/>
            <w:tcBorders>
              <w:bottom w:val="nil"/>
            </w:tcBorders>
          </w:tcPr>
          <w:p>
            <w:pPr/>
          </w:p>
        </w:tc>
      </w:tr>
      <w:tr>
        <w:trPr>
          <w:trHeight w:val="10956"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4"/>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7</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8</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6"/>
              <w:ind w:left="580"/>
              <w:jc w:val="left"/>
              <w:rPr>
                <w:sz w:val="24"/>
              </w:rPr>
            </w:pPr>
            <w:r>
              <w:rPr>
                <w:sz w:val="24"/>
              </w:rPr>
              <w:t>共布置了</w:t>
            </w:r>
            <w:r>
              <w:rPr>
                <w:rFonts w:ascii="Times New Roman" w:eastAsia="Times New Roman"/>
                <w:sz w:val="24"/>
              </w:rPr>
              <w:t>3</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3"/>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4"/>
              <w:ind w:left="698"/>
              <w:jc w:val="left"/>
              <w:rPr>
                <w:sz w:val="21"/>
              </w:rPr>
            </w:pPr>
            <w:r>
              <w:rPr>
                <w:sz w:val="21"/>
              </w:rPr>
              <w:t>序号</w:t>
              <w:tab/>
              <w:t>监测</w:t>
            </w:r>
            <w:r>
              <w:rPr>
                <w:spacing w:val="-3"/>
                <w:sz w:val="21"/>
              </w:rPr>
              <w:t>点</w:t>
            </w:r>
            <w:r>
              <w:rPr>
                <w:sz w:val="21"/>
              </w:rPr>
              <w:t>位</w:t>
              <w:tab/>
              <w:t>备注</w:t>
            </w:r>
          </w:p>
          <w:p>
            <w:pPr>
              <w:pStyle w:val="TableParagraph"/>
              <w:tabs>
                <w:tab w:pos="3132" w:val="left" w:leader="none"/>
                <w:tab w:pos="6324" w:val="left" w:leader="none"/>
              </w:tabs>
              <w:spacing w:before="37"/>
              <w:ind w:left="779"/>
              <w:jc w:val="left"/>
              <w:rPr>
                <w:sz w:val="21"/>
              </w:rPr>
            </w:pPr>
            <w:r>
              <w:rPr>
                <w:rFonts w:ascii="Times New Roman" w:eastAsia="Times New Roman"/>
                <w:sz w:val="21"/>
              </w:rPr>
              <w:t>N1</w:t>
              <w:tab/>
            </w:r>
            <w:r>
              <w:rPr>
                <w:sz w:val="21"/>
              </w:rPr>
              <w:t>沿线</w:t>
            </w:r>
            <w:r>
              <w:rPr>
                <w:spacing w:val="-3"/>
                <w:sz w:val="21"/>
              </w:rPr>
              <w:t>住</w:t>
            </w:r>
            <w:r>
              <w:rPr>
                <w:sz w:val="21"/>
              </w:rPr>
              <w:t>户</w:t>
              <w:tab/>
            </w:r>
            <w:r>
              <w:rPr>
                <w:position w:val="4"/>
                <w:sz w:val="21"/>
              </w:rPr>
              <w:t>敏感</w:t>
            </w:r>
            <w:r>
              <w:rPr>
                <w:spacing w:val="-3"/>
                <w:position w:val="4"/>
                <w:sz w:val="21"/>
              </w:rPr>
              <w:t>点</w:t>
            </w:r>
            <w:r>
              <w:rPr>
                <w:position w:val="4"/>
                <w:sz w:val="21"/>
              </w:rPr>
              <w:t>噪声</w:t>
            </w:r>
          </w:p>
          <w:p>
            <w:pPr>
              <w:pStyle w:val="TableParagraph"/>
              <w:tabs>
                <w:tab w:pos="3132" w:val="left" w:leader="none"/>
                <w:tab w:pos="6324" w:val="left" w:leader="none"/>
              </w:tabs>
              <w:spacing w:before="23"/>
              <w:ind w:left="779"/>
              <w:jc w:val="left"/>
              <w:rPr>
                <w:sz w:val="21"/>
              </w:rPr>
            </w:pPr>
            <w:r>
              <w:rPr>
                <w:rFonts w:ascii="Times New Roman" w:eastAsia="Times New Roman"/>
                <w:position w:val="-3"/>
                <w:sz w:val="21"/>
              </w:rPr>
              <w:t>N2</w:t>
              <w:tab/>
            </w:r>
            <w:r>
              <w:rPr>
                <w:sz w:val="21"/>
              </w:rPr>
              <w:t>沿线</w:t>
            </w:r>
            <w:r>
              <w:rPr>
                <w:spacing w:val="-3"/>
                <w:sz w:val="21"/>
              </w:rPr>
              <w:t>住</w:t>
            </w:r>
            <w:r>
              <w:rPr>
                <w:sz w:val="21"/>
              </w:rPr>
              <w:t>户</w:t>
              <w:tab/>
              <w:t>敏感</w:t>
            </w:r>
            <w:r>
              <w:rPr>
                <w:spacing w:val="-3"/>
                <w:sz w:val="21"/>
              </w:rPr>
              <w:t>点</w:t>
            </w:r>
            <w:r>
              <w:rPr>
                <w:sz w:val="21"/>
              </w:rPr>
              <w:t>噪声</w:t>
            </w:r>
          </w:p>
          <w:p>
            <w:pPr>
              <w:pStyle w:val="TableParagraph"/>
              <w:tabs>
                <w:tab w:pos="3132" w:val="left" w:leader="none"/>
                <w:tab w:pos="6324" w:val="left" w:leader="none"/>
              </w:tabs>
              <w:spacing w:before="24"/>
              <w:ind w:left="779"/>
              <w:jc w:val="left"/>
              <w:rPr>
                <w:sz w:val="21"/>
              </w:rPr>
            </w:pPr>
            <w:r>
              <w:rPr>
                <w:rFonts w:ascii="Times New Roman" w:eastAsia="Times New Roman"/>
                <w:position w:val="-3"/>
                <w:sz w:val="21"/>
              </w:rPr>
              <w:t>N3</w:t>
              <w:tab/>
            </w:r>
            <w:r>
              <w:rPr>
                <w:sz w:val="21"/>
              </w:rPr>
              <w:t>沿线</w:t>
            </w:r>
            <w:r>
              <w:rPr>
                <w:spacing w:val="-3"/>
                <w:sz w:val="21"/>
              </w:rPr>
              <w:t>住</w:t>
            </w:r>
            <w:r>
              <w:rPr>
                <w:sz w:val="21"/>
              </w:rPr>
              <w:t>户</w:t>
              <w:tab/>
              <w:t>敏感</w:t>
            </w:r>
            <w:r>
              <w:rPr>
                <w:spacing w:val="-3"/>
                <w:sz w:val="21"/>
              </w:rPr>
              <w:t>点</w:t>
            </w:r>
            <w:r>
              <w:rPr>
                <w:sz w:val="21"/>
              </w:rPr>
              <w:t>噪声</w:t>
            </w:r>
          </w:p>
          <w:p>
            <w:pPr>
              <w:pStyle w:val="TableParagraph"/>
              <w:spacing w:before="6"/>
              <w:jc w:val="left"/>
              <w:rPr>
                <w:sz w:val="32"/>
              </w:rPr>
            </w:pPr>
          </w:p>
          <w:p>
            <w:pPr>
              <w:pStyle w:val="TableParagraph"/>
              <w:spacing w:before="1"/>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6"/>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tc>
      </w:tr>
    </w:tbl>
    <w:p>
      <w:pPr>
        <w:rPr>
          <w:sz w:val="2"/>
          <w:szCs w:val="2"/>
        </w:rPr>
      </w:pPr>
      <w:r>
        <w:rPr/>
        <w:pict>
          <v:group style="position:absolute;margin-left:92.293999pt;margin-top:630.569946pt;width:410.75pt;height:71.8pt;mso-position-horizontal-relative:page;mso-position-vertical-relative:page;z-index:-177040" coordorigin="1846,12611" coordsize="8215,1436">
            <v:line style="position:absolute" from="1856,12621" to="3449,12621" stroked="true" strokeweight=".48004pt" strokecolor="#000000">
              <v:stroke dashstyle="solid"/>
            </v:line>
            <v:line style="position:absolute" from="3449,12621" to="3459,12621" stroked="true" strokeweight=".48004pt" strokecolor="#000000">
              <v:stroke dashstyle="solid"/>
            </v:line>
            <v:line style="position:absolute" from="3459,12621" to="7134,12621" stroked="true" strokeweight=".48004pt" strokecolor="#000000">
              <v:stroke dashstyle="solid"/>
            </v:line>
            <v:line style="position:absolute" from="7144,12621" to="10051,12621" stroked="true" strokeweight=".48004pt" strokecolor="#000000">
              <v:stroke dashstyle="solid"/>
            </v:line>
            <v:line style="position:absolute" from="1856,12974" to="3449,12974" stroked="true" strokeweight=".72003pt" strokecolor="#000000">
              <v:stroke dashstyle="solid"/>
            </v:line>
            <v:line style="position:absolute" from="3464,12974" to="7134,12974" stroked="true" strokeweight=".72003pt" strokecolor="#000000">
              <v:stroke dashstyle="solid"/>
            </v:line>
            <v:line style="position:absolute" from="7134,12974" to="7149,12974" stroked="true" strokeweight=".72003pt" strokecolor="#000000">
              <v:stroke dashstyle="solid"/>
            </v:line>
            <v:line style="position:absolute" from="7149,12974" to="10051,12974" stroked="true" strokeweight=".72003pt" strokecolor="#000000">
              <v:stroke dashstyle="solid"/>
            </v:line>
            <v:line style="position:absolute" from="1856,13329" to="3449,13329" stroked="true" strokeweight=".71997pt" strokecolor="#000000">
              <v:stroke dashstyle="solid"/>
            </v:line>
            <v:line style="position:absolute" from="3464,13329" to="7134,13329" stroked="true" strokeweight=".71997pt" strokecolor="#000000">
              <v:stroke dashstyle="solid"/>
            </v:line>
            <v:line style="position:absolute" from="7134,13329" to="7149,13329" stroked="true" strokeweight=".71997pt" strokecolor="#000000">
              <v:stroke dashstyle="solid"/>
            </v:line>
            <v:line style="position:absolute" from="7149,13329" to="10051,13329" stroked="true" strokeweight=".71997pt" strokecolor="#000000">
              <v:stroke dashstyle="solid"/>
            </v:line>
            <v:line style="position:absolute" from="1856,13684" to="3449,13684" stroked="true" strokeweight=".71997pt" strokecolor="#000000">
              <v:stroke dashstyle="solid"/>
            </v:line>
            <v:line style="position:absolute" from="3464,13684" to="7134,13684" stroked="true" strokeweight=".71997pt" strokecolor="#000000">
              <v:stroke dashstyle="solid"/>
            </v:line>
            <v:line style="position:absolute" from="7134,13684" to="7149,13684" stroked="true" strokeweight=".71997pt" strokecolor="#000000">
              <v:stroke dashstyle="solid"/>
            </v:line>
            <v:line style="position:absolute" from="7149,13684" to="10051,13684" stroked="true" strokeweight=".71997pt" strokecolor="#000000">
              <v:stroke dashstyle="solid"/>
            </v:line>
            <v:line style="position:absolute" from="1851,12616" to="1851,14042" stroked="true" strokeweight=".48pt" strokecolor="#000000">
              <v:stroke dashstyle="solid"/>
            </v:line>
            <v:line style="position:absolute" from="1856,14037" to="3449,14037" stroked="true" strokeweight=".47998pt" strokecolor="#000000">
              <v:stroke dashstyle="solid"/>
            </v:line>
            <v:line style="position:absolute" from="3456,12626" to="3456,14032" stroked="true" strokeweight=".72pt" strokecolor="#000000">
              <v:stroke dashstyle="solid"/>
            </v:line>
            <v:line style="position:absolute" from="3449,14037" to="3459,14037" stroked="true" strokeweight=".47998pt" strokecolor="#000000">
              <v:stroke dashstyle="solid"/>
            </v:line>
            <v:line style="position:absolute" from="3459,14037" to="7134,14037" stroked="true" strokeweight=".47998pt" strokecolor="#000000">
              <v:stroke dashstyle="solid"/>
            </v:line>
            <v:line style="position:absolute" from="7139,12616" to="7139,14042" stroked="true" strokeweight=".48001pt" strokecolor="#000000">
              <v:stroke dashstyle="solid"/>
            </v:line>
            <v:line style="position:absolute" from="7144,14037" to="10051,14037" stroked="true" strokeweight=".47998pt" strokecolor="#000000">
              <v:stroke dashstyle="solid"/>
            </v:line>
            <v:line style="position:absolute" from="10056,12616" to="10056,14042" stroked="true" strokeweight=".47998pt" strokecolor="#000000">
              <v:stroke dashstyle="solid"/>
            </v:line>
            <w10:wrap type="none"/>
          </v:group>
        </w:pict>
      </w:r>
      <w:r>
        <w:rPr/>
        <w:pict>
          <v:shape style="position:absolute;margin-left:91.344009pt;margin-top:269.089996pt;width:411.95pt;height:175pt;mso-position-horizontal-relative:page;mso-position-vertical-relative:page;z-index:1648"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0"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1"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1"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69.209991pt;width:411.2pt;height:174.75pt;mso-position-horizontal-relative:page;mso-position-vertical-relative:page;z-index:167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0"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631.059937pt;width:410.25pt;height:70.8pt;mso-position-horizontal-relative:page;mso-position-vertical-relative:page;z-index:16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pStyle w:val="Heading3"/>
        <w:spacing w:before="13"/>
        <w:ind w:left="708"/>
      </w:pPr>
      <w:r>
        <w:rPr>
          <w:rFonts w:ascii="Times New Roman" w:eastAsia="Times New Roman"/>
          <w:w w:val="95"/>
        </w:rPr>
        <w:t>3</w:t>
      </w:r>
      <w:r>
        <w:rPr>
          <w:w w:val="95"/>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7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8 </w:t>
      </w:r>
      <w:r>
        <w:rPr/>
        <w:t>日。监</w:t>
      </w:r>
      <w:r>
        <w:rPr>
          <w:spacing w:val="-7"/>
        </w:rPr>
        <w:t>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3"/>
        <w:ind w:left="708"/>
      </w:pPr>
      <w:r>
        <w:rPr>
          <w:rFonts w:ascii="Times New Roman" w:eastAsia="Times New Roman"/>
          <w:w w:val="95"/>
        </w:rPr>
        <w:t>5</w:t>
      </w:r>
      <w:r>
        <w:rPr>
          <w:w w:val="95"/>
        </w:rPr>
        <w:t>、监测结果</w:t>
      </w:r>
    </w:p>
    <w:p>
      <w:pPr>
        <w:pStyle w:val="BodyText"/>
        <w:spacing w:before="133"/>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9"/>
        <w:ind w:left="0" w:right="0" w:firstLine="0"/>
        <w:jc w:val="right"/>
        <w:rPr>
          <w:rFonts w:ascii="Times New Roman"/>
          <w:sz w:val="21"/>
        </w:rPr>
      </w:pPr>
      <w:r>
        <w:rPr/>
        <w:pict>
          <v:shape style="position:absolute;margin-left:92.304001pt;margin-top:8.812715pt;width:406.4pt;height:100.95pt;mso-position-horizontal-relative:page;mso-position-vertical-relative:paragraph;z-index:1744"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69" w:hRule="exact"/>
                    </w:trPr>
                    <w:tc>
                      <w:tcPr>
                        <w:tcW w:w="1646" w:type="dxa"/>
                        <w:vMerge w:val="restart"/>
                      </w:tcPr>
                      <w:p>
                        <w:pPr>
                          <w:pStyle w:val="TableParagraph"/>
                          <w:spacing w:before="100"/>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N1</w:t>
                        </w:r>
                      </w:p>
                    </w:tc>
                    <w:tc>
                      <w:tcPr>
                        <w:tcW w:w="1618" w:type="dxa"/>
                      </w:tcPr>
                      <w:p>
                        <w:pPr>
                          <w:pStyle w:val="TableParagraph"/>
                          <w:spacing w:before="15"/>
                          <w:ind w:left="600" w:right="595"/>
                          <w:rPr>
                            <w:rFonts w:ascii="Times New Roman"/>
                            <w:sz w:val="21"/>
                          </w:rPr>
                        </w:pPr>
                        <w:r>
                          <w:rPr>
                            <w:rFonts w:ascii="Times New Roman"/>
                            <w:sz w:val="21"/>
                          </w:rPr>
                          <w:t>52.3</w:t>
                        </w:r>
                      </w:p>
                    </w:tc>
                    <w:tc>
                      <w:tcPr>
                        <w:tcW w:w="1616" w:type="dxa"/>
                      </w:tcPr>
                      <w:p>
                        <w:pPr>
                          <w:pStyle w:val="TableParagraph"/>
                          <w:spacing w:before="15"/>
                          <w:ind w:left="599" w:right="597"/>
                          <w:rPr>
                            <w:rFonts w:ascii="Times New Roman"/>
                            <w:sz w:val="21"/>
                          </w:rPr>
                        </w:pPr>
                        <w:r>
                          <w:rPr>
                            <w:rFonts w:ascii="Times New Roman"/>
                            <w:sz w:val="21"/>
                          </w:rPr>
                          <w:t>45.2</w:t>
                        </w:r>
                      </w:p>
                    </w:tc>
                    <w:tc>
                      <w:tcPr>
                        <w:tcW w:w="1615" w:type="dxa"/>
                      </w:tcPr>
                      <w:p>
                        <w:pPr>
                          <w:pStyle w:val="TableParagraph"/>
                          <w:spacing w:line="235" w:lineRule="exact"/>
                          <w:ind w:left="600" w:right="598"/>
                          <w:rPr>
                            <w:rFonts w:ascii="Times New Roman"/>
                            <w:sz w:val="21"/>
                          </w:rPr>
                        </w:pPr>
                        <w:r>
                          <w:rPr>
                            <w:rFonts w:ascii="Times New Roman"/>
                            <w:sz w:val="21"/>
                          </w:rPr>
                          <w:t>52.4</w:t>
                        </w:r>
                      </w:p>
                    </w:tc>
                    <w:tc>
                      <w:tcPr>
                        <w:tcW w:w="1618" w:type="dxa"/>
                      </w:tcPr>
                      <w:p>
                        <w:pPr>
                          <w:pStyle w:val="TableParagraph"/>
                          <w:spacing w:line="235" w:lineRule="exact"/>
                          <w:ind w:left="600" w:right="595"/>
                          <w:rPr>
                            <w:rFonts w:ascii="Times New Roman"/>
                            <w:sz w:val="21"/>
                          </w:rPr>
                        </w:pPr>
                        <w:r>
                          <w:rPr>
                            <w:rFonts w:ascii="Times New Roman"/>
                            <w:sz w:val="21"/>
                          </w:rPr>
                          <w:t>45.1</w:t>
                        </w:r>
                      </w:p>
                    </w:tc>
                  </w:tr>
                  <w:tr>
                    <w:trPr>
                      <w:trHeight w:val="290" w:hRule="exact"/>
                    </w:trPr>
                    <w:tc>
                      <w:tcPr>
                        <w:tcW w:w="1646" w:type="dxa"/>
                      </w:tcPr>
                      <w:p>
                        <w:pPr>
                          <w:pStyle w:val="TableParagraph"/>
                          <w:spacing w:before="27"/>
                          <w:ind w:left="253" w:right="252"/>
                          <w:rPr>
                            <w:rFonts w:ascii="Times New Roman"/>
                            <w:sz w:val="21"/>
                          </w:rPr>
                        </w:pPr>
                        <w:r>
                          <w:rPr>
                            <w:rFonts w:ascii="Times New Roman"/>
                            <w:sz w:val="21"/>
                          </w:rPr>
                          <w:t>N2</w:t>
                        </w:r>
                      </w:p>
                    </w:tc>
                    <w:tc>
                      <w:tcPr>
                        <w:tcW w:w="1618" w:type="dxa"/>
                      </w:tcPr>
                      <w:p>
                        <w:pPr>
                          <w:pStyle w:val="TableParagraph"/>
                          <w:spacing w:before="12"/>
                          <w:ind w:left="600" w:right="595"/>
                          <w:rPr>
                            <w:rFonts w:ascii="Times New Roman"/>
                            <w:sz w:val="21"/>
                          </w:rPr>
                        </w:pPr>
                        <w:r>
                          <w:rPr>
                            <w:rFonts w:ascii="Times New Roman"/>
                            <w:sz w:val="21"/>
                          </w:rPr>
                          <w:t>51.7</w:t>
                        </w:r>
                      </w:p>
                    </w:tc>
                    <w:tc>
                      <w:tcPr>
                        <w:tcW w:w="1616" w:type="dxa"/>
                      </w:tcPr>
                      <w:p>
                        <w:pPr>
                          <w:pStyle w:val="TableParagraph"/>
                          <w:spacing w:before="12"/>
                          <w:ind w:left="599" w:right="597"/>
                          <w:rPr>
                            <w:rFonts w:ascii="Times New Roman"/>
                            <w:sz w:val="21"/>
                          </w:rPr>
                        </w:pPr>
                        <w:r>
                          <w:rPr>
                            <w:rFonts w:ascii="Times New Roman"/>
                            <w:sz w:val="21"/>
                          </w:rPr>
                          <w:t>44.6</w:t>
                        </w:r>
                      </w:p>
                    </w:tc>
                    <w:tc>
                      <w:tcPr>
                        <w:tcW w:w="1615" w:type="dxa"/>
                      </w:tcPr>
                      <w:p>
                        <w:pPr>
                          <w:pStyle w:val="TableParagraph"/>
                          <w:spacing w:line="235" w:lineRule="exact"/>
                          <w:ind w:left="600" w:right="598"/>
                          <w:rPr>
                            <w:rFonts w:ascii="Times New Roman"/>
                            <w:sz w:val="21"/>
                          </w:rPr>
                        </w:pPr>
                        <w:r>
                          <w:rPr>
                            <w:rFonts w:ascii="Times New Roman"/>
                            <w:sz w:val="21"/>
                          </w:rPr>
                          <w:t>51.8</w:t>
                        </w:r>
                      </w:p>
                    </w:tc>
                    <w:tc>
                      <w:tcPr>
                        <w:tcW w:w="1618" w:type="dxa"/>
                      </w:tcPr>
                      <w:p>
                        <w:pPr>
                          <w:pStyle w:val="TableParagraph"/>
                          <w:spacing w:line="235" w:lineRule="exact"/>
                          <w:ind w:left="600" w:right="595"/>
                          <w:rPr>
                            <w:rFonts w:ascii="Times New Roman"/>
                            <w:sz w:val="21"/>
                          </w:rPr>
                        </w:pPr>
                        <w:r>
                          <w:rPr>
                            <w:rFonts w:ascii="Times New Roman"/>
                            <w:sz w:val="21"/>
                          </w:rPr>
                          <w:t>44.7</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N3</w:t>
                        </w:r>
                      </w:p>
                    </w:tc>
                    <w:tc>
                      <w:tcPr>
                        <w:tcW w:w="1618" w:type="dxa"/>
                      </w:tcPr>
                      <w:p>
                        <w:pPr>
                          <w:pStyle w:val="TableParagraph"/>
                          <w:spacing w:before="15"/>
                          <w:ind w:left="600" w:right="595"/>
                          <w:rPr>
                            <w:rFonts w:ascii="Times New Roman"/>
                            <w:sz w:val="21"/>
                          </w:rPr>
                        </w:pPr>
                        <w:r>
                          <w:rPr>
                            <w:rFonts w:ascii="Times New Roman"/>
                            <w:sz w:val="21"/>
                          </w:rPr>
                          <w:t>53.3</w:t>
                        </w:r>
                      </w:p>
                    </w:tc>
                    <w:tc>
                      <w:tcPr>
                        <w:tcW w:w="1616" w:type="dxa"/>
                      </w:tcPr>
                      <w:p>
                        <w:pPr>
                          <w:pStyle w:val="TableParagraph"/>
                          <w:spacing w:before="15"/>
                          <w:ind w:left="599" w:right="597"/>
                          <w:rPr>
                            <w:rFonts w:ascii="Times New Roman"/>
                            <w:sz w:val="21"/>
                          </w:rPr>
                        </w:pPr>
                        <w:r>
                          <w:rPr>
                            <w:rFonts w:ascii="Times New Roman"/>
                            <w:sz w:val="21"/>
                          </w:rPr>
                          <w:t>45.1</w:t>
                        </w:r>
                      </w:p>
                    </w:tc>
                    <w:tc>
                      <w:tcPr>
                        <w:tcW w:w="1615" w:type="dxa"/>
                      </w:tcPr>
                      <w:p>
                        <w:pPr>
                          <w:pStyle w:val="TableParagraph"/>
                          <w:spacing w:line="237" w:lineRule="exact"/>
                          <w:ind w:left="600" w:right="598"/>
                          <w:rPr>
                            <w:rFonts w:ascii="Times New Roman"/>
                            <w:sz w:val="21"/>
                          </w:rPr>
                        </w:pPr>
                        <w:r>
                          <w:rPr>
                            <w:rFonts w:ascii="Times New Roman"/>
                            <w:sz w:val="21"/>
                          </w:rPr>
                          <w:t>53.2</w:t>
                        </w:r>
                      </w:p>
                    </w:tc>
                    <w:tc>
                      <w:tcPr>
                        <w:tcW w:w="1618" w:type="dxa"/>
                      </w:tcPr>
                      <w:p>
                        <w:pPr>
                          <w:pStyle w:val="TableParagraph"/>
                          <w:spacing w:line="237" w:lineRule="exact"/>
                          <w:ind w:left="600" w:right="595"/>
                          <w:rPr>
                            <w:rFonts w:ascii="Times New Roman"/>
                            <w:sz w:val="21"/>
                          </w:rPr>
                        </w:pPr>
                        <w:r>
                          <w:rPr>
                            <w:rFonts w:ascii="Times New Roman"/>
                            <w:sz w:val="21"/>
                          </w:rPr>
                          <w:t>45.8</w:t>
                        </w:r>
                      </w:p>
                    </w:tc>
                  </w:tr>
                  <w:tr>
                    <w:trPr>
                      <w:trHeight w:val="290" w:hRule="exact"/>
                    </w:trPr>
                    <w:tc>
                      <w:tcPr>
                        <w:tcW w:w="1646" w:type="dxa"/>
                      </w:tcPr>
                      <w:p>
                        <w:pPr>
                          <w:pStyle w:val="TableParagraph"/>
                          <w:spacing w:line="269" w:lineRule="exact"/>
                          <w:ind w:left="254" w:right="252"/>
                          <w:rPr>
                            <w:sz w:val="21"/>
                          </w:rPr>
                        </w:pPr>
                        <w:r>
                          <w:rPr>
                            <w:rFonts w:ascii="Times New Roman" w:eastAsia="Times New Roman"/>
                            <w:sz w:val="21"/>
                          </w:rPr>
                          <w:t>4a </w:t>
                        </w:r>
                        <w:r>
                          <w:rPr>
                            <w:sz w:val="21"/>
                          </w:rPr>
                          <w:t>类标准值</w:t>
                        </w:r>
                      </w:p>
                    </w:tc>
                    <w:tc>
                      <w:tcPr>
                        <w:tcW w:w="1618" w:type="dxa"/>
                      </w:tcPr>
                      <w:p>
                        <w:pPr>
                          <w:pStyle w:val="TableParagraph"/>
                          <w:spacing w:before="12"/>
                          <w:ind w:left="598" w:right="598"/>
                          <w:rPr>
                            <w:rFonts w:ascii="Times New Roman"/>
                            <w:sz w:val="21"/>
                          </w:rPr>
                        </w:pPr>
                        <w:r>
                          <w:rPr>
                            <w:rFonts w:ascii="Times New Roman"/>
                            <w:sz w:val="21"/>
                          </w:rPr>
                          <w:t>70</w:t>
                        </w:r>
                      </w:p>
                    </w:tc>
                    <w:tc>
                      <w:tcPr>
                        <w:tcW w:w="1616" w:type="dxa"/>
                      </w:tcPr>
                      <w:p>
                        <w:pPr>
                          <w:pStyle w:val="TableParagraph"/>
                          <w:spacing w:before="12"/>
                          <w:ind w:left="598" w:right="598"/>
                          <w:rPr>
                            <w:rFonts w:ascii="Times New Roman"/>
                            <w:sz w:val="21"/>
                          </w:rPr>
                        </w:pPr>
                        <w:r>
                          <w:rPr>
                            <w:rFonts w:ascii="Times New Roman"/>
                            <w:sz w:val="21"/>
                          </w:rPr>
                          <w:t>55</w:t>
                        </w:r>
                      </w:p>
                    </w:tc>
                    <w:tc>
                      <w:tcPr>
                        <w:tcW w:w="1615" w:type="dxa"/>
                      </w:tcPr>
                      <w:p>
                        <w:pPr>
                          <w:pStyle w:val="TableParagraph"/>
                          <w:spacing w:before="12"/>
                          <w:ind w:left="598" w:right="598"/>
                          <w:rPr>
                            <w:rFonts w:ascii="Times New Roman"/>
                            <w:sz w:val="21"/>
                          </w:rPr>
                        </w:pPr>
                        <w:r>
                          <w:rPr>
                            <w:rFonts w:ascii="Times New Roman"/>
                            <w:sz w:val="21"/>
                          </w:rPr>
                          <w:t>70</w:t>
                        </w:r>
                      </w:p>
                    </w:tc>
                    <w:tc>
                      <w:tcPr>
                        <w:tcW w:w="1618" w:type="dxa"/>
                      </w:tcPr>
                      <w:p>
                        <w:pPr>
                          <w:pStyle w:val="TableParagraph"/>
                          <w:spacing w:before="12"/>
                          <w:ind w:left="600" w:right="595"/>
                          <w:rPr>
                            <w:rFonts w:ascii="Times New Roman"/>
                            <w:sz w:val="21"/>
                          </w:rPr>
                        </w:pPr>
                        <w:r>
                          <w:rPr>
                            <w:rFonts w:ascii="Times New Roman"/>
                            <w:sz w:val="21"/>
                          </w:rPr>
                          <w:t>55</w:t>
                        </w:r>
                      </w:p>
                    </w:tc>
                  </w:tr>
                  <w:tr>
                    <w:trPr>
                      <w:trHeight w:val="290" w:hRule="exact"/>
                    </w:trPr>
                    <w:tc>
                      <w:tcPr>
                        <w:tcW w:w="1646" w:type="dxa"/>
                      </w:tcPr>
                      <w:p>
                        <w:pPr>
                          <w:pStyle w:val="TableParagraph"/>
                          <w:spacing w:line="269" w:lineRule="exact"/>
                          <w:ind w:left="254" w:right="252"/>
                          <w:rPr>
                            <w:sz w:val="21"/>
                          </w:rPr>
                        </w:pPr>
                        <w:r>
                          <w:rPr>
                            <w:rFonts w:ascii="Times New Roman" w:eastAsia="Times New Roman"/>
                            <w:sz w:val="21"/>
                          </w:rPr>
                          <w:t>2 </w:t>
                        </w:r>
                        <w:r>
                          <w:rPr>
                            <w:sz w:val="21"/>
                          </w:rPr>
                          <w:t>类标准值</w:t>
                        </w:r>
                      </w:p>
                    </w:tc>
                    <w:tc>
                      <w:tcPr>
                        <w:tcW w:w="1618" w:type="dxa"/>
                      </w:tcPr>
                      <w:p>
                        <w:pPr>
                          <w:pStyle w:val="TableParagraph"/>
                          <w:spacing w:before="12"/>
                          <w:ind w:left="598" w:right="598"/>
                          <w:rPr>
                            <w:rFonts w:ascii="Times New Roman"/>
                            <w:sz w:val="21"/>
                          </w:rPr>
                        </w:pPr>
                        <w:r>
                          <w:rPr>
                            <w:rFonts w:ascii="Times New Roman"/>
                            <w:sz w:val="21"/>
                          </w:rPr>
                          <w:t>60</w:t>
                        </w:r>
                      </w:p>
                    </w:tc>
                    <w:tc>
                      <w:tcPr>
                        <w:tcW w:w="1616" w:type="dxa"/>
                      </w:tcPr>
                      <w:p>
                        <w:pPr>
                          <w:pStyle w:val="TableParagraph"/>
                          <w:spacing w:before="12"/>
                          <w:ind w:left="598" w:right="598"/>
                          <w:rPr>
                            <w:rFonts w:ascii="Times New Roman"/>
                            <w:sz w:val="21"/>
                          </w:rPr>
                        </w:pPr>
                        <w:r>
                          <w:rPr>
                            <w:rFonts w:ascii="Times New Roman"/>
                            <w:sz w:val="21"/>
                          </w:rPr>
                          <w:t>50</w:t>
                        </w:r>
                      </w:p>
                    </w:tc>
                    <w:tc>
                      <w:tcPr>
                        <w:tcW w:w="1615" w:type="dxa"/>
                      </w:tcPr>
                      <w:p>
                        <w:pPr>
                          <w:pStyle w:val="TableParagraph"/>
                          <w:spacing w:before="12"/>
                          <w:ind w:left="598" w:right="598"/>
                          <w:rPr>
                            <w:rFonts w:ascii="Times New Roman"/>
                            <w:sz w:val="21"/>
                          </w:rPr>
                        </w:pPr>
                        <w:r>
                          <w:rPr>
                            <w:rFonts w:ascii="Times New Roman"/>
                            <w:sz w:val="21"/>
                          </w:rPr>
                          <w:t>60</w:t>
                        </w:r>
                      </w:p>
                    </w:tc>
                    <w:tc>
                      <w:tcPr>
                        <w:tcW w:w="1618" w:type="dxa"/>
                      </w:tcPr>
                      <w:p>
                        <w:pPr>
                          <w:pStyle w:val="TableParagraph"/>
                          <w:spacing w:before="12"/>
                          <w:ind w:left="600" w:right="595"/>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2017.8.7</w:t>
      </w:r>
    </w:p>
    <w:p>
      <w:pPr>
        <w:spacing w:line="271" w:lineRule="exact" w:before="0"/>
        <w:ind w:left="2477" w:right="0" w:firstLine="0"/>
        <w:jc w:val="left"/>
        <w:rPr>
          <w:sz w:val="21"/>
        </w:rPr>
      </w:pPr>
      <w:r>
        <w:rPr>
          <w:sz w:val="21"/>
        </w:rPr>
        <w:t>昼间</w:t>
      </w:r>
    </w:p>
    <w:p>
      <w:pPr>
        <w:pStyle w:val="BodyText"/>
        <w:rPr>
          <w:sz w:val="20"/>
        </w:rPr>
      </w:pPr>
      <w:r>
        <w:rPr/>
        <w:br w:type="column"/>
      </w:r>
      <w:r>
        <w:rPr>
          <w:sz w:val="20"/>
        </w:rPr>
      </w:r>
    </w:p>
    <w:p>
      <w:pPr>
        <w:tabs>
          <w:tab w:pos="1803" w:val="left" w:leader="none"/>
        </w:tabs>
        <w:spacing w:before="161"/>
        <w:ind w:left="187" w:right="0" w:firstLine="0"/>
        <w:jc w:val="left"/>
        <w:rPr>
          <w:sz w:val="21"/>
        </w:rPr>
      </w:pPr>
      <w:r>
        <w:rPr>
          <w:sz w:val="21"/>
        </w:rPr>
        <w:t>夜间</w:t>
        <w:tab/>
        <w:t>昼间</w:t>
      </w:r>
    </w:p>
    <w:p>
      <w:pPr>
        <w:spacing w:before="179"/>
        <w:ind w:left="135" w:right="0" w:firstLine="0"/>
        <w:jc w:val="left"/>
        <w:rPr>
          <w:rFonts w:ascii="Times New Roman"/>
          <w:sz w:val="21"/>
        </w:rPr>
      </w:pPr>
      <w:r>
        <w:rPr/>
        <w:br w:type="column"/>
      </w:r>
      <w:r>
        <w:rPr>
          <w:rFonts w:ascii="Times New Roman"/>
          <w:sz w:val="21"/>
        </w:rPr>
        <w:t>2017.8.14</w:t>
      </w:r>
    </w:p>
    <w:p>
      <w:pPr>
        <w:spacing w:before="1"/>
        <w:ind w:left="1137" w:right="899" w:firstLine="0"/>
        <w:jc w:val="center"/>
        <w:rPr>
          <w:sz w:val="21"/>
        </w:rPr>
      </w:pPr>
      <w:r>
        <w:rPr>
          <w:sz w:val="21"/>
        </w:rPr>
        <w:t>夜间</w:t>
      </w:r>
    </w:p>
    <w:p>
      <w:pPr>
        <w:spacing w:after="0"/>
        <w:jc w:val="center"/>
        <w:rPr>
          <w:sz w:val="21"/>
        </w:rPr>
        <w:sectPr>
          <w:type w:val="continuous"/>
          <w:pgSz w:w="11910" w:h="16850"/>
          <w:pgMar w:top="1600" w:bottom="280" w:left="1620" w:right="1620"/>
          <w:cols w:num="3" w:equalWidth="0">
            <w:col w:w="3866" w:space="40"/>
            <w:col w:w="2227" w:space="40"/>
            <w:col w:w="2497"/>
          </w:cols>
        </w:sectPr>
      </w:pPr>
    </w:p>
    <w:p>
      <w:pPr>
        <w:pStyle w:val="BodyText"/>
        <w:rPr>
          <w:sz w:val="20"/>
        </w:rPr>
      </w:pPr>
      <w:r>
        <w:rPr/>
        <w:pict>
          <v:group style="position:absolute;margin-left:86.528999pt;margin-top:71.624977pt;width:422.4pt;height:698.95pt;mso-position-horizontal-relative:page;mso-position-vertical-relative:page;z-index:-176944"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8"/>
        <w:rPr>
          <w:sz w:val="28"/>
        </w:rPr>
      </w:pPr>
    </w:p>
    <w:p>
      <w:pPr>
        <w:pStyle w:val="BodyText"/>
        <w:spacing w:before="34"/>
        <w:ind w:left="706"/>
      </w:pPr>
      <w:r>
        <w:rPr/>
        <w:t>由表</w:t>
      </w:r>
      <w:r>
        <w:rPr>
          <w:rFonts w:ascii="Times New Roman" w:eastAsia="Times New Roman"/>
        </w:rPr>
        <w:t>3-7</w:t>
      </w:r>
      <w:r>
        <w:rPr/>
        <w:t>可知，各监测点位昼间、夜间值均可以达到《声环境质量标准》（</w:t>
      </w:r>
    </w:p>
    <w:p>
      <w:pPr>
        <w:spacing w:line="338" w:lineRule="auto" w:before="133"/>
        <w:ind w:left="708" w:right="2251" w:hanging="483"/>
        <w:jc w:val="left"/>
        <w:rPr>
          <w:b/>
          <w:sz w:val="24"/>
        </w:rPr>
      </w:pPr>
      <w:r>
        <w:rPr>
          <w:rFonts w:ascii="Times New Roman" w:eastAsia="Times New Roman"/>
          <w:sz w:val="24"/>
        </w:rPr>
        <w:t>GB3096-2008</w:t>
      </w:r>
      <w:r>
        <w:rPr>
          <w:sz w:val="24"/>
        </w:rPr>
        <w:t>）中相应标准，项目所在地声环境质量良好。</w:t>
      </w:r>
      <w:r>
        <w:rPr>
          <w:b/>
          <w:w w:val="95"/>
          <w:sz w:val="24"/>
        </w:rPr>
        <w:t>四、生态环境状况</w:t>
      </w:r>
    </w:p>
    <w:p>
      <w:pPr>
        <w:pStyle w:val="BodyText"/>
        <w:spacing w:line="357" w:lineRule="auto" w:before="53"/>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17689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line="345" w:lineRule="auto" w:before="153"/>
        <w:ind w:left="226" w:right="219" w:firstLine="479"/>
        <w:jc w:val="both"/>
      </w:pPr>
      <w:r>
        <w:rPr/>
        <w:t>本项目位于开江县新宁镇，经现场调查，项目周边市政道路完善，施工材料运输便捷。本项目道路起点与现有道路相接。该工程主要敏感点沿线沿线两</w:t>
      </w:r>
      <w:r>
        <w:rPr>
          <w:spacing w:val="-8"/>
        </w:rPr>
        <w:t>侧有少量居民，最近处为 </w:t>
      </w:r>
      <w:r>
        <w:rPr>
          <w:rFonts w:ascii="Times New Roman" w:eastAsia="Times New Roman"/>
        </w:rPr>
        <w:t>10m</w:t>
      </w:r>
      <w:r>
        <w:rPr>
          <w:spacing w:val="-5"/>
        </w:rPr>
        <w:t>，橄榄大道至化肥厂道路东侧为 </w:t>
      </w:r>
      <w:r>
        <w:rPr>
          <w:rFonts w:ascii="Times New Roman" w:eastAsia="Times New Roman"/>
        </w:rPr>
        <w:t>80m </w:t>
      </w:r>
      <w:r>
        <w:rPr>
          <w:spacing w:val="-2"/>
        </w:rPr>
        <w:t>环保局、牛</w:t>
      </w:r>
      <w:r>
        <w:rPr>
          <w:spacing w:val="-7"/>
        </w:rPr>
        <w:t>山寺至老城普路东侧 </w:t>
      </w:r>
      <w:r>
        <w:rPr>
          <w:rFonts w:ascii="Times New Roman" w:eastAsia="Times New Roman"/>
        </w:rPr>
        <w:t>25m </w:t>
      </w:r>
      <w:r>
        <w:rPr>
          <w:spacing w:val="-4"/>
        </w:rPr>
        <w:t>为政务中心。其它道路沿线红线外 </w:t>
      </w:r>
      <w:r>
        <w:rPr>
          <w:rFonts w:ascii="Times New Roman" w:eastAsia="Times New Roman"/>
        </w:rPr>
        <w:t>200m </w:t>
      </w:r>
      <w:r>
        <w:rPr/>
        <w:t>范围内主要</w:t>
      </w:r>
      <w:r>
        <w:rPr>
          <w:spacing w:val="-1"/>
        </w:rPr>
        <w:t>为农田或荒地、林地。</w:t>
      </w:r>
    </w:p>
    <w:p>
      <w:pPr>
        <w:pStyle w:val="BodyText"/>
        <w:spacing w:line="357" w:lineRule="auto" w:before="45"/>
        <w:ind w:left="226" w:right="222"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根据业主提供资料，本项目施工期间不设置施工场地、临时堆场、施工营地等，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对周边环境造成的</w:t>
      </w:r>
      <w:r>
        <w:rPr>
          <w:spacing w:val="-9"/>
        </w:rPr>
        <w:t>影响较小。外环境关系图见附图 </w:t>
      </w:r>
      <w:r>
        <w:rPr>
          <w:rFonts w:ascii="Times New Roman" w:eastAsia="Times New Roman"/>
        </w:rPr>
        <w:t>2</w:t>
      </w:r>
      <w:r>
        <w:rPr/>
        <w:t>。</w:t>
      </w:r>
    </w:p>
    <w:p>
      <w:pPr>
        <w:pStyle w:val="Heading3"/>
        <w:spacing w:before="5"/>
        <w:ind w:left="708"/>
      </w:pPr>
      <w:r>
        <w:rPr>
          <w:w w:val="95"/>
        </w:rPr>
        <w:t>2、主要环境保护目标</w:t>
      </w:r>
      <w:r>
        <w:rPr>
          <w:w w:val="99"/>
        </w:rPr>
        <w:t> </w:t>
      </w:r>
    </w:p>
    <w:p>
      <w:pPr>
        <w:pStyle w:val="BodyText"/>
        <w:spacing w:line="338" w:lineRule="auto" w:before="151"/>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3"/>
        <w:ind w:left="706"/>
      </w:pPr>
      <w:r>
        <w:rPr>
          <w:rFonts w:ascii="Times New Roman" w:eastAsia="Times New Roman"/>
        </w:rPr>
        <w:t>1</w:t>
      </w:r>
      <w:r>
        <w:rPr/>
        <w:t>、环境大气</w:t>
      </w:r>
    </w:p>
    <w:p>
      <w:pPr>
        <w:pStyle w:val="BodyText"/>
        <w:spacing w:line="336" w:lineRule="auto" w:before="136"/>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9"/>
        <w:ind w:left="706"/>
      </w:pPr>
      <w:r>
        <w:rPr>
          <w:rFonts w:ascii="Times New Roman" w:eastAsia="Times New Roman"/>
        </w:rPr>
        <w:t>2</w:t>
      </w:r>
      <w:r>
        <w:rPr/>
        <w:t>、地表水</w:t>
      </w:r>
    </w:p>
    <w:p>
      <w:pPr>
        <w:pStyle w:val="BodyText"/>
        <w:spacing w:line="345" w:lineRule="auto" w:before="133"/>
        <w:ind w:left="226" w:right="64"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8"/>
        <w:ind w:left="706"/>
      </w:pPr>
      <w:r>
        <w:rPr>
          <w:rFonts w:ascii="Times New Roman" w:eastAsia="Times New Roman"/>
        </w:rPr>
        <w:t>3</w:t>
      </w:r>
      <w:r>
        <w:rPr/>
        <w:t>、声环境</w:t>
      </w:r>
    </w:p>
    <w:p>
      <w:pPr>
        <w:pStyle w:val="BodyText"/>
        <w:spacing w:line="338" w:lineRule="auto" w:before="133"/>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spacing w:before="55"/>
        <w:ind w:left="226" w:right="0" w:firstLine="0"/>
        <w:jc w:val="left"/>
        <w:rPr>
          <w:sz w:val="24"/>
        </w:rPr>
      </w:pPr>
      <w:r>
        <w:rPr>
          <w:sz w:val="24"/>
        </w:rPr>
        <w:t>      </w:t>
      </w:r>
      <w:r>
        <w:rPr>
          <w:b/>
          <w:sz w:val="24"/>
        </w:rPr>
        <w:t>2 类声环境功能区：</w:t>
      </w:r>
      <w:r>
        <w:rPr>
          <w:sz w:val="24"/>
        </w:rPr>
        <w:t>指以商业金融、集市贸易为主要功能，或者居住、</w:t>
      </w:r>
    </w:p>
    <w:p>
      <w:pPr>
        <w:pStyle w:val="BodyText"/>
        <w:spacing w:before="152"/>
        <w:ind w:left="226"/>
      </w:pPr>
      <w:r>
        <w:rPr/>
        <w:t>商业、工业混杂，需要维护住宅安静的区域。</w:t>
      </w:r>
    </w:p>
    <w:p>
      <w:pPr>
        <w:spacing w:after="0"/>
        <w:sectPr>
          <w:pgSz w:w="11910" w:h="16850"/>
          <w:pgMar w:header="0" w:footer="1141" w:top="1420" w:bottom="140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3"/>
        <w:gridCol w:w="960"/>
        <w:gridCol w:w="1268"/>
        <w:gridCol w:w="1435"/>
        <w:gridCol w:w="953"/>
        <w:gridCol w:w="3589"/>
        <w:gridCol w:w="115"/>
      </w:tblGrid>
      <w:tr>
        <w:trPr>
          <w:trHeight w:val="9071" w:hRule="exact"/>
        </w:trPr>
        <w:tc>
          <w:tcPr>
            <w:tcW w:w="8433" w:type="dxa"/>
            <w:gridSpan w:val="7"/>
            <w:tcBorders>
              <w:bottom w:val="single" w:sz="4" w:space="0" w:color="000000"/>
            </w:tcBorders>
          </w:tcPr>
          <w:p>
            <w:pPr>
              <w:pStyle w:val="TableParagraph"/>
              <w:spacing w:line="274" w:lineRule="exact"/>
              <w:ind w:left="100"/>
              <w:jc w:val="both"/>
              <w:rPr>
                <w:sz w:val="24"/>
              </w:rPr>
            </w:pPr>
            <w:r>
              <w:rPr>
                <w:sz w:val="24"/>
              </w:rPr>
              <w:t>      </w:t>
            </w:r>
            <w:r>
              <w:rPr>
                <w:b/>
                <w:sz w:val="24"/>
              </w:rPr>
              <w:t>4 类声环境功能区：</w:t>
            </w:r>
            <w:r>
              <w:rPr>
                <w:sz w:val="24"/>
              </w:rPr>
              <w:t>指交通干线两侧一定区域之内，需要防止交通噪声</w:t>
            </w:r>
          </w:p>
          <w:p>
            <w:pPr>
              <w:pStyle w:val="TableParagraph"/>
              <w:spacing w:line="357" w:lineRule="auto" w:before="154"/>
              <w:ind w:left="100" w:right="98"/>
              <w:jc w:val="both"/>
              <w:rPr>
                <w:sz w:val="24"/>
              </w:rPr>
            </w:pPr>
            <w:r>
              <w:rPr>
                <w:spacing w:val="-5"/>
                <w:sz w:val="24"/>
              </w:rPr>
              <w:t>对周围环境产生严重影响的区域，包括 </w:t>
            </w:r>
            <w:r>
              <w:rPr>
                <w:sz w:val="24"/>
              </w:rPr>
              <w:t>4a</w:t>
            </w:r>
            <w:r>
              <w:rPr>
                <w:spacing w:val="-30"/>
                <w:sz w:val="24"/>
              </w:rPr>
              <w:t> 类和 </w:t>
            </w:r>
            <w:r>
              <w:rPr>
                <w:sz w:val="24"/>
              </w:rPr>
              <w:t>4b</w:t>
            </w:r>
            <w:r>
              <w:rPr>
                <w:spacing w:val="-9"/>
                <w:sz w:val="24"/>
              </w:rPr>
              <w:t> 类两种类型。</w:t>
            </w:r>
            <w:r>
              <w:rPr>
                <w:sz w:val="24"/>
              </w:rPr>
              <w:t>4a</w:t>
            </w:r>
            <w:r>
              <w:rPr>
                <w:spacing w:val="-10"/>
                <w:sz w:val="24"/>
              </w:rPr>
              <w:t> 类为高速公路、一级公路、二级公路、城市快速路、城市主干路、城市次干路、城市轨道交通（地面段）、内河航道两侧区域；4b</w:t>
            </w:r>
            <w:r>
              <w:rPr>
                <w:spacing w:val="-8"/>
                <w:sz w:val="24"/>
              </w:rPr>
              <w:t> 类为铁路干线两侧区域。 </w:t>
            </w:r>
          </w:p>
          <w:p>
            <w:pPr>
              <w:pStyle w:val="TableParagraph"/>
              <w:spacing w:before="11"/>
              <w:jc w:val="left"/>
              <w:rPr>
                <w:sz w:val="23"/>
              </w:rPr>
            </w:pPr>
          </w:p>
          <w:p>
            <w:pPr>
              <w:pStyle w:val="TableParagraph"/>
              <w:ind w:left="580"/>
              <w:jc w:val="left"/>
              <w:rPr>
                <w:sz w:val="24"/>
              </w:rPr>
            </w:pPr>
            <w:hyperlink r:id="rId7">
              <w:r>
                <w:rPr>
                  <w:sz w:val="24"/>
                </w:rPr>
                <w:t>根据声环境功能区划分技术规范</w:t>
              </w:r>
              <w:r>
                <w:rPr>
                  <w:rFonts w:ascii="Times New Roman" w:hAnsi="Times New Roman" w:eastAsia="Times New Roman"/>
                  <w:sz w:val="24"/>
                </w:rPr>
                <w:t>(GB/T 15190–2014)</w:t>
              </w:r>
            </w:hyperlink>
            <w:r>
              <w:rPr>
                <w:sz w:val="24"/>
              </w:rPr>
              <w:t>：</w:t>
            </w:r>
          </w:p>
          <w:p>
            <w:pPr>
              <w:pStyle w:val="TableParagraph"/>
              <w:spacing w:before="10"/>
              <w:jc w:val="left"/>
              <w:rPr>
                <w:sz w:val="31"/>
              </w:rPr>
            </w:pPr>
          </w:p>
          <w:p>
            <w:pPr>
              <w:pStyle w:val="TableParagraph"/>
              <w:spacing w:line="338" w:lineRule="auto"/>
              <w:ind w:left="100" w:firstLine="479"/>
              <w:jc w:val="left"/>
              <w:rPr>
                <w:sz w:val="24"/>
              </w:rPr>
            </w:pPr>
            <w:r>
              <w:rPr>
                <w:rFonts w:ascii="Times New Roman" w:eastAsia="Times New Roman"/>
                <w:sz w:val="24"/>
              </w:rPr>
              <w:t>1.</w:t>
            </w:r>
            <w:r>
              <w:rPr>
                <w:sz w:val="24"/>
              </w:rPr>
              <w:t>当临街建筑以高于三层楼房以上</w:t>
            </w:r>
            <w:r>
              <w:rPr>
                <w:rFonts w:ascii="Times New Roman" w:eastAsia="Times New Roman"/>
                <w:sz w:val="24"/>
              </w:rPr>
              <w:t>(</w:t>
            </w:r>
            <w:r>
              <w:rPr>
                <w:sz w:val="24"/>
              </w:rPr>
              <w:t>含三层</w:t>
            </w:r>
            <w:r>
              <w:rPr>
                <w:rFonts w:ascii="Times New Roman" w:eastAsia="Times New Roman"/>
                <w:sz w:val="24"/>
              </w:rPr>
              <w:t>)</w:t>
            </w:r>
            <w:r>
              <w:rPr>
                <w:sz w:val="24"/>
              </w:rPr>
              <w:t>时，将临街建筑面向交通干线一侧至交通干线边界线的区域定为 </w:t>
            </w:r>
            <w:r>
              <w:rPr>
                <w:rFonts w:ascii="Times New Roman" w:eastAsia="Times New Roman"/>
                <w:sz w:val="24"/>
              </w:rPr>
              <w:t>4a </w:t>
            </w:r>
            <w:r>
              <w:rPr>
                <w:sz w:val="24"/>
              </w:rPr>
              <w:t>类声环境功能区。</w:t>
            </w:r>
          </w:p>
          <w:p>
            <w:pPr>
              <w:pStyle w:val="TableParagraph"/>
              <w:spacing w:before="3"/>
              <w:jc w:val="left"/>
              <w:rPr>
                <w:sz w:val="23"/>
              </w:rPr>
            </w:pPr>
          </w:p>
          <w:p>
            <w:pPr>
              <w:pStyle w:val="TableParagraph"/>
              <w:spacing w:line="338" w:lineRule="auto"/>
              <w:ind w:left="100" w:right="92" w:firstLine="479"/>
              <w:jc w:val="left"/>
              <w:rPr>
                <w:sz w:val="24"/>
              </w:rPr>
            </w:pPr>
            <w:r>
              <w:rPr>
                <w:rFonts w:ascii="Times New Roman" w:eastAsia="Times New Roman"/>
                <w:sz w:val="24"/>
              </w:rPr>
              <w:t>2</w:t>
            </w:r>
            <w:r>
              <w:rPr>
                <w:sz w:val="24"/>
              </w:rPr>
              <w:t>．将交通干线边界线外一定距离内的区域划分为 </w:t>
            </w:r>
            <w:r>
              <w:rPr>
                <w:rFonts w:ascii="Times New Roman" w:eastAsia="Times New Roman"/>
                <w:sz w:val="24"/>
              </w:rPr>
              <w:t>4a </w:t>
            </w:r>
            <w:r>
              <w:rPr>
                <w:sz w:val="24"/>
              </w:rPr>
              <w:t>类声环境功能区。距离的确定方法如下：</w:t>
            </w:r>
          </w:p>
          <w:p>
            <w:pPr>
              <w:pStyle w:val="TableParagraph"/>
              <w:spacing w:before="6"/>
              <w:jc w:val="left"/>
              <w:rPr>
                <w:sz w:val="25"/>
              </w:rPr>
            </w:pPr>
          </w:p>
          <w:p>
            <w:pPr>
              <w:pStyle w:val="TableParagraph"/>
              <w:spacing w:line="338" w:lineRule="auto"/>
              <w:ind w:left="580" w:right="2588"/>
              <w:jc w:val="both"/>
              <w:rPr>
                <w:sz w:val="24"/>
              </w:rPr>
            </w:pPr>
            <w:r>
              <w:rPr>
                <w:spacing w:val="-10"/>
                <w:sz w:val="24"/>
              </w:rPr>
              <w:t>相邻区域为 </w:t>
            </w:r>
            <w:r>
              <w:rPr>
                <w:rFonts w:ascii="Times New Roman" w:hAnsi="Times New Roman" w:eastAsia="Times New Roman"/>
                <w:sz w:val="24"/>
              </w:rPr>
              <w:t>1 </w:t>
            </w:r>
            <w:r>
              <w:rPr>
                <w:spacing w:val="-5"/>
                <w:sz w:val="24"/>
              </w:rPr>
              <w:t>类标准适用区域，距离为 </w:t>
            </w:r>
            <w:r>
              <w:rPr>
                <w:rFonts w:ascii="Times New Roman" w:hAnsi="Times New Roman" w:eastAsia="Times New Roman"/>
                <w:sz w:val="24"/>
              </w:rPr>
              <w:t>45m±5m</w:t>
            </w:r>
            <w:r>
              <w:rPr>
                <w:sz w:val="24"/>
              </w:rPr>
              <w:t>； </w:t>
            </w:r>
            <w:r>
              <w:rPr>
                <w:spacing w:val="-10"/>
                <w:sz w:val="24"/>
              </w:rPr>
              <w:t>相邻区域为 </w:t>
            </w:r>
            <w:r>
              <w:rPr>
                <w:rFonts w:ascii="Times New Roman" w:hAnsi="Times New Roman" w:eastAsia="Times New Roman"/>
                <w:sz w:val="24"/>
              </w:rPr>
              <w:t>2 </w:t>
            </w:r>
            <w:r>
              <w:rPr>
                <w:spacing w:val="-5"/>
                <w:sz w:val="24"/>
              </w:rPr>
              <w:t>类标准适用区域，距离为 </w:t>
            </w:r>
            <w:r>
              <w:rPr>
                <w:rFonts w:ascii="Times New Roman" w:hAnsi="Times New Roman" w:eastAsia="Times New Roman"/>
                <w:sz w:val="24"/>
              </w:rPr>
              <w:t>30m±5m</w:t>
            </w:r>
            <w:r>
              <w:rPr>
                <w:sz w:val="24"/>
              </w:rPr>
              <w:t>； </w:t>
            </w:r>
            <w:r>
              <w:rPr>
                <w:spacing w:val="-10"/>
                <w:sz w:val="24"/>
              </w:rPr>
              <w:t>相邻区域为 </w:t>
            </w:r>
            <w:r>
              <w:rPr>
                <w:rFonts w:ascii="Times New Roman" w:hAnsi="Times New Roman" w:eastAsia="Times New Roman"/>
                <w:sz w:val="24"/>
              </w:rPr>
              <w:t>3 </w:t>
            </w:r>
            <w:r>
              <w:rPr>
                <w:spacing w:val="-5"/>
                <w:sz w:val="24"/>
              </w:rPr>
              <w:t>类标准适用区域，距离为 </w:t>
            </w:r>
            <w:r>
              <w:rPr>
                <w:rFonts w:ascii="Times New Roman" w:hAnsi="Times New Roman" w:eastAsia="Times New Roman"/>
                <w:sz w:val="24"/>
              </w:rPr>
              <w:t>20m±5m</w:t>
            </w:r>
            <w:r>
              <w:rPr>
                <w:sz w:val="24"/>
              </w:rPr>
              <w:t>。</w:t>
            </w:r>
          </w:p>
          <w:p>
            <w:pPr>
              <w:pStyle w:val="TableParagraph"/>
              <w:spacing w:before="24"/>
              <w:ind w:left="580"/>
              <w:jc w:val="left"/>
              <w:rPr>
                <w:sz w:val="24"/>
              </w:rPr>
            </w:pPr>
            <w:r>
              <w:rPr>
                <w:sz w:val="24"/>
              </w:rPr>
              <w:t>项目所在地声学环境质量应符合《声环境质量标准》</w:t>
            </w:r>
            <w:r>
              <w:rPr>
                <w:rFonts w:ascii="Times New Roman" w:eastAsia="Times New Roman"/>
                <w:sz w:val="24"/>
              </w:rPr>
              <w:t>(GB3096-2008)2</w:t>
            </w:r>
            <w:r>
              <w:rPr>
                <w:sz w:val="24"/>
              </w:rPr>
              <w:t>类、</w:t>
            </w:r>
          </w:p>
          <w:p>
            <w:pPr>
              <w:pStyle w:val="TableParagraph"/>
              <w:spacing w:before="135"/>
              <w:ind w:left="100"/>
              <w:jc w:val="both"/>
              <w:rPr>
                <w:sz w:val="24"/>
              </w:rPr>
            </w:pPr>
            <w:r>
              <w:rPr>
                <w:rFonts w:ascii="Times New Roman" w:eastAsia="Times New Roman"/>
                <w:sz w:val="24"/>
              </w:rPr>
              <w:t>4a</w:t>
            </w:r>
            <w:r>
              <w:rPr>
                <w:sz w:val="24"/>
              </w:rPr>
              <w:t>标准要求。</w:t>
            </w:r>
          </w:p>
          <w:p>
            <w:pPr>
              <w:pStyle w:val="TableParagraph"/>
              <w:spacing w:line="357" w:lineRule="auto" w:before="133"/>
              <w:ind w:left="100" w:firstLine="479"/>
              <w:jc w:val="left"/>
              <w:rPr>
                <w:sz w:val="24"/>
              </w:rPr>
            </w:pPr>
            <w:r>
              <w:rPr>
                <w:sz w:val="24"/>
              </w:rPr>
              <w:t>根据区域环境功能特征及建设项目地理位置和性质，确定本项目施工期及竣工营运后的环境保护目标，详见表</w:t>
            </w:r>
            <w:r>
              <w:rPr>
                <w:rFonts w:ascii="Times New Roman" w:eastAsia="Times New Roman"/>
                <w:sz w:val="24"/>
              </w:rPr>
              <w:t>3-8</w:t>
            </w:r>
            <w:r>
              <w:rPr>
                <w:sz w:val="24"/>
              </w:rPr>
              <w:t>。</w:t>
            </w:r>
          </w:p>
          <w:p>
            <w:pPr>
              <w:pStyle w:val="TableParagraph"/>
              <w:tabs>
                <w:tab w:pos="861" w:val="left" w:leader="none"/>
              </w:tabs>
              <w:spacing w:before="2"/>
              <w:ind w:right="2"/>
              <w:rPr>
                <w:b/>
                <w:sz w:val="24"/>
              </w:rPr>
            </w:pPr>
            <w:r>
              <w:rPr>
                <w:b/>
                <w:sz w:val="24"/>
              </w:rPr>
              <w:t>表</w:t>
            </w:r>
            <w:r>
              <w:rPr>
                <w:b/>
                <w:spacing w:val="-60"/>
                <w:sz w:val="24"/>
              </w:rPr>
              <w:t> </w:t>
            </w:r>
            <w:r>
              <w:rPr>
                <w:rFonts w:ascii="Times New Roman" w:eastAsia="Times New Roman"/>
                <w:b/>
                <w:sz w:val="24"/>
              </w:rPr>
              <w:t>3-8</w:t>
              <w:tab/>
            </w:r>
            <w:r>
              <w:rPr>
                <w:b/>
                <w:w w:val="95"/>
                <w:sz w:val="24"/>
              </w:rPr>
              <w:t>项目主要保护目标一览表</w:t>
            </w:r>
          </w:p>
        </w:tc>
      </w:tr>
      <w:tr>
        <w:trPr>
          <w:trHeight w:val="554" w:hRule="exact"/>
        </w:trPr>
        <w:tc>
          <w:tcPr>
            <w:tcW w:w="113" w:type="dxa"/>
            <w:tcBorders>
              <w:top w:val="nil"/>
              <w:bottom w:val="nil"/>
              <w:right w:val="single" w:sz="4" w:space="0" w:color="000000"/>
            </w:tcBorders>
          </w:tcPr>
          <w:p>
            <w:pPr/>
          </w:p>
        </w:tc>
        <w:tc>
          <w:tcPr>
            <w:tcW w:w="960"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40" w:right="140"/>
              <w:rPr>
                <w:sz w:val="21"/>
              </w:rPr>
            </w:pPr>
            <w:r>
              <w:rPr>
                <w:sz w:val="21"/>
              </w:rPr>
              <w:t>环境要</w:t>
            </w:r>
          </w:p>
          <w:p>
            <w:pPr>
              <w:pStyle w:val="TableParagraph"/>
              <w:spacing w:line="274" w:lineRule="exact"/>
              <w:rPr>
                <w:sz w:val="21"/>
              </w:rPr>
            </w:pPr>
            <w:r>
              <w:rPr>
                <w:w w:val="100"/>
                <w:sz w:val="21"/>
              </w:rPr>
              <w:t>素</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84" w:right="83"/>
              <w:rPr>
                <w:sz w:val="21"/>
              </w:rPr>
            </w:pPr>
            <w:r>
              <w:rPr>
                <w:sz w:val="21"/>
              </w:rPr>
              <w:t>环境保护目</w:t>
            </w:r>
          </w:p>
          <w:p>
            <w:pPr>
              <w:pStyle w:val="TableParagraph"/>
              <w:spacing w:line="274" w:lineRule="exact"/>
              <w:rPr>
                <w:sz w:val="21"/>
              </w:rPr>
            </w:pPr>
            <w:r>
              <w:rPr>
                <w:w w:val="100"/>
                <w:sz w:val="21"/>
              </w:rPr>
              <w:t>标</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102"/>
              <w:ind w:left="138" w:right="138"/>
              <w:rPr>
                <w:sz w:val="21"/>
              </w:rPr>
            </w:pPr>
            <w:r>
              <w:rPr>
                <w:sz w:val="21"/>
              </w:rPr>
              <w:t>方位、距离</w:t>
            </w:r>
          </w:p>
        </w:tc>
        <w:tc>
          <w:tcPr>
            <w:tcW w:w="953" w:type="dxa"/>
            <w:tcBorders>
              <w:top w:val="single" w:sz="4" w:space="0" w:color="000000"/>
              <w:left w:val="single" w:sz="4" w:space="0" w:color="000000"/>
              <w:bottom w:val="single" w:sz="4" w:space="0" w:color="000000"/>
              <w:right w:val="single" w:sz="4" w:space="0" w:color="000000"/>
            </w:tcBorders>
          </w:tcPr>
          <w:p>
            <w:pPr>
              <w:pStyle w:val="TableParagraph"/>
              <w:spacing w:line="248" w:lineRule="exact"/>
              <w:ind w:left="108" w:right="107"/>
              <w:rPr>
                <w:sz w:val="21"/>
              </w:rPr>
            </w:pPr>
            <w:r>
              <w:rPr>
                <w:sz w:val="21"/>
              </w:rPr>
              <w:t>功能</w:t>
            </w:r>
            <w:r>
              <w:rPr>
                <w:rFonts w:ascii="Times New Roman" w:eastAsia="Times New Roman"/>
                <w:sz w:val="21"/>
              </w:rPr>
              <w:t>/</w:t>
            </w:r>
            <w:r>
              <w:rPr>
                <w:sz w:val="21"/>
              </w:rPr>
              <w:t>规</w:t>
            </w:r>
          </w:p>
          <w:p>
            <w:pPr>
              <w:pStyle w:val="TableParagraph"/>
              <w:spacing w:line="266" w:lineRule="exact"/>
              <w:ind w:left="1"/>
              <w:rPr>
                <w:sz w:val="21"/>
              </w:rPr>
            </w:pPr>
            <w:r>
              <w:rPr>
                <w:w w:val="100"/>
                <w:sz w:val="21"/>
              </w:rPr>
              <w:t>模</w:t>
            </w:r>
          </w:p>
        </w:tc>
        <w:tc>
          <w:tcPr>
            <w:tcW w:w="3589" w:type="dxa"/>
            <w:tcBorders>
              <w:top w:val="single" w:sz="4" w:space="0" w:color="000000"/>
              <w:left w:val="single" w:sz="4" w:space="0" w:color="000000"/>
              <w:bottom w:val="single" w:sz="4" w:space="0" w:color="000000"/>
              <w:right w:val="single" w:sz="4" w:space="0" w:color="000000"/>
            </w:tcBorders>
          </w:tcPr>
          <w:p>
            <w:pPr>
              <w:pStyle w:val="TableParagraph"/>
              <w:spacing w:before="102"/>
              <w:ind w:left="154" w:right="150"/>
              <w:rPr>
                <w:sz w:val="21"/>
              </w:rPr>
            </w:pPr>
            <w:r>
              <w:rPr>
                <w:sz w:val="21"/>
              </w:rPr>
              <w:t>保护级别</w:t>
            </w:r>
          </w:p>
        </w:tc>
        <w:tc>
          <w:tcPr>
            <w:tcW w:w="115" w:type="dxa"/>
            <w:tcBorders>
              <w:top w:val="nil"/>
              <w:left w:val="single" w:sz="4" w:space="0" w:color="000000"/>
              <w:bottom w:val="nil"/>
            </w:tcBorders>
          </w:tcPr>
          <w:p>
            <w:pPr/>
          </w:p>
        </w:tc>
      </w:tr>
      <w:tr>
        <w:trPr>
          <w:trHeight w:val="682" w:hRule="exact"/>
        </w:trPr>
        <w:tc>
          <w:tcPr>
            <w:tcW w:w="113" w:type="dxa"/>
            <w:tcBorders>
              <w:top w:val="nil"/>
              <w:bottom w:val="nil"/>
              <w:right w:val="single" w:sz="4" w:space="0" w:color="000000"/>
            </w:tcBorders>
          </w:tcPr>
          <w:p>
            <w:pPr/>
          </w:p>
        </w:tc>
        <w:tc>
          <w:tcPr>
            <w:tcW w:w="960" w:type="dxa"/>
            <w:tcBorders>
              <w:top w:val="single" w:sz="4" w:space="0" w:color="000000"/>
              <w:left w:val="single" w:sz="4" w:space="0" w:color="000000"/>
              <w:bottom w:val="single" w:sz="4" w:space="0" w:color="000000"/>
              <w:right w:val="single" w:sz="4" w:space="0" w:color="000000"/>
            </w:tcBorders>
          </w:tcPr>
          <w:p>
            <w:pPr>
              <w:pStyle w:val="TableParagraph"/>
              <w:spacing w:before="165"/>
              <w:ind w:left="158"/>
              <w:jc w:val="left"/>
              <w:rPr>
                <w:sz w:val="21"/>
              </w:rPr>
            </w:pPr>
            <w:r>
              <w:rPr>
                <w:sz w:val="21"/>
              </w:rPr>
              <w:t>地表水</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165"/>
              <w:ind w:left="83" w:right="83"/>
              <w:rPr>
                <w:sz w:val="21"/>
              </w:rPr>
            </w:pPr>
            <w:r>
              <w:rPr>
                <w:sz w:val="21"/>
              </w:rPr>
              <w:t>新宁河</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165"/>
              <w:ind w:left="138" w:right="139"/>
              <w:rPr>
                <w:rFonts w:ascii="Times New Roman" w:eastAsia="Times New Roman"/>
                <w:sz w:val="21"/>
              </w:rPr>
            </w:pPr>
            <w:r>
              <w:rPr>
                <w:sz w:val="21"/>
              </w:rPr>
              <w:t>北侧，</w:t>
            </w:r>
            <w:r>
              <w:rPr>
                <w:rFonts w:ascii="Times New Roman" w:eastAsia="Times New Roman"/>
                <w:sz w:val="21"/>
              </w:rPr>
              <w:t>376m</w:t>
            </w:r>
          </w:p>
        </w:tc>
        <w:tc>
          <w:tcPr>
            <w:tcW w:w="953"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58"/>
              <w:ind w:left="261" w:right="138" w:hanging="106"/>
              <w:jc w:val="left"/>
              <w:rPr>
                <w:sz w:val="21"/>
              </w:rPr>
            </w:pPr>
            <w:r>
              <w:rPr>
                <w:sz w:val="21"/>
              </w:rPr>
              <w:t>泄洪、灌溉</w:t>
            </w:r>
          </w:p>
        </w:tc>
        <w:tc>
          <w:tcPr>
            <w:tcW w:w="3589"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before="30"/>
              <w:ind w:left="157" w:right="150"/>
              <w:rPr>
                <w:sz w:val="21"/>
              </w:rPr>
            </w:pPr>
            <w:r>
              <w:rPr>
                <w:sz w:val="21"/>
              </w:rPr>
              <w:t>《地表水环境质量标准》</w:t>
            </w:r>
            <w:r>
              <w:rPr>
                <w:rFonts w:ascii="Times New Roman" w:eastAsia="Times New Roman"/>
                <w:sz w:val="21"/>
              </w:rPr>
              <w:t>GB3838</w:t>
            </w:r>
            <w:r>
              <w:rPr>
                <w:sz w:val="21"/>
              </w:rPr>
              <w:t>－</w:t>
            </w:r>
          </w:p>
          <w:p>
            <w:pPr>
              <w:pStyle w:val="TableParagraph"/>
              <w:spacing w:line="281" w:lineRule="exact"/>
              <w:ind w:left="156" w:right="150"/>
              <w:rPr>
                <w:sz w:val="21"/>
              </w:rPr>
            </w:pPr>
            <w:r>
              <w:rPr>
                <w:rFonts w:ascii="Times New Roman" w:hAnsi="Times New Roman" w:eastAsia="Times New Roman"/>
                <w:sz w:val="21"/>
              </w:rPr>
              <w:t>2002 </w:t>
            </w:r>
            <w:r>
              <w:rPr>
                <w:sz w:val="21"/>
              </w:rPr>
              <w:t>中Ⅲ类水质标准</w:t>
            </w:r>
          </w:p>
        </w:tc>
        <w:tc>
          <w:tcPr>
            <w:tcW w:w="115" w:type="dxa"/>
            <w:tcBorders>
              <w:top w:val="nil"/>
              <w:left w:val="single" w:sz="4" w:space="0" w:color="000000"/>
              <w:bottom w:val="nil"/>
            </w:tcBorders>
          </w:tcPr>
          <w:p>
            <w:pPr/>
          </w:p>
        </w:tc>
      </w:tr>
      <w:tr>
        <w:trPr>
          <w:trHeight w:val="555" w:hRule="exact"/>
        </w:trPr>
        <w:tc>
          <w:tcPr>
            <w:tcW w:w="113" w:type="dxa"/>
            <w:vMerge w:val="restart"/>
            <w:tcBorders>
              <w:top w:val="nil"/>
              <w:right w:val="single" w:sz="4" w:space="0" w:color="000000"/>
            </w:tcBorders>
          </w:tcPr>
          <w:p>
            <w:pPr/>
          </w:p>
        </w:tc>
        <w:tc>
          <w:tcPr>
            <w:tcW w:w="960" w:type="dxa"/>
            <w:vMerge w:val="restart"/>
            <w:tcBorders>
              <w:top w:val="single" w:sz="4" w:space="0" w:color="000000"/>
              <w:left w:val="single" w:sz="4" w:space="0" w:color="000000"/>
              <w:right w:val="single" w:sz="4" w:space="0" w:color="000000"/>
            </w:tcBorders>
          </w:tcPr>
          <w:p>
            <w:pPr>
              <w:pStyle w:val="TableParagraph"/>
              <w:jc w:val="left"/>
              <w:rPr>
                <w:sz w:val="20"/>
              </w:rPr>
            </w:pPr>
          </w:p>
          <w:p>
            <w:pPr>
              <w:pStyle w:val="TableParagraph"/>
              <w:jc w:val="left"/>
              <w:rPr>
                <w:sz w:val="20"/>
              </w:rPr>
            </w:pPr>
          </w:p>
          <w:p>
            <w:pPr>
              <w:pStyle w:val="TableParagraph"/>
              <w:spacing w:before="5"/>
              <w:jc w:val="left"/>
              <w:rPr>
                <w:sz w:val="19"/>
              </w:rPr>
            </w:pPr>
          </w:p>
          <w:p>
            <w:pPr>
              <w:pStyle w:val="TableParagraph"/>
              <w:ind w:left="263" w:right="88" w:hanging="161"/>
              <w:jc w:val="left"/>
              <w:rPr>
                <w:sz w:val="21"/>
              </w:rPr>
            </w:pPr>
            <w:r>
              <w:rPr>
                <w:spacing w:val="-25"/>
                <w:sz w:val="21"/>
              </w:rPr>
              <w:t>大气、声环境</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84" w:right="83"/>
              <w:rPr>
                <w:sz w:val="21"/>
              </w:rPr>
            </w:pPr>
            <w:r>
              <w:rPr>
                <w:sz w:val="21"/>
              </w:rPr>
              <w:t>工程沿线居</w:t>
            </w:r>
          </w:p>
          <w:p>
            <w:pPr>
              <w:pStyle w:val="TableParagraph"/>
              <w:spacing w:line="273" w:lineRule="exact"/>
              <w:rPr>
                <w:sz w:val="21"/>
              </w:rPr>
            </w:pPr>
            <w:r>
              <w:rPr>
                <w:w w:val="100"/>
                <w:sz w:val="21"/>
              </w:rPr>
              <w:t>民</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before="103"/>
              <w:ind w:left="138" w:right="139"/>
              <w:rPr>
                <w:rFonts w:ascii="Times New Roman" w:eastAsia="Times New Roman"/>
                <w:sz w:val="21"/>
              </w:rPr>
            </w:pPr>
            <w:r>
              <w:rPr>
                <w:sz w:val="21"/>
              </w:rPr>
              <w:t>两侧 </w:t>
            </w:r>
            <w:r>
              <w:rPr>
                <w:rFonts w:ascii="Times New Roman" w:eastAsia="Times New Roman"/>
                <w:sz w:val="21"/>
              </w:rPr>
              <w:t>10m</w:t>
            </w:r>
          </w:p>
        </w:tc>
        <w:tc>
          <w:tcPr>
            <w:tcW w:w="953" w:type="dxa"/>
            <w:tcBorders>
              <w:top w:val="single" w:sz="4" w:space="0" w:color="000000"/>
              <w:left w:val="single" w:sz="4" w:space="0" w:color="000000"/>
              <w:bottom w:val="single" w:sz="4" w:space="0" w:color="000000"/>
              <w:right w:val="single" w:sz="4" w:space="0" w:color="000000"/>
            </w:tcBorders>
          </w:tcPr>
          <w:p>
            <w:pPr>
              <w:pStyle w:val="TableParagraph"/>
              <w:spacing w:before="103"/>
              <w:ind w:left="235"/>
              <w:jc w:val="left"/>
              <w:rPr>
                <w:sz w:val="21"/>
              </w:rPr>
            </w:pPr>
            <w:r>
              <w:rPr>
                <w:rFonts w:ascii="Times New Roman" w:eastAsia="Times New Roman"/>
                <w:sz w:val="21"/>
              </w:rPr>
              <w:t>20 </w:t>
            </w:r>
            <w:r>
              <w:rPr>
                <w:sz w:val="21"/>
              </w:rPr>
              <w:t>户</w:t>
            </w:r>
          </w:p>
        </w:tc>
        <w:tc>
          <w:tcPr>
            <w:tcW w:w="3589" w:type="dxa"/>
            <w:vMerge w:val="restart"/>
            <w:tcBorders>
              <w:top w:val="single" w:sz="4" w:space="0" w:color="000000"/>
              <w:left w:val="single" w:sz="4" w:space="0" w:color="000000"/>
              <w:right w:val="single" w:sz="4" w:space="0" w:color="000000"/>
            </w:tcBorders>
          </w:tcPr>
          <w:p>
            <w:pPr>
              <w:pStyle w:val="TableParagraph"/>
              <w:jc w:val="left"/>
              <w:rPr>
                <w:sz w:val="20"/>
              </w:rPr>
            </w:pPr>
          </w:p>
          <w:p>
            <w:pPr>
              <w:pStyle w:val="TableParagraph"/>
              <w:spacing w:before="10"/>
              <w:jc w:val="left"/>
              <w:rPr>
                <w:sz w:val="20"/>
              </w:rPr>
            </w:pPr>
          </w:p>
          <w:p>
            <w:pPr>
              <w:pStyle w:val="TableParagraph"/>
              <w:spacing w:line="272" w:lineRule="exact"/>
              <w:ind w:left="1161" w:right="119" w:hanging="1023"/>
              <w:jc w:val="left"/>
              <w:rPr>
                <w:sz w:val="21"/>
              </w:rPr>
            </w:pPr>
            <w:r>
              <w:rPr>
                <w:sz w:val="21"/>
              </w:rPr>
              <w:t>《环境空气质量标准》</w:t>
            </w:r>
            <w:r>
              <w:rPr>
                <w:rFonts w:ascii="Times New Roman" w:eastAsia="Times New Roman"/>
                <w:sz w:val="21"/>
              </w:rPr>
              <w:t>GB3095-2012 </w:t>
            </w:r>
            <w:r>
              <w:rPr>
                <w:sz w:val="21"/>
              </w:rPr>
              <w:t>中的二级标准</w:t>
            </w:r>
          </w:p>
          <w:p>
            <w:pPr>
              <w:pStyle w:val="TableParagraph"/>
              <w:spacing w:line="272" w:lineRule="exact" w:before="1"/>
              <w:ind w:left="1113" w:hanging="1008"/>
              <w:jc w:val="left"/>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c>
          <w:tcPr>
            <w:tcW w:w="115" w:type="dxa"/>
            <w:vMerge w:val="restart"/>
            <w:tcBorders>
              <w:top w:val="nil"/>
              <w:left w:val="single" w:sz="4" w:space="0" w:color="000000"/>
            </w:tcBorders>
          </w:tcPr>
          <w:p>
            <w:pPr/>
          </w:p>
        </w:tc>
      </w:tr>
      <w:tr>
        <w:trPr>
          <w:trHeight w:val="828" w:hRule="exact"/>
        </w:trPr>
        <w:tc>
          <w:tcPr>
            <w:tcW w:w="113" w:type="dxa"/>
            <w:vMerge/>
            <w:tcBorders>
              <w:right w:val="single" w:sz="4" w:space="0" w:color="000000"/>
            </w:tcBorders>
          </w:tcPr>
          <w:p>
            <w:pPr/>
          </w:p>
        </w:tc>
        <w:tc>
          <w:tcPr>
            <w:tcW w:w="960" w:type="dxa"/>
            <w:vMerge/>
            <w:tcBorders>
              <w:left w:val="single" w:sz="4" w:space="0" w:color="000000"/>
              <w:right w:val="single" w:sz="4" w:space="0" w:color="000000"/>
            </w:tcBorders>
          </w:tcPr>
          <w:p>
            <w:pP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before="3"/>
              <w:jc w:val="left"/>
              <w:rPr>
                <w:sz w:val="18"/>
              </w:rPr>
            </w:pPr>
          </w:p>
          <w:p>
            <w:pPr>
              <w:pStyle w:val="TableParagraph"/>
              <w:spacing w:before="1"/>
              <w:ind w:left="83" w:right="83"/>
              <w:rPr>
                <w:sz w:val="21"/>
              </w:rPr>
            </w:pPr>
            <w:r>
              <w:rPr>
                <w:sz w:val="21"/>
              </w:rPr>
              <w:t>环保局</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84"/>
              <w:jc w:val="left"/>
              <w:rPr>
                <w:sz w:val="21"/>
              </w:rPr>
            </w:pPr>
            <w:r>
              <w:rPr>
                <w:sz w:val="21"/>
              </w:rPr>
              <w:t>橄榄大道至</w:t>
            </w:r>
          </w:p>
          <w:p>
            <w:pPr>
              <w:pStyle w:val="TableParagraph"/>
              <w:spacing w:line="272" w:lineRule="exact" w:before="27"/>
              <w:ind w:left="182" w:right="115" w:firstLine="2"/>
              <w:jc w:val="left"/>
              <w:rPr>
                <w:rFonts w:ascii="Times New Roman" w:eastAsia="Times New Roman"/>
                <w:sz w:val="21"/>
              </w:rPr>
            </w:pPr>
            <w:r>
              <w:rPr>
                <w:sz w:val="21"/>
              </w:rPr>
              <w:t>化肥厂道路东侧为 </w:t>
            </w:r>
            <w:r>
              <w:rPr>
                <w:rFonts w:ascii="Times New Roman" w:eastAsia="Times New Roman"/>
                <w:sz w:val="21"/>
              </w:rPr>
              <w:t>80m</w:t>
            </w:r>
          </w:p>
        </w:tc>
        <w:tc>
          <w:tcPr>
            <w:tcW w:w="953"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130"/>
              <w:ind w:left="367" w:right="138" w:hanging="212"/>
              <w:jc w:val="left"/>
              <w:rPr>
                <w:sz w:val="21"/>
              </w:rPr>
            </w:pPr>
            <w:r>
              <w:rPr>
                <w:sz w:val="21"/>
              </w:rPr>
              <w:t>行政办公</w:t>
            </w:r>
          </w:p>
        </w:tc>
        <w:tc>
          <w:tcPr>
            <w:tcW w:w="3589" w:type="dxa"/>
            <w:vMerge/>
            <w:tcBorders>
              <w:left w:val="single" w:sz="4" w:space="0" w:color="000000"/>
              <w:right w:val="single" w:sz="4" w:space="0" w:color="000000"/>
            </w:tcBorders>
          </w:tcPr>
          <w:p>
            <w:pPr/>
          </w:p>
        </w:tc>
        <w:tc>
          <w:tcPr>
            <w:tcW w:w="115" w:type="dxa"/>
            <w:vMerge/>
            <w:tcBorders>
              <w:left w:val="single" w:sz="4" w:space="0" w:color="000000"/>
            </w:tcBorders>
          </w:tcPr>
          <w:p>
            <w:pPr/>
          </w:p>
        </w:tc>
      </w:tr>
      <w:tr>
        <w:trPr>
          <w:trHeight w:val="794" w:hRule="exact"/>
        </w:trPr>
        <w:tc>
          <w:tcPr>
            <w:tcW w:w="113" w:type="dxa"/>
            <w:vMerge/>
            <w:tcBorders>
              <w:bottom w:val="nil"/>
              <w:right w:val="single" w:sz="4" w:space="0" w:color="000000"/>
            </w:tcBorders>
          </w:tcPr>
          <w:p>
            <w:pPr/>
          </w:p>
        </w:tc>
        <w:tc>
          <w:tcPr>
            <w:tcW w:w="960" w:type="dxa"/>
            <w:vMerge/>
            <w:tcBorders>
              <w:left w:val="single" w:sz="4" w:space="0" w:color="000000"/>
              <w:bottom w:val="single" w:sz="4" w:space="0" w:color="000000"/>
              <w:right w:val="single" w:sz="4" w:space="0" w:color="000000"/>
            </w:tcBorders>
          </w:tcPr>
          <w:p>
            <w:pPr/>
          </w:p>
        </w:tc>
        <w:tc>
          <w:tcPr>
            <w:tcW w:w="1268" w:type="dxa"/>
            <w:tcBorders>
              <w:top w:val="single" w:sz="4" w:space="0" w:color="000000"/>
              <w:left w:val="single" w:sz="4" w:space="0" w:color="000000"/>
              <w:bottom w:val="single" w:sz="4" w:space="0" w:color="000000"/>
              <w:right w:val="single" w:sz="4" w:space="0" w:color="000000"/>
            </w:tcBorders>
          </w:tcPr>
          <w:p>
            <w:pPr>
              <w:pStyle w:val="TableParagraph"/>
              <w:jc w:val="left"/>
              <w:rPr>
                <w:sz w:val="17"/>
              </w:rPr>
            </w:pPr>
          </w:p>
          <w:p>
            <w:pPr>
              <w:pStyle w:val="TableParagraph"/>
              <w:ind w:left="84" w:right="83"/>
              <w:rPr>
                <w:sz w:val="21"/>
              </w:rPr>
            </w:pPr>
            <w:r>
              <w:rPr>
                <w:sz w:val="21"/>
              </w:rPr>
              <w:t>政务中心</w:t>
            </w:r>
          </w:p>
        </w:tc>
        <w:tc>
          <w:tcPr>
            <w:tcW w:w="1435" w:type="dxa"/>
            <w:tcBorders>
              <w:top w:val="single" w:sz="4" w:space="0" w:color="000000"/>
              <w:left w:val="single" w:sz="4" w:space="0" w:color="000000"/>
              <w:bottom w:val="single" w:sz="4" w:space="0" w:color="000000"/>
              <w:right w:val="single" w:sz="4" w:space="0" w:color="000000"/>
            </w:tcBorders>
          </w:tcPr>
          <w:p>
            <w:pPr>
              <w:pStyle w:val="TableParagraph"/>
              <w:spacing w:line="239" w:lineRule="exact"/>
              <w:ind w:left="138" w:right="138"/>
              <w:rPr>
                <w:sz w:val="21"/>
              </w:rPr>
            </w:pPr>
            <w:r>
              <w:rPr>
                <w:sz w:val="21"/>
              </w:rPr>
              <w:t>牛山寺至老</w:t>
            </w:r>
          </w:p>
          <w:p>
            <w:pPr>
              <w:pStyle w:val="TableParagraph"/>
              <w:spacing w:line="273" w:lineRule="exact"/>
              <w:ind w:left="138" w:right="138"/>
              <w:rPr>
                <w:sz w:val="21"/>
              </w:rPr>
            </w:pPr>
            <w:r>
              <w:rPr>
                <w:sz w:val="21"/>
              </w:rPr>
              <w:t>城普路东侧</w:t>
            </w:r>
          </w:p>
          <w:p>
            <w:pPr>
              <w:pStyle w:val="TableParagraph"/>
              <w:spacing w:before="26"/>
              <w:ind w:left="138" w:right="139"/>
              <w:rPr>
                <w:rFonts w:ascii="Times New Roman"/>
                <w:sz w:val="21"/>
              </w:rPr>
            </w:pPr>
            <w:r>
              <w:rPr>
                <w:rFonts w:ascii="Times New Roman"/>
                <w:sz w:val="21"/>
              </w:rPr>
              <w:t>25m</w:t>
            </w:r>
          </w:p>
        </w:tc>
        <w:tc>
          <w:tcPr>
            <w:tcW w:w="953" w:type="dxa"/>
            <w:tcBorders>
              <w:top w:val="single" w:sz="4" w:space="0" w:color="000000"/>
              <w:left w:val="single" w:sz="4" w:space="0" w:color="000000"/>
              <w:bottom w:val="single" w:sz="4" w:space="0" w:color="000000"/>
              <w:right w:val="single" w:sz="4" w:space="0" w:color="000000"/>
            </w:tcBorders>
          </w:tcPr>
          <w:p>
            <w:pPr>
              <w:pStyle w:val="TableParagraph"/>
              <w:spacing w:line="272" w:lineRule="exact" w:before="113"/>
              <w:ind w:left="367" w:right="138" w:hanging="212"/>
              <w:jc w:val="left"/>
              <w:rPr>
                <w:sz w:val="21"/>
              </w:rPr>
            </w:pPr>
            <w:r>
              <w:rPr>
                <w:sz w:val="21"/>
              </w:rPr>
              <w:t>行政办公</w:t>
            </w:r>
          </w:p>
        </w:tc>
        <w:tc>
          <w:tcPr>
            <w:tcW w:w="3589" w:type="dxa"/>
            <w:vMerge/>
            <w:tcBorders>
              <w:left w:val="single" w:sz="4" w:space="0" w:color="000000"/>
              <w:bottom w:val="single" w:sz="4" w:space="0" w:color="000000"/>
              <w:right w:val="single" w:sz="4" w:space="0" w:color="000000"/>
            </w:tcBorders>
          </w:tcPr>
          <w:p>
            <w:pPr/>
          </w:p>
        </w:tc>
        <w:tc>
          <w:tcPr>
            <w:tcW w:w="115" w:type="dxa"/>
            <w:vMerge/>
            <w:tcBorders>
              <w:left w:val="single" w:sz="4" w:space="0" w:color="000000"/>
              <w:bottom w:val="nil"/>
            </w:tcBorders>
          </w:tcPr>
          <w:p>
            <w:pPr/>
          </w:p>
        </w:tc>
      </w:tr>
      <w:tr>
        <w:trPr>
          <w:trHeight w:val="554" w:hRule="exact"/>
        </w:trPr>
        <w:tc>
          <w:tcPr>
            <w:tcW w:w="113" w:type="dxa"/>
            <w:tcBorders>
              <w:top w:val="nil"/>
              <w:bottom w:val="nil"/>
              <w:right w:val="single" w:sz="4" w:space="0" w:color="000000"/>
            </w:tcBorders>
          </w:tcPr>
          <w:p>
            <w:pPr/>
          </w:p>
        </w:tc>
        <w:tc>
          <w:tcPr>
            <w:tcW w:w="960"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140" w:right="140"/>
              <w:rPr>
                <w:sz w:val="21"/>
              </w:rPr>
            </w:pPr>
            <w:r>
              <w:rPr>
                <w:sz w:val="21"/>
              </w:rPr>
              <w:t>地下水</w:t>
            </w:r>
          </w:p>
          <w:p>
            <w:pPr>
              <w:pStyle w:val="TableParagraph"/>
              <w:spacing w:line="274" w:lineRule="exact"/>
              <w:ind w:left="140" w:right="140"/>
              <w:rPr>
                <w:sz w:val="21"/>
              </w:rPr>
            </w:pPr>
            <w:r>
              <w:rPr>
                <w:sz w:val="21"/>
              </w:rPr>
              <w:t>环境</w:t>
            </w:r>
          </w:p>
        </w:tc>
        <w:tc>
          <w:tcPr>
            <w:tcW w:w="1268" w:type="dxa"/>
            <w:tcBorders>
              <w:top w:val="single" w:sz="4" w:space="0" w:color="000000"/>
              <w:left w:val="single" w:sz="4" w:space="0" w:color="000000"/>
              <w:bottom w:val="single" w:sz="4" w:space="0" w:color="000000"/>
              <w:right w:val="single" w:sz="4" w:space="0" w:color="000000"/>
            </w:tcBorders>
          </w:tcPr>
          <w:p>
            <w:pPr>
              <w:pStyle w:val="TableParagraph"/>
              <w:spacing w:line="240" w:lineRule="exact"/>
              <w:ind w:left="83" w:right="83"/>
              <w:rPr>
                <w:sz w:val="21"/>
              </w:rPr>
            </w:pPr>
            <w:r>
              <w:rPr>
                <w:sz w:val="21"/>
              </w:rPr>
              <w:t>区域</w:t>
            </w:r>
          </w:p>
          <w:p>
            <w:pPr>
              <w:pStyle w:val="TableParagraph"/>
              <w:spacing w:line="274" w:lineRule="exact"/>
              <w:ind w:left="83" w:right="83"/>
              <w:rPr>
                <w:sz w:val="21"/>
              </w:rPr>
            </w:pPr>
            <w:r>
              <w:rPr>
                <w:sz w:val="21"/>
              </w:rPr>
              <w:t>地下水</w:t>
            </w:r>
          </w:p>
        </w:tc>
        <w:tc>
          <w:tcPr>
            <w:tcW w:w="5977" w:type="dxa"/>
            <w:gridSpan w:val="3"/>
            <w:tcBorders>
              <w:top w:val="single" w:sz="4" w:space="0" w:color="000000"/>
              <w:left w:val="single" w:sz="4" w:space="0" w:color="000000"/>
              <w:bottom w:val="single" w:sz="4" w:space="0" w:color="000000"/>
              <w:right w:val="single" w:sz="4" w:space="0" w:color="000000"/>
            </w:tcBorders>
          </w:tcPr>
          <w:p>
            <w:pPr>
              <w:pStyle w:val="TableParagraph"/>
              <w:spacing w:before="102"/>
              <w:ind w:left="2439" w:right="2437"/>
              <w:rPr>
                <w:sz w:val="21"/>
              </w:rPr>
            </w:pPr>
            <w:r>
              <w:rPr>
                <w:sz w:val="21"/>
              </w:rPr>
              <w:t>评价区域内</w:t>
            </w:r>
          </w:p>
        </w:tc>
        <w:tc>
          <w:tcPr>
            <w:tcW w:w="115" w:type="dxa"/>
            <w:tcBorders>
              <w:top w:val="nil"/>
              <w:left w:val="single" w:sz="4" w:space="0" w:color="000000"/>
              <w:bottom w:val="nil"/>
            </w:tcBorders>
          </w:tcPr>
          <w:p>
            <w:pPr/>
          </w:p>
        </w:tc>
      </w:tr>
      <w:tr>
        <w:trPr>
          <w:trHeight w:val="564" w:hRule="exact"/>
        </w:trPr>
        <w:tc>
          <w:tcPr>
            <w:tcW w:w="113" w:type="dxa"/>
            <w:tcBorders>
              <w:top w:val="nil"/>
              <w:right w:val="single" w:sz="4" w:space="0" w:color="000000"/>
            </w:tcBorders>
          </w:tcPr>
          <w:p>
            <w:pPr/>
          </w:p>
        </w:tc>
        <w:tc>
          <w:tcPr>
            <w:tcW w:w="960" w:type="dxa"/>
            <w:tcBorders>
              <w:top w:val="single" w:sz="4" w:space="0" w:color="000000"/>
              <w:left w:val="single" w:sz="4" w:space="0" w:color="000000"/>
              <w:right w:val="single" w:sz="4" w:space="0" w:color="000000"/>
            </w:tcBorders>
          </w:tcPr>
          <w:p>
            <w:pPr>
              <w:pStyle w:val="TableParagraph"/>
              <w:spacing w:line="241"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Borders>
              <w:top w:val="single" w:sz="4" w:space="0" w:color="000000"/>
              <w:left w:val="single" w:sz="4" w:space="0" w:color="000000"/>
              <w:right w:val="single" w:sz="4" w:space="0" w:color="000000"/>
            </w:tcBorders>
          </w:tcPr>
          <w:p>
            <w:pPr>
              <w:pStyle w:val="TableParagraph"/>
              <w:spacing w:line="241"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Borders>
              <w:top w:val="single" w:sz="4" w:space="0" w:color="000000"/>
              <w:left w:val="single" w:sz="4" w:space="0" w:color="000000"/>
              <w:right w:val="single" w:sz="4" w:space="0" w:color="000000"/>
            </w:tcBorders>
          </w:tcPr>
          <w:p>
            <w:pPr>
              <w:pStyle w:val="TableParagraph"/>
              <w:spacing w:before="102"/>
              <w:ind w:left="2439" w:right="2437"/>
              <w:rPr>
                <w:sz w:val="21"/>
              </w:rPr>
            </w:pPr>
            <w:r>
              <w:rPr>
                <w:sz w:val="21"/>
              </w:rPr>
              <w:t>评价区域内</w:t>
            </w:r>
          </w:p>
        </w:tc>
        <w:tc>
          <w:tcPr>
            <w:tcW w:w="115" w:type="dxa"/>
            <w:tcBorders>
              <w:top w:val="nil"/>
              <w:left w:val="single" w:sz="4" w:space="0" w:color="000000"/>
            </w:tcBorders>
          </w:tcPr>
          <w:p>
            <w:pPr/>
          </w:p>
        </w:tc>
      </w:tr>
    </w:tbl>
    <w:p>
      <w:pPr>
        <w:spacing w:after="0"/>
        <w:sectPr>
          <w:pgSz w:w="11910" w:h="16850"/>
          <w:pgMar w:header="0" w:footer="1141" w:top="1440" w:bottom="1340" w:left="1620" w:right="1620"/>
        </w:sectPr>
      </w:pPr>
    </w:p>
    <w:p>
      <w:pPr>
        <w:pStyle w:val="Heading1"/>
        <w:tabs>
          <w:tab w:pos="7453" w:val="left" w:leader="none"/>
        </w:tabs>
        <w:spacing w:line="404" w:lineRule="exact"/>
        <w:ind w:left="118"/>
      </w:pPr>
      <w:r>
        <w:rPr/>
        <w:pict>
          <v:group style="position:absolute;margin-left:118.444992pt;margin-top:70.485001pt;width:381.15pt;height:60.55pt;mso-position-horizontal-relative:page;mso-position-vertical-relative:paragraph;z-index:-176872"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176848"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176824"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864"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120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514" w:right="514"/>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514" w:right="514"/>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88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191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193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19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t>评价适用标准</w:t>
        <w:tab/>
        <w:t>（表</w:t>
      </w:r>
      <w:r>
        <w:rPr>
          <w:spacing w:val="-76"/>
        </w:rPr>
        <w:t> </w:t>
      </w:r>
      <w:r>
        <w:rPr>
          <w:rFonts w:ascii="Times New Roman" w:eastAsia="Times New Roman"/>
        </w:rPr>
        <w:t>4</w:t>
      </w:r>
      <w:r>
        <w:rPr/>
        <w:t>）</w:t>
      </w:r>
    </w:p>
    <w:p>
      <w:pPr>
        <w:pStyle w:val="BodyText"/>
        <w:spacing w:before="8" w:after="1"/>
        <w:rPr>
          <w:b/>
          <w:sz w:val="16"/>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before="7"/>
              <w:jc w:val="left"/>
              <w:rPr>
                <w:b/>
                <w:sz w:val="32"/>
              </w:rPr>
            </w:pPr>
          </w:p>
          <w:p>
            <w:pPr>
              <w:pStyle w:val="TableParagraph"/>
              <w:spacing w:line="357" w:lineRule="auto"/>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b/>
                <w:sz w:val="24"/>
              </w:rPr>
            </w:pPr>
          </w:p>
          <w:p>
            <w:pPr>
              <w:pStyle w:val="TableParagraph"/>
              <w:spacing w:before="10"/>
              <w:jc w:val="left"/>
              <w:rPr>
                <w:b/>
                <w:sz w:val="22"/>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b/>
                <w:sz w:val="30"/>
              </w:rPr>
            </w:pPr>
          </w:p>
          <w:p>
            <w:pPr>
              <w:pStyle w:val="TableParagraph"/>
              <w:jc w:val="left"/>
              <w:rPr>
                <w:b/>
                <w:sz w:val="30"/>
              </w:rPr>
            </w:pPr>
          </w:p>
          <w:p>
            <w:pPr>
              <w:pStyle w:val="TableParagraph"/>
              <w:jc w:val="left"/>
              <w:rPr>
                <w:b/>
                <w:sz w:val="30"/>
              </w:rPr>
            </w:pPr>
          </w:p>
          <w:p>
            <w:pPr>
              <w:pStyle w:val="TableParagraph"/>
              <w:spacing w:before="260"/>
              <w:ind w:left="100"/>
              <w:jc w:val="left"/>
              <w:rPr>
                <w:sz w:val="24"/>
              </w:rPr>
            </w:pPr>
            <w:r>
              <w:rPr>
                <w:rFonts w:ascii="Times New Roman" w:eastAsia="Times New Roman"/>
                <w:sz w:val="24"/>
              </w:rPr>
              <w:t>2</w:t>
            </w:r>
            <w:r>
              <w:rPr>
                <w:sz w:val="24"/>
              </w:rPr>
              <w:t>、废水</w:t>
            </w:r>
          </w:p>
          <w:p>
            <w:pPr>
              <w:pStyle w:val="TableParagraph"/>
              <w:spacing w:line="338" w:lineRule="auto" w:before="135"/>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40" w:left="1680" w:right="154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2"/>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2"/>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spacing w:line="237" w:lineRule="auto" w:before="191"/>
              <w:ind w:left="100" w:right="93"/>
              <w:jc w:val="both"/>
              <w:rPr>
                <w:sz w:val="24"/>
              </w:rPr>
            </w:pPr>
            <w:r>
              <w:rPr>
                <w:sz w:val="24"/>
              </w:rPr>
              <w:t>总量控制</w:t>
            </w:r>
          </w:p>
        </w:tc>
        <w:tc>
          <w:tcPr>
            <w:tcW w:w="7838" w:type="dxa"/>
          </w:tcPr>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24"/>
              </w:rPr>
            </w:pPr>
          </w:p>
          <w:p>
            <w:pPr>
              <w:pStyle w:val="TableParagraph"/>
              <w:jc w:val="left"/>
              <w:rPr>
                <w:b/>
                <w:sz w:val="35"/>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176680"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176656"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05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pStyle w:val="Heading2"/>
        <w:spacing w:line="240" w:lineRule="auto" w:before="132"/>
        <w:ind w:left="238"/>
      </w:pPr>
      <w:r>
        <w:rPr/>
        <w:t>工艺流程简述</w:t>
      </w:r>
    </w:p>
    <w:p>
      <w:pPr>
        <w:pStyle w:val="BodyText"/>
        <w:spacing w:before="5"/>
        <w:rPr>
          <w:b/>
          <w:sz w:val="23"/>
        </w:rPr>
      </w:pPr>
    </w:p>
    <w:p>
      <w:pPr>
        <w:pStyle w:val="BodyText"/>
        <w:spacing w:line="338" w:lineRule="auto"/>
        <w:ind w:left="238" w:right="233" w:firstLine="479"/>
        <w:jc w:val="both"/>
      </w:pPr>
      <w:r>
        <w:rPr/>
        <w:t>本工程涉及橄榄大道（牛山寺）</w:t>
      </w:r>
      <w:r>
        <w:rPr>
          <w:spacing w:val="-3"/>
        </w:rPr>
        <w:t>端部工程长约 </w:t>
      </w:r>
      <w:r>
        <w:rPr>
          <w:rFonts w:ascii="Times New Roman" w:eastAsia="Times New Roman"/>
          <w:spacing w:val="-5"/>
        </w:rPr>
        <w:t>111m</w:t>
      </w:r>
      <w:r>
        <w:rPr/>
        <w:t>、橄榄大道至化肥厂</w:t>
      </w:r>
      <w:r>
        <w:rPr>
          <w:spacing w:val="-3"/>
        </w:rPr>
        <w:t>道路交界处长约 </w:t>
      </w:r>
      <w:r>
        <w:rPr>
          <w:rFonts w:ascii="Times New Roman" w:eastAsia="Times New Roman"/>
        </w:rPr>
        <w:t>256.3m</w:t>
      </w:r>
      <w:r>
        <w:rPr>
          <w:spacing w:val="-2"/>
        </w:rPr>
        <w:t>、牛山寺至老城普路降坡三段道路降坡长约 </w:t>
      </w:r>
      <w:r>
        <w:rPr>
          <w:rFonts w:ascii="Times New Roman" w:eastAsia="Times New Roman"/>
        </w:rPr>
        <w:t>88m</w:t>
      </w:r>
      <w:r>
        <w:rPr/>
        <w:t>，总</w:t>
      </w:r>
      <w:r>
        <w:rPr>
          <w:spacing w:val="5"/>
        </w:rPr>
        <w:t>长 </w:t>
      </w:r>
      <w:r>
        <w:rPr>
          <w:rFonts w:ascii="Times New Roman" w:eastAsia="Times New Roman"/>
        </w:rPr>
        <w:t>455.3m</w:t>
      </w:r>
      <w:r>
        <w:rPr/>
        <w:t>，主要内容为土方开挖、原路面恢复、人行道铺装等。</w:t>
      </w:r>
      <w:r>
        <w:rPr>
          <w:b/>
        </w:rPr>
        <w:t>不涉及涵洞</w:t>
      </w:r>
      <w:r>
        <w:rPr>
          <w:b/>
          <w:spacing w:val="-4"/>
        </w:rPr>
        <w:t>工程、桥梁工程</w:t>
      </w:r>
      <w:r>
        <w:rPr>
          <w:spacing w:val="-13"/>
        </w:rPr>
        <w:t>。根据现场调查，目前已于 </w:t>
      </w:r>
      <w:r>
        <w:rPr>
          <w:rFonts w:ascii="Times New Roman" w:eastAsia="Times New Roman"/>
        </w:rPr>
        <w:t>2016 </w:t>
      </w:r>
      <w:r>
        <w:rPr>
          <w:spacing w:val="-31"/>
        </w:rPr>
        <w:t>年 </w:t>
      </w:r>
      <w:r>
        <w:rPr>
          <w:rFonts w:ascii="Times New Roman" w:eastAsia="Times New Roman"/>
        </w:rPr>
        <w:t>12 </w:t>
      </w:r>
      <w:r>
        <w:rPr>
          <w:spacing w:val="-4"/>
        </w:rPr>
        <w:t>月动工建设，目前完成</w:t>
      </w:r>
      <w:r>
        <w:rPr>
          <w:spacing w:val="-9"/>
        </w:rPr>
        <w:t>了道路降坡工程，已于 </w:t>
      </w:r>
      <w:r>
        <w:rPr>
          <w:rFonts w:ascii="Times New Roman" w:eastAsia="Times New Roman"/>
        </w:rPr>
        <w:t>2017 </w:t>
      </w:r>
      <w:r>
        <w:rPr>
          <w:spacing w:val="-27"/>
        </w:rPr>
        <w:t>年 </w:t>
      </w:r>
      <w:r>
        <w:rPr>
          <w:rFonts w:ascii="Times New Roman" w:eastAsia="Times New Roman"/>
        </w:rPr>
        <w:t>7 </w:t>
      </w:r>
      <w:r>
        <w:rPr/>
        <w:t>月停止建设，待完善环评手续后继续施工建</w:t>
      </w:r>
      <w:r>
        <w:rPr>
          <w:spacing w:val="-1"/>
        </w:rPr>
        <w:t>设。</w:t>
      </w:r>
    </w:p>
    <w:p>
      <w:pPr>
        <w:pStyle w:val="Heading3"/>
        <w:spacing w:before="55"/>
        <w:ind w:left="720"/>
      </w:pPr>
      <w:r>
        <w:rPr>
          <w:rFonts w:ascii="Times New Roman" w:eastAsia="Times New Roman"/>
          <w:w w:val="95"/>
        </w:rPr>
        <w:t>1</w:t>
      </w:r>
      <w:r>
        <w:rPr>
          <w:w w:val="95"/>
        </w:rPr>
        <w:t>、施工期工艺流程</w:t>
      </w:r>
    </w:p>
    <w:p>
      <w:pPr>
        <w:pStyle w:val="BodyText"/>
        <w:spacing w:line="357" w:lineRule="auto" w:before="133"/>
        <w:ind w:left="238" w:right="132" w:firstLine="479"/>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BodyText"/>
        <w:spacing w:before="1"/>
        <w:rPr>
          <w:sz w:val="21"/>
        </w:rPr>
      </w:pPr>
      <w:r>
        <w:rPr/>
        <w:pict>
          <v:shape style="position:absolute;margin-left:152.600052pt;margin-top:15.847226pt;width:291pt;height:22.7pt;mso-position-horizontal-relative:page;mso-position-vertical-relative:paragraph;z-index:2080;mso-wrap-distance-left:0;mso-wrap-distance-right:0" type="#_x0000_t202" filled="false" stroked="true" strokeweight=".191823pt" strokecolor="#000000">
            <v:textbox inset="0,0,0,0">
              <w:txbxContent>
                <w:p>
                  <w:pPr>
                    <w:spacing w:before="60"/>
                    <w:ind w:left="886" w:right="0" w:firstLine="0"/>
                    <w:jc w:val="left"/>
                    <w:rPr>
                      <w:sz w:val="19"/>
                    </w:rPr>
                  </w:pPr>
                  <w:r>
                    <w:rPr>
                      <w:sz w:val="19"/>
                    </w:rPr>
                    <w:t>粉尘、噪声、废气、废水、弃土弃渣、水土流失</w:t>
                  </w:r>
                </w:p>
              </w:txbxContent>
            </v:textbox>
            <v:stroke dashstyle="shortdot"/>
            <w10:wrap type="topAndBottom"/>
          </v:shape>
        </w:pict>
      </w:r>
    </w:p>
    <w:p>
      <w:pPr>
        <w:pStyle w:val="BodyText"/>
        <w:rPr>
          <w:sz w:val="20"/>
        </w:rPr>
      </w:pPr>
    </w:p>
    <w:p>
      <w:pPr>
        <w:pStyle w:val="BodyText"/>
        <w:rPr>
          <w:sz w:val="20"/>
        </w:rPr>
      </w:pPr>
    </w:p>
    <w:p>
      <w:pPr>
        <w:spacing w:after="0"/>
        <w:rPr>
          <w:sz w:val="20"/>
        </w:rPr>
        <w:sectPr>
          <w:pgSz w:w="11910" w:h="16850"/>
          <w:pgMar w:header="0" w:footer="1141" w:top="1400" w:bottom="1340" w:left="1680" w:right="1680"/>
        </w:sectPr>
      </w:pPr>
    </w:p>
    <w:p>
      <w:pPr>
        <w:pStyle w:val="BodyText"/>
        <w:rPr>
          <w:sz w:val="14"/>
        </w:rPr>
      </w:pPr>
    </w:p>
    <w:p>
      <w:pPr>
        <w:tabs>
          <w:tab w:pos="2278" w:val="left" w:leader="none"/>
        </w:tabs>
        <w:spacing w:line="239" w:lineRule="exact" w:before="0"/>
        <w:ind w:left="1277" w:right="0" w:firstLine="0"/>
        <w:jc w:val="left"/>
        <w:rPr>
          <w:sz w:val="19"/>
        </w:rPr>
      </w:pPr>
      <w:r>
        <w:rPr/>
        <w:pict>
          <v:shape style="position:absolute;margin-left:230.268036pt;margin-top:-.172861pt;width:38.65pt;height:28.1pt;mso-position-horizontal-relative:page;mso-position-vertical-relative:paragraph;z-index:2128" type="#_x0000_t202" filled="false" stroked="true" strokeweight=".192043pt" strokecolor="#000000">
            <v:textbox inset="0,0,0,0">
              <w:txbxContent>
                <w:p>
                  <w:pPr>
                    <w:spacing w:line="230" w:lineRule="exact" w:before="37"/>
                    <w:ind w:left="191" w:right="89" w:hanging="97"/>
                    <w:jc w:val="left"/>
                    <w:rPr>
                      <w:sz w:val="19"/>
                    </w:rPr>
                  </w:pPr>
                  <w:r>
                    <w:rPr>
                      <w:sz w:val="19"/>
                    </w:rPr>
                    <w:t>人行道工程</w:t>
                  </w:r>
                </w:p>
              </w:txbxContent>
            </v:textbox>
            <v:stroke dashstyle="solid"/>
            <w10:wrap type="none"/>
          </v:shape>
        </w:pict>
      </w:r>
      <w:r>
        <w:rPr>
          <w:sz w:val="19"/>
        </w:rPr>
        <w:t>降坡</w:t>
        <w:tab/>
        <w:t>道路</w:t>
      </w:r>
    </w:p>
    <w:p>
      <w:pPr>
        <w:tabs>
          <w:tab w:pos="2278" w:val="left" w:leader="none"/>
        </w:tabs>
        <w:spacing w:line="239" w:lineRule="exact" w:before="0"/>
        <w:ind w:left="1277" w:right="0" w:firstLine="0"/>
        <w:jc w:val="left"/>
        <w:rPr>
          <w:sz w:val="19"/>
        </w:rPr>
      </w:pPr>
      <w:r>
        <w:rPr>
          <w:sz w:val="19"/>
        </w:rPr>
        <w:t>工程</w:t>
        <w:tab/>
        <w:t>工程</w:t>
      </w:r>
    </w:p>
    <w:p>
      <w:pPr>
        <w:pStyle w:val="BodyText"/>
        <w:spacing w:before="12"/>
        <w:rPr>
          <w:sz w:val="21"/>
        </w:rPr>
      </w:pPr>
      <w:r>
        <w:rPr/>
        <w:br w:type="column"/>
      </w:r>
      <w:r>
        <w:rPr>
          <w:sz w:val="21"/>
        </w:rPr>
      </w:r>
    </w:p>
    <w:p>
      <w:pPr>
        <w:spacing w:before="0"/>
        <w:ind w:left="1264" w:right="1040" w:firstLine="0"/>
        <w:jc w:val="center"/>
        <w:rPr>
          <w:sz w:val="19"/>
        </w:rPr>
      </w:pPr>
      <w:r>
        <w:rPr>
          <w:sz w:val="19"/>
        </w:rPr>
        <w:t>亮化工程</w:t>
      </w:r>
    </w:p>
    <w:p>
      <w:pPr>
        <w:spacing w:after="0"/>
        <w:jc w:val="center"/>
        <w:rPr>
          <w:sz w:val="19"/>
        </w:rPr>
        <w:sectPr>
          <w:type w:val="continuous"/>
          <w:pgSz w:w="11910" w:h="16850"/>
          <w:pgMar w:top="1600" w:bottom="280" w:left="1680" w:right="1680"/>
          <w:cols w:num="2" w:equalWidth="0">
            <w:col w:w="2664" w:space="2781"/>
            <w:col w:w="3105"/>
          </w:cols>
        </w:sectPr>
      </w:pPr>
    </w:p>
    <w:p>
      <w:pPr>
        <w:pStyle w:val="BodyText"/>
        <w:rPr>
          <w:sz w:val="20"/>
        </w:rPr>
      </w:pPr>
    </w:p>
    <w:p>
      <w:pPr>
        <w:pStyle w:val="BodyText"/>
        <w:rPr>
          <w:sz w:val="20"/>
        </w:rPr>
      </w:pPr>
    </w:p>
    <w:p>
      <w:pPr>
        <w:pStyle w:val="BodyText"/>
        <w:spacing w:before="10"/>
        <w:rPr>
          <w:sz w:val="27"/>
        </w:rPr>
      </w:pPr>
    </w:p>
    <w:p>
      <w:pPr>
        <w:spacing w:after="0"/>
        <w:rPr>
          <w:sz w:val="27"/>
        </w:rPr>
        <w:sectPr>
          <w:type w:val="continuous"/>
          <w:pgSz w:w="11910" w:h="16850"/>
          <w:pgMar w:top="1600" w:bottom="280" w:left="1680" w:right="1680"/>
        </w:sectPr>
      </w:pPr>
    </w:p>
    <w:p>
      <w:pPr>
        <w:spacing w:before="68"/>
        <w:ind w:left="0" w:right="0" w:firstLine="0"/>
        <w:jc w:val="right"/>
        <w:rPr>
          <w:sz w:val="16"/>
        </w:rPr>
      </w:pPr>
      <w:r>
        <w:rPr/>
        <w:pict>
          <v:shape style="position:absolute;margin-left:280.276581pt;margin-top:-68.950264pt;width:40.4pt;height:28.1pt;mso-position-horizontal-relative:page;mso-position-vertical-relative:paragraph;z-index:2152" type="#_x0000_t202" filled="false" stroked="true" strokeweight=".19203pt" strokecolor="#000000">
            <v:textbox inset="0,0,0,0">
              <w:txbxContent>
                <w:p>
                  <w:pPr>
                    <w:spacing w:line="230" w:lineRule="exact" w:before="37"/>
                    <w:ind w:left="113" w:right="105" w:firstLine="0"/>
                    <w:jc w:val="left"/>
                    <w:rPr>
                      <w:sz w:val="19"/>
                    </w:rPr>
                  </w:pPr>
                  <w:r>
                    <w:rPr>
                      <w:sz w:val="19"/>
                    </w:rPr>
                    <w:t>市政管线工程</w:t>
                  </w:r>
                </w:p>
              </w:txbxContent>
            </v:textbox>
            <v:stroke dashstyle="solid"/>
            <w10:wrap type="none"/>
          </v:shape>
        </w:pict>
      </w:r>
      <w:r>
        <w:rPr/>
        <w:pict>
          <v:shape style="position:absolute;margin-left:341.969269pt;margin-top:-68.950264pt;width:42.9pt;height:28.1pt;mso-position-horizontal-relative:page;mso-position-vertical-relative:paragraph;z-index:2176" type="#_x0000_t202" filled="false" stroked="true" strokeweight=".192013pt" strokecolor="#000000">
            <v:textbox inset="0,0,0,0">
              <w:txbxContent>
                <w:p>
                  <w:pPr>
                    <w:spacing w:before="114"/>
                    <w:ind w:left="41" w:right="0" w:firstLine="0"/>
                    <w:jc w:val="left"/>
                    <w:rPr>
                      <w:sz w:val="19"/>
                    </w:rPr>
                  </w:pPr>
                  <w:r>
                    <w:rPr>
                      <w:sz w:val="19"/>
                    </w:rPr>
                    <w:t>绿化工程</w:t>
                  </w:r>
                </w:p>
              </w:txbxContent>
            </v:textbox>
            <v:stroke dashstyle="solid"/>
            <w10:wrap type="none"/>
          </v:shape>
        </w:pict>
      </w:r>
      <w:r>
        <w:rPr>
          <w:sz w:val="16"/>
        </w:rPr>
        <w:t>废气、噪声、固废</w:t>
      </w:r>
    </w:p>
    <w:p>
      <w:pPr>
        <w:tabs>
          <w:tab w:pos="2836" w:val="left" w:leader="none"/>
        </w:tabs>
        <w:spacing w:before="43"/>
        <w:ind w:left="985" w:right="0" w:firstLine="0"/>
        <w:jc w:val="left"/>
        <w:rPr>
          <w:sz w:val="19"/>
        </w:rPr>
      </w:pPr>
      <w:r>
        <w:rPr/>
        <w:br w:type="column"/>
      </w:r>
      <w:r>
        <w:rPr>
          <w:sz w:val="19"/>
        </w:rPr>
        <w:t>交付使用</w:t>
        <w:tab/>
        <w:t>验收</w:t>
      </w:r>
    </w:p>
    <w:p>
      <w:pPr>
        <w:spacing w:after="0"/>
        <w:jc w:val="left"/>
        <w:rPr>
          <w:sz w:val="19"/>
        </w:rPr>
        <w:sectPr>
          <w:type w:val="continuous"/>
          <w:pgSz w:w="11910" w:h="16850"/>
          <w:pgMar w:top="1600" w:bottom="280" w:left="1680" w:right="1680"/>
          <w:cols w:num="2" w:equalWidth="0">
            <w:col w:w="4327" w:space="40"/>
            <w:col w:w="4183"/>
          </w:cols>
        </w:sectPr>
      </w:pPr>
    </w:p>
    <w:p>
      <w:pPr>
        <w:pStyle w:val="BodyText"/>
        <w:spacing w:before="1"/>
      </w:pPr>
      <w:r>
        <w:rPr/>
        <w:pict>
          <v:group style="position:absolute;margin-left:89.768997pt;margin-top:91.444984pt;width:415.95pt;height:660.25pt;mso-position-horizontal-relative:page;mso-position-vertical-relative:page;z-index:-176560" coordorigin="1795,1829" coordsize="8319,13205">
            <v:line style="position:absolute" from="1803,1836" to="1817,1836" stroked="true" strokeweight=".71999pt" strokecolor="#000000">
              <v:stroke dashstyle="solid"/>
            </v:line>
            <v:line style="position:absolute" from="1803,1836" to="1817,1836" stroked="true" strokeweight=".71999pt" strokecolor="#000000">
              <v:stroke dashstyle="solid"/>
            </v:line>
            <v:line style="position:absolute" from="1817,1836" to="10091,1836" stroked="true" strokeweight=".71999pt" strokecolor="#000000">
              <v:stroke dashstyle="solid"/>
            </v:line>
            <v:line style="position:absolute" from="10092,1836" to="10106,1836" stroked="true" strokeweight=".71999pt" strokecolor="#000000">
              <v:stroke dashstyle="solid"/>
            </v:line>
            <v:line style="position:absolute" from="10092,1836" to="10106,1836" stroked="true" strokeweight=".71999pt" strokecolor="#000000">
              <v:stroke dashstyle="solid"/>
            </v:line>
            <v:line style="position:absolute" from="1810,1844" to="1810,15026" stroked="true" strokeweight=".72pt" strokecolor="#000000">
              <v:stroke dashstyle="solid"/>
            </v:line>
            <v:line style="position:absolute" from="1817,15019" to="10091,15019" stroked="true" strokeweight=".72003pt" strokecolor="#000000">
              <v:stroke dashstyle="solid"/>
            </v:line>
            <v:line style="position:absolute" from="10099,1844" to="10099,15026" stroked="true" strokeweight=".71997pt" strokecolor="#000000">
              <v:stroke dashstyle="solid"/>
            </v:line>
            <v:rect style="position:absolute;left:1978;top:7005;width:7757;height:3325" filled="false" stroked="true" strokeweight=".75pt" strokecolor="#000000">
              <v:stroke dashstyle="solid"/>
            </v:rect>
            <v:shape style="position:absolute;left:2120;top:13776;width:7106;height:3023" coordorigin="2120,13776" coordsize="7106,3023" path="m3832,8860l4469,8860,4469,8283,3832,8283,3832,8860xm8621,10096l9531,10096,9531,9642,8621,9642,8621,10096xm8288,8845l9288,8845,9288,8283,8288,8283,8288,8845xm6825,10096l8007,10096,8007,9642,6825,9642,6825,10096xm4151,8283l4148,7680e" filled="false" stroked="true" strokeweight=".192141pt" strokecolor="#000000">
              <v:path arrowok="t"/>
              <v:stroke dashstyle="solid"/>
            </v:shape>
            <v:shape style="position:absolute;left:4104;top:7558;width:89;height:133" coordorigin="4104,7558" coordsize="89,133" path="m4148,7558l4104,7691,4193,7690,4148,7558xe" filled="true" fillcolor="#000000" stroked="false">
              <v:path arrowok="t"/>
              <v:fill type="solid"/>
            </v:shape>
            <v:line style="position:absolute" from="6009,8283" to="6015,7680" stroked="true" strokeweight=".192464pt" strokecolor="#000000">
              <v:stroke dashstyle="solid"/>
            </v:line>
            <v:shape style="position:absolute;left:5971;top:7558;width:89;height:133" coordorigin="5971,7558" coordsize="89,133" path="m6016,7558l5971,7690,6059,7691,6016,7558xe" filled="true" fillcolor="#000000" stroked="false">
              <v:path arrowok="t"/>
              <v:fill type="solid"/>
            </v:shape>
            <v:line style="position:absolute" from="7268,8283" to="7278,7679" stroked="true" strokeweight=".192464pt" strokecolor="#000000">
              <v:stroke dashstyle="solid"/>
            </v:line>
            <v:shape style="position:absolute;left:7234;top:7558;width:89;height:133" coordorigin="7234,7558" coordsize="89,133" path="m7280,7558l7234,7690,7322,7691,7280,7558xe" filled="true" fillcolor="#000000" stroked="false">
              <v:path arrowok="t"/>
              <v:fill type="solid"/>
            </v:shape>
            <v:line style="position:absolute" from="8788,8283" to="8788,7680" stroked="true" strokeweight=".192464pt" strokecolor="#000000">
              <v:stroke dashstyle="solid"/>
            </v:line>
            <v:shape style="position:absolute;left:8744;top:7558;width:89;height:133" coordorigin="8744,7558" coordsize="89,133" path="m8788,7558l8744,7691,8832,7691,8788,7558xe" filled="true" fillcolor="#000000" stroked="false">
              <v:path arrowok="t"/>
              <v:fill type="solid"/>
            </v:shape>
            <v:line style="position:absolute" from="8788,8845" to="8788,9565" stroked="true" strokeweight=".192448pt" strokecolor="#000000">
              <v:stroke dashstyle="solid"/>
            </v:line>
            <v:shape style="position:absolute;left:8744;top:9554;width:89;height:89" coordorigin="8744,9554" coordsize="89,89" path="m8832,9554l8744,9554,8788,9642,8832,9554xe" filled="true" fillcolor="#000000" stroked="false">
              <v:path arrowok="t"/>
              <v:fill type="solid"/>
            </v:shape>
            <v:line style="position:absolute" from="8621,9869" to="8085,9869" stroked="true" strokeweight=".191803pt" strokecolor="#000000">
              <v:stroke dashstyle="solid"/>
            </v:line>
            <v:shape style="position:absolute;left:8008;top:9825;width:89;height:89" coordorigin="8008,9825" coordsize="89,89" path="m8096,9825l8008,9869,8096,9913,8096,9825xe" filled="true" fillcolor="#000000" stroked="false">
              <v:path arrowok="t"/>
              <v:fill type="solid"/>
            </v:shape>
            <v:line style="position:absolute" from="6825,9869" to="6221,9869" stroked="true" strokeweight=".191803pt" strokecolor="#000000">
              <v:stroke dashstyle="solid"/>
            </v:line>
            <v:shape style="position:absolute;left:6144;top:9825;width:89;height:89" coordorigin="6144,9825" coordsize="89,89" path="m6232,9825l6144,9869,6232,9913,6232,9825xe" filled="true" fillcolor="#000000" stroked="false">
              <v:path arrowok="t"/>
              <v:fill type="solid"/>
            </v:shape>
            <v:line style="position:absolute" from="4992,8293" to="4997,7689" stroked="true" strokeweight=".192464pt" strokecolor="#000000">
              <v:stroke dashstyle="solid"/>
            </v:line>
            <v:shape style="position:absolute;left:4953;top:7568;width:89;height:133" coordorigin="4953,7568" coordsize="89,133" path="m4998,7568l4953,7700,5042,7700,4998,7568xe" filled="true" fillcolor="#000000" stroked="false">
              <v:path arrowok="t"/>
              <v:fill type="solid"/>
            </v:shape>
            <v:shape style="position:absolute;left:873;top:13781;width:794;height:1478" coordorigin="873,13781" coordsize="794,1478" path="m2832,8864l3469,8864,3469,8287,2832,8287,2832,8864xm3150,8287l3148,7683e" filled="false" stroked="true" strokeweight=".192141pt" strokecolor="#000000">
              <v:path arrowok="t"/>
              <v:stroke dashstyle="solid"/>
            </v:shape>
            <v:shape style="position:absolute;left:3104;top:7562;width:89;height:133" coordorigin="3104,7562" coordsize="89,133" path="m3148,7562l3104,7695,3193,7694,3148,7562xe" filled="true" fillcolor="#000000" stroked="false">
              <v:path arrowok="t"/>
              <v:fill type="solid"/>
            </v:shape>
            <w10:wrap type="none"/>
          </v:group>
        </w:pict>
      </w:r>
    </w:p>
    <w:p>
      <w:pPr>
        <w:pStyle w:val="Heading3"/>
        <w:tabs>
          <w:tab w:pos="2895" w:val="left" w:leader="none"/>
        </w:tabs>
        <w:ind w:left="2033"/>
      </w:pPr>
      <w:r>
        <w:rPr/>
        <w:t>图</w:t>
      </w:r>
      <w:r>
        <w:rPr>
          <w:spacing w:val="-59"/>
        </w:rPr>
        <w:t> </w:t>
      </w:r>
      <w:r>
        <w:rPr>
          <w:rFonts w:ascii="Times New Roman" w:eastAsia="Times New Roman"/>
        </w:rPr>
        <w:t>5-1</w:t>
        <w:tab/>
      </w:r>
      <w:r>
        <w:rPr>
          <w:w w:val="95"/>
        </w:rPr>
        <w:t>施工期主要工艺流程及产污环节图</w:t>
      </w:r>
    </w:p>
    <w:p>
      <w:pPr>
        <w:pStyle w:val="BodyText"/>
        <w:spacing w:line="357" w:lineRule="auto" w:before="133"/>
        <w:ind w:left="718" w:right="132"/>
      </w:pPr>
      <w:r>
        <w:rPr/>
        <w:t>施工场地：本项目不在现场拌合沥青及混凝土，均采用车辆外运的方式。临时堆土场：本项目开挖的弃土和破除路面产生的废土石方临时堆放于两</w:t>
      </w:r>
    </w:p>
    <w:p>
      <w:pPr>
        <w:pStyle w:val="BodyText"/>
        <w:spacing w:before="34"/>
        <w:ind w:left="238"/>
      </w:pPr>
      <w:r>
        <w:rPr/>
        <w:t>侧，当天及时清运。</w:t>
      </w:r>
    </w:p>
    <w:p>
      <w:pPr>
        <w:pStyle w:val="BodyText"/>
        <w:spacing w:line="355" w:lineRule="auto" w:before="153"/>
        <w:ind w:left="238" w:right="235" w:firstLine="479"/>
      </w:pPr>
      <w:r>
        <w:rPr>
          <w:spacing w:val="-9"/>
        </w:rPr>
        <w:t>施工便道：项目区所在地交通便利，施工期间可利用已有道路运输，不新</w:t>
      </w:r>
      <w:r>
        <w:rPr>
          <w:spacing w:val="-1"/>
        </w:rPr>
        <w:t>增施工便道。</w:t>
      </w:r>
    </w:p>
    <w:p>
      <w:pPr>
        <w:pStyle w:val="BodyText"/>
        <w:spacing w:before="38"/>
        <w:ind w:left="718"/>
      </w:pPr>
      <w:r>
        <w:rPr/>
        <w:t>施工营地：本项目不设置施工营地，施工人员住宿通过租赁附近房屋。 </w:t>
      </w:r>
    </w:p>
    <w:p>
      <w:pPr>
        <w:pStyle w:val="Heading3"/>
        <w:spacing w:before="151"/>
        <w:ind w:left="720"/>
      </w:pPr>
      <w:r>
        <w:rPr>
          <w:rFonts w:ascii="Times New Roman" w:eastAsia="Times New Roman"/>
          <w:w w:val="95"/>
        </w:rPr>
        <w:t>2</w:t>
      </w:r>
      <w:r>
        <w:rPr>
          <w:w w:val="95"/>
        </w:rPr>
        <w:t>、运营期工艺流程简述</w:t>
      </w:r>
    </w:p>
    <w:p>
      <w:pPr>
        <w:pStyle w:val="BodyText"/>
        <w:spacing w:line="357" w:lineRule="auto" w:before="135"/>
        <w:ind w:left="238" w:right="235" w:firstLine="479"/>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sectPr>
          <w:type w:val="continuous"/>
          <w:pgSz w:w="11910" w:h="16850"/>
          <w:pgMar w:top="1600" w:bottom="2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91" w:firstLine="479"/>
              <w:jc w:val="left"/>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sz w:val="24"/>
              </w:rPr>
              <w:t>（1）施工组织</w:t>
            </w:r>
            <w:r>
              <w:rPr>
                <w:b/>
                <w:w w:val="99"/>
                <w:sz w:val="24"/>
              </w:rPr>
              <w:t> </w:t>
            </w:r>
          </w:p>
          <w:p>
            <w:pPr>
              <w:pStyle w:val="TableParagraph"/>
              <w:spacing w:before="153"/>
              <w:ind w:left="583"/>
              <w:jc w:val="left"/>
              <w:rPr>
                <w:b/>
                <w:sz w:val="24"/>
              </w:rPr>
            </w:pPr>
            <w:r>
              <w:rPr>
                <w:rFonts w:ascii="Times New Roman" w:eastAsia="Times New Roman"/>
                <w:b/>
                <w:sz w:val="24"/>
              </w:rPr>
              <w:t>1</w:t>
            </w:r>
            <w:r>
              <w:rPr>
                <w:b/>
                <w:spacing w:val="-118"/>
                <w:w w:val="99"/>
                <w:sz w:val="24"/>
              </w:rPr>
              <w:t>）</w:t>
            </w:r>
            <w:r>
              <w:rPr>
                <w:b/>
                <w:w w:val="99"/>
                <w:sz w:val="24"/>
              </w:rPr>
              <w:t>、降坡工程</w:t>
            </w:r>
          </w:p>
          <w:p>
            <w:pPr>
              <w:pStyle w:val="TableParagraph"/>
              <w:spacing w:line="357" w:lineRule="auto" w:before="132"/>
              <w:ind w:left="100" w:firstLine="479"/>
              <w:jc w:val="left"/>
              <w:rPr>
                <w:sz w:val="24"/>
              </w:rPr>
            </w:pPr>
            <w:r>
              <w:rPr>
                <w:spacing w:val="-6"/>
                <w:sz w:val="24"/>
              </w:rPr>
              <w:t>本工程主要为土石方工程，由于工程施工面积大，土方量大，故采用大面积机械作业，配合人工修整完成，以确保进度和精度。</w:t>
            </w:r>
          </w:p>
          <w:p>
            <w:pPr>
              <w:pStyle w:val="TableParagraph"/>
              <w:spacing w:before="33"/>
              <w:ind w:left="580"/>
              <w:jc w:val="left"/>
              <w:rPr>
                <w:sz w:val="24"/>
              </w:rPr>
            </w:pPr>
            <w:r>
              <w:rPr>
                <w:sz w:val="24"/>
              </w:rPr>
              <w:t>㈡ 施工前准备</w:t>
            </w:r>
          </w:p>
          <w:p>
            <w:pPr>
              <w:pStyle w:val="TableParagraph"/>
              <w:spacing w:before="153"/>
              <w:ind w:left="580"/>
              <w:jc w:val="left"/>
              <w:rPr>
                <w:sz w:val="24"/>
              </w:rPr>
            </w:pPr>
            <w:r>
              <w:rPr>
                <w:sz w:val="24"/>
              </w:rPr>
              <w:t>对降坡路段进行测量勘查，确定修复位置点。</w:t>
            </w:r>
          </w:p>
          <w:p>
            <w:pPr>
              <w:pStyle w:val="TableParagraph"/>
              <w:spacing w:line="357" w:lineRule="auto" w:before="153"/>
              <w:ind w:left="100" w:right="98" w:firstLine="479"/>
              <w:jc w:val="both"/>
              <w:rPr>
                <w:sz w:val="24"/>
              </w:rPr>
            </w:pPr>
            <w:r>
              <w:rPr>
                <w:spacing w:val="-5"/>
                <w:sz w:val="24"/>
              </w:rPr>
              <w:t>根据工程设计总平面图的要求和地质专家的勘察，利用机械拆除场地上妨</w:t>
            </w:r>
            <w:r>
              <w:rPr>
                <w:spacing w:val="-11"/>
                <w:sz w:val="24"/>
              </w:rPr>
              <w:t>碍的建筑物和构筑物，清理山体坍塌部分，清理山上的碎石，清除山体上的悬石。</w:t>
            </w:r>
          </w:p>
          <w:p>
            <w:pPr>
              <w:pStyle w:val="TableParagraph"/>
              <w:spacing w:line="357" w:lineRule="auto" w:before="33"/>
              <w:ind w:left="100" w:right="-6" w:firstLine="479"/>
              <w:jc w:val="left"/>
              <w:rPr>
                <w:sz w:val="24"/>
              </w:rPr>
            </w:pPr>
            <w:r>
              <w:rPr>
                <w:sz w:val="24"/>
              </w:rPr>
              <w:t>然后根据总平面图规定的标高和土方竖向设计图纸，进行挖（填）土方的工程量计算，确定场地的施工方案，进行场地的平整工作，为施工创造条件。</w:t>
            </w:r>
          </w:p>
          <w:p>
            <w:pPr>
              <w:pStyle w:val="TableParagraph"/>
              <w:spacing w:before="33"/>
              <w:ind w:left="580"/>
              <w:jc w:val="left"/>
              <w:rPr>
                <w:sz w:val="24"/>
              </w:rPr>
            </w:pPr>
            <w:r>
              <w:rPr>
                <w:sz w:val="24"/>
              </w:rPr>
              <w:t>㈢ 土方施工</w:t>
            </w:r>
          </w:p>
          <w:p>
            <w:pPr>
              <w:pStyle w:val="TableParagraph"/>
              <w:spacing w:line="350" w:lineRule="auto" w:before="153"/>
              <w:ind w:left="100" w:right="-5" w:firstLine="479"/>
              <w:jc w:val="left"/>
              <w:rPr>
                <w:sz w:val="24"/>
              </w:rPr>
            </w:pPr>
            <w:r>
              <w:rPr>
                <w:sz w:val="24"/>
              </w:rPr>
              <w:t>（</w:t>
            </w:r>
            <w:r>
              <w:rPr>
                <w:rFonts w:ascii="Times New Roman" w:eastAsia="Times New Roman"/>
                <w:sz w:val="24"/>
              </w:rPr>
              <w:t>1</w:t>
            </w:r>
            <w:r>
              <w:rPr>
                <w:spacing w:val="-120"/>
                <w:sz w:val="24"/>
              </w:rPr>
              <w:t>）</w:t>
            </w:r>
            <w:r>
              <w:rPr>
                <w:sz w:val="24"/>
              </w:rPr>
              <w:t>、清理现场：根据招标文件有关规定，按照业主的要求，结合苗木、</w:t>
            </w:r>
            <w:r>
              <w:rPr>
                <w:spacing w:val="-9"/>
                <w:sz w:val="24"/>
              </w:rPr>
              <w:t>草坪生物学、生态学特性及对立地条件的需求，对施工现场进行处理。清除灰</w:t>
            </w:r>
            <w:r>
              <w:rPr>
                <w:spacing w:val="-11"/>
                <w:sz w:val="24"/>
              </w:rPr>
              <w:t>土、砖块、沙石、垃圾等杂物，尤其对废弃建筑垃圾清理彻底。绿化场地清理</w:t>
            </w:r>
            <w:r>
              <w:rPr>
                <w:spacing w:val="-1"/>
                <w:sz w:val="24"/>
              </w:rPr>
              <w:t>完毕自检合格后，报请监理工程师验收。</w:t>
            </w:r>
          </w:p>
        </w:tc>
      </w:tr>
    </w:tbl>
    <w:p>
      <w:pPr>
        <w:rPr>
          <w:sz w:val="2"/>
          <w:szCs w:val="2"/>
        </w:rPr>
      </w:pPr>
      <w:r>
        <w:rPr/>
        <w:pict>
          <v:group style="position:absolute;margin-left:110.972153pt;margin-top:122.749527pt;width:372.85pt;height:70.7pt;mso-position-horizontal-relative:page;mso-position-vertical-relative:page;z-index:-176464"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38" w:lineRule="auto" w:before="13"/>
        <w:ind w:left="238" w:right="235" w:firstLine="479"/>
      </w:pPr>
      <w:r>
        <w:rPr/>
        <w:pict>
          <v:group style="position:absolute;margin-left:90.128998pt;margin-top:71.624977pt;width:415.2pt;height:698.95pt;mso-position-horizontal-relative:page;mso-position-vertical-relative:page;z-index:-176440"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w:t>
      </w:r>
      <w:r>
        <w:rPr>
          <w:rFonts w:ascii="Times New Roman" w:eastAsia="Times New Roman"/>
        </w:rPr>
        <w:t>2</w:t>
      </w:r>
      <w:r>
        <w:rPr>
          <w:spacing w:val="-120"/>
        </w:rPr>
        <w:t>）</w:t>
      </w:r>
      <w:r>
        <w:rPr>
          <w:spacing w:val="-10"/>
        </w:rPr>
        <w:t>、土方放线：在清理合格的场地上严格按设计图纸，用测量仪器进行定点放线，以确定施工范围、管线布置及挖填土方的标高等。</w:t>
      </w:r>
    </w:p>
    <w:p>
      <w:pPr>
        <w:pStyle w:val="BodyText"/>
        <w:spacing w:line="357" w:lineRule="auto" w:before="52"/>
        <w:ind w:left="238" w:right="235" w:firstLine="479"/>
      </w:pPr>
      <w:r>
        <w:rPr>
          <w:spacing w:val="-9"/>
        </w:rPr>
        <w:t>①、平整场地放线：进行方格网法控制，按图纸设计，用经纬仪将图纸上的方格测设到地面上，在交点处立桩，桩上标明图纸要求标高。</w:t>
      </w:r>
    </w:p>
    <w:p>
      <w:pPr>
        <w:pStyle w:val="BodyText"/>
        <w:spacing w:line="357" w:lineRule="auto" w:before="33"/>
        <w:ind w:left="238" w:right="133" w:firstLine="479"/>
      </w:pPr>
      <w:r>
        <w:rPr/>
        <w:t>②、自然地形放线：因本工程地形规划存在大量土方工作，必须考虑挖、</w:t>
      </w:r>
      <w:r>
        <w:rPr>
          <w:spacing w:val="-9"/>
        </w:rPr>
        <w:t>填方的边界线。故施工中应把方格网用仪器测放于实物地貌上，而后把设计地</w:t>
      </w:r>
      <w:r>
        <w:rPr>
          <w:spacing w:val="-13"/>
        </w:rPr>
        <w:t>形等高线和方格网的交点一一标记于地面上并打桩、注明标高，桩高应多出设</w:t>
      </w:r>
      <w:r>
        <w:rPr>
          <w:spacing w:val="-6"/>
        </w:rPr>
        <w:t>计标高， 采用木质或竹竿等材料均可。地形处理的放线完毕，经自检合格后报请监理工程师验收。</w:t>
      </w:r>
    </w:p>
    <w:p>
      <w:pPr>
        <w:pStyle w:val="BodyText"/>
        <w:spacing w:before="33"/>
        <w:ind w:left="718"/>
      </w:pPr>
      <w:r>
        <w:rPr/>
        <w:t>（</w:t>
      </w:r>
      <w:r>
        <w:rPr>
          <w:rFonts w:ascii="Times New Roman" w:eastAsia="Times New Roman"/>
        </w:rPr>
        <w:t>3</w:t>
      </w:r>
      <w:r>
        <w:rPr>
          <w:spacing w:val="-120"/>
        </w:rPr>
        <w:t>）</w:t>
      </w:r>
      <w:r>
        <w:rPr/>
        <w:t>、地形处理：</w:t>
      </w:r>
    </w:p>
    <w:p>
      <w:pPr>
        <w:pStyle w:val="BodyText"/>
        <w:spacing w:line="355" w:lineRule="auto" w:before="135"/>
        <w:ind w:left="238" w:right="235" w:firstLine="479"/>
      </w:pPr>
      <w:r>
        <w:rPr/>
        <w:t>严格按设计图纸对工程现场进行微地形处理。机械作业配合人工修整完成， 以确保工程进度和精度。</w:t>
      </w:r>
    </w:p>
    <w:p>
      <w:pPr>
        <w:pStyle w:val="BodyText"/>
        <w:spacing w:before="38"/>
        <w:ind w:left="718"/>
      </w:pPr>
      <w:r>
        <w:rPr/>
        <w:t>（</w:t>
      </w:r>
      <w:r>
        <w:rPr>
          <w:rFonts w:ascii="Times New Roman" w:eastAsia="Times New Roman"/>
        </w:rPr>
        <w:t>4</w:t>
      </w:r>
      <w:r>
        <w:rPr>
          <w:spacing w:val="-120"/>
        </w:rPr>
        <w:t>）</w:t>
      </w:r>
      <w:r>
        <w:rPr/>
        <w:t>、土方运输：</w:t>
      </w:r>
    </w:p>
    <w:p>
      <w:pPr>
        <w:pStyle w:val="BodyText"/>
        <w:spacing w:before="133"/>
        <w:ind w:left="718"/>
      </w:pPr>
      <w:r>
        <w:rPr/>
        <w:t>采用推土机、自卸车和人工手推方式进行，保证效率和精度。</w:t>
      </w:r>
    </w:p>
    <w:p>
      <w:pPr>
        <w:pStyle w:val="BodyText"/>
        <w:spacing w:before="154"/>
        <w:ind w:left="718"/>
      </w:pPr>
      <w:r>
        <w:rPr/>
        <w:t>（</w:t>
      </w:r>
      <w:r>
        <w:rPr>
          <w:rFonts w:ascii="Times New Roman" w:eastAsia="Times New Roman"/>
        </w:rPr>
        <w:t>5</w:t>
      </w:r>
      <w:r>
        <w:rPr>
          <w:spacing w:val="-120"/>
        </w:rPr>
        <w:t>）</w:t>
      </w:r>
      <w:r>
        <w:rPr/>
        <w:t>、土方回填：</w:t>
      </w:r>
    </w:p>
    <w:p>
      <w:pPr>
        <w:pStyle w:val="BodyText"/>
        <w:spacing w:before="133"/>
        <w:ind w:left="718"/>
      </w:pPr>
      <w:r>
        <w:rPr/>
        <w:t>①、种植土选取：</w:t>
      </w:r>
    </w:p>
    <w:p>
      <w:pPr>
        <w:pStyle w:val="BodyText"/>
        <w:spacing w:line="355" w:lineRule="auto" w:before="153"/>
        <w:ind w:left="238" w:right="133" w:firstLine="479"/>
      </w:pPr>
      <w:r>
        <w:rPr/>
        <w:t>选用富含有机质、团粒结构完好的沙壤土，保证种植土具有较好的通气、</w:t>
      </w:r>
      <w:r>
        <w:rPr>
          <w:spacing w:val="-6"/>
        </w:rPr>
        <w:t>透水和保肥能力。土壤酸碱度</w:t>
      </w:r>
      <w:r>
        <w:rPr/>
        <w:t>（</w:t>
      </w:r>
      <w:r>
        <w:rPr>
          <w:rFonts w:ascii="Times New Roman" w:eastAsia="Times New Roman"/>
        </w:rPr>
        <w:t>PH</w:t>
      </w:r>
      <w:r>
        <w:rPr>
          <w:rFonts w:ascii="Times New Roman" w:eastAsia="Times New Roman"/>
          <w:spacing w:val="58"/>
        </w:rPr>
        <w:t> </w:t>
      </w:r>
      <w:r>
        <w:rPr/>
        <w:t>值</w:t>
      </w:r>
      <w:r>
        <w:rPr>
          <w:spacing w:val="-29"/>
        </w:rPr>
        <w:t>）</w:t>
      </w:r>
      <w:r>
        <w:rPr>
          <w:spacing w:val="-1"/>
        </w:rPr>
        <w:t>控制在 </w:t>
      </w:r>
      <w:r>
        <w:rPr>
          <w:rFonts w:ascii="Times New Roman" w:eastAsia="Times New Roman"/>
        </w:rPr>
        <w:t>6-7</w:t>
      </w:r>
      <w:r>
        <w:rPr>
          <w:rFonts w:ascii="Times New Roman" w:eastAsia="Times New Roman"/>
          <w:spacing w:val="59"/>
        </w:rPr>
        <w:t> </w:t>
      </w:r>
      <w:r>
        <w:rPr>
          <w:spacing w:val="-6"/>
        </w:rPr>
        <w:t>之间。干燥土密度应小于</w:t>
      </w:r>
    </w:p>
    <w:p>
      <w:pPr>
        <w:pStyle w:val="BodyText"/>
        <w:spacing w:line="336" w:lineRule="auto" w:before="8"/>
        <w:ind w:left="238" w:right="132"/>
      </w:pPr>
      <w:r>
        <w:rPr>
          <w:rFonts w:ascii="Times New Roman" w:eastAsia="Times New Roman"/>
        </w:rPr>
        <w:t>1200 </w:t>
      </w:r>
      <w:r>
        <w:rPr/>
        <w:t>㎏</w:t>
      </w:r>
      <w:r>
        <w:rPr>
          <w:rFonts w:ascii="Times New Roman" w:eastAsia="Times New Roman"/>
        </w:rPr>
        <w:t>/</w:t>
      </w:r>
      <w:r>
        <w:rPr>
          <w:rFonts w:ascii="MS Gothic" w:eastAsia="MS Gothic" w:hint="eastAsia"/>
          <w:spacing w:val="-60"/>
        </w:rPr>
        <w:t>㎥</w:t>
      </w:r>
      <w:r>
        <w:rPr>
          <w:spacing w:val="-5"/>
        </w:rPr>
        <w:t>。去除种植土中含有的粘土或类似粘土的物质及粗砂、石头、土块、杂草、有害粽子及其他物件，保证种植土的整体成分与结构一致。</w:t>
      </w:r>
    </w:p>
    <w:p>
      <w:pPr>
        <w:pStyle w:val="BodyText"/>
        <w:spacing w:before="58"/>
        <w:ind w:left="718"/>
      </w:pPr>
      <w:r>
        <w:rPr/>
        <w:t>②、回填种植土</w:t>
      </w:r>
    </w:p>
    <w:p>
      <w:pPr>
        <w:pStyle w:val="BodyText"/>
        <w:spacing w:line="343" w:lineRule="auto" w:before="151"/>
        <w:ind w:left="238" w:right="133" w:firstLine="479"/>
      </w:pPr>
      <w:r>
        <w:rPr/>
        <w:t>绿地内回填种植土时根据种植要求，选择检验合格的种植土进行回填土， </w:t>
      </w:r>
      <w:r>
        <w:rPr>
          <w:spacing w:val="3"/>
        </w:rPr>
        <w:t>对回填土厚度超过 </w:t>
      </w:r>
      <w:r>
        <w:rPr>
          <w:rFonts w:ascii="Times New Roman" w:eastAsia="Times New Roman"/>
        </w:rPr>
        <w:t>0.5 </w:t>
      </w:r>
      <w:r>
        <w:rPr>
          <w:spacing w:val="4"/>
        </w:rPr>
        <w:t>米的区域采用分层回填的方式，边回填、边压实</w:t>
      </w:r>
      <w:r>
        <w:rPr/>
        <w:t>（</w:t>
      </w:r>
      <w:r>
        <w:rPr>
          <w:rFonts w:ascii="Times New Roman" w:eastAsia="Times New Roman"/>
        </w:rPr>
        <w:t>a. </w:t>
      </w:r>
      <w:r>
        <w:rPr>
          <w:spacing w:val="-1"/>
        </w:rPr>
        <w:t>保证科学的土壤含水率；</w:t>
      </w:r>
      <w:r>
        <w:rPr>
          <w:rFonts w:ascii="Times New Roman" w:eastAsia="Times New Roman"/>
        </w:rPr>
        <w:t>b.</w:t>
      </w:r>
      <w:r>
        <w:rPr>
          <w:spacing w:val="-1"/>
        </w:rPr>
        <w:t>分层压实；</w:t>
      </w:r>
      <w:r>
        <w:rPr>
          <w:rFonts w:ascii="Times New Roman" w:eastAsia="Times New Roman"/>
          <w:spacing w:val="-1"/>
        </w:rPr>
        <w:t>c</w:t>
      </w:r>
      <w:r>
        <w:rPr>
          <w:rFonts w:ascii="Times New Roman" w:eastAsia="Times New Roman"/>
        </w:rPr>
        <w:t>.</w:t>
      </w:r>
      <w:r>
        <w:rPr>
          <w:spacing w:val="-1"/>
        </w:rPr>
        <w:t>压实均匀；</w:t>
      </w:r>
      <w:r>
        <w:rPr>
          <w:rFonts w:ascii="Times New Roman" w:eastAsia="Times New Roman"/>
        </w:rPr>
        <w:t>d.</w:t>
      </w:r>
      <w:r>
        <w:rPr/>
        <w:t>有内向外逐步压实</w:t>
      </w:r>
      <w:r>
        <w:rPr>
          <w:spacing w:val="-120"/>
        </w:rPr>
        <w:t>）</w:t>
      </w:r>
      <w:r>
        <w:rPr>
          <w:spacing w:val="-3"/>
        </w:rPr>
        <w:t>，每</w:t>
      </w:r>
      <w:r>
        <w:rPr/>
        <w:t>次填土深度不超过 </w:t>
      </w:r>
      <w:r>
        <w:rPr>
          <w:rFonts w:ascii="Times New Roman" w:eastAsia="Times New Roman"/>
        </w:rPr>
        <w:t>25cm </w:t>
      </w:r>
      <w:r>
        <w:rPr/>
        <w:t>以确保坪床长远效果，种植土的表面应避免重型机</w:t>
      </w:r>
      <w:r>
        <w:rPr>
          <w:spacing w:val="-1"/>
        </w:rPr>
        <w:t>械碾压。用石碾压平整，凹凸不大于 </w:t>
      </w:r>
      <w:r>
        <w:rPr>
          <w:rFonts w:ascii="Times New Roman" w:eastAsia="Times New Roman"/>
        </w:rPr>
        <w:t>2cm</w:t>
      </w:r>
      <w:r>
        <w:rPr/>
        <w:t>，达到设计高程和坡度要求。</w:t>
      </w:r>
    </w:p>
    <w:p>
      <w:pPr>
        <w:pStyle w:val="BodyText"/>
        <w:spacing w:before="1"/>
        <w:rPr>
          <w:sz w:val="33"/>
        </w:rPr>
      </w:pPr>
    </w:p>
    <w:p>
      <w:pPr>
        <w:pStyle w:val="BodyText"/>
        <w:ind w:left="718"/>
      </w:pPr>
      <w:r>
        <w:rPr/>
        <w:t>2）路基工程</w:t>
      </w:r>
    </w:p>
    <w:p>
      <w:pPr>
        <w:pStyle w:val="BodyText"/>
        <w:spacing w:line="357" w:lineRule="auto" w:before="150"/>
        <w:ind w:left="238" w:right="132" w:firstLine="479"/>
      </w:pPr>
      <w:r>
        <w:rPr>
          <w:spacing w:val="-5"/>
        </w:rPr>
        <w:t>本项目路基土石方工程以机械为主，辅以人工施工，技术要求高，施工队</w:t>
      </w:r>
      <w:r>
        <w:rPr>
          <w:spacing w:val="-11"/>
        </w:rPr>
        <w:t>伍机械化程度较高。挖方工程路段布以推土机或挖掘机作业，配以装载机和自</w:t>
      </w:r>
    </w:p>
    <w:p>
      <w:pPr>
        <w:spacing w:after="0" w:line="357" w:lineRule="auto"/>
        <w:sectPr>
          <w:pgSz w:w="11910" w:h="16850"/>
          <w:pgMar w:header="0" w:footer="1141" w:top="1400" w:bottom="1340" w:left="1680" w:right="1680"/>
        </w:sectPr>
      </w:pPr>
    </w:p>
    <w:p>
      <w:pPr>
        <w:pStyle w:val="BodyText"/>
        <w:spacing w:line="357" w:lineRule="auto" w:before="13"/>
        <w:ind w:left="238" w:right="235"/>
      </w:pPr>
      <w:r>
        <w:rPr/>
        <w:pict>
          <v:group style="position:absolute;margin-left:90.128998pt;margin-top:71.624977pt;width:415.2pt;height:698.95pt;mso-position-horizontal-relative:page;mso-position-vertical-relative:page;z-index:-17641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6"/>
        </w:rPr>
        <w:t>卸翻斗车转运至填方路段；填方工程以装载机或推土机伴以人工平整，分层碾</w:t>
      </w:r>
      <w:r>
        <w:rPr>
          <w:spacing w:val="-1"/>
        </w:rPr>
        <w:t>压密实。</w:t>
      </w:r>
    </w:p>
    <w:p>
      <w:pPr>
        <w:pStyle w:val="BodyText"/>
        <w:spacing w:line="357" w:lineRule="auto" w:before="33"/>
        <w:ind w:left="238" w:right="235" w:firstLine="479"/>
        <w:jc w:val="both"/>
      </w:pPr>
      <w:r>
        <w:rPr>
          <w:spacing w:val="-6"/>
        </w:rPr>
        <w:t>本项目沿线地势平坦，无大开挖路段，路基挖方路段布置多个作业面，以</w:t>
      </w:r>
      <w:r>
        <w:rPr>
          <w:spacing w:val="-12"/>
        </w:rPr>
        <w:t>推土机或挖掘机作业，配以铲运机、装载机和自卸翻斗车转运至填方段，挖方施工时，挖方边坡按设计要求合理放坡。</w:t>
      </w:r>
    </w:p>
    <w:p>
      <w:pPr>
        <w:pStyle w:val="BodyText"/>
        <w:spacing w:line="357" w:lineRule="auto" w:before="36"/>
        <w:ind w:left="238" w:right="235" w:firstLine="479"/>
        <w:jc w:val="both"/>
      </w:pPr>
      <w:r>
        <w:rPr>
          <w:spacing w:val="-5"/>
        </w:rPr>
        <w:t>填方路基严格按照有关规定选择调料，填料分层摊铺，分层碾压密实。为</w:t>
      </w:r>
      <w:r>
        <w:rPr>
          <w:spacing w:val="-12"/>
        </w:rPr>
        <w:t>有效利用项目开挖土石方，路基填筑料充分利用路基施工开挖土石方和部分管</w:t>
      </w:r>
      <w:r>
        <w:rPr>
          <w:spacing w:val="-14"/>
        </w:rPr>
        <w:t>线施工多余土石方，将开挖土石方与外购砂及砂砾石料充分混合作为填料，以减少外购料数量和项目施工弃土。</w:t>
      </w:r>
    </w:p>
    <w:p>
      <w:pPr>
        <w:pStyle w:val="BodyText"/>
        <w:spacing w:before="34"/>
        <w:ind w:left="718"/>
      </w:pPr>
      <w:r>
        <w:rPr/>
        <w:t>3）路面工程</w:t>
      </w:r>
    </w:p>
    <w:p>
      <w:pPr>
        <w:pStyle w:val="BodyText"/>
        <w:spacing w:line="357" w:lineRule="auto" w:before="154"/>
        <w:ind w:left="238" w:right="235" w:firstLine="479"/>
        <w:jc w:val="both"/>
      </w:pPr>
      <w:r>
        <w:rPr>
          <w:spacing w:val="-7"/>
        </w:rPr>
        <w:t>本项目机动车道为沥青砼路面，沥青砼拌合料直接从当地热拌合商品砼厂</w:t>
      </w:r>
      <w:r>
        <w:rPr>
          <w:spacing w:val="-10"/>
        </w:rPr>
        <w:t>购买，底基层、基层均用摊铺机分层摊铺，压路机压实，各面层采用洒布机喷</w:t>
      </w:r>
      <w:r>
        <w:rPr>
          <w:spacing w:val="-11"/>
        </w:rPr>
        <w:t>洒透层油，摊铺机配以自卸车连续摊铺沥青拌合料，压路机碾压密实成型。人</w:t>
      </w:r>
      <w:r>
        <w:rPr>
          <w:spacing w:val="-15"/>
        </w:rPr>
        <w:t>行道为预制彩色透水砖铺砌路面，人行道路面施工在平整好基底层后，再按照相应施工技术规范分层夯填基层，最后进行人行道透水砖铺装。</w:t>
      </w:r>
    </w:p>
    <w:p>
      <w:pPr>
        <w:pStyle w:val="BodyText"/>
        <w:spacing w:line="357" w:lineRule="auto" w:before="34"/>
        <w:ind w:left="238" w:right="235" w:firstLine="479"/>
        <w:jc w:val="both"/>
      </w:pPr>
      <w:r>
        <w:rPr/>
        <w:t>路面工程以采用大型机械专业化施工为主，以少量人工操作小型机械为辅。沥青混凝土路面底基层、基层、面层，均采用机械摊铺法进行施工。</w:t>
      </w:r>
    </w:p>
    <w:p>
      <w:pPr>
        <w:pStyle w:val="BodyText"/>
        <w:spacing w:before="33"/>
        <w:ind w:left="718"/>
      </w:pPr>
      <w:r>
        <w:rPr/>
        <w:t>4）管网工程</w:t>
      </w:r>
    </w:p>
    <w:p>
      <w:pPr>
        <w:pStyle w:val="BodyText"/>
        <w:spacing w:line="357" w:lineRule="auto" w:before="153"/>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4"/>
        <w:ind w:left="718"/>
      </w:pPr>
      <w:r>
        <w:rPr/>
        <w:t>②基础浇筑</w:t>
      </w:r>
    </w:p>
    <w:p>
      <w:pPr>
        <w:pStyle w:val="BodyText"/>
        <w:spacing w:line="355" w:lineRule="auto" w:before="154"/>
        <w:ind w:left="238" w:right="237" w:firstLine="479"/>
        <w:jc w:val="both"/>
      </w:pPr>
      <w:r>
        <w:rPr>
          <w:spacing w:val="-7"/>
        </w:rPr>
        <w:t>在沟槽开挖接近尾声时，迅速做好管道基础准备，迅速摊铺碎石和浇筑混凝土基础。</w:t>
      </w:r>
    </w:p>
    <w:p>
      <w:pPr>
        <w:pStyle w:val="BodyText"/>
        <w:spacing w:before="39"/>
        <w:ind w:left="718"/>
      </w:pPr>
      <w:r>
        <w:rPr/>
        <w:t>③管道安装</w:t>
      </w:r>
    </w:p>
    <w:p>
      <w:pPr>
        <w:pStyle w:val="BodyText"/>
        <w:spacing w:line="357" w:lineRule="auto" w:before="151"/>
        <w:ind w:left="238" w:right="145" w:firstLine="479"/>
        <w:jc w:val="both"/>
      </w:pPr>
      <w:r>
        <w:rPr/>
        <w:t>垫层平基验收合格后，达到一定的强度开始安管。排管自下游排向上游。下管采用人工和汽车吊配合。管道铺设验收合格后，进行混凝土管座及接口施</w:t>
      </w:r>
    </w:p>
    <w:p>
      <w:pPr>
        <w:spacing w:after="0" w:line="357" w:lineRule="auto"/>
        <w:jc w:val="both"/>
        <w:sectPr>
          <w:pgSz w:w="11910" w:h="16850"/>
          <w:pgMar w:header="0" w:footer="1141" w:top="1400" w:bottom="1400" w:left="1680" w:right="1680"/>
        </w:sectPr>
      </w:pPr>
    </w:p>
    <w:p>
      <w:pPr>
        <w:pStyle w:val="BodyText"/>
        <w:spacing w:before="13"/>
        <w:ind w:left="238"/>
      </w:pPr>
      <w:r>
        <w:rPr/>
        <w:pict>
          <v:group style="position:absolute;margin-left:89.768997pt;margin-top:71.984978pt;width:415.95pt;height:691.35pt;mso-position-horizontal-relative:page;mso-position-vertical-relative:page;z-index:-176392" coordorigin="1795,1440" coordsize="8319,13827">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52" stroked="true" strokeweight=".72pt" strokecolor="#000000">
              <v:stroke dashstyle="solid"/>
            </v:line>
            <v:line style="position:absolute" from="1803,15259" to="1817,15259" stroked="true" strokeweight=".71997pt" strokecolor="#000000">
              <v:stroke dashstyle="solid"/>
            </v:line>
            <v:line style="position:absolute" from="1803,15259" to="1817,15259" stroked="true" strokeweight=".71997pt" strokecolor="#000000">
              <v:stroke dashstyle="solid"/>
            </v:line>
            <v:line style="position:absolute" from="1817,15259" to="10091,15259" stroked="true" strokeweight=".71997pt" strokecolor="#000000">
              <v:stroke dashstyle="solid"/>
            </v:line>
            <v:line style="position:absolute" from="10099,1454" to="10099,15252" stroked="true" strokeweight=".71997pt" strokecolor="#000000">
              <v:stroke dashstyle="solid"/>
            </v:line>
            <v:line style="position:absolute" from="10092,15259" to="10106,15259" stroked="true" strokeweight=".71997pt" strokecolor="#000000">
              <v:stroke dashstyle="solid"/>
            </v:line>
            <v:line style="position:absolute" from="10092,15259" to="10106,15259" stroked="true" strokeweight=".71997pt" strokecolor="#000000">
              <v:stroke dashstyle="solid"/>
            </v:line>
            <w10:wrap type="none"/>
          </v:group>
        </w:pict>
      </w:r>
      <w:r>
        <w:rPr/>
        <w:t>工，接口方法为钢丝网水泥砂浆抹带接口。</w:t>
      </w:r>
    </w:p>
    <w:p>
      <w:pPr>
        <w:pStyle w:val="BodyText"/>
        <w:spacing w:before="153"/>
        <w:ind w:left="718"/>
      </w:pPr>
      <w:r>
        <w:rPr/>
        <w:t>④井室砌筑</w:t>
      </w:r>
    </w:p>
    <w:p>
      <w:pPr>
        <w:pStyle w:val="BodyText"/>
        <w:spacing w:line="357" w:lineRule="auto" w:before="151"/>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6"/>
        <w:ind w:left="718"/>
      </w:pPr>
      <w:r>
        <w:rPr/>
        <w:t>⑤闭水试验</w:t>
      </w:r>
    </w:p>
    <w:p>
      <w:pPr>
        <w:pStyle w:val="BodyText"/>
        <w:spacing w:before="151"/>
        <w:ind w:left="718"/>
      </w:pPr>
      <w:r>
        <w:rPr/>
        <w:t>回填土前采用闭水法进行严密性试验。</w:t>
      </w:r>
    </w:p>
    <w:p>
      <w:pPr>
        <w:pStyle w:val="BodyText"/>
        <w:spacing w:before="153"/>
        <w:ind w:left="718"/>
      </w:pPr>
      <w:r>
        <w:rPr/>
        <w:t>⑥沟槽回填</w:t>
      </w:r>
    </w:p>
    <w:p>
      <w:pPr>
        <w:pStyle w:val="BodyText"/>
        <w:spacing w:line="357" w:lineRule="auto" w:before="154"/>
        <w:ind w:left="238" w:right="236" w:firstLine="479"/>
        <w:jc w:val="both"/>
      </w:pPr>
      <w:r>
        <w:rPr>
          <w:spacing w:val="-5"/>
        </w:rPr>
        <w:t>主体结构隐蔽验收合格后及时进行回填，以免晾槽过久造成塌方，挤坏管</w:t>
      </w:r>
      <w:r>
        <w:rPr>
          <w:spacing w:val="-11"/>
        </w:rPr>
        <w:t>道或管道接口抹带空鼓开裂。管线结构验收合格后进行回填施工，回填尽可能与沟槽开挖施工形成流水作业。</w:t>
      </w:r>
    </w:p>
    <w:p>
      <w:pPr>
        <w:pStyle w:val="BodyText"/>
        <w:spacing w:before="34"/>
        <w:ind w:left="718"/>
      </w:pPr>
      <w:r>
        <w:rPr/>
        <w:t>5）绿化工程 </w:t>
      </w:r>
    </w:p>
    <w:p>
      <w:pPr>
        <w:pStyle w:val="BodyText"/>
        <w:spacing w:line="357" w:lineRule="auto" w:before="154"/>
        <w:ind w:left="238" w:right="227" w:firstLine="479"/>
        <w:jc w:val="both"/>
      </w:pPr>
      <w:r>
        <w:rPr>
          <w:spacing w:val="-8"/>
        </w:rPr>
        <w:t>本项目绿化工程在施工时，先根据绿化地形的要求以及建设区域内原地形</w:t>
      </w:r>
      <w:r>
        <w:rPr>
          <w:spacing w:val="-13"/>
        </w:rPr>
        <w:t>地貌情况对场地进行一定的填筑平整，绿化工程可采用分段同时施工方式，以</w:t>
      </w:r>
      <w:r>
        <w:rPr>
          <w:spacing w:val="-18"/>
        </w:rPr>
        <w:t>缩短项目施工期和项目区地表裸露时间，在绿化建设区域场地填筑基本完成后</w:t>
      </w:r>
      <w:r>
        <w:rPr>
          <w:spacing w:val="-22"/>
        </w:rPr>
        <w:t>即先回铺项目路基施工前期剥离并临时堆存的表土，随后再进行绿地植被的建</w:t>
      </w:r>
      <w:r>
        <w:rPr>
          <w:spacing w:val="4"/>
        </w:rPr>
        <w:t>设。景观绿化工程在场地填筑时需调入主线工程施工产生的废石和多余土石</w:t>
      </w:r>
      <w:r>
        <w:rPr>
          <w:spacing w:val="-11"/>
        </w:rPr>
        <w:t>方，使项目内部各项工程间土石方得以综合调配平衡可避免最终废弃土石方的产生和外借土石方，减少水土流失。</w:t>
      </w:r>
    </w:p>
    <w:p>
      <w:pPr>
        <w:pStyle w:val="BodyText"/>
        <w:spacing w:before="34"/>
        <w:ind w:left="718"/>
      </w:pPr>
      <w:r>
        <w:rPr/>
        <w:t>6）亮化工程</w:t>
      </w:r>
    </w:p>
    <w:p>
      <w:pPr>
        <w:pStyle w:val="BodyText"/>
        <w:spacing w:before="154"/>
        <w:ind w:left="718"/>
      </w:pPr>
      <w:r>
        <w:rPr/>
        <w:t>本项目按照城市工程设置照明工程。</w:t>
      </w:r>
    </w:p>
    <w:p>
      <w:pPr>
        <w:pStyle w:val="Heading3"/>
        <w:spacing w:before="151"/>
        <w:ind w:left="720"/>
      </w:pPr>
      <w:r>
        <w:rPr>
          <w:rFonts w:ascii="Times New Roman" w:eastAsia="Times New Roman"/>
          <w:w w:val="95"/>
        </w:rPr>
        <w:t>2</w:t>
      </w:r>
      <w:r>
        <w:rPr>
          <w:w w:val="95"/>
        </w:rPr>
        <w:t>）交通组织方案</w:t>
      </w:r>
    </w:p>
    <w:p>
      <w:pPr>
        <w:pStyle w:val="BodyText"/>
        <w:spacing w:line="350" w:lineRule="auto" w:before="136"/>
        <w:ind w:left="238" w:right="234"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橄榄大道进出，施工期间不进行交通管制。建筑材料及施工设备运输安排在道路运输低峰期，运输时间为上午 </w:t>
      </w:r>
      <w:r>
        <w:rPr>
          <w:rFonts w:ascii="Times New Roman" w:eastAsia="Times New Roman"/>
        </w:rPr>
        <w:t>10:00~12:00</w:t>
      </w:r>
      <w:r>
        <w:rPr>
          <w:spacing w:val="-17"/>
        </w:rPr>
        <w:t>，下午 </w:t>
      </w:r>
      <w:r>
        <w:rPr>
          <w:rFonts w:ascii="Times New Roman" w:eastAsia="Times New Roman"/>
        </w:rPr>
        <w:t>15:00~17:00</w:t>
      </w:r>
      <w:r>
        <w:rPr/>
        <w:t>，这段时间道路交通处于低谷，不会造成交通拥堵。</w:t>
      </w:r>
    </w:p>
    <w:p>
      <w:pPr>
        <w:spacing w:after="0" w:line="350" w:lineRule="auto"/>
        <w:jc w:val="both"/>
        <w:sectPr>
          <w:pgSz w:w="11910" w:h="16850"/>
          <w:pgMar w:header="0" w:footer="1141" w:top="1400" w:bottom="1400" w:left="1680" w:right="1680"/>
        </w:sectPr>
      </w:pPr>
    </w:p>
    <w:p>
      <w:pPr>
        <w:pStyle w:val="Heading2"/>
        <w:ind w:left="290" w:right="5549"/>
        <w:jc w:val="center"/>
      </w:pPr>
      <w:r>
        <w:rPr/>
        <w:pict>
          <v:group style="position:absolute;margin-left:89.768997pt;margin-top:71.624977pt;width:415.95pt;height:683.55pt;mso-position-horizontal-relative:page;mso-position-vertical-relative:page;z-index:-176368" coordorigin="1795,1432" coordsize="8319,13671">
            <v:line style="position:absolute" from="1817,1447" to="10091,1447" stroked="true" strokeweight=".72pt" strokecolor="#000000">
              <v:stroke dashstyle="solid"/>
            </v:line>
            <v:line style="position:absolute" from="1810,1440" to="1810,15088" stroked="true" strokeweight=".72pt" strokecolor="#000000">
              <v:stroke dashstyle="solid"/>
            </v:line>
            <v:line style="position:absolute" from="1803,15096" to="1817,15096" stroked="true" strokeweight=".71997pt" strokecolor="#000000">
              <v:stroke dashstyle="solid"/>
            </v:line>
            <v:line style="position:absolute" from="1803,15096" to="1817,15096" stroked="true" strokeweight=".71997pt" strokecolor="#000000">
              <v:stroke dashstyle="solid"/>
            </v:line>
            <v:line style="position:absolute" from="1817,15096" to="10091,15096" stroked="true" strokeweight=".71997pt" strokecolor="#000000">
              <v:stroke dashstyle="solid"/>
            </v:line>
            <v:line style="position:absolute" from="10099,1440" to="10099,15088" stroked="true" strokeweight=".71997pt" strokecolor="#000000">
              <v:stroke dashstyle="solid"/>
            </v:line>
            <v:line style="position:absolute" from="10092,15096" to="10106,15096" stroked="true" strokeweight=".71997pt" strokecolor="#000000">
              <v:stroke dashstyle="solid"/>
            </v:line>
            <v:line style="position:absolute" from="10092,15096" to="10106,15096" stroked="true" strokeweight=".71997pt" strokecolor="#000000">
              <v:stroke dashstyle="solid"/>
            </v:line>
            <w10:wrap type="none"/>
          </v:group>
        </w:pict>
      </w:r>
      <w:r>
        <w:rPr>
          <w:w w:val="95"/>
        </w:rPr>
        <w:t>污染物排放及治理措施</w:t>
      </w:r>
    </w:p>
    <w:p>
      <w:pPr>
        <w:pStyle w:val="Heading3"/>
        <w:spacing w:before="186"/>
        <w:ind w:left="238"/>
      </w:pPr>
      <w:r>
        <w:rPr>
          <w:w w:val="95"/>
        </w:rPr>
        <w:t>（一）施工期污染物排放及治理措施</w:t>
      </w:r>
    </w:p>
    <w:p>
      <w:pPr>
        <w:spacing w:before="153"/>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3"/>
        <w:ind w:left="238" w:right="358"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80"/>
        <w:ind w:left="490" w:right="0" w:firstLine="0"/>
        <w:jc w:val="left"/>
        <w:rPr>
          <w:b/>
          <w:sz w:val="24"/>
        </w:rPr>
      </w:pPr>
      <w:r>
        <w:rPr>
          <w:b/>
          <w:w w:val="95"/>
          <w:sz w:val="24"/>
        </w:rPr>
        <w:t>（1）施工扬尘</w:t>
      </w:r>
      <w:r>
        <w:rPr>
          <w:b/>
          <w:w w:val="99"/>
          <w:sz w:val="24"/>
        </w:rPr>
        <w:t> </w:t>
      </w:r>
    </w:p>
    <w:p>
      <w:pPr>
        <w:pStyle w:val="BodyText"/>
        <w:spacing w:line="357" w:lineRule="auto" w:before="22"/>
        <w:ind w:left="238" w:right="118" w:firstLine="479"/>
      </w:pPr>
      <w:r>
        <w:rPr>
          <w:spacing w:val="-15"/>
        </w:rPr>
        <w:t>根据业主提供资料，本项目外购成品混凝土，施工现场不设混凝土搅拌站， 故在土石方开挖、材料运输、平整土地等施工过程中产生扬尘，施工现场扬尘</w:t>
      </w:r>
      <w:r>
        <w:rPr>
          <w:spacing w:val="-19"/>
        </w:rPr>
        <w:t>在风力较大和干燥气候条件下较为严重，施工扬尘主要产生在以下环节：①施工机械开挖时的扬尘；②场地风力扬尘；③车辆运输过程中产生的扬尘。 </w:t>
      </w:r>
    </w:p>
    <w:p>
      <w:pPr>
        <w:pStyle w:val="BodyText"/>
        <w:spacing w:before="36"/>
        <w:ind w:left="718"/>
      </w:pPr>
      <w:r>
        <w:rPr/>
        <w:t>①机械开挖扬尘</w:t>
      </w:r>
    </w:p>
    <w:p>
      <w:pPr>
        <w:pStyle w:val="BodyText"/>
        <w:spacing w:line="336" w:lineRule="auto" w:before="154"/>
        <w:ind w:left="238" w:right="132" w:firstLine="479"/>
      </w:pPr>
      <w:r>
        <w:rPr>
          <w:spacing w:val="-1"/>
        </w:rPr>
        <w:t>施工过程中，路基土石方的开挖、表土开挖和回填会产生 </w:t>
      </w:r>
      <w:r>
        <w:rPr>
          <w:rFonts w:ascii="Times New Roman" w:eastAsia="Times New Roman"/>
        </w:rPr>
        <w:t>TSP </w:t>
      </w:r>
      <w:r>
        <w:rPr/>
        <w:t>污染，根</w:t>
      </w:r>
      <w:r>
        <w:rPr>
          <w:spacing w:val="-12"/>
        </w:rPr>
        <w:t>据已建类似工程实际调查资料，施工区下风向 </w:t>
      </w:r>
      <w:r>
        <w:rPr>
          <w:rFonts w:ascii="Times New Roman" w:eastAsia="Times New Roman"/>
        </w:rPr>
        <w:t>50m </w:t>
      </w:r>
      <w:r>
        <w:rPr>
          <w:spacing w:val="57"/>
        </w:rPr>
        <w:t>处</w:t>
      </w:r>
      <w:r>
        <w:rPr>
          <w:rFonts w:ascii="Times New Roman" w:eastAsia="Times New Roman"/>
        </w:rPr>
        <w:t>TSP </w:t>
      </w:r>
      <w:r>
        <w:rPr>
          <w:spacing w:val="-16"/>
        </w:rPr>
        <w:t>浓度为 </w:t>
      </w:r>
      <w:r>
        <w:rPr>
          <w:rFonts w:ascii="Times New Roman" w:eastAsia="Times New Roman"/>
        </w:rPr>
        <w:t>8.849mg/m</w:t>
      </w:r>
      <w:r>
        <w:rPr>
          <w:rFonts w:ascii="Times New Roman" w:eastAsia="Times New Roman"/>
          <w:position w:val="11"/>
          <w:sz w:val="16"/>
        </w:rPr>
        <w:t>3</w:t>
      </w:r>
      <w:r>
        <w:rPr/>
        <w:t>； </w:t>
      </w:r>
      <w:r>
        <w:rPr>
          <w:spacing w:val="-16"/>
        </w:rPr>
        <w:t>下风向 </w:t>
      </w:r>
      <w:r>
        <w:rPr>
          <w:rFonts w:ascii="Times New Roman" w:eastAsia="Times New Roman"/>
        </w:rPr>
        <w:t>100m </w:t>
      </w:r>
      <w:r>
        <w:rPr>
          <w:spacing w:val="-30"/>
        </w:rPr>
        <w:t>处 </w:t>
      </w:r>
      <w:r>
        <w:rPr>
          <w:rFonts w:ascii="Times New Roman" w:eastAsia="Times New Roman"/>
          <w:w w:val="99"/>
        </w:rPr>
        <w:t>TSP</w:t>
      </w:r>
      <w:r>
        <w:rPr>
          <w:rFonts w:ascii="Times New Roman" w:eastAsia="Times New Roman"/>
        </w:rPr>
        <w:t> </w:t>
      </w:r>
      <w:r>
        <w:rPr>
          <w:spacing w:val="-17"/>
        </w:rPr>
        <w:t>浓度为 </w:t>
      </w:r>
      <w:r>
        <w:rPr>
          <w:rFonts w:ascii="Times New Roman" w:eastAsia="Times New Roman"/>
        </w:rPr>
        <w:t>1.703m</w:t>
      </w:r>
      <w:r>
        <w:rPr>
          <w:rFonts w:ascii="Times New Roman" w:eastAsia="Times New Roman"/>
          <w:spacing w:val="-2"/>
        </w:rPr>
        <w:t>g</w:t>
      </w:r>
      <w:r>
        <w:rPr>
          <w:rFonts w:ascii="Times New Roman" w:eastAsia="Times New Roman"/>
        </w:rPr>
        <w:t>/</w:t>
      </w:r>
      <w:r>
        <w:rPr>
          <w:rFonts w:ascii="Times New Roman" w:eastAsia="Times New Roman"/>
          <w:spacing w:val="1"/>
        </w:rPr>
        <w:t>m</w:t>
      </w:r>
      <w:r>
        <w:rPr>
          <w:rFonts w:ascii="Times New Roman" w:eastAsia="Times New Roman"/>
          <w:spacing w:val="1"/>
          <w:w w:val="100"/>
          <w:position w:val="11"/>
          <w:sz w:val="16"/>
        </w:rPr>
        <w:t>3</w:t>
      </w:r>
      <w:r>
        <w:rPr>
          <w:spacing w:val="-24"/>
        </w:rPr>
        <w:t>，在下方向 </w:t>
      </w:r>
      <w:r>
        <w:rPr>
          <w:rFonts w:ascii="Times New Roman" w:eastAsia="Times New Roman"/>
        </w:rPr>
        <w:t>200m </w:t>
      </w:r>
      <w:r>
        <w:rPr/>
        <w:t>外达到国家环境空气二级标准的要求。</w:t>
      </w:r>
    </w:p>
    <w:p>
      <w:pPr>
        <w:pStyle w:val="BodyText"/>
        <w:spacing w:before="58"/>
        <w:ind w:left="718"/>
      </w:pPr>
      <w:r>
        <w:rPr/>
        <w:t>②场地风力扬尘 </w:t>
      </w:r>
    </w:p>
    <w:p>
      <w:pPr>
        <w:pStyle w:val="BodyText"/>
        <w:spacing w:line="357" w:lineRule="auto" w:before="151"/>
        <w:ind w:left="238" w:right="235" w:firstLine="479"/>
        <w:jc w:val="both"/>
      </w:pPr>
      <w:r>
        <w:rPr>
          <w:spacing w:val="-4"/>
        </w:rPr>
        <w:t>露天堆场主要包括施工作业现场露天临时的建材堆放点等。在气候干燥又</w:t>
      </w:r>
      <w:r>
        <w:rPr>
          <w:spacing w:val="-11"/>
        </w:rPr>
        <w:t>有风的情况下，上述情况均会产生扬尘，其扬尘量可按堆放场起尘的经验公式</w:t>
      </w:r>
      <w:r>
        <w:rPr>
          <w:spacing w:val="-1"/>
        </w:rPr>
        <w:t>计算： </w:t>
      </w:r>
    </w:p>
    <w:p>
      <w:pPr>
        <w:pStyle w:val="BodyText"/>
        <w:spacing w:before="35"/>
        <w:ind w:left="2833"/>
        <w:rPr>
          <w:rFonts w:ascii="Times New Roman" w:eastAsia="Times New Roman"/>
        </w:rPr>
      </w:pPr>
      <w:r>
        <w:rPr>
          <w:rFonts w:ascii="Times New Roman" w:eastAsia="Times New Roman"/>
        </w:rPr>
        <w:t>Q</w:t>
      </w:r>
      <w:r>
        <w:rPr/>
        <w:t>＝</w:t>
      </w:r>
      <w:r>
        <w:rPr>
          <w:rFonts w:ascii="Times New Roman" w:eastAsia="Times New Roman"/>
        </w:rPr>
        <w:t>2.1</w:t>
      </w:r>
      <w:r>
        <w:rPr/>
        <w:t>（</w:t>
      </w:r>
      <w:r>
        <w:rPr>
          <w:rFonts w:ascii="Times New Roman" w:eastAsia="Times New Roman"/>
        </w:rPr>
        <w:t>V</w:t>
      </w:r>
      <w:r>
        <w:rPr>
          <w:rFonts w:ascii="Times New Roman" w:eastAsia="Times New Roman"/>
          <w:position w:val="-2"/>
          <w:sz w:val="16"/>
        </w:rPr>
        <w:t>50</w:t>
      </w:r>
      <w:r>
        <w:rPr>
          <w:rFonts w:ascii="Times New Roman" w:eastAsia="Times New Roman"/>
        </w:rPr>
        <w:t>-V</w:t>
      </w:r>
      <w:r>
        <w:rPr>
          <w:rFonts w:ascii="Times New Roman" w:eastAsia="Times New Roman"/>
          <w:position w:val="-2"/>
          <w:sz w:val="16"/>
        </w:rPr>
        <w:t>0</w:t>
      </w:r>
      <w:r>
        <w:rPr/>
        <w:t>）</w:t>
      </w:r>
      <w:r>
        <w:rPr>
          <w:rFonts w:ascii="Times New Roman" w:eastAsia="Times New Roman"/>
        </w:rPr>
        <w:t>3e-1.023w</w:t>
      </w:r>
    </w:p>
    <w:p>
      <w:pPr>
        <w:pStyle w:val="BodyText"/>
        <w:spacing w:before="120"/>
        <w:ind w:left="718"/>
      </w:pPr>
      <w:r>
        <w:rPr/>
        <w:t>式中：</w:t>
      </w:r>
      <w:r>
        <w:rPr>
          <w:rFonts w:ascii="Times New Roman" w:hAnsi="Times New Roman" w:eastAsia="Times New Roman"/>
        </w:rPr>
        <w:t>Q—</w:t>
      </w:r>
      <w:r>
        <w:rPr/>
        <w:t>起尘量，</w:t>
      </w:r>
      <w:r>
        <w:rPr>
          <w:rFonts w:ascii="Times New Roman" w:hAnsi="Times New Roman" w:eastAsia="Times New Roman"/>
        </w:rPr>
        <w:t>kg/t.a</w:t>
      </w:r>
      <w:r>
        <w:rPr/>
        <w:t>；</w:t>
      </w:r>
    </w:p>
    <w:p>
      <w:pPr>
        <w:pStyle w:val="BodyText"/>
        <w:spacing w:before="136"/>
        <w:ind w:left="1438"/>
      </w:pPr>
      <w:r>
        <w:rPr>
          <w:rFonts w:ascii="Times New Roman" w:hAnsi="Times New Roman" w:eastAsia="Times New Roman"/>
        </w:rPr>
        <w:t>V</w:t>
      </w:r>
      <w:r>
        <w:rPr>
          <w:rFonts w:ascii="Times New Roman" w:hAnsi="Times New Roman" w:eastAsia="Times New Roman"/>
          <w:position w:val="-2"/>
          <w:sz w:val="16"/>
        </w:rPr>
        <w:t>50</w:t>
      </w:r>
      <w:r>
        <w:rPr>
          <w:rFonts w:ascii="Times New Roman" w:hAnsi="Times New Roman" w:eastAsia="Times New Roman"/>
        </w:rPr>
        <w:t>—</w:t>
      </w:r>
      <w:r>
        <w:rPr/>
        <w:t>距地面 </w:t>
      </w:r>
      <w:r>
        <w:rPr>
          <w:rFonts w:ascii="Times New Roman" w:hAnsi="Times New Roman" w:eastAsia="Times New Roman"/>
        </w:rPr>
        <w:t>50m </w:t>
      </w:r>
      <w:r>
        <w:rPr/>
        <w:t>处风速，</w:t>
      </w:r>
      <w:r>
        <w:rPr>
          <w:rFonts w:ascii="Times New Roman" w:hAnsi="Times New Roman" w:eastAsia="Times New Roman"/>
        </w:rPr>
        <w:t>m/s</w:t>
      </w:r>
      <w:r>
        <w:rPr/>
        <w:t>；</w:t>
      </w:r>
    </w:p>
    <w:p>
      <w:pPr>
        <w:pStyle w:val="BodyText"/>
        <w:spacing w:before="120"/>
        <w:ind w:left="1438"/>
      </w:pPr>
      <w:r>
        <w:rPr>
          <w:rFonts w:ascii="Times New Roman" w:hAnsi="Times New Roman" w:eastAsia="Times New Roman"/>
        </w:rPr>
        <w:t>V</w:t>
      </w:r>
      <w:r>
        <w:rPr>
          <w:rFonts w:ascii="Times New Roman" w:hAnsi="Times New Roman" w:eastAsia="Times New Roman"/>
          <w:position w:val="-2"/>
          <w:sz w:val="16"/>
        </w:rPr>
        <w:t>0</w:t>
      </w:r>
      <w:r>
        <w:rPr>
          <w:rFonts w:ascii="Times New Roman" w:hAnsi="Times New Roman" w:eastAsia="Times New Roman"/>
        </w:rPr>
        <w:t>—</w:t>
      </w:r>
      <w:r>
        <w:rPr/>
        <w:t>起尘风速，</w:t>
      </w:r>
      <w:r>
        <w:rPr>
          <w:rFonts w:ascii="Times New Roman" w:hAnsi="Times New Roman" w:eastAsia="Times New Roman"/>
        </w:rPr>
        <w:t>m/s</w:t>
      </w:r>
      <w:r>
        <w:rPr/>
        <w:t>；</w:t>
      </w:r>
    </w:p>
    <w:p>
      <w:pPr>
        <w:pStyle w:val="BodyText"/>
        <w:spacing w:before="123"/>
        <w:ind w:left="1438"/>
      </w:pPr>
      <w:r>
        <w:rPr>
          <w:rFonts w:ascii="Times New Roman" w:hAnsi="Times New Roman" w:eastAsia="Times New Roman"/>
        </w:rPr>
        <w:t>W—</w:t>
      </w:r>
      <w:r>
        <w:rPr/>
        <w:t>尘粒含水率，</w:t>
      </w:r>
      <w:r>
        <w:rPr>
          <w:rFonts w:ascii="Times New Roman" w:hAnsi="Times New Roman" w:eastAsia="Times New Roman"/>
        </w:rPr>
        <w:t>%</w:t>
      </w:r>
      <w:r>
        <w:rPr/>
        <w:t>。</w:t>
      </w:r>
    </w:p>
    <w:p>
      <w:pPr>
        <w:pStyle w:val="BodyText"/>
        <w:spacing w:line="328" w:lineRule="auto" w:before="133"/>
        <w:ind w:left="238" w:right="132" w:firstLine="479"/>
      </w:pPr>
      <w:r>
        <w:rPr>
          <w:rFonts w:ascii="Times New Roman" w:eastAsia="Times New Roman"/>
        </w:rPr>
        <w:t>V</w:t>
      </w:r>
      <w:r>
        <w:rPr>
          <w:rFonts w:ascii="Times New Roman" w:eastAsia="Times New Roman"/>
          <w:position w:val="-2"/>
          <w:sz w:val="16"/>
        </w:rPr>
        <w:t>0 </w:t>
      </w:r>
      <w:r>
        <w:rPr/>
        <w:t>与粒径和含水率有关，因此减少建材露天堆放时间、保证建材中一定的含水率是减少风力起尘的有效手段。</w:t>
      </w:r>
    </w:p>
    <w:p>
      <w:pPr>
        <w:pStyle w:val="BodyText"/>
        <w:spacing w:line="357" w:lineRule="auto" w:before="62"/>
        <w:ind w:left="238" w:right="235" w:firstLine="479"/>
      </w:pPr>
      <w:r>
        <w:rPr>
          <w:spacing w:val="-9"/>
        </w:rPr>
        <w:t>据有关资料，尘粒在空气中的传播扩散情况与风速等气象条件有关，也与</w:t>
      </w:r>
      <w:r>
        <w:rPr>
          <w:spacing w:val="-12"/>
        </w:rPr>
        <w:t>尘粒本身的沉降速度有关，不同尘粒的沉降速度见表 </w:t>
      </w:r>
      <w:r>
        <w:rPr>
          <w:rFonts w:ascii="Times New Roman" w:eastAsia="Times New Roman"/>
        </w:rPr>
        <w:t>5-1</w:t>
      </w:r>
      <w:r>
        <w:rPr/>
        <w:t>。</w:t>
      </w:r>
    </w:p>
    <w:p>
      <w:pPr>
        <w:spacing w:after="0" w:line="357" w:lineRule="auto"/>
        <w:sectPr>
          <w:pgSz w:w="11910" w:h="16850"/>
          <w:pgMar w:header="0" w:footer="1141" w:top="142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509" w:hRule="exact"/>
        </w:trPr>
        <w:tc>
          <w:tcPr>
            <w:tcW w:w="8289" w:type="dxa"/>
            <w:gridSpan w:val="8"/>
            <w:tcBorders>
              <w:bottom w:val="single" w:sz="17" w:space="0" w:color="000000"/>
            </w:tcBorders>
          </w:tcPr>
          <w:p>
            <w:pPr>
              <w:pStyle w:val="TableParagraph"/>
              <w:tabs>
                <w:tab w:pos="3300" w:val="left" w:leader="none"/>
              </w:tabs>
              <w:spacing w:before="104"/>
              <w:ind w:left="2318"/>
              <w:jc w:val="left"/>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7" w:hRule="exact"/>
        </w:trPr>
        <w:tc>
          <w:tcPr>
            <w:tcW w:w="1922" w:type="dxa"/>
            <w:tcBorders>
              <w:top w:val="single" w:sz="17" w:space="0" w:color="000000"/>
              <w:bottom w:val="single" w:sz="2" w:space="0" w:color="000000"/>
              <w:right w:val="single" w:sz="2" w:space="0" w:color="000000"/>
            </w:tcBorders>
          </w:tcPr>
          <w:p>
            <w:pPr>
              <w:pStyle w:val="TableParagraph"/>
              <w:spacing w:before="11"/>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60"/>
              <w:ind w:left="338" w:right="33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60"/>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60"/>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60"/>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3"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331"/>
              <w:jc w:val="left"/>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278"/>
              <w:jc w:val="left"/>
              <w:rPr>
                <w:rFonts w:ascii="Times New Roman"/>
                <w:sz w:val="21"/>
              </w:rPr>
            </w:pPr>
            <w:r>
              <w:rPr>
                <w:rFonts w:ascii="Times New Roman"/>
                <w:sz w:val="21"/>
              </w:rPr>
              <w:t>0.158</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338" w:right="33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750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5" w:hRule="exact"/>
        </w:trPr>
        <w:tc>
          <w:tcPr>
            <w:tcW w:w="1922" w:type="dxa"/>
            <w:tcBorders>
              <w:top w:val="single" w:sz="2" w:space="0" w:color="000000"/>
              <w:bottom w:val="single" w:sz="17"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6"/>
              <w:ind w:left="283"/>
              <w:jc w:val="left"/>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6"/>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6"/>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6"/>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6"/>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11328" w:hRule="exact"/>
        </w:trPr>
        <w:tc>
          <w:tcPr>
            <w:tcW w:w="8289" w:type="dxa"/>
            <w:gridSpan w:val="8"/>
            <w:tcBorders>
              <w:top w:val="single" w:sz="17" w:space="0" w:color="000000"/>
            </w:tcBorders>
          </w:tcPr>
          <w:p>
            <w:pPr>
              <w:pStyle w:val="TableParagraph"/>
              <w:spacing w:line="292" w:lineRule="exact"/>
              <w:ind w:left="100" w:firstLine="479"/>
              <w:jc w:val="both"/>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5"/>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同。施工期间施工单位若不采取措施，该部分扬尘势必对该区域环境产生一定影响。尤其是在雨水偏少时期，扬尘现象较为严重。</w:t>
            </w:r>
          </w:p>
          <w:p>
            <w:pPr>
              <w:pStyle w:val="TableParagraph"/>
              <w:spacing w:before="35"/>
              <w:ind w:left="580"/>
              <w:jc w:val="left"/>
              <w:rPr>
                <w:sz w:val="24"/>
              </w:rPr>
            </w:pPr>
            <w:r>
              <w:rPr>
                <w:sz w:val="24"/>
              </w:rPr>
              <w:t>③运输车辆扬尘 </w:t>
            </w:r>
          </w:p>
          <w:p>
            <w:pPr>
              <w:pStyle w:val="TableParagraph"/>
              <w:spacing w:line="345" w:lineRule="auto" w:before="151"/>
              <w:ind w:left="100" w:right="100" w:firstLine="479"/>
              <w:jc w:val="both"/>
              <w:rPr>
                <w:sz w:val="24"/>
              </w:rPr>
            </w:pPr>
            <w:r>
              <w:rPr>
                <w:spacing w:val="-10"/>
                <w:sz w:val="24"/>
              </w:rPr>
              <w:t>据有关调查显示，施工作业现场扬尘主要来自于运输车辆在行驶过程中产</w:t>
            </w:r>
            <w:r>
              <w:rPr>
                <w:spacing w:val="-14"/>
                <w:sz w:val="24"/>
              </w:rPr>
              <w:t>生的扬尘，其产生量约占工地扬尘总量的 </w:t>
            </w:r>
            <w:r>
              <w:rPr>
                <w:rFonts w:ascii="Times New Roman" w:eastAsia="Times New Roman"/>
                <w:sz w:val="24"/>
              </w:rPr>
              <w:t>60%</w:t>
            </w:r>
            <w:r>
              <w:rPr>
                <w:spacing w:val="-8"/>
                <w:sz w:val="24"/>
              </w:rPr>
              <w:t>。在施工建设道路完全干燥的情况下，运输车辆行驶动力起尘量可按下述经验公式计算：</w:t>
            </w:r>
          </w:p>
          <w:p>
            <w:pPr>
              <w:pStyle w:val="TableParagraph"/>
              <w:spacing w:before="48"/>
              <w:ind w:left="2273"/>
              <w:jc w:val="left"/>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0.123(V/5)(W/6.8)0.85(P/0.5)0.75</w:t>
            </w:r>
          </w:p>
          <w:p>
            <w:pPr>
              <w:pStyle w:val="TableParagraph"/>
              <w:spacing w:before="132"/>
              <w:ind w:left="580"/>
              <w:jc w:val="left"/>
              <w:rPr>
                <w:sz w:val="24"/>
              </w:rPr>
            </w:pPr>
            <w:r>
              <w:rPr>
                <w:sz w:val="24"/>
              </w:rPr>
              <w:t>式中：</w:t>
            </w:r>
            <w:r>
              <w:rPr>
                <w:rFonts w:ascii="Times New Roman" w:hAnsi="Times New Roman" w:eastAsia="Times New Roman"/>
                <w:sz w:val="24"/>
              </w:rPr>
              <w:t>Q</w:t>
            </w:r>
            <w:r>
              <w:rPr>
                <w:sz w:val="24"/>
              </w:rPr>
              <w:t>—汽车行驶时的扬尘，</w:t>
            </w:r>
            <w:r>
              <w:rPr>
                <w:rFonts w:ascii="Times New Roman" w:hAnsi="Times New Roman" w:eastAsia="Times New Roman"/>
                <w:sz w:val="24"/>
              </w:rPr>
              <w:t>kg/km</w:t>
            </w:r>
            <w:r>
              <w:rPr>
                <w:rFonts w:ascii="MS Gothic" w:hAnsi="MS Gothic" w:eastAsia="MS Gothic" w:hint="eastAsia"/>
                <w:sz w:val="24"/>
              </w:rPr>
              <w:t>・</w:t>
            </w:r>
            <w:r>
              <w:rPr>
                <w:sz w:val="24"/>
              </w:rPr>
              <w:t>辆；</w:t>
            </w:r>
          </w:p>
          <w:p>
            <w:pPr>
              <w:pStyle w:val="TableParagraph"/>
              <w:spacing w:before="135"/>
              <w:ind w:left="1300"/>
              <w:jc w:val="left"/>
              <w:rPr>
                <w:sz w:val="24"/>
              </w:rPr>
            </w:pPr>
            <w:r>
              <w:rPr>
                <w:rFonts w:ascii="Times New Roman" w:hAnsi="Times New Roman" w:eastAsia="Times New Roman"/>
                <w:sz w:val="24"/>
              </w:rPr>
              <w:t>V</w:t>
            </w:r>
            <w:r>
              <w:rPr>
                <w:sz w:val="24"/>
              </w:rPr>
              <w:t>—汽车速度，</w:t>
            </w:r>
            <w:r>
              <w:rPr>
                <w:rFonts w:ascii="Times New Roman" w:hAnsi="Times New Roman" w:eastAsia="Times New Roman"/>
                <w:sz w:val="24"/>
              </w:rPr>
              <w:t>km/h</w:t>
            </w:r>
            <w:r>
              <w:rPr>
                <w:sz w:val="24"/>
              </w:rPr>
              <w:t>；</w:t>
            </w:r>
          </w:p>
          <w:p>
            <w:pPr>
              <w:pStyle w:val="TableParagraph"/>
              <w:spacing w:before="135"/>
              <w:ind w:left="1300"/>
              <w:jc w:val="left"/>
              <w:rPr>
                <w:sz w:val="24"/>
              </w:rPr>
            </w:pPr>
            <w:r>
              <w:rPr>
                <w:rFonts w:ascii="Times New Roman" w:hAnsi="Times New Roman" w:eastAsia="Times New Roman"/>
                <w:sz w:val="24"/>
              </w:rPr>
              <w:t>W</w:t>
            </w:r>
            <w:r>
              <w:rPr>
                <w:sz w:val="24"/>
              </w:rPr>
              <w:t>—汽车载重量，</w:t>
            </w:r>
            <w:r>
              <w:rPr>
                <w:rFonts w:ascii="Times New Roman" w:hAnsi="Times New Roman" w:eastAsia="Times New Roman"/>
                <w:sz w:val="24"/>
              </w:rPr>
              <w:t>t</w:t>
            </w:r>
            <w:r>
              <w:rPr>
                <w:sz w:val="24"/>
              </w:rPr>
              <w:t>；</w:t>
            </w:r>
          </w:p>
          <w:p>
            <w:pPr>
              <w:pStyle w:val="TableParagraph"/>
              <w:spacing w:before="132"/>
              <w:ind w:left="1300"/>
              <w:jc w:val="left"/>
              <w:rPr>
                <w:sz w:val="24"/>
              </w:rPr>
            </w:pPr>
            <w:r>
              <w:rPr>
                <w:rFonts w:ascii="Times New Roman" w:hAnsi="Times New Roman" w:eastAsia="Times New Roman"/>
                <w:sz w:val="24"/>
              </w:rPr>
              <w:t>P</w:t>
            </w:r>
            <w:r>
              <w:rPr>
                <w:sz w:val="24"/>
              </w:rPr>
              <w:t>—道路表面粉尘量，</w:t>
            </w:r>
            <w:r>
              <w:rPr>
                <w:rFonts w:ascii="Times New Roman" w:hAnsi="Times New Roman" w:eastAsia="Times New Roman"/>
                <w:sz w:val="24"/>
              </w:rPr>
              <w:t>kg/m</w:t>
            </w:r>
            <w:r>
              <w:rPr>
                <w:rFonts w:ascii="Times New Roman" w:hAnsi="Times New Roman" w:eastAsia="Times New Roman"/>
                <w:position w:val="11"/>
                <w:sz w:val="16"/>
              </w:rPr>
              <w:t>2</w:t>
            </w:r>
            <w:r>
              <w:rPr>
                <w:sz w:val="24"/>
              </w:rPr>
              <w:t>。</w:t>
            </w:r>
          </w:p>
          <w:p>
            <w:pPr>
              <w:pStyle w:val="TableParagraph"/>
              <w:spacing w:before="135"/>
              <w:ind w:left="580"/>
              <w:jc w:val="left"/>
              <w:rPr>
                <w:sz w:val="24"/>
              </w:rPr>
            </w:pPr>
            <w:r>
              <w:rPr>
                <w:sz w:val="24"/>
              </w:rPr>
              <w:t>在不同车速和地面清洁程度的汽车扬尘情况统计见表 </w:t>
            </w:r>
            <w:r>
              <w:rPr>
                <w:rFonts w:ascii="Times New Roman" w:eastAsia="Times New Roman"/>
                <w:sz w:val="24"/>
              </w:rPr>
              <w:t>5-2</w:t>
            </w:r>
            <w:r>
              <w:rPr>
                <w:sz w:val="24"/>
              </w:rPr>
              <w:t>。</w:t>
            </w:r>
          </w:p>
          <w:p>
            <w:pPr>
              <w:pStyle w:val="TableParagraph"/>
              <w:tabs>
                <w:tab w:pos="1547" w:val="left" w:leader="none"/>
                <w:tab w:pos="5888" w:val="left" w:leader="none"/>
              </w:tabs>
              <w:spacing w:before="133"/>
              <w:ind w:left="1478" w:hanging="912"/>
              <w:jc w:val="left"/>
              <w:rPr>
                <w:sz w:val="24"/>
              </w:rPr>
            </w:pPr>
            <w:r>
              <w:rPr>
                <w:b/>
                <w:sz w:val="24"/>
              </w:rPr>
              <w:t>表</w:t>
            </w:r>
            <w:r>
              <w:rPr>
                <w:b/>
                <w:spacing w:val="-60"/>
                <w:sz w:val="24"/>
              </w:rPr>
              <w:t> </w:t>
            </w:r>
            <w:r>
              <w:rPr>
                <w:rFonts w:ascii="Times New Roman" w:eastAsia="Times New Roman"/>
                <w:b/>
                <w:sz w:val="24"/>
              </w:rPr>
              <w:t>5-2</w:t>
              <w:tab/>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TableParagraph"/>
              <w:tabs>
                <w:tab w:pos="2311" w:val="left" w:leader="none"/>
                <w:tab w:pos="3353" w:val="left" w:leader="none"/>
                <w:tab w:pos="4394" w:val="left" w:leader="none"/>
                <w:tab w:pos="5439" w:val="left" w:leader="none"/>
                <w:tab w:pos="6478" w:val="left" w:leader="none"/>
                <w:tab w:pos="7599" w:val="left" w:leader="none"/>
              </w:tabs>
              <w:spacing w:line="306" w:lineRule="exact" w:before="248"/>
              <w:ind w:left="1478"/>
              <w:jc w:val="left"/>
              <w:rPr>
                <w:rFonts w:ascii="Times New Roman"/>
                <w:sz w:val="21"/>
              </w:rPr>
            </w:pPr>
            <w:r>
              <w:rPr>
                <w:rFonts w:ascii="Times New Roman"/>
                <w:position w:val="14"/>
                <w:sz w:val="21"/>
              </w:rPr>
              <w:t>P</w:t>
              <w:tab/>
            </w:r>
            <w:r>
              <w:rPr>
                <w:rFonts w:ascii="Times New Roman"/>
                <w:sz w:val="21"/>
              </w:rPr>
              <w:t>0.1</w:t>
              <w:tab/>
              <w:t>0.2</w:t>
              <w:tab/>
              <w:t>0.3</w:t>
              <w:tab/>
              <w:t>0.4</w:t>
              <w:tab/>
              <w:t>0.5</w:t>
              <w:tab/>
              <w:t>1</w:t>
            </w:r>
          </w:p>
          <w:p>
            <w:pPr>
              <w:pStyle w:val="TableParagraph"/>
              <w:spacing w:line="199" w:lineRule="exact"/>
              <w:ind w:left="419"/>
              <w:jc w:val="left"/>
              <w:rPr>
                <w:sz w:val="21"/>
              </w:rPr>
            </w:pPr>
            <w:r>
              <w:rPr>
                <w:sz w:val="21"/>
              </w:rPr>
              <w:t>车速</w:t>
            </w:r>
          </w:p>
          <w:p>
            <w:pPr>
              <w:pStyle w:val="TableParagraph"/>
              <w:tabs>
                <w:tab w:pos="2206" w:val="left" w:leader="none"/>
                <w:tab w:pos="3247" w:val="left" w:leader="none"/>
                <w:tab w:pos="4294" w:val="left" w:leader="none"/>
                <w:tab w:pos="5333" w:val="left" w:leader="none"/>
                <w:tab w:pos="6372" w:val="left" w:leader="none"/>
                <w:tab w:pos="7415" w:val="left" w:leader="none"/>
              </w:tabs>
              <w:spacing w:before="89"/>
              <w:ind w:left="741"/>
              <w:jc w:val="left"/>
              <w:rPr>
                <w:rFonts w:ascii="Times New Roman"/>
                <w:sz w:val="21"/>
              </w:rPr>
            </w:pPr>
            <w:r>
              <w:rPr>
                <w:rFonts w:ascii="Times New Roman"/>
                <w:sz w:val="21"/>
              </w:rPr>
              <w:t>5km/h</w:t>
              <w:tab/>
              <w:t>0.051</w:t>
              <w:tab/>
              <w:t>0.086</w:t>
              <w:tab/>
              <w:t>0.116</w:t>
              <w:tab/>
              <w:t>0.144</w:t>
              <w:tab/>
              <w:t>0.171</w:t>
              <w:tab/>
              <w:t>0.287</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10km/h</w:t>
              <w:tab/>
              <w:t>0.102</w:t>
              <w:tab/>
              <w:t>0.171</w:t>
              <w:tab/>
              <w:t>0.232</w:t>
              <w:tab/>
              <w:t>0.289</w:t>
              <w:tab/>
              <w:t>0.341</w:t>
              <w:tab/>
              <w:t>0.574</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15km/h</w:t>
              <w:tab/>
              <w:t>0.153</w:t>
              <w:tab/>
              <w:t>0.257</w:t>
              <w:tab/>
              <w:t>0.349</w:t>
              <w:tab/>
              <w:t>0.433</w:t>
              <w:tab/>
              <w:t>0.512</w:t>
              <w:tab/>
              <w:t>0.861</w:t>
            </w:r>
          </w:p>
          <w:p>
            <w:pPr>
              <w:pStyle w:val="TableParagraph"/>
              <w:tabs>
                <w:tab w:pos="2206" w:val="left" w:leader="none"/>
                <w:tab w:pos="3247" w:val="left" w:leader="none"/>
                <w:tab w:pos="4289" w:val="left" w:leader="none"/>
                <w:tab w:pos="5333" w:val="left" w:leader="none"/>
                <w:tab w:pos="6372" w:val="left" w:leader="none"/>
                <w:tab w:pos="7415" w:val="left" w:leader="none"/>
              </w:tabs>
              <w:spacing w:before="104"/>
              <w:ind w:left="691"/>
              <w:jc w:val="left"/>
              <w:rPr>
                <w:rFonts w:ascii="Times New Roman"/>
                <w:sz w:val="21"/>
              </w:rPr>
            </w:pPr>
            <w:r>
              <w:rPr>
                <w:rFonts w:ascii="Times New Roman"/>
                <w:sz w:val="21"/>
              </w:rPr>
              <w:t>20km/h</w:t>
              <w:tab/>
              <w:t>0.255</w:t>
              <w:tab/>
              <w:t>0.429</w:t>
              <w:tab/>
              <w:t>0.582</w:t>
              <w:tab/>
              <w:t>0.722</w:t>
              <w:tab/>
              <w:t>0.853</w:t>
              <w:tab/>
              <w:t>1.435</w:t>
            </w:r>
          </w:p>
          <w:p>
            <w:pPr>
              <w:pStyle w:val="TableParagraph"/>
              <w:spacing w:line="357" w:lineRule="auto" w:before="46"/>
              <w:ind w:left="100" w:right="100" w:firstLine="479"/>
              <w:jc w:val="both"/>
              <w:rPr>
                <w:sz w:val="24"/>
              </w:rPr>
            </w:pPr>
            <w:r>
              <w:rPr>
                <w:spacing w:val="-8"/>
                <w:sz w:val="24"/>
              </w:rPr>
              <w:t>由此可见，在同样路面清洁程度条件下，车速越快，扬尘量越大；在同样</w:t>
            </w:r>
            <w:r>
              <w:rPr>
                <w:spacing w:val="-13"/>
                <w:sz w:val="24"/>
              </w:rPr>
              <w:t>车速情况下，路面越脏，扬尘量越大，因此限速行驶及保持路面清洁是减少运输车辆动力起尘的有效办法。</w:t>
            </w:r>
          </w:p>
          <w:p>
            <w:pPr>
              <w:pStyle w:val="TableParagraph"/>
              <w:spacing w:before="34"/>
              <w:ind w:left="580"/>
              <w:jc w:val="left"/>
              <w:rPr>
                <w:sz w:val="24"/>
              </w:rPr>
            </w:pPr>
            <w:r>
              <w:rPr>
                <w:sz w:val="24"/>
              </w:rPr>
              <w:t>运输车辆动力起尘属于等效线源，扬尘会向道路两边扩散，最大扬尘浓度</w:t>
            </w:r>
          </w:p>
        </w:tc>
      </w:tr>
    </w:tbl>
    <w:p>
      <w:pPr>
        <w:rPr>
          <w:sz w:val="2"/>
          <w:szCs w:val="2"/>
        </w:rPr>
      </w:pPr>
      <w:r>
        <w:rPr/>
        <w:pict>
          <v:group style="position:absolute;margin-left:94.084pt;margin-top:578.089966pt;width:406.6pt;height:101.6pt;mso-position-horizontal-relative:page;mso-position-vertical-relative:page;z-index:-176344" coordorigin="1882,11562" coordsize="8132,2032">
            <v:line style="position:absolute" from="1918,11584" to="3737,11584" stroked="true" strokeweight="2.16pt" strokecolor="#000000">
              <v:stroke dashstyle="solid"/>
            </v:line>
            <v:line style="position:absolute" from="3737,11584" to="3781,11584" stroked="true" strokeweight="2.16pt" strokecolor="#000000">
              <v:stroke dashstyle="solid"/>
            </v:line>
            <v:line style="position:absolute" from="3781,11584" to="4777,11584" stroked="true" strokeweight="2.16pt" strokecolor="#000000">
              <v:stroke dashstyle="solid"/>
            </v:line>
            <v:line style="position:absolute" from="4777,11584" to="4820,11584" stroked="true" strokeweight="2.16pt" strokecolor="#000000">
              <v:stroke dashstyle="solid"/>
            </v:line>
            <v:line style="position:absolute" from="4820,11584" to="5821,11584" stroked="true" strokeweight="2.16pt" strokecolor="#000000">
              <v:stroke dashstyle="solid"/>
            </v:line>
            <v:line style="position:absolute" from="5821,11584" to="5864,11584" stroked="true" strokeweight="2.16pt" strokecolor="#000000">
              <v:stroke dashstyle="solid"/>
            </v:line>
            <v:line style="position:absolute" from="5864,11584" to="6861,11584" stroked="true" strokeweight="2.16pt" strokecolor="#000000">
              <v:stroke dashstyle="solid"/>
            </v:line>
            <v:line style="position:absolute" from="6861,11584" to="6904,11584" stroked="true" strokeweight="2.16pt" strokecolor="#000000">
              <v:stroke dashstyle="solid"/>
            </v:line>
            <v:line style="position:absolute" from="6904,11584" to="7902,11584" stroked="true" strokeweight="2.16pt" strokecolor="#000000">
              <v:stroke dashstyle="solid"/>
            </v:line>
            <v:line style="position:absolute" from="7902,11584" to="7945,11584" stroked="true" strokeweight="2.16pt" strokecolor="#000000">
              <v:stroke dashstyle="solid"/>
            </v:line>
            <v:line style="position:absolute" from="7945,11584" to="8944,11584" stroked="true" strokeweight="2.16pt" strokecolor="#000000">
              <v:stroke dashstyle="solid"/>
            </v:line>
            <v:line style="position:absolute" from="8944,11584" to="8988,11584" stroked="true" strokeweight="2.16pt" strokecolor="#000000">
              <v:stroke dashstyle="solid"/>
            </v:line>
            <v:line style="position:absolute" from="8988,11584" to="9991,11584" stroked="true" strokeweight="2.16pt" strokecolor="#000000">
              <v:stroke dashstyle="solid"/>
            </v:line>
            <v:line style="position:absolute" from="1918,11608" to="3737,12168" stroked="true" strokeweight=".48pt" strokecolor="#000000">
              <v:stroke dashstyle="solid"/>
            </v:line>
            <v:line style="position:absolute" from="1918,12170" to="3737,12170" stroked="true" strokeweight=".24005pt" strokecolor="#000000">
              <v:stroke dashstyle="solid"/>
            </v:line>
            <v:line style="position:absolute" from="3742,12170" to="4777,12170" stroked="true" strokeweight=".24005pt" strokecolor="#000000">
              <v:stroke dashstyle="solid"/>
            </v:line>
            <v:line style="position:absolute" from="4787,12170" to="5821,12170" stroked="true" strokeweight=".24005pt" strokecolor="#000000">
              <v:stroke dashstyle="solid"/>
            </v:line>
            <v:line style="position:absolute" from="5826,12170" to="6861,12170" stroked="true" strokeweight=".24005pt" strokecolor="#000000">
              <v:stroke dashstyle="solid"/>
            </v:line>
            <v:line style="position:absolute" from="6865,12170" to="7902,12170" stroked="true" strokeweight=".24005pt" strokecolor="#000000">
              <v:stroke dashstyle="solid"/>
            </v:line>
            <v:line style="position:absolute" from="7912,12170" to="8944,12170" stroked="true" strokeweight=".24005pt" strokecolor="#000000">
              <v:stroke dashstyle="solid"/>
            </v:line>
            <v:line style="position:absolute" from="8954,12170" to="9991,12170" stroked="true" strokeweight=".24005pt" strokecolor="#000000">
              <v:stroke dashstyle="solid"/>
            </v:line>
            <v:line style="position:absolute" from="1918,12516" to="3737,12516" stroked="true" strokeweight=".23999pt" strokecolor="#000000">
              <v:stroke dashstyle="solid"/>
            </v:line>
            <v:line style="position:absolute" from="3742,12516" to="4777,12516" stroked="true" strokeweight=".23999pt" strokecolor="#000000">
              <v:stroke dashstyle="solid"/>
            </v:line>
            <v:line style="position:absolute" from="4787,12516" to="5821,12516" stroked="true" strokeweight=".23999pt" strokecolor="#000000">
              <v:stroke dashstyle="solid"/>
            </v:line>
            <v:line style="position:absolute" from="5826,12516" to="6861,12516" stroked="true" strokeweight=".23999pt" strokecolor="#000000">
              <v:stroke dashstyle="solid"/>
            </v:line>
            <v:line style="position:absolute" from="6865,12516" to="7902,12516" stroked="true" strokeweight=".23999pt" strokecolor="#000000">
              <v:stroke dashstyle="solid"/>
            </v:line>
            <v:line style="position:absolute" from="7912,12516" to="8944,12516" stroked="true" strokeweight=".23999pt" strokecolor="#000000">
              <v:stroke dashstyle="solid"/>
            </v:line>
            <v:line style="position:absolute" from="8954,12516" to="9991,12516" stroked="true" strokeweight=".23999pt" strokecolor="#000000">
              <v:stroke dashstyle="solid"/>
            </v:line>
            <v:line style="position:absolute" from="1918,12859" to="3737,12859" stroked="true" strokeweight=".24005pt" strokecolor="#000000">
              <v:stroke dashstyle="solid"/>
            </v:line>
            <v:line style="position:absolute" from="3742,12859" to="4777,12859" stroked="true" strokeweight=".24005pt" strokecolor="#000000">
              <v:stroke dashstyle="solid"/>
            </v:line>
            <v:line style="position:absolute" from="4787,12859" to="5821,12859" stroked="true" strokeweight=".24005pt" strokecolor="#000000">
              <v:stroke dashstyle="solid"/>
            </v:line>
            <v:line style="position:absolute" from="5826,12859" to="6861,12859" stroked="true" strokeweight=".24005pt" strokecolor="#000000">
              <v:stroke dashstyle="solid"/>
            </v:line>
            <v:line style="position:absolute" from="6865,12859" to="7902,12859" stroked="true" strokeweight=".24005pt" strokecolor="#000000">
              <v:stroke dashstyle="solid"/>
            </v:line>
            <v:line style="position:absolute" from="7912,12859" to="8944,12859" stroked="true" strokeweight=".24005pt" strokecolor="#000000">
              <v:stroke dashstyle="solid"/>
            </v:line>
            <v:line style="position:absolute" from="8954,12859" to="9991,12859" stroked="true" strokeweight=".24005pt" strokecolor="#000000">
              <v:stroke dashstyle="solid"/>
            </v:line>
            <v:line style="position:absolute" from="1918,13204" to="3737,13204" stroked="true" strokeweight=".23999pt" strokecolor="#000000">
              <v:stroke dashstyle="solid"/>
            </v:line>
            <v:line style="position:absolute" from="3742,13204" to="4777,13204" stroked="true" strokeweight=".23999pt" strokecolor="#000000">
              <v:stroke dashstyle="solid"/>
            </v:line>
            <v:line style="position:absolute" from="4787,13204" to="5821,13204" stroked="true" strokeweight=".23999pt" strokecolor="#000000">
              <v:stroke dashstyle="solid"/>
            </v:line>
            <v:line style="position:absolute" from="5826,13204" to="6861,13204" stroked="true" strokeweight=".23999pt" strokecolor="#000000">
              <v:stroke dashstyle="solid"/>
            </v:line>
            <v:line style="position:absolute" from="6865,13204" to="7902,13204" stroked="true" strokeweight=".23999pt" strokecolor="#000000">
              <v:stroke dashstyle="solid"/>
            </v:line>
            <v:line style="position:absolute" from="7912,13204" to="8944,13204" stroked="true" strokeweight=".23999pt" strokecolor="#000000">
              <v:stroke dashstyle="solid"/>
            </v:line>
            <v:line style="position:absolute" from="8954,13204" to="9991,13204" stroked="true" strokeweight=".23999pt" strokecolor="#000000">
              <v:stroke dashstyle="solid"/>
            </v:line>
            <v:line style="position:absolute" from="1904,13572" to="3737,13572" stroked="true" strokeweight="2.16pt" strokecolor="#000000">
              <v:stroke dashstyle="solid"/>
            </v:line>
            <v:line style="position:absolute" from="3740,11605" to="3740,13550" stroked="true" strokeweight=".24001pt" strokecolor="#000000">
              <v:stroke dashstyle="solid"/>
            </v:line>
            <v:line style="position:absolute" from="3737,13572" to="3781,13572" stroked="true" strokeweight="2.16pt" strokecolor="#000000">
              <v:stroke dashstyle="solid"/>
            </v:line>
            <v:line style="position:absolute" from="3781,13572" to="4777,13572" stroked="true" strokeweight="2.16pt" strokecolor="#000000">
              <v:stroke dashstyle="solid"/>
            </v:line>
            <v:line style="position:absolute" from="4782,11605" to="4782,13550" stroked="true" strokeweight=".48pt" strokecolor="#000000">
              <v:stroke dashstyle="solid"/>
            </v:line>
            <v:line style="position:absolute" from="4777,13572" to="4820,13572" stroked="true" strokeweight="2.16pt" strokecolor="#000000">
              <v:stroke dashstyle="solid"/>
            </v:line>
            <v:line style="position:absolute" from="4820,13572" to="5821,13572" stroked="true" strokeweight="2.16pt" strokecolor="#000000">
              <v:stroke dashstyle="solid"/>
            </v:line>
            <v:line style="position:absolute" from="5823,11605" to="5823,13550" stroked="true" strokeweight=".23999pt" strokecolor="#000000">
              <v:stroke dashstyle="solid"/>
            </v:line>
            <v:line style="position:absolute" from="5821,13572" to="5864,13572" stroked="true" strokeweight="2.16pt" strokecolor="#000000">
              <v:stroke dashstyle="solid"/>
            </v:line>
            <v:line style="position:absolute" from="5864,13572" to="6861,13572" stroked="true" strokeweight="2.16pt" strokecolor="#000000">
              <v:stroke dashstyle="solid"/>
            </v:line>
            <v:line style="position:absolute" from="6863,11605" to="6863,13550" stroked="true" strokeweight=".23999pt" strokecolor="#000000">
              <v:stroke dashstyle="solid"/>
            </v:line>
            <v:line style="position:absolute" from="6861,13572" to="6904,13572" stroked="true" strokeweight="2.16pt" strokecolor="#000000">
              <v:stroke dashstyle="solid"/>
            </v:line>
            <v:line style="position:absolute" from="6904,13572" to="7902,13572" stroked="true" strokeweight="2.16pt" strokecolor="#000000">
              <v:stroke dashstyle="solid"/>
            </v:line>
            <v:line style="position:absolute" from="7907,11605" to="7907,13550" stroked="true" strokeweight=".48001pt" strokecolor="#000000">
              <v:stroke dashstyle="solid"/>
            </v:line>
            <v:line style="position:absolute" from="7902,13572" to="7945,13572" stroked="true" strokeweight="2.16pt" strokecolor="#000000">
              <v:stroke dashstyle="solid"/>
            </v:line>
            <v:line style="position:absolute" from="7945,13572" to="8944,13572" stroked="true" strokeweight="2.16pt" strokecolor="#000000">
              <v:stroke dashstyle="solid"/>
            </v:line>
            <v:line style="position:absolute" from="8949,11605" to="8949,13550" stroked="true" strokeweight=".48001pt" strokecolor="#000000">
              <v:stroke dashstyle="solid"/>
            </v:line>
            <v:line style="position:absolute" from="8944,13572" to="8988,13572" stroked="true" strokeweight="2.16pt" strokecolor="#000000">
              <v:stroke dashstyle="solid"/>
            </v:line>
            <v:line style="position:absolute" from="8988,13572" to="9991,13572" stroked="true" strokeweight="2.16pt" strokecolor="#000000">
              <v:stroke dashstyle="solid"/>
            </v:line>
            <w10:wrap type="none"/>
          </v:group>
        </w:pict>
      </w:r>
      <w:r>
        <w:rPr/>
        <w:pict>
          <v:shape style="position:absolute;margin-left:95.183998pt;margin-top:579.190002pt;width:404.4pt;height:99.4pt;mso-position-horizontal-relative:page;mso-position-vertical-relative:page;z-index:23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3"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46"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r>
                    <w:trPr>
                      <w:trHeight w:val="367" w:hRule="exact"/>
                    </w:trPr>
                    <w:tc>
                      <w:tcPr>
                        <w:tcW w:w="1836" w:type="dxa"/>
                      </w:tcPr>
                      <w:p>
                        <w:pPr/>
                      </w:p>
                    </w:tc>
                    <w:tc>
                      <w:tcPr>
                        <w:tcW w:w="1042" w:type="dxa"/>
                      </w:tcPr>
                      <w:p>
                        <w:pPr/>
                      </w:p>
                    </w:tc>
                    <w:tc>
                      <w:tcPr>
                        <w:tcW w:w="1042" w:type="dxa"/>
                      </w:tcPr>
                      <w:p>
                        <w:pPr/>
                      </w:p>
                    </w:tc>
                    <w:tc>
                      <w:tcPr>
                        <w:tcW w:w="1040" w:type="dxa"/>
                      </w:tcPr>
                      <w:p>
                        <w:pPr/>
                      </w:p>
                    </w:tc>
                    <w:tc>
                      <w:tcPr>
                        <w:tcW w:w="1044" w:type="dxa"/>
                      </w:tcPr>
                      <w:p>
                        <w:pPr/>
                      </w:p>
                    </w:tc>
                    <w:tc>
                      <w:tcPr>
                        <w:tcW w:w="1042" w:type="dxa"/>
                      </w:tcPr>
                      <w:p>
                        <w:pPr/>
                      </w:p>
                    </w:tc>
                    <w:tc>
                      <w:tcPr>
                        <w:tcW w:w="1042"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pStyle w:val="BodyText"/>
        <w:spacing w:line="350" w:lineRule="auto" w:before="13"/>
        <w:ind w:left="238" w:right="118"/>
      </w:pPr>
      <w:r>
        <w:rPr/>
        <w:pict>
          <v:group style="position:absolute;margin-left:90.128998pt;margin-top:71.624977pt;width:415.2pt;height:698.95pt;mso-position-horizontal-relative:page;mso-position-vertical-relative:page;z-index:-17629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7"/>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40"/>
        <w:ind w:left="238" w:right="234" w:firstLine="479"/>
        <w:jc w:val="both"/>
      </w:pPr>
      <w:r>
        <w:rPr>
          <w:spacing w:val="-8"/>
        </w:rPr>
        <w:t>①在对场地内进行地表清理、土石方开挖与回填过程中建设单位需做到文</w:t>
      </w:r>
      <w:r>
        <w:rPr>
          <w:spacing w:val="-12"/>
        </w:rPr>
        <w:t>明施工，对开挖、回填过程中应采取湿法作业，施工作业期间避免大风天气进行拆除及开挖。</w:t>
      </w:r>
    </w:p>
    <w:p>
      <w:pPr>
        <w:pStyle w:val="BodyText"/>
        <w:spacing w:line="348" w:lineRule="auto" w:before="36"/>
        <w:ind w:left="238" w:right="133" w:firstLine="479"/>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小时进行清理，防止空气污染。</w:t>
      </w:r>
    </w:p>
    <w:p>
      <w:pPr>
        <w:pStyle w:val="BodyText"/>
        <w:spacing w:line="357" w:lineRule="auto" w:before="46"/>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温或风速较大等天气，应增加洒水频次来有效控制扬尘污染。砂石尽可能不露天堆放，如不得不敞开堆放，应对其进行洒水。</w:t>
      </w:r>
    </w:p>
    <w:p>
      <w:pPr>
        <w:pStyle w:val="BodyText"/>
        <w:spacing w:line="348" w:lineRule="auto" w:before="34"/>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6"/>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50" w:lineRule="auto"/>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  压尘和抑尘措施。</w:t>
      </w:r>
    </w:p>
    <w:p>
      <w:pPr>
        <w:pStyle w:val="BodyText"/>
        <w:spacing w:line="357" w:lineRule="auto" w:before="41"/>
        <w:ind w:left="238" w:right="238" w:firstLine="479"/>
        <w:jc w:val="both"/>
      </w:pPr>
      <w:r>
        <w:rPr>
          <w:spacing w:val="-9"/>
        </w:rPr>
        <w:t>综上所述，施工单位应严格按照相关要求采取扬尘防治措施，加强施工场地管理和组织秩序，确保施工期间做到文明施工、不扰民、少污染。</w:t>
      </w:r>
    </w:p>
    <w:p>
      <w:pPr>
        <w:spacing w:after="0" w:line="357" w:lineRule="auto"/>
        <w:jc w:val="both"/>
        <w:sectPr>
          <w:pgSz w:w="11910" w:h="16850"/>
          <w:pgMar w:header="0" w:footer="1141" w:top="1400" w:bottom="1340" w:left="1680" w:right="1680"/>
        </w:sectPr>
      </w:pPr>
    </w:p>
    <w:p>
      <w:pPr>
        <w:pStyle w:val="Heading3"/>
        <w:spacing w:before="13"/>
        <w:ind w:left="720"/>
      </w:pPr>
      <w:r>
        <w:rPr/>
        <w:pict>
          <v:group style="position:absolute;margin-left:90.128998pt;margin-top:71.624977pt;width:415.2pt;height:698.95pt;mso-position-horizontal-relative:page;mso-position-vertical-relative:page;z-index:-17627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w w:val="95"/>
        </w:rPr>
        <w:t>（</w:t>
      </w:r>
      <w:r>
        <w:rPr>
          <w:rFonts w:ascii="Times New Roman" w:eastAsia="Times New Roman"/>
          <w:w w:val="95"/>
        </w:rPr>
        <w:t>2</w:t>
      </w:r>
      <w:r>
        <w:rPr>
          <w:w w:val="95"/>
        </w:rPr>
        <w:t>）汽车尾气</w:t>
      </w:r>
    </w:p>
    <w:p>
      <w:pPr>
        <w:pStyle w:val="BodyText"/>
        <w:spacing w:line="336" w:lineRule="auto" w:before="135"/>
        <w:ind w:left="238" w:right="132" w:firstLine="479"/>
      </w:pPr>
      <w:r>
        <w:rPr>
          <w:spacing w:val="-5"/>
        </w:rPr>
        <w:t>施工机械主要以柴油和汽油为燃料，施工机械燃油将排出 </w:t>
      </w:r>
      <w:r>
        <w:rPr>
          <w:rFonts w:ascii="Times New Roman" w:eastAsia="Times New Roman"/>
        </w:rPr>
        <w:t>NOx</w:t>
      </w:r>
      <w:r>
        <w:rPr>
          <w:spacing w:val="-24"/>
        </w:rPr>
        <w:t>、</w:t>
      </w:r>
      <w:r>
        <w:rPr>
          <w:rFonts w:ascii="Times New Roman" w:eastAsia="Times New Roman"/>
        </w:rPr>
        <w:t>CO </w:t>
      </w:r>
      <w:r>
        <w:rPr/>
        <w:t>的尾气。</w:t>
      </w:r>
    </w:p>
    <w:p>
      <w:pPr>
        <w:pStyle w:val="BodyText"/>
        <w:spacing w:line="350" w:lineRule="auto" w:before="58"/>
        <w:ind w:left="238" w:right="208" w:firstLine="479"/>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w:t>
      </w:r>
      <w:r>
        <w:rPr>
          <w:rFonts w:ascii="Times New Roman" w:eastAsia="Times New Roman"/>
          <w:spacing w:val="41"/>
        </w:rPr>
        <w:t> </w:t>
      </w:r>
      <w:r>
        <w:rPr/>
        <w:t>范围</w:t>
      </w:r>
      <w:r>
        <w:rPr>
          <w:spacing w:val="-15"/>
        </w:rPr>
        <w:t>内，经扩散后尾气对周边居民和周围环境造成的影响较小，且这种影响时间短， 其余地区环境空气质量将维持现有水平。</w:t>
      </w:r>
    </w:p>
    <w:p>
      <w:pPr>
        <w:pStyle w:val="BodyText"/>
        <w:spacing w:line="357" w:lineRule="auto" w:before="43"/>
        <w:ind w:left="238" w:right="233" w:firstLine="479"/>
        <w:jc w:val="both"/>
      </w:pPr>
      <w:r>
        <w:rPr>
          <w:spacing w:val="-11"/>
        </w:rPr>
        <w:t>同时，环评建议施工单位应选用符合国家卫生防护标准的施工机械设备和</w:t>
      </w:r>
      <w:r>
        <w:rPr>
          <w:spacing w:val="-12"/>
        </w:rPr>
        <w:t>运输工具，并加强对机械设备的养护，减少不必要的空转时间，尽可能的减少施工机械尾气的排放量。</w:t>
      </w:r>
    </w:p>
    <w:p>
      <w:pPr>
        <w:pStyle w:val="Heading3"/>
        <w:spacing w:before="35"/>
        <w:ind w:left="720"/>
      </w:pPr>
      <w:r>
        <w:rPr>
          <w:w w:val="95"/>
        </w:rPr>
        <w:t>（</w:t>
      </w:r>
      <w:r>
        <w:rPr>
          <w:rFonts w:ascii="Times New Roman" w:eastAsia="Times New Roman"/>
          <w:w w:val="95"/>
        </w:rPr>
        <w:t>3</w:t>
      </w:r>
      <w:r>
        <w:rPr>
          <w:w w:val="95"/>
        </w:rPr>
        <w:t>）沥青烟</w:t>
      </w:r>
    </w:p>
    <w:p>
      <w:pPr>
        <w:pStyle w:val="BodyText"/>
        <w:spacing w:line="345" w:lineRule="auto" w:before="132"/>
        <w:ind w:left="238" w:right="146" w:firstLine="479"/>
      </w:pPr>
      <w:r>
        <w:rPr/>
        <w:t>本项目路面为沥青混凝土路面，沥青烟气中主要有毒有害物质是 </w:t>
      </w:r>
      <w:r>
        <w:rPr>
          <w:rFonts w:ascii="Times New Roman" w:eastAsia="Times New Roman"/>
        </w:rPr>
        <w:t>THC</w:t>
      </w:r>
      <w:r>
        <w:rPr/>
        <w:t>、酚和苯并</w:t>
      </w:r>
      <w:r>
        <w:rPr>
          <w:rFonts w:ascii="Times New Roman" w:eastAsia="Times New Roman"/>
        </w:rPr>
        <w:t>[a]</w:t>
      </w:r>
      <w:r>
        <w:rPr>
          <w:spacing w:val="-7"/>
        </w:rPr>
        <w:t>芘，沥青烟气污染影响范围为下风向 </w:t>
      </w:r>
      <w:r>
        <w:rPr>
          <w:rFonts w:ascii="Times New Roman" w:eastAsia="Times New Roman"/>
        </w:rPr>
        <w:t>100m</w:t>
      </w:r>
      <w:r>
        <w:rPr>
          <w:spacing w:val="-2"/>
        </w:rPr>
        <w:t>。本项目不设沥青拌和站，项目所需的沥青均在当地购买商品沥青，沥青在专业搅拌站制成成品后， </w:t>
      </w:r>
      <w:r>
        <w:rPr>
          <w:spacing w:val="-6"/>
        </w:rPr>
        <w:t>由专用运输车运至现场。</w:t>
      </w:r>
      <w:r>
        <w:rPr>
          <w:b/>
          <w:spacing w:val="-8"/>
        </w:rPr>
        <w:t>环评要求，沥青均采用罐装沥青专用车辆装运，以防</w:t>
      </w:r>
      <w:r>
        <w:rPr>
          <w:b/>
          <w:spacing w:val="-11"/>
        </w:rPr>
        <w:t>止沿程撒落污染环境。</w:t>
      </w:r>
      <w:r>
        <w:rPr>
          <w:spacing w:val="-9"/>
        </w:rPr>
        <w:t>同时，项目施工方应严格执行《公路沥青路的施工技术规范</w:t>
      </w:r>
      <w:r>
        <w:rPr>
          <w:spacing w:val="-1"/>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F</w:t>
      </w:r>
      <w:r>
        <w:rPr>
          <w:rFonts w:ascii="Times New Roman" w:eastAsia="Times New Roman"/>
        </w:rPr>
        <w:t>40</w:t>
      </w:r>
      <w:r>
        <w:rPr>
          <w:rFonts w:ascii="Times New Roman" w:eastAsia="Times New Roman"/>
          <w:spacing w:val="-1"/>
        </w:rPr>
        <w:t>-</w:t>
      </w:r>
      <w:r>
        <w:rPr>
          <w:rFonts w:ascii="Times New Roman" w:eastAsia="Times New Roman"/>
        </w:rPr>
        <w:t>2004</w:t>
      </w:r>
      <w:r>
        <w:rPr>
          <w:spacing w:val="-120"/>
        </w:rPr>
        <w:t>）</w:t>
      </w:r>
      <w:r>
        <w:rPr>
          <w:spacing w:val="-12"/>
        </w:rPr>
        <w:t>》，抓紧施工，缩短施工期，尽量减少沥青混凝土在施工铺设过程中沥青烟和苯并</w:t>
      </w:r>
      <w:r>
        <w:rPr>
          <w:rFonts w:ascii="Times New Roman" w:eastAsia="Times New Roman"/>
          <w:spacing w:val="-12"/>
        </w:rPr>
        <w:t>[a]</w:t>
      </w:r>
      <w:r>
        <w:rPr>
          <w:spacing w:val="-9"/>
        </w:rPr>
        <w:t>芘的产生和污染危害。</w:t>
      </w:r>
    </w:p>
    <w:p>
      <w:pPr>
        <w:pStyle w:val="Heading3"/>
        <w:spacing w:before="18"/>
        <w:ind w:left="720"/>
      </w:pPr>
      <w:r>
        <w:rPr>
          <w:rFonts w:ascii="Times New Roman" w:eastAsia="Times New Roman"/>
          <w:w w:val="95"/>
        </w:rPr>
        <w:t>2</w:t>
      </w:r>
      <w:r>
        <w:rPr>
          <w:w w:val="95"/>
        </w:rPr>
        <w:t>、施工噪声</w:t>
      </w:r>
    </w:p>
    <w:p>
      <w:pPr>
        <w:pStyle w:val="BodyText"/>
        <w:spacing w:before="133"/>
        <w:ind w:left="718"/>
      </w:pPr>
      <w:r>
        <w:rPr/>
        <w:t>施工期道路主要噪声设备、车辆噪声强度见表</w:t>
      </w:r>
      <w:r>
        <w:rPr>
          <w:rFonts w:ascii="Times New Roman" w:eastAsia="Times New Roman"/>
        </w:rPr>
        <w:t>5-3</w:t>
      </w:r>
      <w:r>
        <w:rPr/>
        <w:t>。</w:t>
      </w:r>
    </w:p>
    <w:p>
      <w:pPr>
        <w:pStyle w:val="Heading3"/>
        <w:tabs>
          <w:tab w:pos="3257" w:val="left" w:leader="none"/>
        </w:tabs>
        <w:spacing w:before="135"/>
        <w:ind w:left="2396"/>
      </w:pPr>
      <w:r>
        <w:rPr/>
        <w:t>表</w:t>
      </w:r>
      <w:r>
        <w:rPr>
          <w:spacing w:val="-60"/>
        </w:rPr>
        <w:t> </w:t>
      </w:r>
      <w:r>
        <w:rPr>
          <w:rFonts w:ascii="Times New Roman" w:eastAsia="Times New Roman"/>
        </w:rPr>
        <w:t>5-3</w:t>
        <w:tab/>
      </w:r>
      <w:r>
        <w:rPr>
          <w:w w:val="95"/>
        </w:rPr>
        <w:t>施工期道路噪声声源强度表</w:t>
      </w:r>
    </w:p>
    <w:p>
      <w:pPr>
        <w:pStyle w:val="BodyText"/>
        <w:spacing w:before="9"/>
        <w:rPr>
          <w:b/>
          <w:sz w:val="11"/>
        </w:rPr>
      </w:pPr>
    </w:p>
    <w:tbl>
      <w:tblPr>
        <w:tblW w:w="0" w:type="auto"/>
        <w:jc w:val="left"/>
        <w:tblInd w:w="202" w:type="dxa"/>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015"/>
        <w:gridCol w:w="2014"/>
        <w:gridCol w:w="828"/>
        <w:gridCol w:w="1942"/>
        <w:gridCol w:w="2288"/>
      </w:tblGrid>
      <w:tr>
        <w:trPr>
          <w:trHeight w:val="300" w:hRule="exact"/>
        </w:trPr>
        <w:tc>
          <w:tcPr>
            <w:tcW w:w="1015" w:type="dxa"/>
            <w:tcBorders>
              <w:left w:val="nil"/>
              <w:bottom w:val="single" w:sz="2" w:space="0" w:color="000000"/>
              <w:right w:val="single" w:sz="2" w:space="0" w:color="000000"/>
            </w:tcBorders>
          </w:tcPr>
          <w:p>
            <w:pPr>
              <w:pStyle w:val="TableParagraph"/>
              <w:spacing w:line="263" w:lineRule="exact"/>
              <w:ind w:left="285" w:right="266"/>
              <w:rPr>
                <w:sz w:val="21"/>
              </w:rPr>
            </w:pPr>
            <w:r>
              <w:rPr>
                <w:sz w:val="21"/>
              </w:rPr>
              <w:t>序号</w:t>
            </w:r>
          </w:p>
        </w:tc>
        <w:tc>
          <w:tcPr>
            <w:tcW w:w="2014" w:type="dxa"/>
            <w:tcBorders>
              <w:left w:val="single" w:sz="2" w:space="0" w:color="000000"/>
              <w:bottom w:val="single" w:sz="2" w:space="0" w:color="000000"/>
              <w:right w:val="single" w:sz="4" w:space="0" w:color="000000"/>
            </w:tcBorders>
          </w:tcPr>
          <w:p>
            <w:pPr>
              <w:pStyle w:val="TableParagraph"/>
              <w:spacing w:line="263" w:lineRule="exact"/>
              <w:ind w:left="144" w:right="140"/>
              <w:rPr>
                <w:sz w:val="21"/>
              </w:rPr>
            </w:pPr>
            <w:r>
              <w:rPr>
                <w:sz w:val="21"/>
              </w:rPr>
              <w:t>声源</w:t>
            </w:r>
          </w:p>
        </w:tc>
        <w:tc>
          <w:tcPr>
            <w:tcW w:w="828" w:type="dxa"/>
            <w:tcBorders>
              <w:left w:val="single" w:sz="4" w:space="0" w:color="000000"/>
              <w:bottom w:val="single" w:sz="2" w:space="0" w:color="000000"/>
              <w:right w:val="single" w:sz="2" w:space="0" w:color="000000"/>
            </w:tcBorders>
          </w:tcPr>
          <w:p>
            <w:pPr>
              <w:pStyle w:val="TableParagraph"/>
              <w:spacing w:line="263" w:lineRule="exact"/>
              <w:ind w:left="180" w:right="180"/>
              <w:rPr>
                <w:sz w:val="21"/>
              </w:rPr>
            </w:pPr>
            <w:r>
              <w:rPr>
                <w:sz w:val="21"/>
              </w:rPr>
              <w:t>数量</w:t>
            </w:r>
          </w:p>
        </w:tc>
        <w:tc>
          <w:tcPr>
            <w:tcW w:w="1942" w:type="dxa"/>
            <w:tcBorders>
              <w:left w:val="single" w:sz="2" w:space="0" w:color="000000"/>
              <w:bottom w:val="single" w:sz="2" w:space="0" w:color="000000"/>
              <w:right w:val="single" w:sz="2" w:space="0" w:color="000000"/>
            </w:tcBorders>
          </w:tcPr>
          <w:p>
            <w:pPr>
              <w:pStyle w:val="TableParagraph"/>
              <w:spacing w:line="263" w:lineRule="exact"/>
              <w:ind w:left="423" w:right="423"/>
              <w:rPr>
                <w:sz w:val="21"/>
              </w:rPr>
            </w:pPr>
            <w:r>
              <w:rPr>
                <w:sz w:val="21"/>
              </w:rPr>
              <w:t>产噪特征</w:t>
            </w:r>
          </w:p>
        </w:tc>
        <w:tc>
          <w:tcPr>
            <w:tcW w:w="2288" w:type="dxa"/>
            <w:tcBorders>
              <w:left w:val="single" w:sz="2" w:space="0" w:color="000000"/>
              <w:bottom w:val="single" w:sz="2" w:space="0" w:color="000000"/>
              <w:right w:val="nil"/>
            </w:tcBorders>
          </w:tcPr>
          <w:p>
            <w:pPr>
              <w:pStyle w:val="TableParagraph"/>
              <w:spacing w:line="279" w:lineRule="exact"/>
              <w:ind w:left="88" w:right="86"/>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7" w:hRule="exact"/>
        </w:trPr>
        <w:tc>
          <w:tcPr>
            <w:tcW w:w="1015" w:type="dxa"/>
            <w:tcBorders>
              <w:top w:val="single" w:sz="2" w:space="0" w:color="000000"/>
              <w:left w:val="nil"/>
              <w:bottom w:val="single" w:sz="2" w:space="0" w:color="000000"/>
              <w:right w:val="single" w:sz="2" w:space="0" w:color="000000"/>
            </w:tcBorders>
          </w:tcPr>
          <w:p>
            <w:pPr>
              <w:pStyle w:val="TableParagraph"/>
              <w:spacing w:before="28"/>
              <w:ind w:left="14"/>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8"/>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8"/>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90</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81</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3"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3"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76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14"/>
              <w:rPr>
                <w:rFonts w:ascii="Times New Roman"/>
                <w:sz w:val="21"/>
              </w:rPr>
            </w:pPr>
            <w:r>
              <w:rPr>
                <w:rFonts w:ascii="Times New Roman"/>
                <w:w w:val="100"/>
                <w:sz w:val="21"/>
              </w:rPr>
              <w:t>8</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2"/>
              <w:rPr>
                <w:sz w:val="21"/>
              </w:rPr>
            </w:pPr>
            <w:r>
              <w:rPr>
                <w:sz w:val="21"/>
              </w:rPr>
              <w:t>轮胎式液压挖掘机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84</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14"/>
              <w:rPr>
                <w:rFonts w:ascii="Times New Roman"/>
                <w:sz w:val="21"/>
              </w:rPr>
            </w:pPr>
            <w:r>
              <w:rPr>
                <w:rFonts w:ascii="Times New Roman"/>
                <w:w w:val="100"/>
                <w:sz w:val="21"/>
              </w:rPr>
              <w:t>9</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冲击式钻井机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27"/>
              <w:ind w:left="280" w:right="266"/>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27"/>
              <w:ind w:left="86" w:right="86"/>
              <w:rPr>
                <w:rFonts w:ascii="Times New Roman"/>
                <w:sz w:val="21"/>
              </w:rPr>
            </w:pPr>
            <w:r>
              <w:rPr>
                <w:rFonts w:ascii="Times New Roman"/>
                <w:sz w:val="21"/>
              </w:rPr>
              <w:t>82</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30"/>
              <w:ind w:left="275" w:right="266"/>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6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3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6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30"/>
              <w:ind w:left="86" w:right="86"/>
              <w:rPr>
                <w:rFonts w:ascii="Times New Roman"/>
                <w:sz w:val="21"/>
              </w:rPr>
            </w:pPr>
            <w:r>
              <w:rPr>
                <w:rFonts w:ascii="Times New Roman"/>
                <w:sz w:val="21"/>
              </w:rPr>
              <w:t>87</w:t>
            </w:r>
          </w:p>
        </w:tc>
      </w:tr>
      <w:tr>
        <w:trPr>
          <w:trHeight w:val="298" w:hRule="exact"/>
        </w:trPr>
        <w:tc>
          <w:tcPr>
            <w:tcW w:w="1015" w:type="dxa"/>
            <w:tcBorders>
              <w:top w:val="single" w:sz="2" w:space="0" w:color="000000"/>
              <w:left w:val="nil"/>
              <w:right w:val="single" w:sz="2" w:space="0" w:color="000000"/>
            </w:tcBorders>
          </w:tcPr>
          <w:p>
            <w:pPr>
              <w:pStyle w:val="TableParagraph"/>
              <w:spacing w:before="27"/>
              <w:ind w:left="280" w:right="266"/>
              <w:rPr>
                <w:rFonts w:ascii="Times New Roman"/>
                <w:sz w:val="21"/>
              </w:rPr>
            </w:pPr>
            <w:r>
              <w:rPr>
                <w:rFonts w:ascii="Times New Roman"/>
                <w:sz w:val="21"/>
              </w:rPr>
              <w:t>12</w:t>
            </w:r>
          </w:p>
        </w:tc>
        <w:tc>
          <w:tcPr>
            <w:tcW w:w="2014" w:type="dxa"/>
            <w:tcBorders>
              <w:top w:val="single" w:sz="2" w:space="0" w:color="000000"/>
              <w:left w:val="single" w:sz="2" w:space="0" w:color="000000"/>
              <w:right w:val="single" w:sz="4" w:space="0" w:color="000000"/>
            </w:tcBorders>
          </w:tcPr>
          <w:p>
            <w:pPr>
              <w:pStyle w:val="TableParagraph"/>
              <w:spacing w:line="260" w:lineRule="exact"/>
              <w:ind w:left="143" w:right="142"/>
              <w:rPr>
                <w:sz w:val="21"/>
              </w:rPr>
            </w:pPr>
            <w:r>
              <w:rPr>
                <w:sz w:val="21"/>
              </w:rPr>
              <w:t>发电机组</w:t>
            </w:r>
          </w:p>
        </w:tc>
        <w:tc>
          <w:tcPr>
            <w:tcW w:w="828" w:type="dxa"/>
            <w:tcBorders>
              <w:top w:val="single" w:sz="2" w:space="0" w:color="000000"/>
              <w:left w:val="single" w:sz="4" w:space="0" w:color="000000"/>
              <w:right w:val="single" w:sz="2" w:space="0" w:color="000000"/>
            </w:tcBorders>
          </w:tcPr>
          <w:p>
            <w:pPr>
              <w:pStyle w:val="TableParagraph"/>
              <w:spacing w:before="27"/>
              <w:ind w:right="2"/>
              <w:rPr>
                <w:rFonts w:ascii="Times New Roman"/>
                <w:sz w:val="21"/>
              </w:rPr>
            </w:pPr>
            <w:r>
              <w:rPr>
                <w:rFonts w:ascii="Times New Roman"/>
                <w:w w:val="100"/>
                <w:sz w:val="21"/>
              </w:rPr>
              <w:t>2</w:t>
            </w:r>
          </w:p>
        </w:tc>
        <w:tc>
          <w:tcPr>
            <w:tcW w:w="1942" w:type="dxa"/>
            <w:tcBorders>
              <w:top w:val="single" w:sz="2" w:space="0" w:color="000000"/>
              <w:left w:val="single" w:sz="2" w:space="0" w:color="000000"/>
              <w:right w:val="single" w:sz="2" w:space="0" w:color="000000"/>
            </w:tcBorders>
          </w:tcPr>
          <w:p>
            <w:pPr>
              <w:pStyle w:val="TableParagraph"/>
              <w:spacing w:line="260" w:lineRule="exact"/>
              <w:ind w:left="423" w:right="423"/>
              <w:rPr>
                <w:sz w:val="21"/>
              </w:rPr>
            </w:pPr>
            <w:r>
              <w:rPr>
                <w:sz w:val="21"/>
              </w:rPr>
              <w:t>连续，稳态</w:t>
            </w:r>
          </w:p>
        </w:tc>
        <w:tc>
          <w:tcPr>
            <w:tcW w:w="2288" w:type="dxa"/>
            <w:tcBorders>
              <w:top w:val="single" w:sz="2" w:space="0" w:color="000000"/>
              <w:left w:val="single" w:sz="2" w:space="0" w:color="000000"/>
              <w:right w:val="nil"/>
            </w:tcBorders>
          </w:tcPr>
          <w:p>
            <w:pPr>
              <w:pStyle w:val="TableParagraph"/>
              <w:spacing w:before="27"/>
              <w:ind w:left="86" w:right="86"/>
              <w:rPr>
                <w:rFonts w:ascii="Times New Roman"/>
                <w:sz w:val="21"/>
              </w:rPr>
            </w:pPr>
            <w:r>
              <w:rPr>
                <w:rFonts w:ascii="Times New Roman"/>
                <w:sz w:val="21"/>
              </w:rPr>
              <w:t>98</w:t>
            </w:r>
          </w:p>
        </w:tc>
      </w:tr>
    </w:tbl>
    <w:p>
      <w:pPr>
        <w:pStyle w:val="BodyText"/>
        <w:ind w:left="718"/>
      </w:pPr>
      <w:r>
        <w:rPr/>
        <w:t>根据现场踏勘，根据现场调查，本项目沿线主要分布机关办公区、</w:t>
      </w:r>
      <w:r>
        <w:rPr>
          <w:rFonts w:ascii="Times New Roman" w:eastAsia="Times New Roman"/>
        </w:rPr>
        <w:t>2</w:t>
      </w:r>
      <w:r>
        <w:rPr/>
        <w:t>户零</w:t>
      </w:r>
    </w:p>
    <w:p>
      <w:pPr>
        <w:spacing w:after="0"/>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13087" w:hRule="exact"/>
        </w:trPr>
        <w:tc>
          <w:tcPr>
            <w:tcW w:w="8289" w:type="dxa"/>
            <w:gridSpan w:val="4"/>
            <w:tcBorders>
              <w:bottom w:val="single" w:sz="4" w:space="0" w:color="000000"/>
            </w:tcBorders>
          </w:tcPr>
          <w:p>
            <w:pPr>
              <w:pStyle w:val="TableParagraph"/>
              <w:spacing w:line="274" w:lineRule="exact"/>
              <w:ind w:left="100"/>
              <w:jc w:val="both"/>
              <w:rPr>
                <w:sz w:val="24"/>
              </w:rPr>
            </w:pPr>
            <w:r>
              <w:rPr>
                <w:sz w:val="24"/>
              </w:rPr>
              <w:t>散住户，因为避免项目对住户、办公人员造成噪声污染，建设单位应采取以下</w:t>
            </w:r>
          </w:p>
          <w:p>
            <w:pPr>
              <w:pStyle w:val="TableParagraph"/>
              <w:spacing w:before="154"/>
              <w:ind w:left="100"/>
              <w:jc w:val="both"/>
              <w:rPr>
                <w:sz w:val="24"/>
              </w:rPr>
            </w:pPr>
            <w:r>
              <w:rPr>
                <w:sz w:val="24"/>
              </w:rPr>
              <w:t>措施：</w:t>
            </w:r>
          </w:p>
          <w:p>
            <w:pPr>
              <w:pStyle w:val="TableParagraph"/>
              <w:spacing w:before="151"/>
              <w:ind w:left="580"/>
              <w:jc w:val="left"/>
              <w:rPr>
                <w:sz w:val="24"/>
              </w:rPr>
            </w:pPr>
            <w:r>
              <w:rPr>
                <w:rFonts w:ascii="Times New Roman" w:eastAsia="Times New Roman"/>
                <w:sz w:val="24"/>
              </w:rPr>
              <w:t>1</w:t>
            </w:r>
            <w:r>
              <w:rPr>
                <w:sz w:val="24"/>
              </w:rPr>
              <w:t>）施工期间，施工区域建架设</w:t>
            </w:r>
            <w:r>
              <w:rPr>
                <w:rFonts w:ascii="Times New Roman" w:eastAsia="Times New Roman"/>
                <w:sz w:val="24"/>
              </w:rPr>
              <w:t>1.8m</w:t>
            </w:r>
            <w:r>
              <w:rPr>
                <w:sz w:val="24"/>
              </w:rPr>
              <w:t>围挡，并采取防尘措施；</w:t>
            </w:r>
          </w:p>
          <w:p>
            <w:pPr>
              <w:pStyle w:val="TableParagraph"/>
              <w:spacing w:line="345" w:lineRule="auto" w:before="135"/>
              <w:ind w:left="100" w:right="11" w:firstLine="479"/>
              <w:jc w:val="both"/>
              <w:rPr>
                <w:sz w:val="24"/>
              </w:rPr>
            </w:pPr>
            <w:r>
              <w:rPr>
                <w:rFonts w:ascii="Times New Roman" w:eastAsia="Times New Roman"/>
                <w:sz w:val="24"/>
              </w:rPr>
              <w:t>2</w:t>
            </w:r>
            <w:r>
              <w:rPr>
                <w:sz w:val="24"/>
              </w:rPr>
              <w:t>）尽量采用低噪声机械，工程施工所用的施工机械设备应事先对其常规</w:t>
            </w:r>
            <w:r>
              <w:rPr>
                <w:spacing w:val="-7"/>
                <w:sz w:val="24"/>
              </w:rPr>
              <w:t>工作状态下的噪声测量，超过国家标准的机械禁止入场施工；施工过程中应经常对设备进行维修保养，避免因使用的设备性能差而使噪声增加的现象发生；</w:t>
            </w:r>
          </w:p>
          <w:p>
            <w:pPr>
              <w:pStyle w:val="TableParagraph"/>
              <w:spacing w:before="45"/>
              <w:ind w:left="580"/>
              <w:jc w:val="left"/>
              <w:rPr>
                <w:sz w:val="24"/>
              </w:rPr>
            </w:pPr>
            <w:r>
              <w:rPr>
                <w:rFonts w:ascii="Times New Roman" w:eastAsia="Times New Roman"/>
                <w:sz w:val="24"/>
              </w:rPr>
              <w:t>3</w:t>
            </w:r>
            <w:r>
              <w:rPr>
                <w:sz w:val="24"/>
              </w:rPr>
              <w:t>）禁止安排推土机、装载机、压路机、摊铺机等高噪声设备在午间</w:t>
            </w:r>
          </w:p>
          <w:p>
            <w:pPr>
              <w:pStyle w:val="TableParagraph"/>
              <w:spacing w:line="352" w:lineRule="auto" w:before="135"/>
              <w:ind w:left="100" w:right="101"/>
              <w:jc w:val="both"/>
              <w:rPr>
                <w:sz w:val="24"/>
              </w:rPr>
            </w:pPr>
            <w:r>
              <w:rPr>
                <w:rFonts w:ascii="Times New Roman" w:eastAsia="Times New Roman"/>
                <w:sz w:val="24"/>
              </w:rPr>
              <w:t>12:00-14:00</w:t>
            </w:r>
            <w:r>
              <w:rPr>
                <w:sz w:val="24"/>
              </w:rPr>
              <w:t>，夜间</w:t>
            </w:r>
            <w:r>
              <w:rPr>
                <w:rFonts w:ascii="Times New Roman" w:eastAsia="Times New Roman"/>
                <w:sz w:val="24"/>
              </w:rPr>
              <w:t>22:00-6:00</w:t>
            </w:r>
            <w:r>
              <w:rPr>
                <w:sz w:val="24"/>
              </w:rPr>
              <w:t>作业，保证周围居民的正常休息时间，同时，高</w:t>
            </w:r>
            <w:r>
              <w:rPr>
                <w:spacing w:val="-5"/>
                <w:sz w:val="24"/>
              </w:rPr>
              <w:t>噪声施工设备工作位置应尽量远离敏感点；同时，尽量避免多个机械设备同时</w:t>
            </w:r>
            <w:r>
              <w:rPr>
                <w:spacing w:val="-10"/>
                <w:sz w:val="24"/>
              </w:rPr>
              <w:t>施工，尽量减少施工噪声对各个敏感点的影响程度；若夜间必须连续施工作业</w:t>
            </w:r>
            <w:r>
              <w:rPr>
                <w:spacing w:val="-11"/>
                <w:sz w:val="24"/>
              </w:rPr>
              <w:t>的工点，施工单位应视具体情况及时与环保部门、建设局等相关主管部分取得联系，按规定申领夜间施工证，同时发布公告最大限度地争取民众支持。</w:t>
            </w:r>
          </w:p>
          <w:p>
            <w:pPr>
              <w:pStyle w:val="TableParagraph"/>
              <w:spacing w:line="336" w:lineRule="auto" w:before="41"/>
              <w:ind w:left="100" w:firstLine="479"/>
              <w:jc w:val="left"/>
              <w:rPr>
                <w:sz w:val="24"/>
              </w:rPr>
            </w:pPr>
            <w:r>
              <w:rPr>
                <w:rFonts w:ascii="Times New Roman" w:eastAsia="Times New Roman"/>
                <w:sz w:val="24"/>
              </w:rPr>
              <w:t>4</w:t>
            </w:r>
            <w:r>
              <w:rPr>
                <w:sz w:val="24"/>
              </w:rPr>
              <w:t>）加强施工管理，轻拿轻放施工器械和施工材料；运输车辆进入现场应减速、并减少鸣笛等；</w:t>
            </w:r>
          </w:p>
          <w:p>
            <w:pPr>
              <w:pStyle w:val="TableParagraph"/>
              <w:spacing w:line="336" w:lineRule="auto" w:before="58"/>
              <w:ind w:left="100" w:firstLine="479"/>
              <w:jc w:val="left"/>
              <w:rPr>
                <w:sz w:val="24"/>
              </w:rPr>
            </w:pPr>
            <w:r>
              <w:rPr>
                <w:rFonts w:ascii="Times New Roman" w:eastAsia="Times New Roman"/>
                <w:sz w:val="24"/>
              </w:rPr>
              <w:t>5</w:t>
            </w:r>
            <w:r>
              <w:rPr>
                <w:sz w:val="24"/>
              </w:rPr>
              <w:t>）建设单位应按要求在现场张贴通告和投诉电话，建设单位在接到投诉电话后及时与当地环保部门联系，以便及时处理各种环境纠纷；</w:t>
            </w:r>
          </w:p>
          <w:p>
            <w:pPr>
              <w:pStyle w:val="TableParagraph"/>
              <w:spacing w:before="58"/>
              <w:ind w:left="580"/>
              <w:jc w:val="left"/>
              <w:rPr>
                <w:sz w:val="24"/>
              </w:rPr>
            </w:pPr>
            <w:r>
              <w:rPr>
                <w:rFonts w:ascii="Times New Roman" w:eastAsia="Times New Roman"/>
                <w:sz w:val="24"/>
              </w:rPr>
              <w:t>6</w:t>
            </w:r>
            <w:r>
              <w:rPr>
                <w:sz w:val="24"/>
              </w:rPr>
              <w:t>）严格执行中、高考期间禁止施工要求。</w:t>
            </w:r>
          </w:p>
          <w:p>
            <w:pPr>
              <w:pStyle w:val="TableParagraph"/>
              <w:spacing w:before="133"/>
              <w:ind w:left="583"/>
              <w:jc w:val="left"/>
              <w:rPr>
                <w:b/>
                <w:sz w:val="24"/>
              </w:rPr>
            </w:pPr>
            <w:r>
              <w:rPr>
                <w:rFonts w:ascii="Times New Roman" w:eastAsia="Times New Roman"/>
                <w:b/>
                <w:w w:val="95"/>
                <w:sz w:val="24"/>
              </w:rPr>
              <w:t>3</w:t>
            </w:r>
            <w:r>
              <w:rPr>
                <w:b/>
                <w:w w:val="95"/>
                <w:sz w:val="24"/>
              </w:rPr>
              <w:t>、废水</w:t>
            </w:r>
          </w:p>
          <w:p>
            <w:pPr>
              <w:pStyle w:val="TableParagraph"/>
              <w:spacing w:before="135"/>
              <w:ind w:left="580"/>
              <w:jc w:val="left"/>
              <w:rPr>
                <w:sz w:val="24"/>
              </w:rPr>
            </w:pPr>
            <w:r>
              <w:rPr>
                <w:sz w:val="24"/>
              </w:rPr>
              <w:t>施工期废水主要为路基开挖积水、施工人员生活污水、施工废水。</w:t>
            </w:r>
          </w:p>
          <w:p>
            <w:pPr>
              <w:pStyle w:val="TableParagraph"/>
              <w:spacing w:before="151"/>
              <w:ind w:left="580"/>
              <w:jc w:val="left"/>
              <w:rPr>
                <w:sz w:val="24"/>
              </w:rPr>
            </w:pPr>
            <w:r>
              <w:rPr>
                <w:sz w:val="24"/>
              </w:rPr>
              <w:t>（</w:t>
            </w:r>
            <w:r>
              <w:rPr>
                <w:rFonts w:ascii="Times New Roman" w:eastAsia="Times New Roman"/>
                <w:sz w:val="24"/>
              </w:rPr>
              <w:t>1</w:t>
            </w:r>
            <w:r>
              <w:rPr>
                <w:sz w:val="24"/>
              </w:rPr>
              <w:t>）路基开挖积水</w:t>
            </w:r>
          </w:p>
          <w:p>
            <w:pPr>
              <w:pStyle w:val="TableParagraph"/>
              <w:spacing w:line="355" w:lineRule="auto" w:before="135"/>
              <w:ind w:left="100" w:right="91" w:firstLine="479"/>
              <w:jc w:val="left"/>
              <w:rPr>
                <w:sz w:val="24"/>
              </w:rPr>
            </w:pPr>
            <w:r>
              <w:rPr>
                <w:spacing w:val="-9"/>
                <w:sz w:val="24"/>
              </w:rPr>
              <w:t>一般情况下，路基施工产生的排水为清下水，就近排入沟渠或市政雨水管网。</w:t>
            </w:r>
          </w:p>
          <w:p>
            <w:pPr>
              <w:pStyle w:val="TableParagraph"/>
              <w:spacing w:before="38"/>
              <w:ind w:left="580"/>
              <w:jc w:val="left"/>
              <w:rPr>
                <w:sz w:val="24"/>
              </w:rPr>
            </w:pPr>
            <w:r>
              <w:rPr>
                <w:sz w:val="24"/>
              </w:rPr>
              <w:t>（</w:t>
            </w:r>
            <w:r>
              <w:rPr>
                <w:rFonts w:ascii="Times New Roman" w:eastAsia="Times New Roman"/>
                <w:sz w:val="24"/>
              </w:rPr>
              <w:t>2</w:t>
            </w:r>
            <w:r>
              <w:rPr>
                <w:sz w:val="24"/>
              </w:rPr>
              <w:t>）施工废水</w:t>
            </w:r>
          </w:p>
          <w:p>
            <w:pPr>
              <w:pStyle w:val="TableParagraph"/>
              <w:spacing w:line="357" w:lineRule="auto" w:before="133"/>
              <w:ind w:left="100" w:firstLine="479"/>
              <w:jc w:val="left"/>
              <w:rPr>
                <w:sz w:val="24"/>
              </w:rPr>
            </w:pPr>
            <w:r>
              <w:rPr>
                <w:spacing w:val="-6"/>
                <w:sz w:val="24"/>
              </w:rPr>
              <w:t>施工期施工废水主要为开挖、钻孔产生的泥浆水、各种施工机械设备运转</w:t>
            </w:r>
            <w:r>
              <w:rPr>
                <w:spacing w:val="10"/>
                <w:sz w:val="24"/>
              </w:rPr>
              <w:t>的冷却水、设备和运输车辆冲洗水，工程施工期间使用的生产用水总量约</w:t>
            </w:r>
          </w:p>
          <w:p>
            <w:pPr>
              <w:pStyle w:val="TableParagraph"/>
              <w:spacing w:line="336" w:lineRule="auto" w:before="36"/>
              <w:ind w:left="100" w:right="99"/>
              <w:jc w:val="both"/>
              <w:rPr>
                <w:sz w:val="24"/>
              </w:rPr>
            </w:pPr>
            <w:r>
              <w:rPr>
                <w:rFonts w:ascii="Times New Roman" w:eastAsia="Times New Roman"/>
                <w:spacing w:val="-1"/>
                <w:sz w:val="24"/>
              </w:rPr>
              <w:t>8m</w:t>
            </w:r>
            <w:r>
              <w:rPr>
                <w:rFonts w:ascii="Times New Roman" w:eastAsia="Times New Roman"/>
                <w:spacing w:val="-1"/>
                <w:position w:val="11"/>
                <w:sz w:val="16"/>
              </w:rPr>
              <w:t>3</w:t>
            </w:r>
            <w:r>
              <w:rPr>
                <w:rFonts w:ascii="Times New Roman" w:eastAsia="Times New Roman"/>
                <w:spacing w:val="-1"/>
                <w:sz w:val="24"/>
              </w:rPr>
              <w:t>/d</w:t>
            </w:r>
            <w:r>
              <w:rPr>
                <w:spacing w:val="-1"/>
                <w:sz w:val="24"/>
              </w:rPr>
              <w:t>，排放系数</w:t>
            </w:r>
            <w:r>
              <w:rPr>
                <w:rFonts w:ascii="Times New Roman" w:eastAsia="Times New Roman"/>
                <w:spacing w:val="-4"/>
                <w:sz w:val="24"/>
              </w:rPr>
              <w:t>0.9</w:t>
            </w:r>
            <w:r>
              <w:rPr>
                <w:spacing w:val="-3"/>
                <w:sz w:val="24"/>
              </w:rPr>
              <w:t>，则施工废水量约</w:t>
            </w:r>
            <w:r>
              <w:rPr>
                <w:rFonts w:ascii="Times New Roman" w:eastAsia="Times New Roman"/>
                <w:spacing w:val="-1"/>
                <w:sz w:val="24"/>
              </w:rPr>
              <w:t>7.2m</w:t>
            </w:r>
            <w:r>
              <w:rPr>
                <w:rFonts w:ascii="Times New Roman" w:eastAsia="Times New Roman"/>
                <w:spacing w:val="-1"/>
                <w:position w:val="11"/>
                <w:sz w:val="16"/>
              </w:rPr>
              <w:t>3</w:t>
            </w:r>
            <w:r>
              <w:rPr>
                <w:rFonts w:ascii="Times New Roman" w:eastAsia="Times New Roman"/>
                <w:spacing w:val="-1"/>
                <w:sz w:val="24"/>
              </w:rPr>
              <w:t>/d</w:t>
            </w:r>
            <w:r>
              <w:rPr>
                <w:spacing w:val="-1"/>
                <w:sz w:val="24"/>
              </w:rPr>
              <w:t>，施工废水污染物产生总量情况见表</w:t>
            </w:r>
            <w:r>
              <w:rPr>
                <w:rFonts w:ascii="Times New Roman" w:eastAsia="Times New Roman"/>
                <w:sz w:val="24"/>
              </w:rPr>
              <w:t>5-4</w:t>
            </w:r>
            <w:r>
              <w:rPr>
                <w:sz w:val="24"/>
              </w:rPr>
              <w:t>。</w:t>
            </w:r>
          </w:p>
          <w:p>
            <w:pPr>
              <w:pStyle w:val="TableParagraph"/>
              <w:tabs>
                <w:tab w:pos="861" w:val="left" w:leader="none"/>
              </w:tabs>
              <w:spacing w:before="29"/>
              <w:ind w:right="2"/>
              <w:rPr>
                <w:b/>
                <w:sz w:val="24"/>
              </w:rPr>
            </w:pPr>
            <w:r>
              <w:rPr>
                <w:b/>
                <w:sz w:val="24"/>
              </w:rPr>
              <w:t>表</w:t>
            </w:r>
            <w:r>
              <w:rPr>
                <w:b/>
                <w:spacing w:val="-60"/>
                <w:sz w:val="24"/>
              </w:rPr>
              <w:t> </w:t>
            </w:r>
            <w:r>
              <w:rPr>
                <w:rFonts w:ascii="Times New Roman" w:eastAsia="Times New Roman"/>
                <w:b/>
                <w:sz w:val="24"/>
              </w:rPr>
              <w:t>5-4</w:t>
              <w:tab/>
            </w:r>
            <w:r>
              <w:rPr>
                <w:b/>
                <w:w w:val="95"/>
                <w:sz w:val="24"/>
              </w:rPr>
              <w:t>施工废水产生总量一览表</w:t>
            </w:r>
          </w:p>
        </w:tc>
      </w:tr>
      <w:tr>
        <w:trPr>
          <w:trHeight w:val="629" w:hRule="exact"/>
        </w:trPr>
        <w:tc>
          <w:tcPr>
            <w:tcW w:w="2873" w:type="dxa"/>
            <w:tcBorders>
              <w:top w:val="single" w:sz="4" w:space="0" w:color="000000"/>
              <w:bottom w:val="thickThinMediumGap" w:sz="5" w:space="0" w:color="000000"/>
              <w:right w:val="single" w:sz="4" w:space="0" w:color="000000"/>
            </w:tcBorders>
          </w:tcPr>
          <w:p>
            <w:pPr>
              <w:pStyle w:val="TableParagraph"/>
              <w:spacing w:before="162"/>
              <w:ind w:left="1147" w:right="1043"/>
              <w:rPr>
                <w:sz w:val="21"/>
              </w:rPr>
            </w:pPr>
            <w:r>
              <w:rPr>
                <w:sz w:val="21"/>
              </w:rPr>
              <w:t>污染物</w:t>
            </w:r>
          </w:p>
        </w:tc>
        <w:tc>
          <w:tcPr>
            <w:tcW w:w="2172" w:type="dxa"/>
            <w:tcBorders>
              <w:top w:val="single" w:sz="4" w:space="0" w:color="000000"/>
              <w:left w:val="single" w:sz="4" w:space="0" w:color="000000"/>
              <w:bottom w:val="thickThinMediumGap" w:sz="5" w:space="0" w:color="000000"/>
              <w:right w:val="single" w:sz="4" w:space="0" w:color="000000"/>
            </w:tcBorders>
          </w:tcPr>
          <w:p>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Borders>
              <w:top w:val="single" w:sz="4" w:space="0" w:color="000000"/>
              <w:left w:val="single" w:sz="4" w:space="0" w:color="000000"/>
              <w:bottom w:val="thickThinMediumGap" w:sz="5" w:space="0" w:color="000000"/>
              <w:right w:val="single" w:sz="4" w:space="0" w:color="000000"/>
            </w:tcBorders>
          </w:tcPr>
          <w:p>
            <w:pPr>
              <w:pStyle w:val="TableParagraph"/>
              <w:spacing w:before="162"/>
              <w:ind w:left="220"/>
              <w:jc w:val="left"/>
              <w:rPr>
                <w:sz w:val="21"/>
              </w:rPr>
            </w:pPr>
            <w:r>
              <w:rPr>
                <w:sz w:val="21"/>
              </w:rPr>
              <w:t>浓度（</w:t>
            </w:r>
            <w:r>
              <w:rPr>
                <w:rFonts w:ascii="Times New Roman" w:eastAsia="Times New Roman"/>
                <w:sz w:val="21"/>
              </w:rPr>
              <w:t>mg/L</w:t>
            </w:r>
            <w:r>
              <w:rPr>
                <w:sz w:val="21"/>
              </w:rPr>
              <w:t>）</w:t>
            </w:r>
          </w:p>
        </w:tc>
        <w:tc>
          <w:tcPr>
            <w:tcW w:w="1498" w:type="dxa"/>
            <w:tcBorders>
              <w:top w:val="single" w:sz="4" w:space="0" w:color="000000"/>
              <w:left w:val="single" w:sz="4" w:space="0" w:color="000000"/>
              <w:bottom w:val="thickThinMediumGap" w:sz="5" w:space="0" w:color="000000"/>
            </w:tcBorders>
          </w:tcPr>
          <w:p>
            <w:pPr>
              <w:pStyle w:val="TableParagraph"/>
              <w:spacing w:line="274" w:lineRule="exact" w:before="26"/>
              <w:ind w:left="372"/>
              <w:jc w:val="left"/>
              <w:rPr>
                <w:sz w:val="21"/>
              </w:rPr>
            </w:pPr>
            <w:r>
              <w:rPr>
                <w:sz w:val="21"/>
              </w:rPr>
              <w:t>产生量</w:t>
            </w:r>
          </w:p>
          <w:p>
            <w:pPr>
              <w:pStyle w:val="TableParagraph"/>
              <w:spacing w:line="290" w:lineRule="exact"/>
              <w:ind w:left="290"/>
              <w:jc w:val="left"/>
              <w:rPr>
                <w:sz w:val="21"/>
              </w:rPr>
            </w:pPr>
            <w:r>
              <w:rPr>
                <w:sz w:val="21"/>
              </w:rPr>
              <w:t>（</w:t>
            </w:r>
            <w:r>
              <w:rPr>
                <w:rFonts w:ascii="Times New Roman" w:eastAsia="Times New Roman"/>
                <w:sz w:val="21"/>
              </w:rPr>
              <w:t>kg/d</w:t>
            </w:r>
            <w:r>
              <w:rPr>
                <w:sz w:val="21"/>
              </w:rPr>
              <w:t>）</w:t>
            </w:r>
          </w:p>
        </w:tc>
      </w:tr>
    </w:tbl>
    <w:p>
      <w:pPr>
        <w:spacing w:after="0" w:line="290" w:lineRule="exact"/>
        <w:jc w:val="left"/>
        <w:rPr>
          <w:sz w:val="21"/>
        </w:rPr>
        <w:sectPr>
          <w:pgSz w:w="11910" w:h="16850"/>
          <w:pgMar w:header="0" w:footer="1141" w:top="1440" w:bottom="1340" w:left="1680" w:right="1680"/>
        </w:sectPr>
      </w:pPr>
    </w:p>
    <w:tbl>
      <w:tblPr>
        <w:tblW w:w="0" w:type="auto"/>
        <w:jc w:val="left"/>
        <w:tblInd w:w="122"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CellMar>
          <w:top w:w="0" w:type="dxa"/>
          <w:left w:w="0" w:type="dxa"/>
          <w:bottom w:w="0" w:type="dxa"/>
          <w:right w:w="0" w:type="dxa"/>
        </w:tblCellMar>
        <w:tblLook w:val="01E0"/>
      </w:tblPr>
      <w:tblGrid>
        <w:gridCol w:w="2873"/>
        <w:gridCol w:w="2172"/>
        <w:gridCol w:w="1745"/>
        <w:gridCol w:w="1498"/>
      </w:tblGrid>
      <w:tr>
        <w:trPr>
          <w:trHeight w:val="324" w:hRule="exact"/>
        </w:trPr>
        <w:tc>
          <w:tcPr>
            <w:tcW w:w="2873" w:type="dxa"/>
            <w:tcBorders>
              <w:left w:val="single" w:sz="6" w:space="0" w:color="000000"/>
              <w:bottom w:val="single" w:sz="4" w:space="0" w:color="000000"/>
              <w:right w:val="single" w:sz="4" w:space="0" w:color="000000"/>
            </w:tcBorders>
          </w:tcPr>
          <w:p>
            <w:pPr>
              <w:pStyle w:val="TableParagraph"/>
              <w:spacing w:before="53"/>
              <w:ind w:left="1146" w:right="1043"/>
              <w:rPr>
                <w:rFonts w:ascii="Times New Roman"/>
                <w:sz w:val="21"/>
              </w:rPr>
            </w:pPr>
            <w:r>
              <w:rPr>
                <w:rFonts w:ascii="Times New Roman"/>
                <w:sz w:val="21"/>
              </w:rPr>
              <w:t>COD</w:t>
            </w:r>
          </w:p>
        </w:tc>
        <w:tc>
          <w:tcPr>
            <w:tcW w:w="2172" w:type="dxa"/>
            <w:vMerge w:val="restart"/>
            <w:tcBorders>
              <w:left w:val="single" w:sz="4" w:space="0" w:color="000000"/>
              <w:right w:val="single" w:sz="4" w:space="0" w:color="000000"/>
            </w:tcBorders>
          </w:tcPr>
          <w:p>
            <w:pPr>
              <w:pStyle w:val="TableParagraph"/>
              <w:spacing w:before="2"/>
              <w:jc w:val="left"/>
              <w:rPr>
                <w:sz w:val="29"/>
              </w:rPr>
            </w:pPr>
          </w:p>
          <w:p>
            <w:pPr>
              <w:pStyle w:val="TableParagraph"/>
              <w:ind w:left="931" w:right="929"/>
              <w:rPr>
                <w:rFonts w:ascii="Times New Roman"/>
                <w:sz w:val="21"/>
              </w:rPr>
            </w:pPr>
            <w:r>
              <w:rPr>
                <w:rFonts w:ascii="Times New Roman"/>
                <w:sz w:val="21"/>
              </w:rPr>
              <w:t>7.2</w:t>
            </w:r>
          </w:p>
        </w:tc>
        <w:tc>
          <w:tcPr>
            <w:tcW w:w="1745" w:type="dxa"/>
            <w:tcBorders>
              <w:left w:val="single" w:sz="4" w:space="0" w:color="000000"/>
              <w:bottom w:val="single" w:sz="4" w:space="0" w:color="000000"/>
              <w:right w:val="single" w:sz="4" w:space="0" w:color="000000"/>
            </w:tcBorders>
          </w:tcPr>
          <w:p>
            <w:pPr>
              <w:pStyle w:val="TableParagraph"/>
              <w:spacing w:before="53"/>
              <w:ind w:left="691" w:right="689"/>
              <w:rPr>
                <w:rFonts w:ascii="Times New Roman"/>
                <w:sz w:val="21"/>
              </w:rPr>
            </w:pPr>
            <w:r>
              <w:rPr>
                <w:rFonts w:ascii="Times New Roman"/>
                <w:sz w:val="21"/>
              </w:rPr>
              <w:t>150</w:t>
            </w:r>
          </w:p>
        </w:tc>
        <w:tc>
          <w:tcPr>
            <w:tcW w:w="1498" w:type="dxa"/>
            <w:tcBorders>
              <w:left w:val="single" w:sz="4" w:space="0" w:color="000000"/>
              <w:bottom w:val="single" w:sz="4" w:space="0" w:color="000000"/>
              <w:right w:val="single" w:sz="6" w:space="0" w:color="000000"/>
            </w:tcBorders>
          </w:tcPr>
          <w:p>
            <w:pPr>
              <w:pStyle w:val="TableParagraph"/>
              <w:spacing w:before="53"/>
              <w:ind w:right="611"/>
              <w:jc w:val="right"/>
              <w:rPr>
                <w:rFonts w:ascii="Times New Roman"/>
                <w:sz w:val="21"/>
              </w:rPr>
            </w:pPr>
            <w:r>
              <w:rPr>
                <w:rFonts w:ascii="Times New Roman"/>
                <w:sz w:val="21"/>
              </w:rPr>
              <w:t>1.08</w:t>
            </w:r>
          </w:p>
        </w:tc>
      </w:tr>
      <w:tr>
        <w:trPr>
          <w:trHeight w:val="312" w:hRule="exact"/>
        </w:trPr>
        <w:tc>
          <w:tcPr>
            <w:tcW w:w="2873" w:type="dxa"/>
            <w:tcBorders>
              <w:top w:val="single" w:sz="4" w:space="0" w:color="000000"/>
              <w:left w:val="single" w:sz="6" w:space="0" w:color="000000"/>
              <w:bottom w:val="single" w:sz="4" w:space="0" w:color="000000"/>
              <w:right w:val="single" w:sz="4" w:space="0" w:color="000000"/>
            </w:tcBorders>
          </w:tcPr>
          <w:p>
            <w:pPr>
              <w:pStyle w:val="TableParagraph"/>
              <w:spacing w:before="48"/>
              <w:ind w:left="1147" w:right="1043"/>
              <w:rPr>
                <w:rFonts w:ascii="Times New Roman"/>
                <w:sz w:val="21"/>
              </w:rPr>
            </w:pPr>
            <w:r>
              <w:rPr>
                <w:rFonts w:ascii="Times New Roman"/>
                <w:sz w:val="21"/>
              </w:rPr>
              <w:t>SS</w:t>
            </w:r>
          </w:p>
        </w:tc>
        <w:tc>
          <w:tcPr>
            <w:tcW w:w="2172" w:type="dxa"/>
            <w:vMerge/>
            <w:tcBorders>
              <w:left w:val="single" w:sz="4" w:space="0" w:color="000000"/>
              <w:right w:val="single" w:sz="4" w:space="0" w:color="000000"/>
            </w:tcBorders>
          </w:tcPr>
          <w:p>
            <w:pP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48"/>
              <w:ind w:left="691" w:right="689"/>
              <w:rPr>
                <w:rFonts w:ascii="Times New Roman"/>
                <w:sz w:val="21"/>
              </w:rPr>
            </w:pPr>
            <w:r>
              <w:rPr>
                <w:rFonts w:ascii="Times New Roman"/>
                <w:sz w:val="21"/>
              </w:rPr>
              <w:t>250</w:t>
            </w:r>
          </w:p>
        </w:tc>
        <w:tc>
          <w:tcPr>
            <w:tcW w:w="1498" w:type="dxa"/>
            <w:tcBorders>
              <w:top w:val="single" w:sz="4" w:space="0" w:color="000000"/>
              <w:left w:val="single" w:sz="4" w:space="0" w:color="000000"/>
              <w:bottom w:val="single" w:sz="4" w:space="0" w:color="000000"/>
              <w:right w:val="single" w:sz="6" w:space="0" w:color="000000"/>
            </w:tcBorders>
          </w:tcPr>
          <w:p>
            <w:pPr>
              <w:pStyle w:val="TableParagraph"/>
              <w:spacing w:before="48"/>
              <w:ind w:right="662"/>
              <w:jc w:val="right"/>
              <w:rPr>
                <w:rFonts w:ascii="Times New Roman"/>
                <w:sz w:val="21"/>
              </w:rPr>
            </w:pPr>
            <w:r>
              <w:rPr>
                <w:rFonts w:ascii="Times New Roman"/>
                <w:sz w:val="21"/>
              </w:rPr>
              <w:t>1.8</w:t>
            </w:r>
          </w:p>
        </w:tc>
      </w:tr>
      <w:tr>
        <w:trPr>
          <w:trHeight w:val="343" w:hRule="exact"/>
        </w:trPr>
        <w:tc>
          <w:tcPr>
            <w:tcW w:w="2873" w:type="dxa"/>
            <w:tcBorders>
              <w:top w:val="single" w:sz="4" w:space="0" w:color="000000"/>
              <w:left w:val="single" w:sz="6" w:space="0" w:color="000000"/>
              <w:bottom w:val="single" w:sz="4" w:space="0" w:color="000000"/>
              <w:right w:val="single" w:sz="4" w:space="0" w:color="000000"/>
            </w:tcBorders>
          </w:tcPr>
          <w:p>
            <w:pPr>
              <w:pStyle w:val="TableParagraph"/>
              <w:spacing w:before="20"/>
              <w:ind w:left="1147" w:right="1043"/>
              <w:rPr>
                <w:sz w:val="21"/>
              </w:rPr>
            </w:pPr>
            <w:r>
              <w:rPr>
                <w:sz w:val="21"/>
              </w:rPr>
              <w:t>石油类</w:t>
            </w:r>
          </w:p>
        </w:tc>
        <w:tc>
          <w:tcPr>
            <w:tcW w:w="2172" w:type="dxa"/>
            <w:vMerge/>
            <w:tcBorders>
              <w:left w:val="single" w:sz="4" w:space="0" w:color="000000"/>
              <w:bottom w:val="single" w:sz="4" w:space="0" w:color="000000"/>
              <w:right w:val="single" w:sz="4" w:space="0" w:color="000000"/>
            </w:tcBorders>
          </w:tcPr>
          <w:p>
            <w:pPr/>
          </w:p>
        </w:tc>
        <w:tc>
          <w:tcPr>
            <w:tcW w:w="1745" w:type="dxa"/>
            <w:tcBorders>
              <w:top w:val="single" w:sz="4" w:space="0" w:color="000000"/>
              <w:left w:val="single" w:sz="4" w:space="0" w:color="000000"/>
              <w:bottom w:val="single" w:sz="4" w:space="0" w:color="000000"/>
              <w:right w:val="single" w:sz="4" w:space="0" w:color="000000"/>
            </w:tcBorders>
          </w:tcPr>
          <w:p>
            <w:pPr>
              <w:pStyle w:val="TableParagraph"/>
              <w:spacing w:before="62"/>
              <w:ind w:left="691" w:right="689"/>
              <w:rPr>
                <w:rFonts w:ascii="Times New Roman"/>
                <w:sz w:val="21"/>
              </w:rPr>
            </w:pPr>
            <w:r>
              <w:rPr>
                <w:rFonts w:ascii="Times New Roman"/>
                <w:sz w:val="21"/>
              </w:rPr>
              <w:t>20</w:t>
            </w:r>
          </w:p>
        </w:tc>
        <w:tc>
          <w:tcPr>
            <w:tcW w:w="1498" w:type="dxa"/>
            <w:tcBorders>
              <w:top w:val="single" w:sz="4" w:space="0" w:color="000000"/>
              <w:left w:val="single" w:sz="4" w:space="0" w:color="000000"/>
              <w:bottom w:val="single" w:sz="4" w:space="0" w:color="000000"/>
              <w:right w:val="single" w:sz="6" w:space="0" w:color="000000"/>
            </w:tcBorders>
          </w:tcPr>
          <w:p>
            <w:pPr>
              <w:pStyle w:val="TableParagraph"/>
              <w:spacing w:before="62"/>
              <w:ind w:right="611"/>
              <w:jc w:val="right"/>
              <w:rPr>
                <w:rFonts w:ascii="Times New Roman"/>
                <w:sz w:val="21"/>
              </w:rPr>
            </w:pPr>
            <w:r>
              <w:rPr>
                <w:rFonts w:ascii="Times New Roman"/>
                <w:sz w:val="21"/>
              </w:rPr>
              <w:t>0.14</w:t>
            </w:r>
          </w:p>
        </w:tc>
      </w:tr>
      <w:tr>
        <w:trPr>
          <w:trHeight w:val="12969" w:hRule="exact"/>
        </w:trPr>
        <w:tc>
          <w:tcPr>
            <w:tcW w:w="8289" w:type="dxa"/>
            <w:gridSpan w:val="4"/>
            <w:tcBorders>
              <w:top w:val="single" w:sz="4" w:space="0" w:color="000000"/>
              <w:left w:val="single" w:sz="6" w:space="0" w:color="000000"/>
              <w:bottom w:val="single" w:sz="6" w:space="0" w:color="000000"/>
              <w:right w:val="single" w:sz="6" w:space="0" w:color="000000"/>
            </w:tcBorders>
          </w:tcPr>
          <w:p>
            <w:pPr>
              <w:pStyle w:val="TableParagraph"/>
              <w:spacing w:line="286" w:lineRule="exact"/>
              <w:ind w:left="580"/>
              <w:jc w:val="left"/>
              <w:rPr>
                <w:sz w:val="24"/>
              </w:rPr>
            </w:pPr>
            <w:r>
              <w:rPr>
                <w:spacing w:val="-3"/>
                <w:sz w:val="24"/>
              </w:rPr>
              <w:t>环评要求在施工出入口处设置 </w:t>
            </w:r>
            <w:r>
              <w:rPr>
                <w:rFonts w:ascii="Times New Roman" w:hAnsi="Times New Roman" w:eastAsia="Times New Roman"/>
                <w:sz w:val="24"/>
              </w:rPr>
              <w:t>1</w:t>
            </w:r>
            <w:r>
              <w:rPr>
                <w:rFonts w:ascii="Times New Roman" w:hAnsi="Times New Roman" w:eastAsia="Times New Roman"/>
                <w:spacing w:val="21"/>
                <w:sz w:val="24"/>
              </w:rPr>
              <w:t> </w:t>
            </w:r>
            <w:r>
              <w:rPr>
                <w:sz w:val="24"/>
              </w:rPr>
              <w:t>个临时隔油池（</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z w:val="24"/>
              </w:rPr>
              <w:t>、</w:t>
            </w:r>
            <w:r>
              <w:rPr>
                <w:rFonts w:ascii="Times New Roman" w:hAnsi="Times New Roman" w:eastAsia="Times New Roman"/>
                <w:sz w:val="24"/>
              </w:rPr>
              <w:t>1</w:t>
            </w:r>
            <w:r>
              <w:rPr>
                <w:rFonts w:ascii="Times New Roman" w:hAnsi="Times New Roman" w:eastAsia="Times New Roman"/>
                <w:spacing w:val="21"/>
                <w:sz w:val="24"/>
              </w:rPr>
              <w:t> </w:t>
            </w:r>
            <w:r>
              <w:rPr>
                <w:spacing w:val="-1"/>
                <w:sz w:val="24"/>
              </w:rPr>
              <w:t>个临时沉淀</w:t>
            </w:r>
          </w:p>
          <w:p>
            <w:pPr>
              <w:pStyle w:val="TableParagraph"/>
              <w:spacing w:before="133"/>
              <w:ind w:left="100"/>
              <w:jc w:val="left"/>
              <w:rPr>
                <w:sz w:val="24"/>
              </w:rPr>
            </w:pPr>
            <w:r>
              <w:rPr>
                <w:sz w:val="24"/>
              </w:rPr>
              <w:t>池</w:t>
            </w:r>
            <w:r>
              <w:rPr>
                <w:spacing w:val="-1"/>
                <w:sz w:val="24"/>
              </w:rPr>
              <w:t>（</w:t>
            </w:r>
            <w:r>
              <w:rPr>
                <w:rFonts w:ascii="Times New Roman" w:hAnsi="Times New Roman" w:eastAsia="Times New Roman"/>
                <w:sz w:val="24"/>
              </w:rPr>
              <w:t>3</w:t>
            </w:r>
            <w:r>
              <w:rPr>
                <w:sz w:val="24"/>
              </w:rPr>
              <w:t>×</w:t>
            </w:r>
            <w:r>
              <w:rPr>
                <w:rFonts w:ascii="Times New Roman" w:hAnsi="Times New Roman" w:eastAsia="Times New Roman"/>
                <w:sz w:val="24"/>
              </w:rPr>
              <w:t>2m</w:t>
            </w:r>
            <w:r>
              <w:rPr>
                <w:rFonts w:ascii="Times New Roman" w:hAnsi="Times New Roman" w:eastAsia="Times New Roman"/>
                <w:spacing w:val="1"/>
                <w:w w:val="100"/>
                <w:position w:val="11"/>
                <w:sz w:val="16"/>
              </w:rPr>
              <w:t>3</w:t>
            </w:r>
            <w:r>
              <w:rPr>
                <w:spacing w:val="-120"/>
                <w:sz w:val="24"/>
              </w:rPr>
              <w:t>）</w:t>
            </w:r>
            <w:r>
              <w:rPr>
                <w:spacing w:val="-1"/>
                <w:sz w:val="24"/>
              </w:rPr>
              <w:t>，施工废水经隔油、沉淀后用于工地降尘，不外排。</w:t>
            </w:r>
          </w:p>
          <w:p>
            <w:pPr>
              <w:pStyle w:val="TableParagraph"/>
              <w:spacing w:before="135"/>
              <w:ind w:left="580"/>
              <w:jc w:val="left"/>
              <w:rPr>
                <w:sz w:val="24"/>
              </w:rPr>
            </w:pPr>
            <w:r>
              <w:rPr>
                <w:sz w:val="24"/>
              </w:rPr>
              <w:t>（</w:t>
            </w:r>
            <w:r>
              <w:rPr>
                <w:rFonts w:ascii="Times New Roman" w:eastAsia="Times New Roman"/>
                <w:sz w:val="24"/>
              </w:rPr>
              <w:t>3</w:t>
            </w:r>
            <w:r>
              <w:rPr>
                <w:sz w:val="24"/>
              </w:rPr>
              <w:t>）生活污水 </w:t>
            </w:r>
          </w:p>
          <w:p>
            <w:pPr>
              <w:pStyle w:val="TableParagraph"/>
              <w:spacing w:line="357" w:lineRule="auto" w:before="133"/>
              <w:ind w:left="100" w:right="100" w:firstLine="479"/>
              <w:jc w:val="both"/>
              <w:rPr>
                <w:sz w:val="24"/>
              </w:rPr>
            </w:pPr>
            <w:r>
              <w:rPr>
                <w:spacing w:val="-6"/>
                <w:sz w:val="24"/>
              </w:rPr>
              <w:t>本项目不设置施工营地，施工人员生活、住宿均依托于周边住房，其生活</w:t>
            </w:r>
            <w:r>
              <w:rPr>
                <w:spacing w:val="-10"/>
                <w:sz w:val="24"/>
              </w:rPr>
              <w:t>污水处理设施也依托于周边住房现有的污水处理设施。同时，本项目施工期不设食堂，施工人员就餐通过配餐解决。</w:t>
            </w:r>
          </w:p>
          <w:p>
            <w:pPr>
              <w:pStyle w:val="TableParagraph"/>
              <w:spacing w:before="37"/>
              <w:ind w:left="583"/>
              <w:jc w:val="left"/>
              <w:rPr>
                <w:b/>
                <w:sz w:val="24"/>
              </w:rPr>
            </w:pPr>
            <w:r>
              <w:rPr>
                <w:rFonts w:ascii="Times New Roman" w:eastAsia="Times New Roman"/>
                <w:b/>
                <w:w w:val="95"/>
                <w:sz w:val="24"/>
              </w:rPr>
              <w:t>4</w:t>
            </w:r>
            <w:r>
              <w:rPr>
                <w:b/>
                <w:w w:val="95"/>
                <w:sz w:val="24"/>
              </w:rPr>
              <w:t>、固体废物</w:t>
            </w:r>
          </w:p>
          <w:p>
            <w:pPr>
              <w:pStyle w:val="TableParagraph"/>
              <w:spacing w:line="357" w:lineRule="auto" w:before="133"/>
              <w:ind w:left="100" w:right="101" w:firstLine="479"/>
              <w:jc w:val="both"/>
              <w:rPr>
                <w:sz w:val="24"/>
              </w:rPr>
            </w:pPr>
            <w:r>
              <w:rPr>
                <w:sz w:val="24"/>
              </w:rPr>
              <w:t>施工期固体废弃物主要包括两部分，一部分来自路基开挖时产生的土石方；另一部分来自于施工人员产生的生活垃圾。</w:t>
            </w:r>
          </w:p>
          <w:p>
            <w:pPr>
              <w:pStyle w:val="TableParagraph"/>
              <w:spacing w:before="33"/>
              <w:ind w:left="580"/>
              <w:jc w:val="left"/>
              <w:rPr>
                <w:sz w:val="24"/>
              </w:rPr>
            </w:pPr>
            <w:r>
              <w:rPr>
                <w:sz w:val="24"/>
              </w:rPr>
              <w:t>（</w:t>
            </w:r>
            <w:r>
              <w:rPr>
                <w:rFonts w:ascii="Times New Roman" w:eastAsia="Times New Roman"/>
                <w:sz w:val="24"/>
              </w:rPr>
              <w:t>1</w:t>
            </w:r>
            <w:r>
              <w:rPr>
                <w:sz w:val="24"/>
              </w:rPr>
              <w:t>）土石方</w:t>
            </w:r>
          </w:p>
          <w:p>
            <w:pPr>
              <w:pStyle w:val="TableParagraph"/>
              <w:spacing w:line="345" w:lineRule="auto" w:before="135"/>
              <w:ind w:left="100" w:right="96" w:firstLine="479"/>
              <w:jc w:val="both"/>
              <w:rPr>
                <w:sz w:val="24"/>
              </w:rPr>
            </w:pPr>
            <w:r>
              <w:rPr>
                <w:spacing w:val="-7"/>
                <w:sz w:val="24"/>
              </w:rPr>
              <w:t>本项目总挖方量为 </w:t>
            </w:r>
            <w:r>
              <w:rPr>
                <w:rFonts w:ascii="Times New Roman" w:hAnsi="Times New Roman" w:eastAsia="Times New Roman"/>
                <w:spacing w:val="-3"/>
                <w:sz w:val="24"/>
              </w:rPr>
              <w:t>23724m</w:t>
            </w:r>
            <w:r>
              <w:rPr>
                <w:spacing w:val="-3"/>
                <w:sz w:val="24"/>
              </w:rPr>
              <w:t>³</w:t>
            </w:r>
            <w:r>
              <w:rPr>
                <w:spacing w:val="-14"/>
                <w:sz w:val="24"/>
              </w:rPr>
              <w:t>，填方量 </w:t>
            </w:r>
            <w:r>
              <w:rPr>
                <w:rFonts w:ascii="Times New Roman" w:hAnsi="Times New Roman" w:eastAsia="Times New Roman"/>
                <w:spacing w:val="-3"/>
                <w:sz w:val="24"/>
              </w:rPr>
              <w:t>3200m</w:t>
            </w:r>
            <w:r>
              <w:rPr>
                <w:spacing w:val="-3"/>
                <w:sz w:val="24"/>
              </w:rPr>
              <w:t>³</w:t>
            </w:r>
            <w:r>
              <w:rPr>
                <w:spacing w:val="-16"/>
                <w:sz w:val="24"/>
              </w:rPr>
              <w:t>，弃方 </w:t>
            </w:r>
            <w:r>
              <w:rPr>
                <w:rFonts w:ascii="Times New Roman" w:hAnsi="Times New Roman" w:eastAsia="Times New Roman"/>
                <w:sz w:val="24"/>
              </w:rPr>
              <w:t>20524 </w:t>
            </w:r>
            <w:r>
              <w:rPr>
                <w:rFonts w:ascii="Times New Roman" w:hAnsi="Times New Roman" w:eastAsia="Times New Roman"/>
                <w:spacing w:val="-6"/>
                <w:sz w:val="24"/>
              </w:rPr>
              <w:t>m</w:t>
            </w:r>
            <w:r>
              <w:rPr>
                <w:spacing w:val="-6"/>
                <w:sz w:val="24"/>
              </w:rPr>
              <w:t>³</w:t>
            </w:r>
            <w:r>
              <w:rPr>
                <w:spacing w:val="-2"/>
                <w:sz w:val="24"/>
              </w:rPr>
              <w:t>，弃方运至</w:t>
            </w:r>
            <w:r>
              <w:rPr>
                <w:spacing w:val="3"/>
                <w:sz w:val="24"/>
              </w:rPr>
              <w:t>指定堆场堆放。施工期产生的土方不能及时回填的堆放在施工现场区域范围内，采用毡布或防尘布覆盖。</w:t>
            </w:r>
          </w:p>
          <w:p>
            <w:pPr>
              <w:pStyle w:val="TableParagraph"/>
              <w:spacing w:line="357" w:lineRule="auto" w:before="48"/>
              <w:ind w:left="100" w:right="100" w:firstLine="479"/>
              <w:jc w:val="both"/>
              <w:rPr>
                <w:b/>
                <w:sz w:val="24"/>
              </w:rPr>
            </w:pPr>
            <w:r>
              <w:rPr>
                <w:spacing w:val="-10"/>
                <w:sz w:val="24"/>
              </w:rPr>
              <w:t>同时，为避免弃土运输过程中对周围环境造成影响，</w:t>
            </w:r>
            <w:r>
              <w:rPr>
                <w:b/>
                <w:sz w:val="24"/>
              </w:rPr>
              <w:t>环评要求应选择对周</w:t>
            </w:r>
            <w:r>
              <w:rPr>
                <w:b/>
                <w:w w:val="95"/>
                <w:sz w:val="24"/>
              </w:rPr>
              <w:t>边环境影响较小的运输路线，且在运输过程中运输车辆必须使用篷布遮盖，  在运输至靠近敏感点的道路时，应加强对司机人员的管理，小心驾驶，以免  发生事故导致车辆翻倒而对环境造成污染。</w:t>
            </w:r>
          </w:p>
          <w:p>
            <w:pPr>
              <w:pStyle w:val="TableParagraph"/>
              <w:spacing w:before="36"/>
              <w:ind w:left="595"/>
              <w:jc w:val="left"/>
              <w:rPr>
                <w:sz w:val="24"/>
              </w:rPr>
            </w:pPr>
            <w:r>
              <w:rPr>
                <w:sz w:val="24"/>
              </w:rPr>
              <w:t>（</w:t>
            </w:r>
            <w:r>
              <w:rPr>
                <w:rFonts w:ascii="Times New Roman" w:eastAsia="Times New Roman"/>
                <w:sz w:val="24"/>
              </w:rPr>
              <w:t>2</w:t>
            </w:r>
            <w:r>
              <w:rPr>
                <w:sz w:val="24"/>
              </w:rPr>
              <w:t>）生活垃圾</w:t>
            </w:r>
          </w:p>
          <w:p>
            <w:pPr>
              <w:pStyle w:val="TableParagraph"/>
              <w:spacing w:line="348" w:lineRule="auto" w:before="133"/>
              <w:ind w:left="100" w:right="100" w:firstLine="479"/>
              <w:jc w:val="both"/>
              <w:rPr>
                <w:sz w:val="24"/>
              </w:rPr>
            </w:pPr>
            <w:r>
              <w:rPr>
                <w:sz w:val="24"/>
              </w:rPr>
              <w:t>施工现场不设施工营地，生活垃圾主要产生在施工人员租用的周边住房内，项目施工期高峰时施工人员约 </w:t>
            </w:r>
            <w:r>
              <w:rPr>
                <w:rFonts w:ascii="Times New Roman" w:hAnsi="Times New Roman" w:eastAsia="Times New Roman"/>
                <w:sz w:val="24"/>
              </w:rPr>
              <w:t>20 </w:t>
            </w:r>
            <w:r>
              <w:rPr>
                <w:sz w:val="24"/>
              </w:rPr>
              <w:t>人，生活垃圾按 </w:t>
            </w:r>
            <w:r>
              <w:rPr>
                <w:rFonts w:ascii="Times New Roman" w:hAnsi="Times New Roman" w:eastAsia="Times New Roman"/>
                <w:sz w:val="24"/>
              </w:rPr>
              <w:t>0.5kg/</w:t>
            </w:r>
            <w:r>
              <w:rPr>
                <w:sz w:val="24"/>
              </w:rPr>
              <w:t>人</w:t>
            </w:r>
            <w:r>
              <w:rPr>
                <w:rFonts w:ascii="Times New Roman" w:hAnsi="Times New Roman" w:eastAsia="Times New Roman"/>
                <w:sz w:val="24"/>
              </w:rPr>
              <w:t>·d </w:t>
            </w:r>
            <w:r>
              <w:rPr>
                <w:sz w:val="24"/>
              </w:rPr>
              <w:t>计，生活垃圾产生量约 </w:t>
            </w:r>
            <w:r>
              <w:rPr>
                <w:rFonts w:ascii="Times New Roman" w:hAnsi="Times New Roman" w:eastAsia="Times New Roman"/>
                <w:sz w:val="24"/>
              </w:rPr>
              <w:t>0.01t/d</w:t>
            </w:r>
            <w:r>
              <w:rPr>
                <w:sz w:val="24"/>
              </w:rPr>
              <w:t>，纳入城市生活垃圾清运系统。</w:t>
            </w:r>
          </w:p>
          <w:p>
            <w:pPr>
              <w:pStyle w:val="TableParagraph"/>
              <w:spacing w:before="15"/>
              <w:ind w:left="583"/>
              <w:jc w:val="left"/>
              <w:rPr>
                <w:b/>
                <w:sz w:val="24"/>
              </w:rPr>
            </w:pPr>
            <w:r>
              <w:rPr>
                <w:rFonts w:ascii="Times New Roman" w:eastAsia="Times New Roman"/>
                <w:b/>
                <w:w w:val="95"/>
                <w:sz w:val="24"/>
              </w:rPr>
              <w:t>5</w:t>
            </w:r>
            <w:r>
              <w:rPr>
                <w:b/>
                <w:w w:val="95"/>
                <w:sz w:val="24"/>
              </w:rPr>
              <w:t>、生态影响</w:t>
            </w:r>
          </w:p>
          <w:p>
            <w:pPr>
              <w:pStyle w:val="TableParagraph"/>
              <w:spacing w:before="132"/>
              <w:ind w:left="580"/>
              <w:jc w:val="left"/>
              <w:rPr>
                <w:sz w:val="24"/>
              </w:rPr>
            </w:pPr>
            <w:r>
              <w:rPr>
                <w:sz w:val="24"/>
              </w:rPr>
              <w:t>项目施工过程中，会造成以下生态影响：</w:t>
            </w:r>
          </w:p>
          <w:p>
            <w:pPr>
              <w:pStyle w:val="TableParagraph"/>
              <w:spacing w:line="352" w:lineRule="auto" w:before="153"/>
              <w:ind w:left="100" w:firstLine="479"/>
              <w:jc w:val="left"/>
              <w:rPr>
                <w:sz w:val="24"/>
              </w:rPr>
            </w:pPr>
            <w:r>
              <w:rPr>
                <w:sz w:val="24"/>
              </w:rPr>
              <w:t>（</w:t>
            </w:r>
            <w:r>
              <w:rPr>
                <w:rFonts w:ascii="Times New Roman" w:eastAsia="Times New Roman"/>
                <w:sz w:val="24"/>
              </w:rPr>
              <w:t>1</w:t>
            </w:r>
            <w:r>
              <w:rPr>
                <w:sz w:val="24"/>
              </w:rPr>
              <w:t>）项目土石方的开挖和路基填筑等工序使沿线的植被遭到破坏，使地</w:t>
            </w:r>
            <w:r>
              <w:rPr>
                <w:spacing w:val="-9"/>
                <w:sz w:val="24"/>
              </w:rPr>
              <w:t>表裸露，从而使沿线地区的局部生态结构发生一定的变化，随着这种微地貌的</w:t>
            </w:r>
            <w:r>
              <w:rPr>
                <w:spacing w:val="-18"/>
                <w:sz w:val="24"/>
              </w:rPr>
              <w:t>改变，在降雨集中季节雨水冲刷作用下，不可避免地造成一定程度的水土流失。施工期水土流失是暂时的，随着主体工程竣工、植被的逐渐恢复，因工程施工而引起的水土流失会逐渐减少。</w:t>
            </w:r>
          </w:p>
        </w:tc>
      </w:tr>
    </w:tbl>
    <w:p>
      <w:pPr>
        <w:spacing w:after="0" w:line="352" w:lineRule="auto"/>
        <w:jc w:val="left"/>
        <w:rPr>
          <w:sz w:val="24"/>
        </w:rPr>
        <w:sectPr>
          <w:pgSz w:w="11910" w:h="16850"/>
          <w:pgMar w:header="0" w:footer="1141" w:top="1440" w:bottom="1340" w:left="1680" w:right="1680"/>
        </w:sectPr>
      </w:pPr>
    </w:p>
    <w:p>
      <w:pPr>
        <w:pStyle w:val="BodyText"/>
        <w:spacing w:line="338" w:lineRule="auto" w:before="13"/>
        <w:ind w:left="238" w:right="240" w:firstLine="479"/>
        <w:jc w:val="both"/>
      </w:pPr>
      <w:r>
        <w:rPr/>
        <w:pict>
          <v:group style="position:absolute;margin-left:89.768997pt;margin-top:71.624977pt;width:415.95pt;height:679pt;mso-position-horizontal-relative:page;mso-position-vertical-relative:page;z-index:-176248" coordorigin="1795,1432" coordsize="8319,13580">
            <v:line style="position:absolute" from="1817,1447" to="10091,1447" stroked="true" strokeweight=".72pt" strokecolor="#000000">
              <v:stroke dashstyle="solid"/>
            </v:line>
            <v:line style="position:absolute" from="1810,1440" to="1810,14997" stroked="true" strokeweight=".72pt" strokecolor="#000000">
              <v:stroke dashstyle="solid"/>
            </v:line>
            <v:line style="position:absolute" from="1803,15004" to="1817,15004" stroked="true" strokeweight=".71997pt" strokecolor="#000000">
              <v:stroke dashstyle="solid"/>
            </v:line>
            <v:line style="position:absolute" from="1803,15004" to="1817,15004" stroked="true" strokeweight=".71997pt" strokecolor="#000000">
              <v:stroke dashstyle="solid"/>
            </v:line>
            <v:line style="position:absolute" from="1817,15004" to="10091,15004" stroked="true" strokeweight=".71997pt" strokecolor="#000000">
              <v:stroke dashstyle="solid"/>
            </v:line>
            <v:line style="position:absolute" from="10099,1440" to="10099,14997" stroked="true" strokeweight=".71997pt" strokecolor="#000000">
              <v:stroke dashstyle="solid"/>
            </v:line>
            <v:line style="position:absolute" from="10092,15004" to="10106,15004" stroked="true" strokeweight=".71997pt" strokecolor="#000000">
              <v:stroke dashstyle="solid"/>
            </v:line>
            <v:line style="position:absolute" from="10092,15004" to="10106,15004" stroked="true" strokeweight=".71997pt" strokecolor="#000000">
              <v:stroke dashstyle="solid"/>
            </v:line>
            <w10:wrap type="none"/>
          </v:group>
        </w:pict>
      </w:r>
      <w:r>
        <w:rPr/>
        <w:t>（</w:t>
      </w:r>
      <w:r>
        <w:rPr>
          <w:rFonts w:ascii="Times New Roman" w:eastAsia="Times New Roman"/>
        </w:rPr>
        <w:t>2</w:t>
      </w:r>
      <w:r>
        <w:rPr/>
        <w:t>）车辆运行、路基和边坡加固等工序产生的施工噪声会对沿线野生动物造成负面影响。本项目沿线人类活动频繁，道路沿线无珍稀动植物分布。</w:t>
      </w:r>
    </w:p>
    <w:p>
      <w:pPr>
        <w:pStyle w:val="BodyText"/>
        <w:spacing w:line="338" w:lineRule="auto" w:before="52"/>
        <w:ind w:left="238" w:right="240" w:firstLine="479"/>
        <w:jc w:val="both"/>
      </w:pPr>
      <w:r>
        <w:rPr/>
        <w:t>（</w:t>
      </w:r>
      <w:r>
        <w:rPr>
          <w:rFonts w:ascii="Times New Roman" w:eastAsia="Times New Roman"/>
        </w:rPr>
        <w:t>3</w:t>
      </w:r>
      <w:r>
        <w:rPr/>
        <w:t>）道路建设时开挖、填筑等施工行为，在一定程度上将破坏所经区域的原有自然景观。</w:t>
      </w:r>
    </w:p>
    <w:p>
      <w:pPr>
        <w:pStyle w:val="Heading3"/>
        <w:spacing w:before="52"/>
        <w:ind w:left="720"/>
      </w:pPr>
      <w:r>
        <w:rPr>
          <w:rFonts w:ascii="Times New Roman" w:eastAsia="Times New Roman"/>
          <w:w w:val="95"/>
        </w:rPr>
        <w:t>6</w:t>
      </w:r>
      <w:r>
        <w:rPr>
          <w:w w:val="95"/>
        </w:rPr>
        <w:t>、社会环境的影响</w:t>
      </w:r>
    </w:p>
    <w:p>
      <w:pPr>
        <w:pStyle w:val="BodyText"/>
        <w:spacing w:line="357" w:lineRule="auto" w:before="135"/>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辆的增加使道路上的车流量增大。为减缓本项目施工期间对周边社会环境的影响，建设单位应采取以下措施：</w:t>
      </w:r>
    </w:p>
    <w:p>
      <w:pPr>
        <w:spacing w:line="336" w:lineRule="auto" w:before="37"/>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6" w:lineRule="auto" w:before="58"/>
        <w:ind w:left="238" w:right="240"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8"/>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6"/>
        <w:ind w:left="710" w:right="0" w:firstLine="0"/>
        <w:jc w:val="left"/>
        <w:rPr>
          <w:b/>
          <w:sz w:val="24"/>
        </w:rPr>
      </w:pPr>
      <w:r>
        <w:rPr>
          <w:b/>
          <w:w w:val="95"/>
          <w:sz w:val="24"/>
        </w:rPr>
        <w:t>二、营运期</w:t>
      </w:r>
    </w:p>
    <w:p>
      <w:pPr>
        <w:spacing w:before="151"/>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5"/>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line="350" w:lineRule="auto" w:before="38"/>
        <w:ind w:left="238" w:right="234" w:firstLine="479"/>
        <w:jc w:val="both"/>
      </w:pPr>
      <w:r>
        <w:rPr>
          <w:spacing w:val="-4"/>
        </w:rPr>
        <w:t>根据国内对南方地区路面径流污染情况实验有关资料，在车流量和降雨量</w:t>
      </w:r>
      <w:r>
        <w:rPr>
          <w:spacing w:val="-9"/>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3"/>
        <w:ind w:left="238" w:right="117" w:hanging="117"/>
        <w:jc w:val="center"/>
        <w:rPr>
          <w:rFonts w:ascii="Times New Roman" w:eastAsia="Times New Roman"/>
          <w:b/>
        </w:rPr>
      </w:pPr>
      <w:r>
        <w:rPr>
          <w:rFonts w:ascii="Times New Roman" w:eastAsia="Times New Roman"/>
        </w:rPr>
        <w:t>SS</w:t>
      </w:r>
      <w:r>
        <w:rPr>
          <w:rFonts w:ascii="Times New Roman" w:eastAsia="Times New Roman"/>
          <w:spacing w:val="58"/>
        </w:rPr>
        <w:t> </w:t>
      </w:r>
      <w:r>
        <w:rPr/>
        <w:t>和石油类的含量</w:t>
      </w:r>
      <w:r>
        <w:rPr>
          <w:spacing w:val="-3"/>
        </w:rPr>
        <w:t>可</w:t>
      </w:r>
      <w:r>
        <w:rPr/>
        <w:t>达</w:t>
      </w:r>
      <w:r>
        <w:rPr>
          <w:spacing w:val="-49"/>
        </w:rPr>
        <w:t> </w:t>
      </w:r>
      <w:r>
        <w:rPr>
          <w:rFonts w:ascii="Times New Roman" w:eastAsia="Times New Roman"/>
        </w:rPr>
        <w:t>158.5~231.4mg/L</w:t>
      </w:r>
      <w:r>
        <w:rPr/>
        <w:t>、</w:t>
      </w:r>
      <w:r>
        <w:rPr>
          <w:rFonts w:ascii="Times New Roman" w:eastAsia="Times New Roman"/>
        </w:rPr>
        <w:t>19.74~22.30mg/L</w:t>
      </w:r>
      <w:r>
        <w:rPr/>
        <w:t>；</w:t>
      </w:r>
      <w:r>
        <w:rPr>
          <w:rFonts w:ascii="Times New Roman" w:eastAsia="Times New Roman"/>
        </w:rPr>
        <w:t>30</w:t>
      </w:r>
      <w:r>
        <w:rPr>
          <w:rFonts w:ascii="Times New Roman" w:eastAsia="Times New Roman"/>
          <w:spacing w:val="11"/>
        </w:rPr>
        <w:t> </w:t>
      </w:r>
      <w:r>
        <w:rPr/>
        <w:t>分钟后，其 浓度随降雨历时的延长下降较快</w:t>
      </w:r>
      <w:r>
        <w:rPr>
          <w:spacing w:val="-92"/>
        </w:rPr>
        <w:t>。</w:t>
      </w:r>
      <w:r>
        <w:rPr/>
        <w:t>雨水径流中的铅的浓度及生化需氧随降雨历 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 本被冲洗干净</w:t>
      </w:r>
      <w:r>
        <w:rPr>
          <w:spacing w:val="-106"/>
        </w:rPr>
        <w:t>，</w:t>
      </w:r>
      <w:r>
        <w:rPr/>
        <w:t>污染物含量较低</w:t>
      </w:r>
      <w:r>
        <w:rPr>
          <w:spacing w:val="-106"/>
        </w:rPr>
        <w:t>。</w:t>
      </w:r>
      <w:r>
        <w:rPr/>
        <w:t>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spacing w:after="0" w:line="345" w:lineRule="auto"/>
        <w:jc w:val="center"/>
        <w:rPr>
          <w:rFonts w:ascii="Times New Roman" w:eastAsia="Times New Roman"/>
        </w:rPr>
        <w:sectPr>
          <w:pgSz w:w="11910" w:h="16850"/>
          <w:pgMar w:header="0" w:footer="1141" w:top="1400" w:bottom="1340" w:left="1680" w:right="1680"/>
        </w:sectPr>
      </w:pPr>
    </w:p>
    <w:p>
      <w:pPr>
        <w:pStyle w:val="BodyText"/>
        <w:ind w:left="122"/>
        <w:rPr>
          <w:rFonts w:ascii="Times New Roman"/>
          <w:sz w:val="20"/>
        </w:rPr>
      </w:pPr>
      <w:r>
        <w:rPr>
          <w:rFonts w:ascii="Times New Roman"/>
          <w:sz w:val="20"/>
        </w:rPr>
        <w:pict>
          <v:group style="width:415.2pt;height:605.050pt;mso-position-horizontal-relative:char;mso-position-vertical-relative:line" coordorigin="0,0" coordsize="8304,12101">
            <v:shape style="position:absolute;left:2903;top:7939;width:2912;height:739" type="#_x0000_t75" stroked="false">
              <v:imagedata r:id="rId8" o:title=""/>
            </v:shape>
            <v:shape style="position:absolute;left:8;top:8;width:8289;height:12086" type="#_x0000_t202" filled="false" stroked="true" strokeweight=".71997pt" strokecolor="#000000">
              <v:textbox inset="0,0,0,0">
                <w:txbxContent>
                  <w:p>
                    <w:pPr>
                      <w:spacing w:line="240" w:lineRule="auto"/>
                      <w:ind w:left="102" w:right="0" w:firstLine="0"/>
                      <w:rPr>
                        <w:rFonts w:ascii="Times New Roman"/>
                        <w:sz w:val="20"/>
                      </w:rPr>
                    </w:pPr>
                    <w:r>
                      <w:rPr>
                        <w:rFonts w:ascii="Times New Roman"/>
                        <w:sz w:val="20"/>
                      </w:rPr>
                      <w:drawing>
                        <wp:inline distT="0" distB="0" distL="0" distR="0">
                          <wp:extent cx="5120639" cy="1386840"/>
                          <wp:effectExtent l="0" t="0" r="0" b="0"/>
                          <wp:docPr id="1" name="image3.jpeg" descr=""/>
                          <wp:cNvGraphicFramePr>
                            <a:graphicFrameLocks noChangeAspect="1"/>
                          </wp:cNvGraphicFramePr>
                          <a:graphic>
                            <a:graphicData uri="http://schemas.openxmlformats.org/drawingml/2006/picture">
                              <pic:pic>
                                <pic:nvPicPr>
                                  <pic:cNvPr id="2" name="image3.jpeg"/>
                                  <pic:cNvPicPr/>
                                </pic:nvPicPr>
                                <pic:blipFill>
                                  <a:blip r:embed="rId9" cstate="print"/>
                                  <a:stretch>
                                    <a:fillRect/>
                                  </a:stretch>
                                </pic:blipFill>
                                <pic:spPr>
                                  <a:xfrm>
                                    <a:off x="0" y="0"/>
                                    <a:ext cx="5120639" cy="1386840"/>
                                  </a:xfrm>
                                  <a:prstGeom prst="rect">
                                    <a:avLst/>
                                  </a:prstGeom>
                                </pic:spPr>
                              </pic:pic>
                            </a:graphicData>
                          </a:graphic>
                        </wp:inline>
                      </w:drawing>
                    </w:r>
                    <w:r>
                      <w:rPr>
                        <w:rFonts w:ascii="Times New Roman"/>
                        <w:sz w:val="20"/>
                      </w:rPr>
                    </w:r>
                  </w:p>
                  <w:p>
                    <w:pPr>
                      <w:spacing w:before="99"/>
                      <w:ind w:left="583" w:right="0" w:firstLine="0"/>
                      <w:jc w:val="left"/>
                      <w:rPr>
                        <w:b/>
                        <w:sz w:val="24"/>
                      </w:rPr>
                    </w:pPr>
                    <w:r>
                      <w:rPr>
                        <w:rFonts w:ascii="Times New Roman" w:eastAsia="Times New Roman"/>
                        <w:b/>
                        <w:w w:val="95"/>
                        <w:sz w:val="24"/>
                      </w:rPr>
                      <w:t>2</w:t>
                    </w:r>
                    <w:r>
                      <w:rPr>
                        <w:b/>
                        <w:w w:val="95"/>
                        <w:sz w:val="24"/>
                      </w:rPr>
                      <w:t>、废气</w:t>
                    </w:r>
                  </w:p>
                  <w:p>
                    <w:pPr>
                      <w:spacing w:line="357" w:lineRule="auto" w:before="133"/>
                      <w:ind w:left="100" w:right="10" w:firstLine="479"/>
                      <w:jc w:val="left"/>
                      <w:rPr>
                        <w:sz w:val="24"/>
                      </w:rPr>
                    </w:pPr>
                    <w:r>
                      <w:rPr>
                        <w:sz w:val="24"/>
                      </w:rPr>
                      <w:t>营运期主要的大气污染物为道路清扫时产生的扬尘、车辆行驶产生的交通扬尘以及汽车尾气。</w:t>
                    </w:r>
                  </w:p>
                  <w:p>
                    <w:pPr>
                      <w:spacing w:line="357" w:lineRule="auto" w:before="34"/>
                      <w:ind w:left="100" w:right="0" w:firstLine="479"/>
                      <w:jc w:val="left"/>
                      <w:rPr>
                        <w:sz w:val="24"/>
                      </w:rPr>
                    </w:pPr>
                    <w:r>
                      <w:rPr>
                        <w:spacing w:val="-8"/>
                        <w:sz w:val="24"/>
                      </w:rPr>
                      <w:t>道路清扫扬尘：道路采用自动扫路机，自动扫路机运行时，用机械扫把将路面杂物及灰尘定向扬起后，采用自动集气罩收集，相当于一个袋式除尘器， 因此，道路清扫过程扬尘产生量很少。</w:t>
                    </w:r>
                  </w:p>
                  <w:p>
                    <w:pPr>
                      <w:spacing w:line="355" w:lineRule="auto" w:before="36"/>
                      <w:ind w:left="100" w:right="73" w:firstLine="479"/>
                      <w:jc w:val="left"/>
                      <w:rPr>
                        <w:sz w:val="24"/>
                      </w:rPr>
                    </w:pPr>
                    <w:r>
                      <w:rPr>
                        <w:spacing w:val="-8"/>
                        <w:sz w:val="24"/>
                      </w:rPr>
                      <w:t>交通扬尘：项目路面为沥青混凝土路面且每天有专人清扫，因此，交通扬尘产生量较少。</w:t>
                    </w:r>
                  </w:p>
                  <w:p>
                    <w:pPr>
                      <w:spacing w:line="343" w:lineRule="auto" w:before="39"/>
                      <w:ind w:left="100" w:right="96" w:firstLine="479"/>
                      <w:jc w:val="both"/>
                      <w:rPr>
                        <w:sz w:val="24"/>
                      </w:rPr>
                    </w:pPr>
                    <w:r>
                      <w:rPr>
                        <w:spacing w:val="-16"/>
                        <w:sz w:val="24"/>
                      </w:rPr>
                      <w:t>汽车尾气：汽车尾气中主要污染源有碳氢化合物</w:t>
                    </w:r>
                    <w:r>
                      <w:rPr>
                        <w:spacing w:val="1"/>
                        <w:sz w:val="24"/>
                      </w:rPr>
                      <w:t>（</w:t>
                    </w:r>
                    <w:r>
                      <w:rPr>
                        <w:rFonts w:ascii="Times New Roman" w:eastAsia="Times New Roman"/>
                        <w:sz w:val="24"/>
                      </w:rPr>
                      <w:t>THC</w:t>
                    </w:r>
                    <w:r>
                      <w:rPr>
                        <w:spacing w:val="-120"/>
                        <w:sz w:val="24"/>
                      </w:rPr>
                      <w:t>）</w:t>
                    </w:r>
                    <w:r>
                      <w:rPr>
                        <w:spacing w:val="-44"/>
                        <w:sz w:val="24"/>
                      </w:rPr>
                      <w:t>、氮氧化物</w:t>
                    </w:r>
                    <w:r>
                      <w:rPr>
                        <w:sz w:val="24"/>
                      </w:rPr>
                      <w:t>（</w:t>
                    </w:r>
                    <w:r>
                      <w:rPr>
                        <w:rFonts w:ascii="Times New Roman" w:eastAsia="Times New Roman"/>
                        <w:spacing w:val="-3"/>
                        <w:w w:val="99"/>
                        <w:sz w:val="24"/>
                      </w:rPr>
                      <w:t>N</w:t>
                    </w:r>
                    <w:r>
                      <w:rPr>
                        <w:rFonts w:ascii="Times New Roman" w:eastAsia="Times New Roman"/>
                        <w:w w:val="99"/>
                        <w:sz w:val="24"/>
                      </w:rPr>
                      <w:t>O</w:t>
                    </w:r>
                    <w:r>
                      <w:rPr>
                        <w:rFonts w:ascii="Times New Roman" w:eastAsia="Times New Roman"/>
                        <w:spacing w:val="1"/>
                        <w:w w:val="99"/>
                        <w:sz w:val="24"/>
                      </w:rPr>
                      <w:t>x</w:t>
                    </w:r>
                    <w:r>
                      <w:rPr>
                        <w:spacing w:val="-120"/>
                        <w:sz w:val="24"/>
                      </w:rPr>
                      <w:t>）、</w:t>
                    </w:r>
                    <w:r>
                      <w:rPr>
                        <w:sz w:val="24"/>
                      </w:rPr>
                      <w:t>一氧化碳（</w:t>
                    </w:r>
                    <w:r>
                      <w:rPr>
                        <w:rFonts w:ascii="Times New Roman" w:eastAsia="Times New Roman"/>
                        <w:sz w:val="24"/>
                      </w:rPr>
                      <w:t>CO</w:t>
                    </w:r>
                    <w:r>
                      <w:rPr>
                        <w:sz w:val="24"/>
                      </w:rPr>
                      <w:t>）和颗粒物。这些污染物严重影响环境空气质量，并对人体健</w:t>
                    </w:r>
                    <w:r>
                      <w:rPr>
                        <w:spacing w:val="-9"/>
                        <w:sz w:val="24"/>
                      </w:rPr>
                      <w:t>康造成危害。营运期汽车尾气的排放量与车流量、车速、不同车型的耗油量及排放系数有一定的关系。汽车尾气的排放源强一般可以按下式公式计算：</w:t>
                    </w:r>
                  </w:p>
                  <w:p>
                    <w:pPr>
                      <w:spacing w:line="240" w:lineRule="auto" w:before="0"/>
                      <w:rPr>
                        <w:rFonts w:ascii="Times New Roman"/>
                        <w:b/>
                        <w:sz w:val="24"/>
                      </w:rPr>
                    </w:pPr>
                  </w:p>
                  <w:p>
                    <w:pPr>
                      <w:spacing w:line="240" w:lineRule="auto" w:before="0"/>
                      <w:rPr>
                        <w:rFonts w:ascii="Times New Roman"/>
                        <w:b/>
                        <w:sz w:val="24"/>
                      </w:rPr>
                    </w:pPr>
                  </w:p>
                  <w:p>
                    <w:pPr>
                      <w:spacing w:line="240" w:lineRule="auto" w:before="4"/>
                      <w:rPr>
                        <w:rFonts w:ascii="Times New Roman"/>
                        <w:b/>
                        <w:sz w:val="32"/>
                      </w:rPr>
                    </w:pPr>
                  </w:p>
                  <w:p>
                    <w:pPr>
                      <w:spacing w:before="0"/>
                      <w:ind w:left="580" w:right="0" w:firstLine="0"/>
                      <w:jc w:val="left"/>
                      <w:rPr>
                        <w:sz w:val="24"/>
                      </w:rPr>
                    </w:pPr>
                    <w:r>
                      <w:rPr>
                        <w:sz w:val="24"/>
                      </w:rPr>
                      <w:t>式中：</w:t>
                    </w:r>
                    <w:r>
                      <w:rPr>
                        <w:rFonts w:ascii="Times New Roman" w:hAnsi="Times New Roman" w:eastAsia="Times New Roman"/>
                        <w:spacing w:val="-1"/>
                        <w:w w:val="99"/>
                        <w:sz w:val="24"/>
                      </w:rPr>
                      <w:t>Q</w:t>
                    </w:r>
                    <w:r>
                      <w:rPr>
                        <w:rFonts w:ascii="Times New Roman" w:hAnsi="Times New Roman" w:eastAsia="Times New Roman"/>
                        <w:w w:val="99"/>
                        <w:sz w:val="24"/>
                      </w:rPr>
                      <w:t>j</w:t>
                    </w:r>
                    <w:r>
                      <w:rPr>
                        <w:spacing w:val="-4"/>
                        <w:sz w:val="24"/>
                      </w:rPr>
                      <w:t>：行驶汽车在一定车速下排放的 </w:t>
                    </w:r>
                    <w:r>
                      <w:rPr>
                        <w:rFonts w:ascii="Times New Roman" w:hAnsi="Times New Roman" w:eastAsia="Times New Roman"/>
                        <w:w w:val="99"/>
                        <w:sz w:val="24"/>
                      </w:rPr>
                      <w:t>J</w:t>
                    </w:r>
                    <w:r>
                      <w:rPr>
                        <w:rFonts w:ascii="Times New Roman" w:hAnsi="Times New Roman" w:eastAsia="Times New Roman"/>
                        <w:spacing w:val="2"/>
                        <w:sz w:val="24"/>
                      </w:rPr>
                      <w:t> </w:t>
                    </w:r>
                    <w:r>
                      <w:rPr>
                        <w:spacing w:val="-2"/>
                        <w:sz w:val="24"/>
                      </w:rPr>
                      <w:t>种污染物源强，</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1"/>
                        <w:sz w:val="24"/>
                      </w:rPr>
                      <w:t>/</w:t>
                    </w:r>
                    <w:r>
                      <w:rPr>
                        <w:sz w:val="24"/>
                      </w:rPr>
                      <w:t>（</w:t>
                    </w:r>
                    <w:r>
                      <w:rPr>
                        <w:rFonts w:ascii="Times New Roman" w:hAnsi="Times New Roman" w:eastAsia="Times New Roman"/>
                        <w:sz w:val="24"/>
                      </w:rPr>
                      <w:t>m</w:t>
                    </w:r>
                    <w:r>
                      <w:rPr>
                        <w:sz w:val="24"/>
                      </w:rPr>
                      <w:t>·</w:t>
                    </w:r>
                    <w:r>
                      <w:rPr>
                        <w:rFonts w:ascii="Times New Roman" w:hAnsi="Times New Roman" w:eastAsia="Times New Roman"/>
                        <w:w w:val="99"/>
                        <w:sz w:val="24"/>
                      </w:rPr>
                      <w:t>s</w:t>
                    </w:r>
                    <w:r>
                      <w:rPr>
                        <w:spacing w:val="-120"/>
                        <w:sz w:val="24"/>
                      </w:rPr>
                      <w:t>）；</w:t>
                    </w:r>
                  </w:p>
                  <w:p>
                    <w:pPr>
                      <w:spacing w:before="135"/>
                      <w:ind w:left="1300" w:right="0" w:firstLine="0"/>
                      <w:jc w:val="left"/>
                      <w:rPr>
                        <w:sz w:val="24"/>
                      </w:rPr>
                    </w:pPr>
                    <w:r>
                      <w:rPr>
                        <w:rFonts w:ascii="Times New Roman" w:eastAsia="Times New Roman"/>
                        <w:sz w:val="24"/>
                      </w:rPr>
                      <w:t>Ai</w:t>
                    </w:r>
                    <w:r>
                      <w:rPr>
                        <w:sz w:val="24"/>
                      </w:rPr>
                      <w:t>：</w:t>
                    </w:r>
                    <w:r>
                      <w:rPr>
                        <w:rFonts w:ascii="Times New Roman" w:eastAsia="Times New Roman"/>
                        <w:sz w:val="24"/>
                      </w:rPr>
                      <w:t>i </w:t>
                    </w:r>
                    <w:r>
                      <w:rPr>
                        <w:sz w:val="24"/>
                      </w:rPr>
                      <w:t>型车预测年的小时交通量，辆</w:t>
                    </w:r>
                    <w:r>
                      <w:rPr>
                        <w:rFonts w:ascii="Times New Roman" w:eastAsia="Times New Roman"/>
                        <w:sz w:val="24"/>
                      </w:rPr>
                      <w:t>/h</w:t>
                    </w:r>
                    <w:r>
                      <w:rPr>
                        <w:sz w:val="24"/>
                      </w:rPr>
                      <w:t>；</w:t>
                    </w:r>
                  </w:p>
                  <w:p>
                    <w:pPr>
                      <w:spacing w:before="133"/>
                      <w:ind w:left="1300" w:right="0" w:firstLine="0"/>
                      <w:jc w:val="left"/>
                      <w:rPr>
                        <w:sz w:val="24"/>
                      </w:rPr>
                    </w:pPr>
                    <w:r>
                      <w:rPr>
                        <w:rFonts w:ascii="Times New Roman" w:eastAsia="Times New Roman"/>
                        <w:sz w:val="24"/>
                      </w:rPr>
                      <w:t>B</w:t>
                    </w:r>
                    <w:r>
                      <w:rPr>
                        <w:sz w:val="24"/>
                      </w:rPr>
                      <w:t>：</w:t>
                    </w:r>
                    <w:r>
                      <w:rPr>
                        <w:rFonts w:ascii="Times New Roman" w:eastAsia="Times New Roman"/>
                        <w:sz w:val="24"/>
                      </w:rPr>
                      <w:t>NOx </w:t>
                    </w:r>
                    <w:r>
                      <w:rPr>
                        <w:sz w:val="24"/>
                      </w:rPr>
                      <w:t>排放量换算成 </w:t>
                    </w:r>
                    <w:r>
                      <w:rPr>
                        <w:rFonts w:ascii="Times New Roman" w:eastAsia="Times New Roman"/>
                        <w:sz w:val="24"/>
                      </w:rPr>
                      <w:t>NO</w:t>
                    </w:r>
                    <w:r>
                      <w:rPr>
                        <w:rFonts w:ascii="Times New Roman" w:eastAsia="Times New Roman"/>
                        <w:position w:val="-2"/>
                        <w:sz w:val="16"/>
                      </w:rPr>
                      <w:t>2 </w:t>
                    </w:r>
                    <w:r>
                      <w:rPr>
                        <w:sz w:val="24"/>
                      </w:rPr>
                      <w:t>排放量的校正系数；</w:t>
                    </w:r>
                  </w:p>
                  <w:p>
                    <w:pPr>
                      <w:spacing w:line="336" w:lineRule="auto" w:before="123"/>
                      <w:ind w:left="100" w:right="0" w:firstLine="1199"/>
                      <w:jc w:val="left"/>
                      <w:rPr>
                        <w:sz w:val="24"/>
                      </w:rPr>
                    </w:pPr>
                    <w:r>
                      <w:rPr>
                        <w:rFonts w:ascii="Times New Roman" w:hAnsi="Times New Roman" w:eastAsia="Times New Roman"/>
                        <w:spacing w:val="-8"/>
                        <w:sz w:val="24"/>
                      </w:rPr>
                      <w:t>Eij</w:t>
                    </w:r>
                    <w:r>
                      <w:rPr>
                        <w:spacing w:val="-11"/>
                        <w:sz w:val="24"/>
                      </w:rPr>
                      <w:t>：单车排放系数，即 </w:t>
                    </w:r>
                    <w:r>
                      <w:rPr>
                        <w:rFonts w:ascii="Times New Roman" w:hAnsi="Times New Roman" w:eastAsia="Times New Roman"/>
                        <w:sz w:val="24"/>
                      </w:rPr>
                      <w:t>i </w:t>
                    </w:r>
                    <w:r>
                      <w:rPr>
                        <w:spacing w:val="-4"/>
                        <w:sz w:val="24"/>
                      </w:rPr>
                      <w:t>种车型在一定车速下单车排放的 </w:t>
                    </w:r>
                    <w:r>
                      <w:rPr>
                        <w:rFonts w:ascii="Times New Roman" w:hAnsi="Times New Roman" w:eastAsia="Times New Roman"/>
                        <w:sz w:val="24"/>
                      </w:rPr>
                      <w:t>J </w:t>
                    </w:r>
                    <w:r>
                      <w:rPr>
                        <w:sz w:val="24"/>
                      </w:rPr>
                      <w:t>种污染</w:t>
                    </w:r>
                    <w:r>
                      <w:rPr>
                        <w:spacing w:val="-1"/>
                        <w:sz w:val="24"/>
                      </w:rPr>
                      <w:t>物量，</w:t>
                    </w:r>
                    <w:r>
                      <w:rPr>
                        <w:rFonts w:ascii="Times New Roman" w:hAnsi="Times New Roman" w:eastAsia="Times New Roman"/>
                        <w:spacing w:val="-1"/>
                        <w:sz w:val="24"/>
                      </w:rPr>
                      <w:t>mg/</w:t>
                    </w:r>
                    <w:r>
                      <w:rPr>
                        <w:sz w:val="24"/>
                      </w:rPr>
                      <w:t>辆·</w:t>
                    </w:r>
                    <w:r>
                      <w:rPr>
                        <w:rFonts w:ascii="Times New Roman" w:hAnsi="Times New Roman" w:eastAsia="Times New Roman"/>
                        <w:sz w:val="24"/>
                      </w:rPr>
                      <w:t>m</w:t>
                    </w:r>
                    <w:r>
                      <w:rPr>
                        <w:sz w:val="24"/>
                      </w:rPr>
                      <w:t>。</w:t>
                    </w:r>
                  </w:p>
                  <w:p>
                    <w:pPr>
                      <w:spacing w:before="29"/>
                      <w:ind w:left="1300" w:right="0" w:firstLine="0"/>
                      <w:jc w:val="left"/>
                      <w:rPr>
                        <w:sz w:val="24"/>
                      </w:rPr>
                    </w:pPr>
                    <w:r>
                      <w:rPr>
                        <w:sz w:val="24"/>
                      </w:rPr>
                      <w:t>本项目营运期车辆单车排放因子推荐值见下表：</w:t>
                    </w:r>
                  </w:p>
                  <w:p>
                    <w:pPr>
                      <w:tabs>
                        <w:tab w:pos="1461" w:val="left" w:leader="none"/>
                        <w:tab w:pos="4476" w:val="left" w:leader="none"/>
                      </w:tabs>
                      <w:spacing w:before="151"/>
                      <w:ind w:left="479" w:right="0" w:firstLine="0"/>
                      <w:jc w:val="center"/>
                      <w:rPr>
                        <w:b/>
                        <w:sz w:val="24"/>
                      </w:rPr>
                    </w:pPr>
                    <w:r>
                      <w:rPr>
                        <w:b/>
                        <w:sz w:val="24"/>
                      </w:rPr>
                      <w:t>表</w:t>
                    </w:r>
                    <w:r>
                      <w:rPr>
                        <w:b/>
                        <w:spacing w:val="-60"/>
                        <w:sz w:val="24"/>
                      </w:rPr>
                      <w:t> </w:t>
                    </w:r>
                    <w:r>
                      <w:rPr>
                        <w:rFonts w:ascii="Times New Roman" w:eastAsia="Times New Roman"/>
                        <w:b/>
                        <w:sz w:val="24"/>
                      </w:rPr>
                      <w:t>5-2</w:t>
                      <w:tab/>
                    </w:r>
                    <w:r>
                      <w:rPr>
                        <w:b/>
                        <w:sz w:val="24"/>
                      </w:rPr>
                      <w:t>车辆单车排放因子推荐值</w:t>
                      <w:tab/>
                    </w:r>
                    <w:r>
                      <w:rPr>
                        <w:b/>
                        <w:spacing w:val="-1"/>
                        <w:sz w:val="24"/>
                      </w:rPr>
                      <w:t>单位：</w:t>
                    </w:r>
                    <w:r>
                      <w:rPr>
                        <w:rFonts w:ascii="Times New Roman" w:eastAsia="Times New Roman"/>
                        <w:b/>
                        <w:spacing w:val="-1"/>
                        <w:sz w:val="24"/>
                      </w:rPr>
                      <w:t>g/km.</w:t>
                    </w:r>
                    <w:r>
                      <w:rPr>
                        <w:b/>
                        <w:sz w:val="24"/>
                      </w:rPr>
                      <w:t>辆</w:t>
                    </w:r>
                  </w:p>
                </w:txbxContent>
              </v:textbox>
              <v:stroke dashstyle="solid"/>
              <w10:wrap type="none"/>
            </v:shape>
          </v:group>
        </w:pict>
      </w:r>
      <w:r>
        <w:rPr>
          <w:rFonts w:ascii="Times New Roman"/>
          <w:sz w:val="20"/>
        </w:rPr>
      </w:r>
    </w:p>
    <w:p>
      <w:pPr>
        <w:spacing w:after="0"/>
        <w:rPr>
          <w:rFonts w:ascii="Times New Roman"/>
          <w:sz w:val="20"/>
        </w:rPr>
        <w:sectPr>
          <w:pgSz w:w="11910" w:h="16850"/>
          <w:pgMar w:header="0" w:footer="1141" w:top="1440" w:bottom="1400" w:left="1680" w:right="1680"/>
        </w:sectPr>
      </w:pPr>
    </w:p>
    <w:p>
      <w:pPr>
        <w:pStyle w:val="BodyText"/>
        <w:rPr>
          <w:rFonts w:ascii="Times New Roman"/>
          <w:b/>
          <w:sz w:val="20"/>
        </w:rPr>
      </w:pPr>
      <w:r>
        <w:rPr/>
        <w:pict>
          <v:group style="position:absolute;margin-left:90.128998pt;margin-top:71.624977pt;width:415.2pt;height:696.55pt;mso-position-horizontal-relative:page;mso-position-vertical-relative:page;z-index:-176176" coordorigin="1803,1432" coordsize="8304,13931">
            <v:shape style="position:absolute;left:1918;top:1454;width:8028;height:3137" type="#_x0000_t75" stroked="false">
              <v:imagedata r:id="rId10" o:title=""/>
            </v:shape>
            <v:line style="position:absolute" from="1817,1447" to="10091,1447" stroked="true" strokeweight=".72pt" strokecolor="#000000">
              <v:stroke dashstyle="solid"/>
            </v:line>
            <v:line style="position:absolute" from="1810,1440" to="1810,15355" stroked="true" strokeweight=".72pt" strokecolor="#000000">
              <v:stroke dashstyle="solid"/>
            </v:line>
            <v:line style="position:absolute" from="1817,15348" to="10091,15348" stroked="true" strokeweight=".72003pt" strokecolor="#000000">
              <v:stroke dashstyle="solid"/>
            </v:line>
            <v:line style="position:absolute" from="10099,1440" to="10099,15355" stroked="true" strokeweight=".71997pt" strokecolor="#000000">
              <v:stroke dashstyle="solid"/>
            </v:line>
            <w10:wrap type="none"/>
          </v:group>
        </w:pict>
      </w: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rPr>
          <w:rFonts w:ascii="Times New Roman"/>
          <w:b/>
          <w:sz w:val="20"/>
        </w:rPr>
      </w:pPr>
    </w:p>
    <w:p>
      <w:pPr>
        <w:pStyle w:val="BodyText"/>
        <w:spacing w:before="7"/>
        <w:rPr>
          <w:rFonts w:ascii="Times New Roman"/>
          <w:b/>
          <w:sz w:val="19"/>
        </w:rPr>
      </w:pPr>
    </w:p>
    <w:p>
      <w:pPr>
        <w:pStyle w:val="Heading3"/>
        <w:ind w:left="720"/>
      </w:pPr>
      <w:r>
        <w:rPr>
          <w:rFonts w:ascii="Times New Roman" w:eastAsia="Times New Roman"/>
          <w:w w:val="95"/>
        </w:rPr>
        <w:t>3</w:t>
      </w:r>
      <w:r>
        <w:rPr>
          <w:w w:val="95"/>
        </w:rPr>
        <w:t>、噪声</w:t>
      </w:r>
    </w:p>
    <w:p>
      <w:pPr>
        <w:pStyle w:val="BodyText"/>
        <w:spacing w:before="133"/>
        <w:ind w:left="718"/>
      </w:pPr>
      <w:r>
        <w:rPr/>
        <w:t>营运期产生的交通噪声主要由以下两方面引起：</w:t>
      </w:r>
    </w:p>
    <w:p>
      <w:pPr>
        <w:pStyle w:val="BodyText"/>
        <w:spacing w:line="355" w:lineRule="auto" w:before="153"/>
        <w:ind w:left="238" w:right="132" w:firstLine="479"/>
      </w:pPr>
      <w:r>
        <w:rPr>
          <w:spacing w:val="-4"/>
        </w:rPr>
        <w:t>①车辆行驶时发动机产生噪声及车辆行驶引起的气流湍动、排气系统、轮胎与路面磨擦产生噪声。</w:t>
      </w:r>
    </w:p>
    <w:p>
      <w:pPr>
        <w:pStyle w:val="BodyText"/>
        <w:spacing w:line="355" w:lineRule="auto" w:before="38"/>
        <w:ind w:left="718" w:right="125"/>
      </w:pP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6" w:lineRule="auto" w:before="8"/>
        <w:ind w:left="238" w:right="132"/>
      </w:pP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before="30"/>
        <w:ind w:left="718"/>
      </w:pPr>
      <w:r>
        <w:rPr/>
        <w:t>因此， 按设计车速 </w:t>
      </w:r>
      <w:r>
        <w:rPr>
          <w:rFonts w:ascii="Times New Roman" w:eastAsia="Times New Roman"/>
        </w:rPr>
        <w:t>60/30km/h  </w:t>
      </w:r>
      <w:r>
        <w:rPr/>
        <w:t>计， 本项目小型车平均辐射声级为</w:t>
      </w:r>
    </w:p>
    <w:p>
      <w:pPr>
        <w:pStyle w:val="BodyText"/>
        <w:spacing w:line="338" w:lineRule="auto" w:before="133"/>
        <w:ind w:left="238" w:right="132"/>
      </w:pPr>
      <w:r>
        <w:rPr>
          <w:rFonts w:ascii="Times New Roman" w:eastAsia="Times New Roman"/>
        </w:rPr>
        <w:t>73.5/68.2dB</w:t>
      </w:r>
      <w:r>
        <w:rPr>
          <w:spacing w:val="-10"/>
        </w:rPr>
        <w:t>。车型分类及换算系数按建设部《城市道路设计规范》</w:t>
      </w:r>
      <w:r>
        <w:rPr/>
        <w:t>（</w:t>
      </w:r>
      <w:r>
        <w:rPr>
          <w:rFonts w:ascii="Times New Roman" w:eastAsia="Times New Roman"/>
        </w:rPr>
        <w:t>CJJ37-90</w:t>
      </w:r>
      <w:r>
        <w:rPr/>
        <w:t>） </w:t>
      </w:r>
      <w:r>
        <w:rPr>
          <w:spacing w:val="-4"/>
        </w:rPr>
        <w:t>规定，为小汽车：普通汽车：铰接车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4"/>
        <w:ind w:left="2516"/>
      </w:pPr>
      <w:r>
        <w:rPr/>
        <w:t>表</w:t>
      </w:r>
      <w:r>
        <w:rPr>
          <w:spacing w:val="-60"/>
        </w:rPr>
        <w:t> </w:t>
      </w:r>
      <w:r>
        <w:rPr>
          <w:rFonts w:ascii="Times New Roman" w:eastAsia="Times New Roman"/>
        </w:rPr>
        <w:t>5-4</w:t>
        <w:tab/>
      </w:r>
      <w:r>
        <w:rPr>
          <w:w w:val="95"/>
        </w:rPr>
        <w:t>各类型车的平均辐射声级</w:t>
      </w:r>
    </w:p>
    <w:p>
      <w:pPr>
        <w:pStyle w:val="BodyText"/>
        <w:spacing w:before="5"/>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2"/>
              <w:ind w:left="166" w:right="162"/>
              <w:rPr>
                <w:sz w:val="21"/>
              </w:rPr>
            </w:pPr>
            <w:r>
              <w:rPr>
                <w:sz w:val="21"/>
              </w:rPr>
              <w:t>车型</w:t>
            </w:r>
          </w:p>
        </w:tc>
        <w:tc>
          <w:tcPr>
            <w:tcW w:w="4155" w:type="dxa"/>
          </w:tcPr>
          <w:p>
            <w:pPr>
              <w:pStyle w:val="TableParagraph"/>
              <w:spacing w:before="22"/>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2"/>
              <w:ind w:left="316" w:right="315"/>
              <w:rPr>
                <w:sz w:val="21"/>
              </w:rPr>
            </w:pPr>
            <w:r>
              <w:rPr>
                <w:sz w:val="21"/>
              </w:rPr>
              <w:t>备注</w:t>
            </w:r>
          </w:p>
        </w:tc>
      </w:tr>
      <w:tr>
        <w:trPr>
          <w:trHeight w:val="355" w:hRule="exact"/>
        </w:trPr>
        <w:tc>
          <w:tcPr>
            <w:tcW w:w="1013" w:type="dxa"/>
          </w:tcPr>
          <w:p>
            <w:pPr>
              <w:pStyle w:val="TableParagraph"/>
              <w:spacing w:before="22"/>
              <w:ind w:left="166" w:right="162"/>
              <w:rPr>
                <w:sz w:val="21"/>
              </w:rPr>
            </w:pPr>
            <w:r>
              <w:rPr>
                <w:sz w:val="21"/>
              </w:rPr>
              <w:t>大型车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2"/>
              <w:ind w:left="166" w:right="162"/>
              <w:rPr>
                <w:sz w:val="21"/>
              </w:rPr>
            </w:pPr>
            <w:r>
              <w:rPr>
                <w:sz w:val="21"/>
              </w:rPr>
              <w:t>中型车</w:t>
            </w:r>
          </w:p>
        </w:tc>
        <w:tc>
          <w:tcPr>
            <w:tcW w:w="4155" w:type="dxa"/>
          </w:tcPr>
          <w:p>
            <w:pPr>
              <w:pStyle w:val="TableParagraph"/>
              <w:spacing w:before="22"/>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2"/>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0"/>
              <w:ind w:left="166" w:right="162"/>
              <w:rPr>
                <w:sz w:val="21"/>
              </w:rPr>
            </w:pPr>
            <w:r>
              <w:rPr>
                <w:sz w:val="21"/>
              </w:rPr>
              <w:t>小型车</w:t>
            </w:r>
          </w:p>
        </w:tc>
        <w:tc>
          <w:tcPr>
            <w:tcW w:w="4155" w:type="dxa"/>
          </w:tcPr>
          <w:p>
            <w:pPr>
              <w:pStyle w:val="TableParagraph"/>
              <w:spacing w:before="20"/>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0"/>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pStyle w:val="BodyText"/>
        <w:spacing w:line="336" w:lineRule="auto" w:before="8"/>
        <w:ind w:left="238"/>
      </w:pPr>
      <w:r>
        <w:rPr/>
        <w:t>垃圾由环卫部门统一清运；路面清扫产生的清扫垃圾为 </w:t>
      </w:r>
      <w:r>
        <w:rPr>
          <w:rFonts w:ascii="Times New Roman" w:eastAsia="Times New Roman"/>
        </w:rPr>
        <w:t>5kg/d</w:t>
      </w:r>
      <w:r>
        <w:rPr/>
        <w:t>，由环卫部门统一收集处理。</w:t>
      </w:r>
    </w:p>
    <w:p>
      <w:pPr>
        <w:spacing w:after="0" w:line="336" w:lineRule="auto"/>
        <w:sectPr>
          <w:pgSz w:w="11910" w:h="16850"/>
          <w:pgMar w:header="0" w:footer="1141" w:top="1440" w:bottom="1400" w:left="1680" w:right="1680"/>
        </w:sectPr>
      </w:pPr>
    </w:p>
    <w:p>
      <w:pPr>
        <w:pStyle w:val="Heading1"/>
        <w:tabs>
          <w:tab w:pos="7317" w:val="left" w:leader="none"/>
        </w:tabs>
        <w:ind w:left="238"/>
      </w:pPr>
      <w:r>
        <w:rPr/>
        <w:pict>
          <v:line style="position:absolute;mso-position-horizontal-relative:page;mso-position-vertical-relative:paragraph;z-index:-176152"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1135"/>
        <w:gridCol w:w="1608"/>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1135" w:type="dxa"/>
          </w:tcPr>
          <w:p>
            <w:pPr>
              <w:pStyle w:val="TableParagraph"/>
              <w:jc w:val="left"/>
              <w:rPr>
                <w:b/>
                <w:sz w:val="17"/>
              </w:rPr>
            </w:pPr>
          </w:p>
          <w:p>
            <w:pPr>
              <w:pStyle w:val="TableParagraph"/>
              <w:ind w:left="79" w:right="77"/>
              <w:rPr>
                <w:sz w:val="21"/>
              </w:rPr>
            </w:pPr>
            <w:r>
              <w:rPr>
                <w:sz w:val="21"/>
              </w:rPr>
              <w:t>主要污染物</w:t>
            </w:r>
          </w:p>
          <w:p>
            <w:pPr>
              <w:pStyle w:val="TableParagraph"/>
              <w:spacing w:line="271" w:lineRule="exact"/>
              <w:ind w:left="79" w:right="79"/>
              <w:rPr>
                <w:sz w:val="21"/>
              </w:rPr>
            </w:pPr>
            <w:r>
              <w:rPr>
                <w:sz w:val="21"/>
              </w:rPr>
              <w:t>名称</w:t>
            </w:r>
          </w:p>
        </w:tc>
        <w:tc>
          <w:tcPr>
            <w:tcW w:w="1608" w:type="dxa"/>
          </w:tcPr>
          <w:p>
            <w:pPr>
              <w:pStyle w:val="TableParagraph"/>
              <w:spacing w:line="241" w:lineRule="exact"/>
              <w:ind w:left="374"/>
              <w:jc w:val="left"/>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833" w:hRule="exact"/>
        </w:trPr>
        <w:tc>
          <w:tcPr>
            <w:tcW w:w="562" w:type="dxa"/>
            <w:vMerge w:val="restart"/>
          </w:tcPr>
          <w:p>
            <w:pPr>
              <w:pStyle w:val="TableParagraph"/>
              <w:spacing w:line="247" w:lineRule="exact"/>
              <w:ind w:left="168"/>
              <w:jc w:val="both"/>
              <w:rPr>
                <w:sz w:val="21"/>
              </w:rPr>
            </w:pPr>
            <w:r>
              <w:rPr>
                <w:w w:val="100"/>
                <w:sz w:val="21"/>
              </w:rPr>
              <w:t>大</w:t>
            </w:r>
          </w:p>
          <w:p>
            <w:pPr>
              <w:pStyle w:val="TableParagraph"/>
              <w:spacing w:line="237" w:lineRule="auto" w:before="2"/>
              <w:ind w:left="168" w:right="165"/>
              <w:jc w:val="both"/>
              <w:rPr>
                <w:sz w:val="21"/>
              </w:rPr>
            </w:pPr>
            <w:r>
              <w:rPr>
                <w:sz w:val="21"/>
              </w:rPr>
              <w:t>气污染物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3"/>
              <w:jc w:val="left"/>
              <w:rPr>
                <w:b/>
                <w:sz w:val="18"/>
              </w:rPr>
            </w:pPr>
          </w:p>
          <w:p>
            <w:pPr>
              <w:pStyle w:val="TableParagraph"/>
              <w:spacing w:before="1"/>
              <w:ind w:left="86" w:right="91"/>
              <w:rPr>
                <w:sz w:val="21"/>
              </w:rPr>
            </w:pPr>
            <w:r>
              <w:rPr>
                <w:sz w:val="21"/>
              </w:rPr>
              <w:t>汽车尾气</w:t>
            </w:r>
          </w:p>
        </w:tc>
        <w:tc>
          <w:tcPr>
            <w:tcW w:w="1135" w:type="dxa"/>
          </w:tcPr>
          <w:p>
            <w:pPr>
              <w:pStyle w:val="TableParagraph"/>
              <w:spacing w:line="256" w:lineRule="exact"/>
              <w:ind w:left="79" w:right="79"/>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79" w:right="79"/>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74" w:lineRule="exact"/>
              <w:ind w:left="79" w:right="79"/>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608" w:type="dxa"/>
          </w:tcPr>
          <w:p>
            <w:pPr>
              <w:pStyle w:val="TableParagraph"/>
              <w:spacing w:line="240" w:lineRule="exact"/>
              <w:ind w:left="2" w:right="5"/>
              <w:rPr>
                <w:sz w:val="21"/>
              </w:rPr>
            </w:pPr>
            <w:r>
              <w:rPr>
                <w:sz w:val="21"/>
              </w:rPr>
              <w:t>合理控制车流</w:t>
            </w:r>
          </w:p>
          <w:p>
            <w:pPr>
              <w:pStyle w:val="TableParagraph"/>
              <w:spacing w:line="274" w:lineRule="exact"/>
              <w:ind w:right="3"/>
              <w:rPr>
                <w:sz w:val="21"/>
              </w:rPr>
            </w:pPr>
            <w:r>
              <w:rPr>
                <w:w w:val="100"/>
                <w:sz w:val="21"/>
              </w:rPr>
              <w:t>量</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line="272" w:lineRule="exact" w:before="130"/>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1135" w:type="dxa"/>
          </w:tcPr>
          <w:p>
            <w:pPr>
              <w:pStyle w:val="TableParagraph"/>
              <w:spacing w:before="144"/>
              <w:ind w:left="75" w:right="79"/>
              <w:rPr>
                <w:rFonts w:ascii="Times New Roman"/>
                <w:sz w:val="21"/>
              </w:rPr>
            </w:pPr>
            <w:r>
              <w:rPr>
                <w:rFonts w:ascii="Times New Roman"/>
                <w:sz w:val="21"/>
              </w:rPr>
              <w:t>TSP</w:t>
            </w:r>
          </w:p>
        </w:tc>
        <w:tc>
          <w:tcPr>
            <w:tcW w:w="1608" w:type="dxa"/>
          </w:tcPr>
          <w:p>
            <w:pPr>
              <w:pStyle w:val="TableParagraph"/>
              <w:spacing w:line="239" w:lineRule="exact"/>
              <w:ind w:left="79" w:right="5"/>
              <w:rPr>
                <w:sz w:val="21"/>
              </w:rPr>
            </w:pPr>
            <w:r>
              <w:rPr>
                <w:sz w:val="21"/>
              </w:rPr>
              <w:t>定期洒水降尘、</w:t>
            </w:r>
          </w:p>
          <w:p>
            <w:pPr>
              <w:pStyle w:val="TableParagraph"/>
              <w:spacing w:line="273" w:lineRule="exact"/>
              <w:ind w:left="5" w:right="5"/>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39" w:lineRule="exact"/>
              <w:ind w:left="64" w:right="63"/>
              <w:rPr>
                <w:sz w:val="21"/>
              </w:rPr>
            </w:pPr>
            <w:r>
              <w:rPr>
                <w:sz w:val="21"/>
              </w:rPr>
              <w:t>少量，对环境影</w:t>
            </w:r>
          </w:p>
          <w:p>
            <w:pPr>
              <w:pStyle w:val="TableParagraph"/>
              <w:spacing w:line="273" w:lineRule="exact"/>
              <w:ind w:left="63" w:right="63"/>
              <w:rPr>
                <w:sz w:val="21"/>
              </w:rPr>
            </w:pPr>
            <w:r>
              <w:rPr>
                <w:sz w:val="21"/>
              </w:rPr>
              <w:t>响较小</w:t>
            </w:r>
          </w:p>
        </w:tc>
      </w:tr>
      <w:tr>
        <w:trPr>
          <w:trHeight w:val="1105" w:hRule="exact"/>
        </w:trPr>
        <w:tc>
          <w:tcPr>
            <w:tcW w:w="562" w:type="dxa"/>
          </w:tcPr>
          <w:p>
            <w:pPr>
              <w:pStyle w:val="TableParagraph"/>
              <w:spacing w:line="240" w:lineRule="exact"/>
              <w:ind w:left="180"/>
              <w:jc w:val="both"/>
              <w:rPr>
                <w:sz w:val="21"/>
              </w:rPr>
            </w:pPr>
            <w:r>
              <w:rPr>
                <w:w w:val="100"/>
                <w:sz w:val="21"/>
              </w:rPr>
              <w:t>水</w:t>
            </w:r>
          </w:p>
          <w:p>
            <w:pPr>
              <w:pStyle w:val="TableParagraph"/>
              <w:spacing w:line="272" w:lineRule="exact" w:before="27"/>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8"/>
              <w:jc w:val="left"/>
              <w:rPr>
                <w:b/>
                <w:sz w:val="28"/>
              </w:rPr>
            </w:pPr>
          </w:p>
          <w:p>
            <w:pPr>
              <w:pStyle w:val="TableParagraph"/>
              <w:ind w:left="88" w:right="91"/>
              <w:rPr>
                <w:sz w:val="21"/>
              </w:rPr>
            </w:pPr>
            <w:r>
              <w:rPr>
                <w:sz w:val="21"/>
              </w:rPr>
              <w:t>路面径流</w:t>
            </w:r>
          </w:p>
        </w:tc>
        <w:tc>
          <w:tcPr>
            <w:tcW w:w="1135" w:type="dxa"/>
          </w:tcPr>
          <w:p>
            <w:pPr>
              <w:pStyle w:val="TableParagraph"/>
              <w:spacing w:before="6"/>
              <w:jc w:val="left"/>
              <w:rPr>
                <w:b/>
                <w:sz w:val="20"/>
              </w:rPr>
            </w:pPr>
          </w:p>
          <w:p>
            <w:pPr>
              <w:pStyle w:val="TableParagraph"/>
              <w:spacing w:line="272" w:lineRule="exact"/>
              <w:ind w:left="453" w:right="111" w:hanging="327"/>
              <w:jc w:val="left"/>
              <w:rPr>
                <w:sz w:val="21"/>
              </w:rPr>
            </w:pPr>
            <w:r>
              <w:rPr>
                <w:rFonts w:ascii="Times New Roman" w:eastAsia="Times New Roman"/>
                <w:sz w:val="21"/>
              </w:rPr>
              <w:t>SS</w:t>
            </w:r>
            <w:r>
              <w:rPr>
                <w:sz w:val="21"/>
              </w:rPr>
              <w:t>、石油类</w:t>
            </w:r>
          </w:p>
        </w:tc>
        <w:tc>
          <w:tcPr>
            <w:tcW w:w="1608" w:type="dxa"/>
          </w:tcPr>
          <w:p>
            <w:pPr>
              <w:pStyle w:val="TableParagraph"/>
              <w:spacing w:line="240" w:lineRule="exact"/>
              <w:ind w:left="163"/>
              <w:jc w:val="left"/>
              <w:rPr>
                <w:sz w:val="21"/>
              </w:rPr>
            </w:pPr>
            <w:r>
              <w:rPr>
                <w:sz w:val="21"/>
              </w:rPr>
              <w:t>经雨水管网收</w:t>
            </w:r>
          </w:p>
          <w:p>
            <w:pPr>
              <w:pStyle w:val="TableParagraph"/>
              <w:spacing w:line="272" w:lineRule="exact" w:before="27"/>
              <w:ind w:left="583" w:right="151" w:hanging="420"/>
              <w:jc w:val="left"/>
              <w:rPr>
                <w:sz w:val="21"/>
              </w:rPr>
            </w:pPr>
            <w:r>
              <w:rPr>
                <w:sz w:val="21"/>
              </w:rPr>
              <w:t>集后排入周边沟渠</w:t>
            </w:r>
          </w:p>
        </w:tc>
        <w:tc>
          <w:tcPr>
            <w:tcW w:w="1781" w:type="dxa"/>
          </w:tcPr>
          <w:p>
            <w:pPr>
              <w:pStyle w:val="TableParagraph"/>
              <w:spacing w:before="8"/>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559" w:hRule="exact"/>
        </w:trPr>
        <w:tc>
          <w:tcPr>
            <w:tcW w:w="562" w:type="dxa"/>
            <w:vMerge w:val="restart"/>
          </w:tcPr>
          <w:p>
            <w:pPr>
              <w:pStyle w:val="TableParagraph"/>
              <w:spacing w:line="247" w:lineRule="exact"/>
              <w:ind w:left="168"/>
              <w:jc w:val="both"/>
              <w:rPr>
                <w:sz w:val="21"/>
              </w:rPr>
            </w:pPr>
            <w:r>
              <w:rPr>
                <w:w w:val="100"/>
                <w:sz w:val="21"/>
              </w:rPr>
              <w:t>固</w:t>
            </w:r>
          </w:p>
          <w:p>
            <w:pPr>
              <w:pStyle w:val="TableParagraph"/>
              <w:spacing w:line="237" w:lineRule="auto" w:before="2"/>
              <w:ind w:left="168" w:right="165"/>
              <w:jc w:val="both"/>
              <w:rPr>
                <w:sz w:val="21"/>
              </w:rPr>
            </w:pPr>
            <w:r>
              <w:rPr>
                <w:sz w:val="21"/>
              </w:rPr>
              <w:t>体废弃物</w:t>
            </w:r>
          </w:p>
        </w:tc>
        <w:tc>
          <w:tcPr>
            <w:tcW w:w="552" w:type="dxa"/>
            <w:vMerge w:val="restart"/>
          </w:tcPr>
          <w:p>
            <w:pPr>
              <w:pStyle w:val="TableParagraph"/>
              <w:jc w:val="left"/>
              <w:rPr>
                <w:b/>
                <w:sz w:val="19"/>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102"/>
              <w:ind w:left="88" w:right="91"/>
              <w:rPr>
                <w:sz w:val="21"/>
              </w:rPr>
            </w:pPr>
            <w:r>
              <w:rPr>
                <w:sz w:val="21"/>
              </w:rPr>
              <w:t>过桥行人</w:t>
            </w:r>
          </w:p>
        </w:tc>
        <w:tc>
          <w:tcPr>
            <w:tcW w:w="1135" w:type="dxa"/>
          </w:tcPr>
          <w:p>
            <w:pPr>
              <w:pStyle w:val="TableParagraph"/>
              <w:spacing w:line="240" w:lineRule="exact"/>
              <w:ind w:left="79" w:right="79"/>
              <w:rPr>
                <w:sz w:val="21"/>
              </w:rPr>
            </w:pPr>
            <w:r>
              <w:rPr>
                <w:sz w:val="21"/>
              </w:rPr>
              <w:t>生活废弃</w:t>
            </w:r>
          </w:p>
          <w:p>
            <w:pPr>
              <w:pStyle w:val="TableParagraph"/>
              <w:spacing w:line="274" w:lineRule="exact"/>
              <w:rPr>
                <w:sz w:val="21"/>
              </w:rPr>
            </w:pPr>
            <w:r>
              <w:rPr>
                <w:w w:val="100"/>
                <w:sz w:val="21"/>
              </w:rPr>
              <w:t>物</w:t>
            </w:r>
          </w:p>
        </w:tc>
        <w:tc>
          <w:tcPr>
            <w:tcW w:w="1608" w:type="dxa"/>
          </w:tcPr>
          <w:p>
            <w:pPr>
              <w:pStyle w:val="TableParagraph"/>
              <w:spacing w:line="240" w:lineRule="exact"/>
              <w:ind w:left="5" w:right="5"/>
              <w:rPr>
                <w:sz w:val="21"/>
              </w:rPr>
            </w:pPr>
            <w:r>
              <w:rPr>
                <w:sz w:val="21"/>
              </w:rPr>
              <w:t>设置垃圾桶、指</w:t>
            </w:r>
          </w:p>
          <w:p>
            <w:pPr>
              <w:pStyle w:val="TableParagraph"/>
              <w:spacing w:line="274" w:lineRule="exact"/>
              <w:ind w:left="2" w:right="5"/>
              <w:rPr>
                <w:sz w:val="21"/>
              </w:rPr>
            </w:pPr>
            <w:r>
              <w:rPr>
                <w:sz w:val="21"/>
              </w:rPr>
              <w:t>示牌</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3" w:right="63"/>
              <w:rPr>
                <w:sz w:val="21"/>
              </w:rPr>
            </w:pPr>
            <w:r>
              <w:rPr>
                <w:sz w:val="21"/>
              </w:rPr>
              <w:t>环卫部门统一</w:t>
            </w:r>
          </w:p>
          <w:p>
            <w:pPr>
              <w:pStyle w:val="TableParagraph"/>
              <w:spacing w:line="274" w:lineRule="exact"/>
              <w:ind w:left="63" w:right="63"/>
              <w:rPr>
                <w:sz w:val="21"/>
              </w:rPr>
            </w:pPr>
            <w:r>
              <w:rPr>
                <w:sz w:val="21"/>
              </w:rPr>
              <w:t>清运</w:t>
            </w:r>
          </w:p>
        </w:tc>
      </w:tr>
      <w:tr>
        <w:trPr>
          <w:trHeight w:val="833" w:hRule="exact"/>
        </w:trPr>
        <w:tc>
          <w:tcPr>
            <w:tcW w:w="562" w:type="dxa"/>
            <w:vMerge/>
          </w:tcPr>
          <w:p>
            <w:pPr/>
          </w:p>
        </w:tc>
        <w:tc>
          <w:tcPr>
            <w:tcW w:w="552" w:type="dxa"/>
            <w:vMerge/>
          </w:tcPr>
          <w:p>
            <w:pPr/>
          </w:p>
        </w:tc>
        <w:tc>
          <w:tcPr>
            <w:tcW w:w="1285" w:type="dxa"/>
          </w:tcPr>
          <w:p>
            <w:pPr>
              <w:pStyle w:val="TableParagraph"/>
              <w:spacing w:before="3"/>
              <w:jc w:val="left"/>
              <w:rPr>
                <w:b/>
                <w:sz w:val="18"/>
              </w:rPr>
            </w:pPr>
          </w:p>
          <w:p>
            <w:pPr>
              <w:pStyle w:val="TableParagraph"/>
              <w:spacing w:before="1"/>
              <w:ind w:left="88" w:right="91"/>
              <w:rPr>
                <w:sz w:val="21"/>
              </w:rPr>
            </w:pPr>
            <w:r>
              <w:rPr>
                <w:sz w:val="21"/>
              </w:rPr>
              <w:t>行人或车辆</w:t>
            </w:r>
          </w:p>
        </w:tc>
        <w:tc>
          <w:tcPr>
            <w:tcW w:w="1135" w:type="dxa"/>
          </w:tcPr>
          <w:p>
            <w:pPr>
              <w:pStyle w:val="TableParagraph"/>
              <w:spacing w:before="3"/>
              <w:jc w:val="left"/>
              <w:rPr>
                <w:b/>
                <w:sz w:val="18"/>
              </w:rPr>
            </w:pPr>
          </w:p>
          <w:p>
            <w:pPr>
              <w:pStyle w:val="TableParagraph"/>
              <w:spacing w:before="1"/>
              <w:ind w:left="79" w:right="79"/>
              <w:rPr>
                <w:sz w:val="21"/>
              </w:rPr>
            </w:pPr>
            <w:r>
              <w:rPr>
                <w:sz w:val="21"/>
              </w:rPr>
              <w:t>清扫垃圾</w:t>
            </w:r>
          </w:p>
        </w:tc>
        <w:tc>
          <w:tcPr>
            <w:tcW w:w="1608" w:type="dxa"/>
          </w:tcPr>
          <w:p>
            <w:pPr>
              <w:pStyle w:val="TableParagraph"/>
              <w:spacing w:line="240" w:lineRule="exact"/>
              <w:ind w:left="163" w:hanging="65"/>
              <w:jc w:val="left"/>
              <w:rPr>
                <w:sz w:val="21"/>
              </w:rPr>
            </w:pPr>
            <w:r>
              <w:rPr>
                <w:sz w:val="21"/>
              </w:rPr>
              <w:t>环卫部门清扫、</w:t>
            </w:r>
          </w:p>
          <w:p>
            <w:pPr>
              <w:pStyle w:val="TableParagraph"/>
              <w:spacing w:line="272" w:lineRule="exact" w:before="27"/>
              <w:ind w:left="688" w:right="152" w:hanging="526"/>
              <w:jc w:val="left"/>
              <w:rPr>
                <w:sz w:val="21"/>
              </w:rPr>
            </w:pPr>
            <w:r>
              <w:rPr>
                <w:sz w:val="21"/>
              </w:rPr>
              <w:t>沿路设置垃圾箱</w:t>
            </w:r>
          </w:p>
        </w:tc>
        <w:tc>
          <w:tcPr>
            <w:tcW w:w="1781" w:type="dxa"/>
          </w:tcPr>
          <w:p>
            <w:pPr>
              <w:pStyle w:val="TableParagraph"/>
              <w:spacing w:before="3"/>
              <w:jc w:val="left"/>
              <w:rPr>
                <w:b/>
                <w:sz w:val="18"/>
              </w:rPr>
            </w:pPr>
          </w:p>
          <w:p>
            <w:pPr>
              <w:pStyle w:val="TableParagraph"/>
              <w:spacing w:before="1"/>
              <w:ind w:right="671"/>
              <w:jc w:val="right"/>
              <w:rPr>
                <w:sz w:val="21"/>
              </w:rPr>
            </w:pPr>
            <w:r>
              <w:rPr>
                <w:sz w:val="21"/>
              </w:rPr>
              <w:t>少量</w:t>
            </w:r>
          </w:p>
        </w:tc>
        <w:tc>
          <w:tcPr>
            <w:tcW w:w="1652" w:type="dxa"/>
          </w:tcPr>
          <w:p>
            <w:pPr>
              <w:pStyle w:val="TableParagraph"/>
              <w:spacing w:before="102"/>
              <w:ind w:left="607" w:right="171" w:hanging="421"/>
              <w:jc w:val="left"/>
              <w:rPr>
                <w:sz w:val="21"/>
              </w:rPr>
            </w:pPr>
            <w:r>
              <w:rPr>
                <w:sz w:val="21"/>
              </w:rPr>
              <w:t>环卫部门统一清运</w:t>
            </w:r>
          </w:p>
        </w:tc>
      </w:tr>
      <w:tr>
        <w:trPr>
          <w:trHeight w:val="833" w:hRule="exact"/>
        </w:trPr>
        <w:tc>
          <w:tcPr>
            <w:tcW w:w="562" w:type="dxa"/>
          </w:tcPr>
          <w:p>
            <w:pPr>
              <w:pStyle w:val="TableParagraph"/>
              <w:spacing w:line="272" w:lineRule="exact" w:before="130"/>
              <w:ind w:left="168" w:right="149"/>
              <w:jc w:val="left"/>
              <w:rPr>
                <w:sz w:val="21"/>
              </w:rPr>
            </w:pPr>
            <w:r>
              <w:rPr>
                <w:sz w:val="21"/>
              </w:rPr>
              <w:t>噪声</w:t>
            </w:r>
          </w:p>
        </w:tc>
        <w:tc>
          <w:tcPr>
            <w:tcW w:w="552" w:type="dxa"/>
          </w:tcPr>
          <w:p>
            <w:pPr>
              <w:pStyle w:val="TableParagraph"/>
              <w:spacing w:line="240" w:lineRule="exact"/>
              <w:ind w:left="160"/>
              <w:jc w:val="left"/>
              <w:rPr>
                <w:sz w:val="21"/>
              </w:rPr>
            </w:pPr>
            <w:r>
              <w:rPr>
                <w:w w:val="100"/>
                <w:sz w:val="21"/>
              </w:rPr>
              <w:t>营</w:t>
            </w:r>
          </w:p>
          <w:p>
            <w:pPr>
              <w:pStyle w:val="TableParagraph"/>
              <w:spacing w:line="272" w:lineRule="exact" w:before="27"/>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1135" w:type="dxa"/>
          </w:tcPr>
          <w:p>
            <w:pPr>
              <w:pStyle w:val="TableParagraph"/>
              <w:spacing w:before="3"/>
              <w:jc w:val="left"/>
              <w:rPr>
                <w:b/>
                <w:sz w:val="18"/>
              </w:rPr>
            </w:pPr>
          </w:p>
          <w:p>
            <w:pPr>
              <w:pStyle w:val="TableParagraph"/>
              <w:spacing w:before="1"/>
              <w:ind w:left="79" w:right="79"/>
              <w:rPr>
                <w:sz w:val="21"/>
              </w:rPr>
            </w:pPr>
            <w:r>
              <w:rPr>
                <w:sz w:val="21"/>
              </w:rPr>
              <w:t>噪声</w:t>
            </w:r>
          </w:p>
        </w:tc>
        <w:tc>
          <w:tcPr>
            <w:tcW w:w="1608" w:type="dxa"/>
          </w:tcPr>
          <w:p>
            <w:pPr>
              <w:pStyle w:val="TableParagraph"/>
              <w:spacing w:line="240" w:lineRule="exact"/>
              <w:ind w:left="2" w:right="5"/>
              <w:rPr>
                <w:sz w:val="21"/>
              </w:rPr>
            </w:pPr>
            <w:r>
              <w:rPr>
                <w:sz w:val="21"/>
              </w:rPr>
              <w:t>控制车速、设置</w:t>
            </w:r>
          </w:p>
          <w:p>
            <w:pPr>
              <w:pStyle w:val="TableParagraph"/>
              <w:spacing w:line="274" w:lineRule="exact"/>
              <w:ind w:left="5" w:right="5"/>
              <w:rPr>
                <w:sz w:val="21"/>
              </w:rPr>
            </w:pPr>
            <w:r>
              <w:rPr>
                <w:sz w:val="21"/>
              </w:rPr>
              <w:t>限速标志</w:t>
            </w:r>
          </w:p>
        </w:tc>
        <w:tc>
          <w:tcPr>
            <w:tcW w:w="3433" w:type="dxa"/>
            <w:gridSpan w:val="2"/>
          </w:tcPr>
          <w:p>
            <w:pPr>
              <w:pStyle w:val="TableParagraph"/>
              <w:spacing w:line="240" w:lineRule="exact"/>
              <w:ind w:left="115" w:hanging="15"/>
              <w:jc w:val="left"/>
              <w:rPr>
                <w:sz w:val="21"/>
              </w:rPr>
            </w:pPr>
            <w:r>
              <w:rPr>
                <w:sz w:val="21"/>
              </w:rPr>
              <w:t>道路两侧区域达到《声环境质 量标</w:t>
            </w:r>
          </w:p>
          <w:p>
            <w:pPr>
              <w:pStyle w:val="TableParagraph"/>
              <w:spacing w:line="272" w:lineRule="exact" w:before="27"/>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937"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before="10"/>
              <w:jc w:val="left"/>
              <w:rPr>
                <w:b/>
                <w:sz w:val="20"/>
              </w:rPr>
            </w:pPr>
          </w:p>
          <w:p>
            <w:pPr>
              <w:pStyle w:val="TableParagraph"/>
              <w:spacing w:line="357" w:lineRule="auto"/>
              <w:ind w:left="100" w:right="100"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176128"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pStyle w:val="BodyText"/>
        <w:spacing w:line="357" w:lineRule="auto" w:before="153"/>
        <w:ind w:left="218" w:right="130" w:firstLine="482"/>
      </w:pPr>
      <w:r>
        <w:rPr/>
        <w:t>项目施工期的环境影响主要包括施工废水、废气和噪声对水质、环境空气和声环境的影响，其影响主要集中在施工期间，施工结束后，这些影响将会消失， 施工期还存在一定的社会环境影响和生态环境影响。</w:t>
      </w:r>
    </w:p>
    <w:p>
      <w:pPr>
        <w:pStyle w:val="Heading3"/>
        <w:spacing w:before="33"/>
      </w:pPr>
      <w:r>
        <w:rPr>
          <w:w w:val="95"/>
        </w:rPr>
        <w:t>1、大气环境环境影响分析</w:t>
      </w:r>
      <w:r>
        <w:rPr>
          <w:w w:val="99"/>
        </w:rPr>
        <w:t> </w:t>
      </w:r>
    </w:p>
    <w:p>
      <w:pPr>
        <w:pStyle w:val="BodyText"/>
        <w:spacing w:line="357" w:lineRule="auto" w:before="153"/>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3"/>
        <w:ind w:left="698"/>
      </w:pPr>
      <w:r>
        <w:rPr/>
        <w:t>（</w:t>
      </w:r>
      <w:r>
        <w:rPr>
          <w:rFonts w:ascii="Times New Roman" w:eastAsia="Times New Roman"/>
        </w:rPr>
        <w:t>1</w:t>
      </w:r>
      <w:r>
        <w:rPr/>
        <w:t>）施工扬尘</w:t>
      </w:r>
    </w:p>
    <w:p>
      <w:pPr>
        <w:pStyle w:val="BodyText"/>
        <w:spacing w:line="355" w:lineRule="auto" w:before="135"/>
        <w:ind w:left="218" w:right="133" w:firstLine="479"/>
      </w:pPr>
      <w:r>
        <w:rPr/>
        <w:t>施工产生的扬尘主要来源于挖方、填方、搬运泥土和水泥、石灰、沙石等材料的装卸、运输过程中产生的施工扬尘。</w:t>
      </w:r>
    </w:p>
    <w:p>
      <w:pPr>
        <w:pStyle w:val="BodyText"/>
        <w:spacing w:line="348" w:lineRule="auto" w:before="38"/>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5"/>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5"/>
        <w:ind w:left="218" w:right="231"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3"/>
      </w:pPr>
      <w:r>
        <w:rPr>
          <w:w w:val="95"/>
        </w:rPr>
        <w:t>根据《四川省人民政府办公厅关于加强灰霾污染防治的通知》（川办发</w:t>
      </w:r>
    </w:p>
    <w:p>
      <w:pPr>
        <w:spacing w:before="153"/>
        <w:ind w:left="218" w:right="0" w:firstLine="0"/>
        <w:jc w:val="left"/>
        <w:rPr>
          <w:b/>
          <w:sz w:val="24"/>
        </w:rPr>
      </w:pPr>
      <w:r>
        <w:rPr>
          <w:rFonts w:ascii="Times New Roman" w:eastAsia="Times New Roman"/>
          <w:b/>
          <w:sz w:val="24"/>
        </w:rPr>
        <w:t>[2013]32 </w:t>
      </w:r>
      <w:r>
        <w:rPr>
          <w:b/>
          <w:sz w:val="24"/>
        </w:rPr>
        <w:t>号）及《四川省灰霾污染防治实施方案》中的要求加强施工场地扬尘的</w:t>
      </w:r>
    </w:p>
    <w:p>
      <w:pPr>
        <w:spacing w:after="0"/>
        <w:jc w:val="left"/>
        <w:rPr>
          <w:sz w:val="24"/>
        </w:rPr>
        <w:sectPr>
          <w:pgSz w:w="11910" w:h="16850"/>
          <w:pgMar w:header="0" w:footer="1141" w:top="1400" w:bottom="1400" w:left="1580" w:right="1560"/>
        </w:sectPr>
      </w:pPr>
    </w:p>
    <w:p>
      <w:pPr>
        <w:spacing w:line="352" w:lineRule="auto" w:before="9"/>
        <w:ind w:left="218" w:right="114" w:firstLine="0"/>
        <w:jc w:val="left"/>
        <w:rPr>
          <w:b/>
          <w:sz w:val="24"/>
        </w:rPr>
      </w:pPr>
      <w:r>
        <w:rPr/>
        <w:pict>
          <v:group style="position:absolute;margin-left:84.253998pt;margin-top:71.749977pt;width:427.1pt;height:698.7pt;mso-position-horizontal-relative:page;mso-position-vertical-relative:page;z-index:-17610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pacing w:val="-4"/>
          <w:sz w:val="24"/>
        </w:rPr>
        <w:t>控制，扬尘整治的</w:t>
      </w:r>
      <w:r>
        <w:rPr>
          <w:rFonts w:ascii="Times New Roman" w:hAnsi="Times New Roman" w:eastAsia="Times New Roman"/>
          <w:b/>
          <w:sz w:val="24"/>
        </w:rPr>
        <w:t>“</w:t>
      </w:r>
      <w:r>
        <w:rPr>
          <w:b/>
          <w:sz w:val="24"/>
        </w:rPr>
        <w:t>六必须</w:t>
      </w:r>
      <w:r>
        <w:rPr>
          <w:rFonts w:ascii="Times New Roman" w:hAnsi="Times New Roman" w:eastAsia="Times New Roman"/>
          <w:b/>
          <w:spacing w:val="-3"/>
          <w:sz w:val="24"/>
        </w:rPr>
        <w:t>”</w:t>
      </w:r>
      <w:r>
        <w:rPr>
          <w:b/>
          <w:spacing w:val="-17"/>
          <w:sz w:val="24"/>
        </w:rPr>
        <w:t>、</w:t>
      </w:r>
      <w:r>
        <w:rPr>
          <w:rFonts w:ascii="Times New Roman" w:hAnsi="Times New Roman" w:eastAsia="Times New Roman"/>
          <w:b/>
          <w:spacing w:val="-3"/>
          <w:sz w:val="24"/>
        </w:rPr>
        <w:t>“</w:t>
      </w:r>
      <w:r>
        <w:rPr>
          <w:b/>
          <w:sz w:val="24"/>
        </w:rPr>
        <w:t>六不准</w:t>
      </w:r>
      <w:r>
        <w:rPr>
          <w:rFonts w:ascii="Times New Roman" w:hAnsi="Times New Roman" w:eastAsia="Times New Roman"/>
          <w:b/>
          <w:spacing w:val="-10"/>
          <w:sz w:val="24"/>
        </w:rPr>
        <w:t>”</w:t>
      </w:r>
      <w:r>
        <w:rPr>
          <w:b/>
          <w:spacing w:val="-8"/>
          <w:sz w:val="24"/>
        </w:rPr>
        <w:t>，即：必须打围作业、必须硬化道路、必须设置冲洗设施、必须湿法作业、必须配齐保洁人员、必须定时清扫施工现场； </w:t>
      </w:r>
      <w:r>
        <w:rPr>
          <w:b/>
          <w:spacing w:val="-13"/>
          <w:sz w:val="24"/>
        </w:rPr>
        <w:t>不准车辆带泥出门，不准运渣车辆冒顶装载、不准高空抛撒建渣、不准现场搅拌混凝土、不准场地积水、不准现场焚烧废弃物。要加强对建设工地的监督检查， </w:t>
      </w:r>
      <w:r>
        <w:rPr>
          <w:b/>
          <w:spacing w:val="-13"/>
          <w:w w:val="95"/>
          <w:sz w:val="24"/>
        </w:rPr>
        <w:t>督促建设单位落实降尘、压尘和抑尘措施。</w:t>
      </w:r>
    </w:p>
    <w:p>
      <w:pPr>
        <w:pStyle w:val="BodyText"/>
        <w:spacing w:before="41"/>
        <w:ind w:left="698"/>
      </w:pPr>
      <w:r>
        <w:rPr/>
        <w:t>为减少施工扬尘对周边环境的影响，施工单位在施工期间应采取以下措施：</w:t>
      </w:r>
    </w:p>
    <w:p>
      <w:pPr>
        <w:pStyle w:val="BodyText"/>
        <w:spacing w:before="151"/>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5"/>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3"/>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6"/>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4"/>
        <w:ind w:left="698"/>
      </w:pPr>
      <w:r>
        <w:rPr/>
        <w:t>⑤使用商品沥青，不在现场熬制沥青；</w:t>
      </w:r>
    </w:p>
    <w:p>
      <w:pPr>
        <w:pStyle w:val="BodyText"/>
        <w:spacing w:line="355" w:lineRule="auto" w:before="154"/>
        <w:ind w:left="218" w:right="133" w:firstLine="479"/>
      </w:pPr>
      <w:r>
        <w:rPr/>
        <w:t>⑥工程完毕后需及时清理施工现场，及时清运施工废弃物，绝对不在施工现场暂存；</w:t>
      </w:r>
    </w:p>
    <w:p>
      <w:pPr>
        <w:pStyle w:val="BodyText"/>
        <w:spacing w:line="355" w:lineRule="auto" w:before="39"/>
        <w:ind w:left="218" w:right="133" w:firstLine="479"/>
      </w:pPr>
      <w:r>
        <w:rPr/>
        <w:t>⑦采取封闭施工、湿法施工等方式减少扬尘，封闭运输，按照指定路线和地点处置弃土、弃渣。</w:t>
      </w:r>
    </w:p>
    <w:p>
      <w:pPr>
        <w:pStyle w:val="BodyText"/>
        <w:spacing w:before="39"/>
        <w:ind w:left="698"/>
      </w:pPr>
      <w:r>
        <w:rPr/>
        <w:t>（</w:t>
      </w:r>
      <w:r>
        <w:rPr>
          <w:rFonts w:ascii="Times New Roman" w:eastAsia="Times New Roman"/>
        </w:rPr>
        <w:t>2</w:t>
      </w:r>
      <w:r>
        <w:rPr/>
        <w:t>）车辆及施工机械尾气</w:t>
      </w:r>
    </w:p>
    <w:p>
      <w:pPr>
        <w:pStyle w:val="BodyText"/>
        <w:spacing w:line="357" w:lineRule="auto" w:before="133"/>
        <w:ind w:left="218" w:right="131"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8" w:lineRule="auto" w:before="3"/>
        <w:ind w:left="218" w:right="232"/>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5"/>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spacing w:after="0" w:line="357" w:lineRule="auto"/>
        <w:jc w:val="both"/>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6090"/>
      </w:tblGrid>
      <w:tr>
        <w:trPr>
          <w:trHeight w:val="13478" w:hRule="exact"/>
        </w:trPr>
        <w:tc>
          <w:tcPr>
            <w:tcW w:w="8531" w:type="dxa"/>
            <w:gridSpan w:val="3"/>
          </w:tcPr>
          <w:p>
            <w:pPr>
              <w:pStyle w:val="TableParagraph"/>
              <w:spacing w:line="292" w:lineRule="exact"/>
              <w:ind w:left="583"/>
              <w:jc w:val="left"/>
              <w:rPr>
                <w:sz w:val="24"/>
              </w:rPr>
            </w:pPr>
            <w:r>
              <w:rPr>
                <w:sz w:val="24"/>
              </w:rPr>
              <w:t>（</w:t>
            </w:r>
            <w:r>
              <w:rPr>
                <w:rFonts w:ascii="Times New Roman" w:eastAsia="Times New Roman"/>
                <w:sz w:val="24"/>
              </w:rPr>
              <w:t>3</w:t>
            </w:r>
            <w:r>
              <w:rPr>
                <w:sz w:val="24"/>
              </w:rPr>
              <w:t>）沥青烟</w:t>
            </w:r>
          </w:p>
          <w:p>
            <w:pPr>
              <w:pStyle w:val="TableParagraph"/>
              <w:spacing w:line="345" w:lineRule="auto" w:before="135"/>
              <w:ind w:left="103" w:right="101"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环评要求，沥青均采用罐装沥青专用车辆装运，以防止沿程撒</w:t>
            </w:r>
            <w:r>
              <w:rPr>
                <w:b/>
                <w:spacing w:val="20"/>
                <w:w w:val="95"/>
                <w:sz w:val="24"/>
              </w:rPr>
              <w:t>落污染环境。</w:t>
            </w:r>
            <w:r>
              <w:rPr>
                <w:spacing w:val="17"/>
                <w:w w:val="95"/>
                <w:sz w:val="24"/>
              </w:rPr>
              <w:t>同时，项目施工方严格执行了《公路沥青路的施工技术规范</w:t>
            </w:r>
          </w:p>
          <w:p>
            <w:pPr>
              <w:pStyle w:val="TableParagraph"/>
              <w:spacing w:line="338" w:lineRule="auto" w:before="45"/>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5"/>
              <w:ind w:left="103" w:right="105"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8"/>
              <w:ind w:left="585"/>
              <w:jc w:val="left"/>
              <w:rPr>
                <w:b/>
                <w:sz w:val="24"/>
              </w:rPr>
            </w:pPr>
            <w:r>
              <w:rPr>
                <w:b/>
                <w:w w:val="95"/>
                <w:sz w:val="24"/>
              </w:rPr>
              <w:t>2、噪声环境影响分析</w:t>
            </w:r>
            <w:r>
              <w:rPr>
                <w:b/>
                <w:w w:val="99"/>
                <w:sz w:val="24"/>
              </w:rPr>
              <w:t> </w:t>
            </w:r>
          </w:p>
          <w:p>
            <w:pPr>
              <w:pStyle w:val="TableParagraph"/>
              <w:spacing w:before="150"/>
              <w:ind w:left="583"/>
              <w:jc w:val="left"/>
              <w:rPr>
                <w:sz w:val="24"/>
              </w:rPr>
            </w:pPr>
            <w:r>
              <w:rPr>
                <w:sz w:val="24"/>
              </w:rPr>
              <w:t>本项目施工期间噪声主要包括施工机械噪声和运输车辆噪声。</w:t>
            </w:r>
          </w:p>
          <w:p>
            <w:pPr>
              <w:pStyle w:val="TableParagraph"/>
              <w:spacing w:before="153"/>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5" w:lineRule="auto" w:before="133"/>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7"/>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0"/>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2"/>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3"/>
              <w:ind w:left="1303"/>
              <w:jc w:val="left"/>
              <w:rPr>
                <w:sz w:val="24"/>
              </w:rPr>
            </w:pPr>
            <w:r>
              <w:rPr>
                <w:sz w:val="24"/>
              </w:rPr>
              <w:t>对于多台施工机械同时作业时对某个预测点的影响，按下式进行声级</w:t>
            </w:r>
          </w:p>
          <w:p>
            <w:pPr>
              <w:pStyle w:val="TableParagraph"/>
              <w:spacing w:before="153"/>
              <w:ind w:left="103"/>
              <w:jc w:val="left"/>
              <w:rPr>
                <w:sz w:val="24"/>
              </w:rPr>
            </w:pPr>
            <w:r>
              <w:rPr>
                <w:sz w:val="24"/>
              </w:rPr>
              <w:t>叠加：</w:t>
            </w:r>
          </w:p>
          <w:p>
            <w:pPr>
              <w:pStyle w:val="TableParagraph"/>
              <w:spacing w:line="144" w:lineRule="exact" w:before="204"/>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7"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2"/>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10" w:hRule="exact"/>
        </w:trPr>
        <w:tc>
          <w:tcPr>
            <w:tcW w:w="1279" w:type="dxa"/>
            <w:tcBorders>
              <w:bottom w:val="single" w:sz="8" w:space="0" w:color="000000"/>
            </w:tcBorders>
          </w:tcPr>
          <w:p>
            <w:pPr>
              <w:pStyle w:val="TableParagraph"/>
              <w:spacing w:line="253" w:lineRule="exact"/>
              <w:ind w:left="271"/>
              <w:jc w:val="left"/>
              <w:rPr>
                <w:sz w:val="21"/>
              </w:rPr>
            </w:pPr>
            <w:r>
              <w:rPr>
                <w:sz w:val="21"/>
              </w:rPr>
              <w:t>机械类型</w:t>
            </w:r>
          </w:p>
        </w:tc>
        <w:tc>
          <w:tcPr>
            <w:tcW w:w="1162" w:type="dxa"/>
            <w:tcBorders>
              <w:bottom w:val="single" w:sz="8" w:space="0" w:color="000000"/>
            </w:tcBorders>
          </w:tcPr>
          <w:p>
            <w:pPr>
              <w:pStyle w:val="TableParagraph"/>
              <w:spacing w:line="253" w:lineRule="exact"/>
              <w:ind w:left="369"/>
              <w:jc w:val="left"/>
              <w:rPr>
                <w:sz w:val="21"/>
              </w:rPr>
            </w:pPr>
            <w:r>
              <w:rPr>
                <w:sz w:val="21"/>
              </w:rPr>
              <w:t>型号</w:t>
            </w:r>
          </w:p>
        </w:tc>
        <w:tc>
          <w:tcPr>
            <w:tcW w:w="6090" w:type="dxa"/>
            <w:tcBorders>
              <w:bottom w:val="single" w:sz="8" w:space="0" w:color="000000"/>
            </w:tcBorders>
          </w:tcPr>
          <w:p>
            <w:pPr>
              <w:pStyle w:val="TableParagraph"/>
              <w:spacing w:line="269" w:lineRule="exact"/>
              <w:ind w:left="2306" w:right="2391"/>
              <w:rPr>
                <w:rFonts w:ascii="Times New Roman" w:eastAsia="Times New Roman"/>
                <w:sz w:val="21"/>
              </w:rPr>
            </w:pPr>
            <w:r>
              <w:rPr>
                <w:sz w:val="21"/>
              </w:rPr>
              <w:t>噪声值</w:t>
            </w:r>
            <w:r>
              <w:rPr>
                <w:rFonts w:ascii="Times New Roman" w:eastAsia="Times New Roman"/>
                <w:sz w:val="21"/>
              </w:rPr>
              <w:t>Leq(dB)</w:t>
            </w:r>
          </w:p>
        </w:tc>
      </w:tr>
    </w:tbl>
    <w:p>
      <w:pPr>
        <w:rPr>
          <w:sz w:val="2"/>
          <w:szCs w:val="2"/>
        </w:rPr>
      </w:pPr>
      <w:r>
        <w:rPr/>
        <w:pict>
          <v:line style="position:absolute;mso-position-horizontal-relative:page;mso-position-vertical-relative:page;z-index:-176080" from="319.398682pt,506.145813pt" to="333.161348pt,506.145813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9"/>
        <w:gridCol w:w="1162"/>
        <w:gridCol w:w="386"/>
        <w:gridCol w:w="386"/>
        <w:gridCol w:w="518"/>
        <w:gridCol w:w="521"/>
        <w:gridCol w:w="519"/>
        <w:gridCol w:w="518"/>
        <w:gridCol w:w="518"/>
        <w:gridCol w:w="521"/>
        <w:gridCol w:w="518"/>
        <w:gridCol w:w="521"/>
        <w:gridCol w:w="518"/>
        <w:gridCol w:w="643"/>
      </w:tblGrid>
      <w:tr>
        <w:trPr>
          <w:trHeight w:val="262" w:hRule="exact"/>
        </w:trPr>
        <w:tc>
          <w:tcPr>
            <w:tcW w:w="1279" w:type="dxa"/>
          </w:tcPr>
          <w:p>
            <w:pPr/>
          </w:p>
        </w:tc>
        <w:tc>
          <w:tcPr>
            <w:tcW w:w="1162" w:type="dxa"/>
          </w:tcPr>
          <w:p>
            <w:pPr/>
          </w:p>
        </w:tc>
        <w:tc>
          <w:tcPr>
            <w:tcW w:w="386" w:type="dxa"/>
          </w:tcPr>
          <w:p>
            <w:pPr>
              <w:pStyle w:val="TableParagraph"/>
              <w:spacing w:before="3"/>
              <w:ind w:left="8"/>
              <w:rPr>
                <w:rFonts w:ascii="Times New Roman"/>
                <w:sz w:val="21"/>
              </w:rPr>
            </w:pPr>
            <w:r>
              <w:rPr>
                <w:rFonts w:ascii="Times New Roman"/>
                <w:spacing w:val="-20"/>
                <w:sz w:val="21"/>
              </w:rPr>
              <w:t>10m</w:t>
            </w:r>
          </w:p>
        </w:tc>
        <w:tc>
          <w:tcPr>
            <w:tcW w:w="386" w:type="dxa"/>
          </w:tcPr>
          <w:p>
            <w:pPr>
              <w:pStyle w:val="TableParagraph"/>
              <w:spacing w:before="3"/>
              <w:ind w:left="3"/>
              <w:rPr>
                <w:rFonts w:ascii="Times New Roman"/>
                <w:sz w:val="21"/>
              </w:rPr>
            </w:pPr>
            <w:r>
              <w:rPr>
                <w:rFonts w:ascii="Times New Roman"/>
                <w:sz w:val="21"/>
              </w:rPr>
              <w:t>20m</w:t>
            </w:r>
          </w:p>
        </w:tc>
        <w:tc>
          <w:tcPr>
            <w:tcW w:w="518" w:type="dxa"/>
          </w:tcPr>
          <w:p>
            <w:pPr>
              <w:pStyle w:val="TableParagraph"/>
              <w:spacing w:before="3"/>
              <w:ind w:right="100"/>
              <w:jc w:val="right"/>
              <w:rPr>
                <w:rFonts w:ascii="Times New Roman"/>
                <w:sz w:val="21"/>
              </w:rPr>
            </w:pPr>
            <w:r>
              <w:rPr>
                <w:rFonts w:ascii="Times New Roman"/>
                <w:sz w:val="21"/>
              </w:rPr>
              <w:t>30m</w:t>
            </w:r>
          </w:p>
        </w:tc>
        <w:tc>
          <w:tcPr>
            <w:tcW w:w="521" w:type="dxa"/>
          </w:tcPr>
          <w:p>
            <w:pPr>
              <w:pStyle w:val="TableParagraph"/>
              <w:spacing w:before="3"/>
              <w:ind w:right="116"/>
              <w:jc w:val="right"/>
              <w:rPr>
                <w:rFonts w:ascii="Times New Roman"/>
                <w:sz w:val="21"/>
              </w:rPr>
            </w:pPr>
            <w:r>
              <w:rPr>
                <w:rFonts w:ascii="Times New Roman"/>
                <w:sz w:val="21"/>
              </w:rPr>
              <w:t>60m</w:t>
            </w:r>
          </w:p>
        </w:tc>
        <w:tc>
          <w:tcPr>
            <w:tcW w:w="519" w:type="dxa"/>
          </w:tcPr>
          <w:p>
            <w:pPr>
              <w:pStyle w:val="TableParagraph"/>
              <w:spacing w:before="3"/>
              <w:ind w:left="129"/>
              <w:jc w:val="left"/>
              <w:rPr>
                <w:rFonts w:ascii="Times New Roman"/>
                <w:sz w:val="21"/>
              </w:rPr>
            </w:pPr>
            <w:r>
              <w:rPr>
                <w:rFonts w:ascii="Times New Roman"/>
                <w:sz w:val="21"/>
              </w:rPr>
              <w:t>90m</w:t>
            </w:r>
          </w:p>
        </w:tc>
        <w:tc>
          <w:tcPr>
            <w:tcW w:w="518" w:type="dxa"/>
          </w:tcPr>
          <w:p>
            <w:pPr>
              <w:pStyle w:val="TableParagraph"/>
              <w:spacing w:before="3"/>
              <w:ind w:left="13"/>
              <w:rPr>
                <w:rFonts w:ascii="Times New Roman"/>
                <w:sz w:val="21"/>
              </w:rPr>
            </w:pPr>
            <w:r>
              <w:rPr>
                <w:rFonts w:ascii="Times New Roman"/>
                <w:sz w:val="21"/>
              </w:rPr>
              <w:t>120m</w:t>
            </w:r>
          </w:p>
        </w:tc>
        <w:tc>
          <w:tcPr>
            <w:tcW w:w="518" w:type="dxa"/>
          </w:tcPr>
          <w:p>
            <w:pPr>
              <w:pStyle w:val="TableParagraph"/>
              <w:spacing w:before="3"/>
              <w:ind w:left="22"/>
              <w:rPr>
                <w:rFonts w:ascii="Times New Roman"/>
                <w:sz w:val="21"/>
              </w:rPr>
            </w:pPr>
            <w:r>
              <w:rPr>
                <w:rFonts w:ascii="Times New Roman"/>
                <w:sz w:val="21"/>
              </w:rPr>
              <w:t>150m</w:t>
            </w:r>
          </w:p>
        </w:tc>
        <w:tc>
          <w:tcPr>
            <w:tcW w:w="521" w:type="dxa"/>
          </w:tcPr>
          <w:p>
            <w:pPr>
              <w:pStyle w:val="TableParagraph"/>
              <w:spacing w:before="3"/>
              <w:ind w:left="100" w:right="-11"/>
              <w:jc w:val="left"/>
              <w:rPr>
                <w:rFonts w:ascii="Times New Roman"/>
                <w:sz w:val="21"/>
              </w:rPr>
            </w:pPr>
            <w:r>
              <w:rPr>
                <w:rFonts w:ascii="Times New Roman"/>
                <w:spacing w:val="-16"/>
                <w:sz w:val="21"/>
              </w:rPr>
              <w:t>180m</w:t>
            </w:r>
          </w:p>
        </w:tc>
        <w:tc>
          <w:tcPr>
            <w:tcW w:w="518" w:type="dxa"/>
          </w:tcPr>
          <w:p>
            <w:pPr>
              <w:pStyle w:val="TableParagraph"/>
              <w:spacing w:before="3"/>
              <w:ind w:left="22"/>
              <w:rPr>
                <w:rFonts w:ascii="Times New Roman"/>
                <w:sz w:val="21"/>
              </w:rPr>
            </w:pPr>
            <w:r>
              <w:rPr>
                <w:rFonts w:ascii="Times New Roman"/>
                <w:sz w:val="21"/>
              </w:rPr>
              <w:t>210m</w:t>
            </w:r>
          </w:p>
        </w:tc>
        <w:tc>
          <w:tcPr>
            <w:tcW w:w="521" w:type="dxa"/>
          </w:tcPr>
          <w:p>
            <w:pPr>
              <w:pStyle w:val="TableParagraph"/>
              <w:spacing w:before="3"/>
              <w:ind w:left="45" w:right="11"/>
              <w:rPr>
                <w:rFonts w:ascii="Times New Roman"/>
                <w:sz w:val="21"/>
              </w:rPr>
            </w:pPr>
            <w:r>
              <w:rPr>
                <w:rFonts w:ascii="Times New Roman"/>
                <w:spacing w:val="-16"/>
                <w:sz w:val="21"/>
              </w:rPr>
              <w:t>240m</w:t>
            </w:r>
          </w:p>
        </w:tc>
        <w:tc>
          <w:tcPr>
            <w:tcW w:w="518" w:type="dxa"/>
          </w:tcPr>
          <w:p>
            <w:pPr>
              <w:pStyle w:val="TableParagraph"/>
              <w:spacing w:before="3"/>
              <w:ind w:left="37"/>
              <w:rPr>
                <w:rFonts w:ascii="Times New Roman"/>
                <w:sz w:val="21"/>
              </w:rPr>
            </w:pPr>
            <w:r>
              <w:rPr>
                <w:rFonts w:ascii="Times New Roman"/>
                <w:spacing w:val="-16"/>
                <w:sz w:val="21"/>
              </w:rPr>
              <w:t>270m</w:t>
            </w:r>
          </w:p>
        </w:tc>
        <w:tc>
          <w:tcPr>
            <w:tcW w:w="643" w:type="dxa"/>
          </w:tcPr>
          <w:p>
            <w:pPr>
              <w:pStyle w:val="TableParagraph"/>
              <w:spacing w:before="3"/>
              <w:ind w:left="12" w:right="102"/>
              <w:rPr>
                <w:rFonts w:ascii="Times New Roman"/>
                <w:sz w:val="21"/>
              </w:rPr>
            </w:pPr>
            <w:r>
              <w:rPr>
                <w:rFonts w:ascii="Times New Roman"/>
                <w:sz w:val="21"/>
              </w:rPr>
              <w:t>300m</w:t>
            </w:r>
          </w:p>
        </w:tc>
      </w:tr>
      <w:tr>
        <w:trPr>
          <w:trHeight w:val="554" w:hRule="exact"/>
        </w:trPr>
        <w:tc>
          <w:tcPr>
            <w:tcW w:w="1279" w:type="dxa"/>
          </w:tcPr>
          <w:p>
            <w:pPr>
              <w:pStyle w:val="TableParagraph"/>
              <w:spacing w:line="240" w:lineRule="exact"/>
              <w:ind w:left="142" w:right="32"/>
              <w:rPr>
                <w:sz w:val="21"/>
              </w:rPr>
            </w:pPr>
            <w:r>
              <w:rPr>
                <w:sz w:val="21"/>
              </w:rPr>
              <w:t>轮式装载</w:t>
            </w:r>
          </w:p>
          <w:p>
            <w:pPr>
              <w:pStyle w:val="TableParagraph"/>
              <w:spacing w:line="274" w:lineRule="exact"/>
              <w:ind w:left="107"/>
              <w:rPr>
                <w:sz w:val="21"/>
              </w:rPr>
            </w:pPr>
            <w:r>
              <w:rPr>
                <w:w w:val="100"/>
                <w:sz w:val="21"/>
              </w:rPr>
              <w:t>机</w:t>
            </w:r>
          </w:p>
        </w:tc>
        <w:tc>
          <w:tcPr>
            <w:tcW w:w="1162" w:type="dxa"/>
          </w:tcPr>
          <w:p>
            <w:pPr>
              <w:pStyle w:val="TableParagraph"/>
              <w:spacing w:before="102"/>
              <w:ind w:left="105" w:right="105"/>
              <w:rPr>
                <w:sz w:val="21"/>
              </w:rPr>
            </w:pPr>
            <w:r>
              <w:rPr>
                <w:rFonts w:ascii="Times New Roman" w:eastAsia="Times New Roman"/>
                <w:sz w:val="21"/>
              </w:rPr>
              <w:t>ZL40 </w:t>
            </w:r>
            <w:r>
              <w:rPr>
                <w:sz w:val="21"/>
              </w:rPr>
              <w:t>型</w:t>
            </w:r>
          </w:p>
        </w:tc>
        <w:tc>
          <w:tcPr>
            <w:tcW w:w="386" w:type="dxa"/>
          </w:tcPr>
          <w:p>
            <w:pPr>
              <w:pStyle w:val="TableParagraph"/>
              <w:spacing w:before="144"/>
              <w:ind w:left="2"/>
              <w:rPr>
                <w:rFonts w:ascii="Times New Roman"/>
                <w:sz w:val="21"/>
              </w:rPr>
            </w:pPr>
            <w:r>
              <w:rPr>
                <w:rFonts w:ascii="Times New Roman"/>
                <w:sz w:val="21"/>
              </w:rPr>
              <w:t>84</w:t>
            </w:r>
          </w:p>
        </w:tc>
        <w:tc>
          <w:tcPr>
            <w:tcW w:w="386" w:type="dxa"/>
          </w:tcPr>
          <w:p>
            <w:pPr>
              <w:pStyle w:val="TableParagraph"/>
              <w:spacing w:before="144"/>
              <w:ind w:left="2"/>
              <w:rPr>
                <w:rFonts w:ascii="Times New Roman"/>
                <w:sz w:val="21"/>
              </w:rPr>
            </w:pPr>
            <w:r>
              <w:rPr>
                <w:rFonts w:ascii="Times New Roman"/>
                <w:sz w:val="21"/>
              </w:rPr>
              <w:t>78</w:t>
            </w:r>
          </w:p>
        </w:tc>
        <w:tc>
          <w:tcPr>
            <w:tcW w:w="518" w:type="dxa"/>
          </w:tcPr>
          <w:p>
            <w:pPr>
              <w:pStyle w:val="TableParagraph"/>
              <w:spacing w:before="144"/>
              <w:ind w:right="167"/>
              <w:jc w:val="right"/>
              <w:rPr>
                <w:rFonts w:ascii="Times New Roman"/>
                <w:sz w:val="21"/>
              </w:rPr>
            </w:pPr>
            <w:r>
              <w:rPr>
                <w:rFonts w:ascii="Times New Roman"/>
                <w:sz w:val="21"/>
              </w:rPr>
              <w:t>74</w:t>
            </w:r>
          </w:p>
        </w:tc>
        <w:tc>
          <w:tcPr>
            <w:tcW w:w="521" w:type="dxa"/>
          </w:tcPr>
          <w:p>
            <w:pPr>
              <w:pStyle w:val="TableParagraph"/>
              <w:spacing w:before="144"/>
              <w:ind w:right="168"/>
              <w:jc w:val="right"/>
              <w:rPr>
                <w:rFonts w:ascii="Times New Roman"/>
                <w:sz w:val="21"/>
              </w:rPr>
            </w:pPr>
            <w:r>
              <w:rPr>
                <w:rFonts w:ascii="Times New Roman"/>
                <w:sz w:val="21"/>
              </w:rPr>
              <w:t>68</w:t>
            </w:r>
          </w:p>
        </w:tc>
        <w:tc>
          <w:tcPr>
            <w:tcW w:w="519" w:type="dxa"/>
          </w:tcPr>
          <w:p>
            <w:pPr>
              <w:pStyle w:val="TableParagraph"/>
              <w:spacing w:before="144"/>
              <w:ind w:left="165"/>
              <w:jc w:val="left"/>
              <w:rPr>
                <w:rFonts w:ascii="Times New Roman"/>
                <w:sz w:val="21"/>
              </w:rPr>
            </w:pPr>
            <w:r>
              <w:rPr>
                <w:rFonts w:ascii="Times New Roman"/>
                <w:sz w:val="21"/>
              </w:rPr>
              <w:t>65</w:t>
            </w:r>
          </w:p>
        </w:tc>
        <w:tc>
          <w:tcPr>
            <w:tcW w:w="518" w:type="dxa"/>
          </w:tcPr>
          <w:p>
            <w:pPr>
              <w:pStyle w:val="TableParagraph"/>
              <w:spacing w:before="144"/>
              <w:rPr>
                <w:rFonts w:ascii="Times New Roman"/>
                <w:sz w:val="21"/>
              </w:rPr>
            </w:pPr>
            <w:r>
              <w:rPr>
                <w:rFonts w:ascii="Times New Roman"/>
                <w:sz w:val="21"/>
              </w:rPr>
              <w:t>62</w:t>
            </w:r>
          </w:p>
        </w:tc>
        <w:tc>
          <w:tcPr>
            <w:tcW w:w="518" w:type="dxa"/>
          </w:tcPr>
          <w:p>
            <w:pPr>
              <w:pStyle w:val="TableParagraph"/>
              <w:spacing w:before="144"/>
              <w:rPr>
                <w:rFonts w:ascii="Times New Roman"/>
                <w:sz w:val="21"/>
              </w:rPr>
            </w:pPr>
            <w:r>
              <w:rPr>
                <w:rFonts w:ascii="Times New Roman"/>
                <w:sz w:val="21"/>
              </w:rPr>
              <w:t>60</w:t>
            </w:r>
          </w:p>
        </w:tc>
        <w:tc>
          <w:tcPr>
            <w:tcW w:w="521" w:type="dxa"/>
          </w:tcPr>
          <w:p>
            <w:pPr>
              <w:pStyle w:val="TableParagraph"/>
              <w:spacing w:before="144"/>
              <w:ind w:left="170"/>
              <w:jc w:val="left"/>
              <w:rPr>
                <w:rFonts w:ascii="Times New Roman"/>
                <w:sz w:val="21"/>
              </w:rPr>
            </w:pPr>
            <w:r>
              <w:rPr>
                <w:rFonts w:ascii="Times New Roman"/>
                <w:sz w:val="21"/>
              </w:rPr>
              <w:t>59</w:t>
            </w:r>
          </w:p>
        </w:tc>
        <w:tc>
          <w:tcPr>
            <w:tcW w:w="518" w:type="dxa"/>
          </w:tcPr>
          <w:p>
            <w:pPr>
              <w:pStyle w:val="TableParagraph"/>
              <w:spacing w:before="144"/>
              <w:rPr>
                <w:rFonts w:ascii="Times New Roman"/>
                <w:sz w:val="21"/>
              </w:rPr>
            </w:pPr>
            <w:r>
              <w:rPr>
                <w:rFonts w:ascii="Times New Roman"/>
                <w:sz w:val="21"/>
              </w:rPr>
              <w:t>58</w:t>
            </w:r>
          </w:p>
        </w:tc>
        <w:tc>
          <w:tcPr>
            <w:tcW w:w="521" w:type="dxa"/>
          </w:tcPr>
          <w:p>
            <w:pPr>
              <w:pStyle w:val="TableParagraph"/>
              <w:spacing w:before="144"/>
              <w:ind w:left="10" w:right="11"/>
              <w:rPr>
                <w:rFonts w:ascii="Times New Roman"/>
                <w:sz w:val="21"/>
              </w:rPr>
            </w:pPr>
            <w:r>
              <w:rPr>
                <w:rFonts w:ascii="Times New Roman"/>
                <w:sz w:val="21"/>
              </w:rPr>
              <w:t>56</w:t>
            </w:r>
          </w:p>
        </w:tc>
        <w:tc>
          <w:tcPr>
            <w:tcW w:w="518" w:type="dxa"/>
          </w:tcPr>
          <w:p>
            <w:pPr>
              <w:pStyle w:val="TableParagraph"/>
              <w:spacing w:before="144"/>
              <w:ind w:left="13" w:right="15"/>
              <w:rPr>
                <w:rFonts w:ascii="Times New Roman"/>
                <w:sz w:val="21"/>
              </w:rPr>
            </w:pPr>
            <w:r>
              <w:rPr>
                <w:rFonts w:ascii="Times New Roman"/>
                <w:sz w:val="21"/>
              </w:rPr>
              <w:t>55</w:t>
            </w:r>
          </w:p>
        </w:tc>
        <w:tc>
          <w:tcPr>
            <w:tcW w:w="643" w:type="dxa"/>
          </w:tcPr>
          <w:p>
            <w:pPr>
              <w:pStyle w:val="TableParagraph"/>
              <w:spacing w:before="144"/>
              <w:ind w:left="12" w:right="115"/>
              <w:rPr>
                <w:rFonts w:ascii="Times New Roman"/>
                <w:sz w:val="21"/>
              </w:rPr>
            </w:pPr>
            <w:r>
              <w:rPr>
                <w:rFonts w:ascii="Times New Roman"/>
                <w:sz w:val="21"/>
              </w:rPr>
              <w:t>54</w:t>
            </w:r>
          </w:p>
        </w:tc>
      </w:tr>
      <w:tr>
        <w:trPr>
          <w:trHeight w:val="523" w:hRule="exact"/>
        </w:trPr>
        <w:tc>
          <w:tcPr>
            <w:tcW w:w="1279" w:type="dxa"/>
          </w:tcPr>
          <w:p>
            <w:pPr>
              <w:pStyle w:val="TableParagraph"/>
              <w:spacing w:before="88"/>
              <w:ind w:right="263"/>
              <w:jc w:val="right"/>
              <w:rPr>
                <w:sz w:val="21"/>
              </w:rPr>
            </w:pPr>
            <w:r>
              <w:rPr>
                <w:sz w:val="21"/>
              </w:rPr>
              <w:t>平地机</w:t>
            </w:r>
          </w:p>
        </w:tc>
        <w:tc>
          <w:tcPr>
            <w:tcW w:w="1162" w:type="dxa"/>
          </w:tcPr>
          <w:p>
            <w:pPr>
              <w:pStyle w:val="TableParagraph"/>
              <w:spacing w:line="222" w:lineRule="exact"/>
              <w:ind w:left="105" w:right="105"/>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left="2"/>
              <w:rPr>
                <w:rFonts w:ascii="Times New Roman"/>
                <w:sz w:val="21"/>
              </w:rPr>
            </w:pPr>
            <w:r>
              <w:rPr>
                <w:rFonts w:ascii="Times New Roman"/>
                <w:sz w:val="21"/>
              </w:rPr>
              <w:t>84</w:t>
            </w:r>
          </w:p>
        </w:tc>
        <w:tc>
          <w:tcPr>
            <w:tcW w:w="386" w:type="dxa"/>
          </w:tcPr>
          <w:p>
            <w:pPr>
              <w:pStyle w:val="TableParagraph"/>
              <w:spacing w:before="130"/>
              <w:ind w:left="2"/>
              <w:rPr>
                <w:rFonts w:ascii="Times New Roman"/>
                <w:sz w:val="21"/>
              </w:rPr>
            </w:pPr>
            <w:r>
              <w:rPr>
                <w:rFonts w:ascii="Times New Roman"/>
                <w:sz w:val="21"/>
              </w:rPr>
              <w:t>78</w:t>
            </w:r>
          </w:p>
        </w:tc>
        <w:tc>
          <w:tcPr>
            <w:tcW w:w="518" w:type="dxa"/>
          </w:tcPr>
          <w:p>
            <w:pPr>
              <w:pStyle w:val="TableParagraph"/>
              <w:spacing w:before="130"/>
              <w:ind w:right="167"/>
              <w:jc w:val="right"/>
              <w:rPr>
                <w:rFonts w:ascii="Times New Roman"/>
                <w:sz w:val="21"/>
              </w:rPr>
            </w:pPr>
            <w:r>
              <w:rPr>
                <w:rFonts w:ascii="Times New Roman"/>
                <w:sz w:val="21"/>
              </w:rPr>
              <w:t>74</w:t>
            </w:r>
          </w:p>
        </w:tc>
        <w:tc>
          <w:tcPr>
            <w:tcW w:w="521" w:type="dxa"/>
          </w:tcPr>
          <w:p>
            <w:pPr>
              <w:pStyle w:val="TableParagraph"/>
              <w:spacing w:before="130"/>
              <w:ind w:right="168"/>
              <w:jc w:val="right"/>
              <w:rPr>
                <w:rFonts w:ascii="Times New Roman"/>
                <w:sz w:val="21"/>
              </w:rPr>
            </w:pPr>
            <w:r>
              <w:rPr>
                <w:rFonts w:ascii="Times New Roman"/>
                <w:sz w:val="21"/>
              </w:rPr>
              <w:t>68</w:t>
            </w:r>
          </w:p>
        </w:tc>
        <w:tc>
          <w:tcPr>
            <w:tcW w:w="519" w:type="dxa"/>
          </w:tcPr>
          <w:p>
            <w:pPr>
              <w:pStyle w:val="TableParagraph"/>
              <w:spacing w:before="130"/>
              <w:ind w:left="165"/>
              <w:jc w:val="left"/>
              <w:rPr>
                <w:rFonts w:ascii="Times New Roman"/>
                <w:sz w:val="21"/>
              </w:rPr>
            </w:pPr>
            <w:r>
              <w:rPr>
                <w:rFonts w:ascii="Times New Roman"/>
                <w:sz w:val="21"/>
              </w:rPr>
              <w:t>65</w:t>
            </w:r>
          </w:p>
        </w:tc>
        <w:tc>
          <w:tcPr>
            <w:tcW w:w="518" w:type="dxa"/>
          </w:tcPr>
          <w:p>
            <w:pPr>
              <w:pStyle w:val="TableParagraph"/>
              <w:spacing w:before="130"/>
              <w:rPr>
                <w:rFonts w:ascii="Times New Roman"/>
                <w:sz w:val="21"/>
              </w:rPr>
            </w:pPr>
            <w:r>
              <w:rPr>
                <w:rFonts w:ascii="Times New Roman"/>
                <w:sz w:val="21"/>
              </w:rPr>
              <w:t>62</w:t>
            </w:r>
          </w:p>
        </w:tc>
        <w:tc>
          <w:tcPr>
            <w:tcW w:w="518" w:type="dxa"/>
          </w:tcPr>
          <w:p>
            <w:pPr>
              <w:pStyle w:val="TableParagraph"/>
              <w:spacing w:before="130"/>
              <w:rPr>
                <w:rFonts w:ascii="Times New Roman"/>
                <w:sz w:val="21"/>
              </w:rPr>
            </w:pPr>
            <w:r>
              <w:rPr>
                <w:rFonts w:ascii="Times New Roman"/>
                <w:sz w:val="21"/>
              </w:rPr>
              <w:t>60</w:t>
            </w:r>
          </w:p>
        </w:tc>
        <w:tc>
          <w:tcPr>
            <w:tcW w:w="521" w:type="dxa"/>
          </w:tcPr>
          <w:p>
            <w:pPr>
              <w:pStyle w:val="TableParagraph"/>
              <w:spacing w:before="130"/>
              <w:ind w:left="170"/>
              <w:jc w:val="left"/>
              <w:rPr>
                <w:rFonts w:ascii="Times New Roman"/>
                <w:sz w:val="21"/>
              </w:rPr>
            </w:pPr>
            <w:r>
              <w:rPr>
                <w:rFonts w:ascii="Times New Roman"/>
                <w:sz w:val="21"/>
              </w:rPr>
              <w:t>59</w:t>
            </w:r>
          </w:p>
        </w:tc>
        <w:tc>
          <w:tcPr>
            <w:tcW w:w="518" w:type="dxa"/>
          </w:tcPr>
          <w:p>
            <w:pPr>
              <w:pStyle w:val="TableParagraph"/>
              <w:spacing w:before="130"/>
              <w:rPr>
                <w:rFonts w:ascii="Times New Roman"/>
                <w:sz w:val="21"/>
              </w:rPr>
            </w:pPr>
            <w:r>
              <w:rPr>
                <w:rFonts w:ascii="Times New Roman"/>
                <w:sz w:val="21"/>
              </w:rPr>
              <w:t>58</w:t>
            </w:r>
          </w:p>
        </w:tc>
        <w:tc>
          <w:tcPr>
            <w:tcW w:w="521" w:type="dxa"/>
          </w:tcPr>
          <w:p>
            <w:pPr>
              <w:pStyle w:val="TableParagraph"/>
              <w:spacing w:before="130"/>
              <w:ind w:left="10" w:right="11"/>
              <w:rPr>
                <w:rFonts w:ascii="Times New Roman"/>
                <w:sz w:val="21"/>
              </w:rPr>
            </w:pPr>
            <w:r>
              <w:rPr>
                <w:rFonts w:ascii="Times New Roman"/>
                <w:sz w:val="21"/>
              </w:rPr>
              <w:t>56</w:t>
            </w:r>
          </w:p>
        </w:tc>
        <w:tc>
          <w:tcPr>
            <w:tcW w:w="518" w:type="dxa"/>
          </w:tcPr>
          <w:p>
            <w:pPr>
              <w:pStyle w:val="TableParagraph"/>
              <w:spacing w:before="130"/>
              <w:ind w:left="13" w:right="15"/>
              <w:rPr>
                <w:rFonts w:ascii="Times New Roman"/>
                <w:sz w:val="21"/>
              </w:rPr>
            </w:pPr>
            <w:r>
              <w:rPr>
                <w:rFonts w:ascii="Times New Roman"/>
                <w:sz w:val="21"/>
              </w:rPr>
              <w:t>55</w:t>
            </w:r>
          </w:p>
        </w:tc>
        <w:tc>
          <w:tcPr>
            <w:tcW w:w="643" w:type="dxa"/>
          </w:tcPr>
          <w:p>
            <w:pPr>
              <w:pStyle w:val="TableParagraph"/>
              <w:spacing w:before="130"/>
              <w:ind w:left="12" w:right="115"/>
              <w:rPr>
                <w:rFonts w:ascii="Times New Roman"/>
                <w:sz w:val="21"/>
              </w:rPr>
            </w:pPr>
            <w:r>
              <w:rPr>
                <w:rFonts w:ascii="Times New Roman"/>
                <w:sz w:val="21"/>
              </w:rPr>
              <w:t>54</w:t>
            </w:r>
          </w:p>
        </w:tc>
      </w:tr>
      <w:tr>
        <w:trPr>
          <w:trHeight w:val="554" w:hRule="exact"/>
        </w:trPr>
        <w:tc>
          <w:tcPr>
            <w:tcW w:w="1279" w:type="dxa"/>
          </w:tcPr>
          <w:p>
            <w:pPr>
              <w:pStyle w:val="TableParagraph"/>
              <w:spacing w:line="240" w:lineRule="exact"/>
              <w:ind w:left="147" w:right="32"/>
              <w:rPr>
                <w:sz w:val="21"/>
              </w:rPr>
            </w:pPr>
            <w:r>
              <w:rPr>
                <w:sz w:val="21"/>
              </w:rPr>
              <w:t>振动式压路</w:t>
            </w:r>
          </w:p>
          <w:p>
            <w:pPr>
              <w:pStyle w:val="TableParagraph"/>
              <w:spacing w:line="274" w:lineRule="exact"/>
              <w:ind w:left="213"/>
              <w:rPr>
                <w:sz w:val="21"/>
              </w:rPr>
            </w:pPr>
            <w:r>
              <w:rPr>
                <w:w w:val="100"/>
                <w:sz w:val="21"/>
              </w:rPr>
              <w:t>机</w:t>
            </w:r>
          </w:p>
        </w:tc>
        <w:tc>
          <w:tcPr>
            <w:tcW w:w="1162" w:type="dxa"/>
          </w:tcPr>
          <w:p>
            <w:pPr>
              <w:pStyle w:val="TableParagraph"/>
              <w:spacing w:before="147"/>
              <w:ind w:left="105" w:right="106"/>
              <w:rPr>
                <w:rFonts w:ascii="Times New Roman"/>
                <w:sz w:val="21"/>
              </w:rPr>
            </w:pPr>
            <w:r>
              <w:rPr>
                <w:rFonts w:ascii="Times New Roman"/>
                <w:sz w:val="21"/>
              </w:rPr>
              <w:t>YZJ10B</w:t>
            </w:r>
          </w:p>
        </w:tc>
        <w:tc>
          <w:tcPr>
            <w:tcW w:w="386" w:type="dxa"/>
          </w:tcPr>
          <w:p>
            <w:pPr>
              <w:pStyle w:val="TableParagraph"/>
              <w:spacing w:before="147"/>
              <w:ind w:left="2"/>
              <w:rPr>
                <w:rFonts w:ascii="Times New Roman"/>
                <w:sz w:val="21"/>
              </w:rPr>
            </w:pPr>
            <w:r>
              <w:rPr>
                <w:rFonts w:ascii="Times New Roman"/>
                <w:sz w:val="21"/>
              </w:rPr>
              <w:t>80</w:t>
            </w:r>
          </w:p>
        </w:tc>
        <w:tc>
          <w:tcPr>
            <w:tcW w:w="386" w:type="dxa"/>
          </w:tcPr>
          <w:p>
            <w:pPr>
              <w:pStyle w:val="TableParagraph"/>
              <w:spacing w:before="147"/>
              <w:ind w:left="2"/>
              <w:rPr>
                <w:rFonts w:ascii="Times New Roman"/>
                <w:sz w:val="21"/>
              </w:rPr>
            </w:pPr>
            <w:r>
              <w:rPr>
                <w:rFonts w:ascii="Times New Roman"/>
                <w:sz w:val="21"/>
              </w:rPr>
              <w:t>74</w:t>
            </w:r>
          </w:p>
        </w:tc>
        <w:tc>
          <w:tcPr>
            <w:tcW w:w="518" w:type="dxa"/>
          </w:tcPr>
          <w:p>
            <w:pPr>
              <w:pStyle w:val="TableParagraph"/>
              <w:spacing w:before="147"/>
              <w:ind w:right="167"/>
              <w:jc w:val="right"/>
              <w:rPr>
                <w:rFonts w:ascii="Times New Roman"/>
                <w:sz w:val="21"/>
              </w:rPr>
            </w:pPr>
            <w:r>
              <w:rPr>
                <w:rFonts w:ascii="Times New Roman"/>
                <w:sz w:val="21"/>
              </w:rPr>
              <w:t>70</w:t>
            </w:r>
          </w:p>
        </w:tc>
        <w:tc>
          <w:tcPr>
            <w:tcW w:w="521" w:type="dxa"/>
          </w:tcPr>
          <w:p>
            <w:pPr>
              <w:pStyle w:val="TableParagraph"/>
              <w:spacing w:before="147"/>
              <w:ind w:right="168"/>
              <w:jc w:val="right"/>
              <w:rPr>
                <w:rFonts w:ascii="Times New Roman"/>
                <w:sz w:val="21"/>
              </w:rPr>
            </w:pPr>
            <w:r>
              <w:rPr>
                <w:rFonts w:ascii="Times New Roman"/>
                <w:sz w:val="21"/>
              </w:rPr>
              <w:t>64</w:t>
            </w:r>
          </w:p>
        </w:tc>
        <w:tc>
          <w:tcPr>
            <w:tcW w:w="519" w:type="dxa"/>
          </w:tcPr>
          <w:p>
            <w:pPr>
              <w:pStyle w:val="TableParagraph"/>
              <w:spacing w:before="147"/>
              <w:ind w:left="165"/>
              <w:jc w:val="left"/>
              <w:rPr>
                <w:rFonts w:ascii="Times New Roman"/>
                <w:sz w:val="21"/>
              </w:rPr>
            </w:pPr>
            <w:r>
              <w:rPr>
                <w:rFonts w:ascii="Times New Roman"/>
                <w:sz w:val="21"/>
              </w:rPr>
              <w:t>61</w:t>
            </w:r>
          </w:p>
        </w:tc>
        <w:tc>
          <w:tcPr>
            <w:tcW w:w="518" w:type="dxa"/>
          </w:tcPr>
          <w:p>
            <w:pPr>
              <w:pStyle w:val="TableParagraph"/>
              <w:spacing w:before="147"/>
              <w:rPr>
                <w:rFonts w:ascii="Times New Roman"/>
                <w:sz w:val="21"/>
              </w:rPr>
            </w:pPr>
            <w:r>
              <w:rPr>
                <w:rFonts w:ascii="Times New Roman"/>
                <w:sz w:val="21"/>
              </w:rPr>
              <w:t>58</w:t>
            </w:r>
          </w:p>
        </w:tc>
        <w:tc>
          <w:tcPr>
            <w:tcW w:w="518" w:type="dxa"/>
          </w:tcPr>
          <w:p>
            <w:pPr>
              <w:pStyle w:val="TableParagraph"/>
              <w:spacing w:before="147"/>
              <w:rPr>
                <w:rFonts w:ascii="Times New Roman"/>
                <w:sz w:val="21"/>
              </w:rPr>
            </w:pPr>
            <w:r>
              <w:rPr>
                <w:rFonts w:ascii="Times New Roman"/>
                <w:sz w:val="21"/>
              </w:rPr>
              <w:t>56</w:t>
            </w:r>
          </w:p>
        </w:tc>
        <w:tc>
          <w:tcPr>
            <w:tcW w:w="521" w:type="dxa"/>
          </w:tcPr>
          <w:p>
            <w:pPr>
              <w:pStyle w:val="TableParagraph"/>
              <w:spacing w:before="147"/>
              <w:ind w:left="170"/>
              <w:jc w:val="left"/>
              <w:rPr>
                <w:rFonts w:ascii="Times New Roman"/>
                <w:sz w:val="21"/>
              </w:rPr>
            </w:pPr>
            <w:r>
              <w:rPr>
                <w:rFonts w:ascii="Times New Roman"/>
                <w:sz w:val="21"/>
              </w:rPr>
              <w:t>55</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0" w:right="11"/>
              <w:rPr>
                <w:rFonts w:ascii="Times New Roman"/>
                <w:sz w:val="21"/>
              </w:rPr>
            </w:pPr>
            <w:r>
              <w:rPr>
                <w:rFonts w:ascii="Times New Roman"/>
                <w:sz w:val="21"/>
              </w:rPr>
              <w:t>52</w:t>
            </w:r>
          </w:p>
        </w:tc>
        <w:tc>
          <w:tcPr>
            <w:tcW w:w="518" w:type="dxa"/>
          </w:tcPr>
          <w:p>
            <w:pPr>
              <w:pStyle w:val="TableParagraph"/>
              <w:spacing w:before="147"/>
              <w:ind w:left="13" w:right="15"/>
              <w:rPr>
                <w:rFonts w:ascii="Times New Roman"/>
                <w:sz w:val="21"/>
              </w:rPr>
            </w:pPr>
            <w:r>
              <w:rPr>
                <w:rFonts w:ascii="Times New Roman"/>
                <w:sz w:val="21"/>
              </w:rPr>
              <w:t>51</w:t>
            </w:r>
          </w:p>
        </w:tc>
        <w:tc>
          <w:tcPr>
            <w:tcW w:w="643" w:type="dxa"/>
          </w:tcPr>
          <w:p>
            <w:pPr>
              <w:pStyle w:val="TableParagraph"/>
              <w:spacing w:before="147"/>
              <w:ind w:left="12" w:right="115"/>
              <w:rPr>
                <w:rFonts w:ascii="Times New Roman"/>
                <w:sz w:val="21"/>
              </w:rPr>
            </w:pPr>
            <w:r>
              <w:rPr>
                <w:rFonts w:ascii="Times New Roman"/>
                <w:sz w:val="21"/>
              </w:rPr>
              <w:t>50</w:t>
            </w:r>
          </w:p>
        </w:tc>
      </w:tr>
      <w:tr>
        <w:trPr>
          <w:trHeight w:val="557" w:hRule="exact"/>
        </w:trPr>
        <w:tc>
          <w:tcPr>
            <w:tcW w:w="1279" w:type="dxa"/>
          </w:tcPr>
          <w:p>
            <w:pPr>
              <w:pStyle w:val="TableParagraph"/>
              <w:spacing w:line="241" w:lineRule="exact"/>
              <w:ind w:left="147" w:right="32"/>
              <w:rPr>
                <w:sz w:val="21"/>
              </w:rPr>
            </w:pPr>
            <w:r>
              <w:rPr>
                <w:sz w:val="21"/>
              </w:rPr>
              <w:t>双轮双振</w:t>
            </w:r>
          </w:p>
          <w:p>
            <w:pPr>
              <w:pStyle w:val="TableParagraph"/>
              <w:spacing w:line="273" w:lineRule="exact"/>
              <w:ind w:left="147" w:right="30"/>
              <w:rPr>
                <w:sz w:val="21"/>
              </w:rPr>
            </w:pPr>
            <w:r>
              <w:rPr>
                <w:sz w:val="21"/>
              </w:rPr>
              <w:t>压路机</w:t>
            </w:r>
          </w:p>
        </w:tc>
        <w:tc>
          <w:tcPr>
            <w:tcW w:w="1162" w:type="dxa"/>
          </w:tcPr>
          <w:p>
            <w:pPr>
              <w:pStyle w:val="TableParagraph"/>
              <w:spacing w:before="102"/>
              <w:ind w:left="105" w:right="104"/>
              <w:rPr>
                <w:sz w:val="21"/>
              </w:rPr>
            </w:pPr>
            <w:r>
              <w:rPr>
                <w:rFonts w:ascii="Times New Roman" w:eastAsia="Times New Roman"/>
                <w:sz w:val="21"/>
              </w:rPr>
              <w:t>CC21 </w:t>
            </w:r>
            <w:r>
              <w:rPr>
                <w:sz w:val="21"/>
              </w:rPr>
              <w:t>型</w:t>
            </w:r>
          </w:p>
        </w:tc>
        <w:tc>
          <w:tcPr>
            <w:tcW w:w="386" w:type="dxa"/>
          </w:tcPr>
          <w:p>
            <w:pPr>
              <w:pStyle w:val="TableParagraph"/>
              <w:spacing w:before="147"/>
              <w:ind w:left="2"/>
              <w:rPr>
                <w:rFonts w:ascii="Times New Roman"/>
                <w:sz w:val="21"/>
              </w:rPr>
            </w:pPr>
            <w:r>
              <w:rPr>
                <w:rFonts w:ascii="Times New Roman"/>
                <w:sz w:val="21"/>
              </w:rPr>
              <w:t>75</w:t>
            </w:r>
          </w:p>
        </w:tc>
        <w:tc>
          <w:tcPr>
            <w:tcW w:w="386" w:type="dxa"/>
          </w:tcPr>
          <w:p>
            <w:pPr>
              <w:pStyle w:val="TableParagraph"/>
              <w:spacing w:before="147"/>
              <w:ind w:left="2"/>
              <w:rPr>
                <w:rFonts w:ascii="Times New Roman"/>
                <w:sz w:val="21"/>
              </w:rPr>
            </w:pPr>
            <w:r>
              <w:rPr>
                <w:rFonts w:ascii="Times New Roman"/>
                <w:sz w:val="21"/>
              </w:rPr>
              <w:t>69</w:t>
            </w:r>
          </w:p>
        </w:tc>
        <w:tc>
          <w:tcPr>
            <w:tcW w:w="518" w:type="dxa"/>
          </w:tcPr>
          <w:p>
            <w:pPr>
              <w:pStyle w:val="TableParagraph"/>
              <w:spacing w:before="147"/>
              <w:ind w:right="167"/>
              <w:jc w:val="right"/>
              <w:rPr>
                <w:rFonts w:ascii="Times New Roman"/>
                <w:sz w:val="21"/>
              </w:rPr>
            </w:pPr>
            <w:r>
              <w:rPr>
                <w:rFonts w:ascii="Times New Roman"/>
                <w:sz w:val="21"/>
              </w:rPr>
              <w:t>65</w:t>
            </w:r>
          </w:p>
        </w:tc>
        <w:tc>
          <w:tcPr>
            <w:tcW w:w="521" w:type="dxa"/>
          </w:tcPr>
          <w:p>
            <w:pPr>
              <w:pStyle w:val="TableParagraph"/>
              <w:spacing w:before="147"/>
              <w:ind w:right="168"/>
              <w:jc w:val="right"/>
              <w:rPr>
                <w:rFonts w:ascii="Times New Roman"/>
                <w:sz w:val="21"/>
              </w:rPr>
            </w:pPr>
            <w:r>
              <w:rPr>
                <w:rFonts w:ascii="Times New Roman"/>
                <w:sz w:val="21"/>
              </w:rPr>
              <w:t>59</w:t>
            </w:r>
          </w:p>
        </w:tc>
        <w:tc>
          <w:tcPr>
            <w:tcW w:w="519" w:type="dxa"/>
          </w:tcPr>
          <w:p>
            <w:pPr>
              <w:pStyle w:val="TableParagraph"/>
              <w:spacing w:before="147"/>
              <w:ind w:left="165"/>
              <w:jc w:val="left"/>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51</w:t>
            </w:r>
          </w:p>
        </w:tc>
        <w:tc>
          <w:tcPr>
            <w:tcW w:w="521" w:type="dxa"/>
          </w:tcPr>
          <w:p>
            <w:pPr>
              <w:pStyle w:val="TableParagraph"/>
              <w:spacing w:before="147"/>
              <w:ind w:left="170"/>
              <w:jc w:val="left"/>
              <w:rPr>
                <w:rFonts w:ascii="Times New Roman"/>
                <w:sz w:val="21"/>
              </w:rPr>
            </w:pPr>
            <w:r>
              <w:rPr>
                <w:rFonts w:ascii="Times New Roman"/>
                <w:sz w:val="21"/>
              </w:rPr>
              <w:t>50</w:t>
            </w:r>
          </w:p>
        </w:tc>
        <w:tc>
          <w:tcPr>
            <w:tcW w:w="518" w:type="dxa"/>
          </w:tcPr>
          <w:p>
            <w:pPr>
              <w:pStyle w:val="TableParagraph"/>
              <w:spacing w:before="147"/>
              <w:rPr>
                <w:rFonts w:ascii="Times New Roman"/>
                <w:sz w:val="21"/>
              </w:rPr>
            </w:pPr>
            <w:r>
              <w:rPr>
                <w:rFonts w:ascii="Times New Roman"/>
                <w:sz w:val="21"/>
              </w:rPr>
              <w:t>49</w:t>
            </w:r>
          </w:p>
        </w:tc>
        <w:tc>
          <w:tcPr>
            <w:tcW w:w="521" w:type="dxa"/>
          </w:tcPr>
          <w:p>
            <w:pPr>
              <w:pStyle w:val="TableParagraph"/>
              <w:spacing w:before="147"/>
              <w:ind w:left="10" w:right="11"/>
              <w:rPr>
                <w:rFonts w:ascii="Times New Roman"/>
                <w:sz w:val="21"/>
              </w:rPr>
            </w:pPr>
            <w:r>
              <w:rPr>
                <w:rFonts w:ascii="Times New Roman"/>
                <w:sz w:val="21"/>
              </w:rPr>
              <w:t>47</w:t>
            </w:r>
          </w:p>
        </w:tc>
        <w:tc>
          <w:tcPr>
            <w:tcW w:w="518" w:type="dxa"/>
          </w:tcPr>
          <w:p>
            <w:pPr>
              <w:pStyle w:val="TableParagraph"/>
              <w:spacing w:before="147"/>
              <w:ind w:left="13" w:right="15"/>
              <w:rPr>
                <w:rFonts w:ascii="Times New Roman"/>
                <w:sz w:val="21"/>
              </w:rPr>
            </w:pPr>
            <w:r>
              <w:rPr>
                <w:rFonts w:ascii="Times New Roman"/>
                <w:sz w:val="21"/>
              </w:rPr>
              <w:t>46</w:t>
            </w:r>
          </w:p>
        </w:tc>
        <w:tc>
          <w:tcPr>
            <w:tcW w:w="643" w:type="dxa"/>
          </w:tcPr>
          <w:p>
            <w:pPr>
              <w:pStyle w:val="TableParagraph"/>
              <w:spacing w:before="147"/>
              <w:ind w:left="12" w:right="115"/>
              <w:rPr>
                <w:rFonts w:ascii="Times New Roman"/>
                <w:sz w:val="21"/>
              </w:rPr>
            </w:pPr>
            <w:r>
              <w:rPr>
                <w:rFonts w:ascii="Times New Roman"/>
                <w:sz w:val="21"/>
              </w:rPr>
              <w:t>45</w:t>
            </w:r>
          </w:p>
        </w:tc>
      </w:tr>
      <w:tr>
        <w:trPr>
          <w:trHeight w:val="554" w:hRule="exact"/>
        </w:trPr>
        <w:tc>
          <w:tcPr>
            <w:tcW w:w="1279" w:type="dxa"/>
          </w:tcPr>
          <w:p>
            <w:pPr>
              <w:pStyle w:val="TableParagraph"/>
              <w:spacing w:line="239" w:lineRule="exact"/>
              <w:ind w:left="142" w:right="32"/>
              <w:rPr>
                <w:sz w:val="21"/>
              </w:rPr>
            </w:pPr>
            <w:r>
              <w:rPr>
                <w:sz w:val="21"/>
              </w:rPr>
              <w:t>三轮压路</w:t>
            </w:r>
          </w:p>
          <w:p>
            <w:pPr>
              <w:pStyle w:val="TableParagraph"/>
              <w:spacing w:line="273" w:lineRule="exact"/>
              <w:ind w:left="107"/>
              <w:rPr>
                <w:sz w:val="21"/>
              </w:rPr>
            </w:pPr>
            <w:r>
              <w:rPr>
                <w:w w:val="100"/>
                <w:sz w:val="21"/>
              </w:rPr>
              <w:t>机</w:t>
            </w:r>
          </w:p>
        </w:tc>
        <w:tc>
          <w:tcPr>
            <w:tcW w:w="1162" w:type="dxa"/>
          </w:tcPr>
          <w:p>
            <w:pPr/>
          </w:p>
        </w:tc>
        <w:tc>
          <w:tcPr>
            <w:tcW w:w="386" w:type="dxa"/>
          </w:tcPr>
          <w:p>
            <w:pPr>
              <w:pStyle w:val="TableParagraph"/>
              <w:spacing w:before="144"/>
              <w:ind w:left="2"/>
              <w:rPr>
                <w:rFonts w:ascii="Times New Roman"/>
                <w:sz w:val="21"/>
              </w:rPr>
            </w:pPr>
            <w:r>
              <w:rPr>
                <w:rFonts w:ascii="Times New Roman"/>
                <w:sz w:val="21"/>
              </w:rPr>
              <w:t>75</w:t>
            </w:r>
          </w:p>
        </w:tc>
        <w:tc>
          <w:tcPr>
            <w:tcW w:w="386" w:type="dxa"/>
          </w:tcPr>
          <w:p>
            <w:pPr>
              <w:pStyle w:val="TableParagraph"/>
              <w:spacing w:before="144"/>
              <w:ind w:left="2"/>
              <w:rPr>
                <w:rFonts w:ascii="Times New Roman"/>
                <w:sz w:val="21"/>
              </w:rPr>
            </w:pPr>
            <w:r>
              <w:rPr>
                <w:rFonts w:ascii="Times New Roman"/>
                <w:sz w:val="21"/>
              </w:rPr>
              <w:t>69</w:t>
            </w:r>
          </w:p>
        </w:tc>
        <w:tc>
          <w:tcPr>
            <w:tcW w:w="518" w:type="dxa"/>
          </w:tcPr>
          <w:p>
            <w:pPr>
              <w:pStyle w:val="TableParagraph"/>
              <w:spacing w:before="144"/>
              <w:ind w:right="167"/>
              <w:jc w:val="right"/>
              <w:rPr>
                <w:rFonts w:ascii="Times New Roman"/>
                <w:sz w:val="21"/>
              </w:rPr>
            </w:pPr>
            <w:r>
              <w:rPr>
                <w:rFonts w:ascii="Times New Roman"/>
                <w:sz w:val="21"/>
              </w:rPr>
              <w:t>65</w:t>
            </w:r>
          </w:p>
        </w:tc>
        <w:tc>
          <w:tcPr>
            <w:tcW w:w="521" w:type="dxa"/>
          </w:tcPr>
          <w:p>
            <w:pPr>
              <w:pStyle w:val="TableParagraph"/>
              <w:spacing w:before="144"/>
              <w:ind w:right="168"/>
              <w:jc w:val="right"/>
              <w:rPr>
                <w:rFonts w:ascii="Times New Roman"/>
                <w:sz w:val="21"/>
              </w:rPr>
            </w:pPr>
            <w:r>
              <w:rPr>
                <w:rFonts w:ascii="Times New Roman"/>
                <w:sz w:val="21"/>
              </w:rPr>
              <w:t>59</w:t>
            </w:r>
          </w:p>
        </w:tc>
        <w:tc>
          <w:tcPr>
            <w:tcW w:w="519" w:type="dxa"/>
          </w:tcPr>
          <w:p>
            <w:pPr>
              <w:pStyle w:val="TableParagraph"/>
              <w:spacing w:before="144"/>
              <w:ind w:left="165"/>
              <w:jc w:val="left"/>
              <w:rPr>
                <w:rFonts w:ascii="Times New Roman"/>
                <w:sz w:val="21"/>
              </w:rPr>
            </w:pPr>
            <w:r>
              <w:rPr>
                <w:rFonts w:ascii="Times New Roman"/>
                <w:sz w:val="21"/>
              </w:rPr>
              <w:t>56</w:t>
            </w:r>
          </w:p>
        </w:tc>
        <w:tc>
          <w:tcPr>
            <w:tcW w:w="518" w:type="dxa"/>
          </w:tcPr>
          <w:p>
            <w:pPr>
              <w:pStyle w:val="TableParagraph"/>
              <w:spacing w:before="144"/>
              <w:rPr>
                <w:rFonts w:ascii="Times New Roman"/>
                <w:sz w:val="21"/>
              </w:rPr>
            </w:pPr>
            <w:r>
              <w:rPr>
                <w:rFonts w:ascii="Times New Roman"/>
                <w:sz w:val="21"/>
              </w:rPr>
              <w:t>53</w:t>
            </w:r>
          </w:p>
        </w:tc>
        <w:tc>
          <w:tcPr>
            <w:tcW w:w="518" w:type="dxa"/>
          </w:tcPr>
          <w:p>
            <w:pPr>
              <w:pStyle w:val="TableParagraph"/>
              <w:spacing w:before="144"/>
              <w:rPr>
                <w:rFonts w:ascii="Times New Roman"/>
                <w:sz w:val="21"/>
              </w:rPr>
            </w:pPr>
            <w:r>
              <w:rPr>
                <w:rFonts w:ascii="Times New Roman"/>
                <w:sz w:val="21"/>
              </w:rPr>
              <w:t>51</w:t>
            </w:r>
          </w:p>
        </w:tc>
        <w:tc>
          <w:tcPr>
            <w:tcW w:w="521" w:type="dxa"/>
          </w:tcPr>
          <w:p>
            <w:pPr>
              <w:pStyle w:val="TableParagraph"/>
              <w:spacing w:before="144"/>
              <w:ind w:left="170"/>
              <w:jc w:val="left"/>
              <w:rPr>
                <w:rFonts w:ascii="Times New Roman"/>
                <w:sz w:val="21"/>
              </w:rPr>
            </w:pPr>
            <w:r>
              <w:rPr>
                <w:rFonts w:ascii="Times New Roman"/>
                <w:sz w:val="21"/>
              </w:rPr>
              <w:t>50</w:t>
            </w:r>
          </w:p>
        </w:tc>
        <w:tc>
          <w:tcPr>
            <w:tcW w:w="518" w:type="dxa"/>
          </w:tcPr>
          <w:p>
            <w:pPr>
              <w:pStyle w:val="TableParagraph"/>
              <w:spacing w:before="144"/>
              <w:rPr>
                <w:rFonts w:ascii="Times New Roman"/>
                <w:sz w:val="21"/>
              </w:rPr>
            </w:pPr>
            <w:r>
              <w:rPr>
                <w:rFonts w:ascii="Times New Roman"/>
                <w:sz w:val="21"/>
              </w:rPr>
              <w:t>49</w:t>
            </w:r>
          </w:p>
        </w:tc>
        <w:tc>
          <w:tcPr>
            <w:tcW w:w="521" w:type="dxa"/>
          </w:tcPr>
          <w:p>
            <w:pPr>
              <w:pStyle w:val="TableParagraph"/>
              <w:spacing w:before="144"/>
              <w:ind w:left="10" w:right="11"/>
              <w:rPr>
                <w:rFonts w:ascii="Times New Roman"/>
                <w:sz w:val="21"/>
              </w:rPr>
            </w:pPr>
            <w:r>
              <w:rPr>
                <w:rFonts w:ascii="Times New Roman"/>
                <w:sz w:val="21"/>
              </w:rPr>
              <w:t>47</w:t>
            </w:r>
          </w:p>
        </w:tc>
        <w:tc>
          <w:tcPr>
            <w:tcW w:w="518" w:type="dxa"/>
          </w:tcPr>
          <w:p>
            <w:pPr>
              <w:pStyle w:val="TableParagraph"/>
              <w:spacing w:before="144"/>
              <w:ind w:left="13" w:right="15"/>
              <w:rPr>
                <w:rFonts w:ascii="Times New Roman"/>
                <w:sz w:val="21"/>
              </w:rPr>
            </w:pPr>
            <w:r>
              <w:rPr>
                <w:rFonts w:ascii="Times New Roman"/>
                <w:sz w:val="21"/>
              </w:rPr>
              <w:t>46</w:t>
            </w:r>
          </w:p>
        </w:tc>
        <w:tc>
          <w:tcPr>
            <w:tcW w:w="643" w:type="dxa"/>
          </w:tcPr>
          <w:p>
            <w:pPr>
              <w:pStyle w:val="TableParagraph"/>
              <w:spacing w:before="144"/>
              <w:ind w:left="12" w:right="115"/>
              <w:rPr>
                <w:rFonts w:ascii="Times New Roman"/>
                <w:sz w:val="21"/>
              </w:rPr>
            </w:pPr>
            <w:r>
              <w:rPr>
                <w:rFonts w:ascii="Times New Roman"/>
                <w:sz w:val="21"/>
              </w:rPr>
              <w:t>45</w:t>
            </w:r>
          </w:p>
        </w:tc>
      </w:tr>
      <w:tr>
        <w:trPr>
          <w:trHeight w:val="554" w:hRule="exact"/>
        </w:trPr>
        <w:tc>
          <w:tcPr>
            <w:tcW w:w="1279" w:type="dxa"/>
          </w:tcPr>
          <w:p>
            <w:pPr>
              <w:pStyle w:val="TableParagraph"/>
              <w:spacing w:line="239" w:lineRule="exact"/>
              <w:ind w:left="142" w:right="32"/>
              <w:rPr>
                <w:sz w:val="21"/>
              </w:rPr>
            </w:pPr>
            <w:r>
              <w:rPr>
                <w:sz w:val="21"/>
              </w:rPr>
              <w:t>轮胎压路</w:t>
            </w:r>
          </w:p>
          <w:p>
            <w:pPr>
              <w:pStyle w:val="TableParagraph"/>
              <w:spacing w:line="273" w:lineRule="exact"/>
              <w:ind w:left="107"/>
              <w:rPr>
                <w:sz w:val="21"/>
              </w:rPr>
            </w:pPr>
            <w:r>
              <w:rPr>
                <w:w w:val="100"/>
                <w:sz w:val="21"/>
              </w:rPr>
              <w:t>机</w:t>
            </w:r>
          </w:p>
        </w:tc>
        <w:tc>
          <w:tcPr>
            <w:tcW w:w="1162" w:type="dxa"/>
          </w:tcPr>
          <w:p>
            <w:pPr>
              <w:pStyle w:val="TableParagraph"/>
              <w:spacing w:before="102"/>
              <w:ind w:left="105" w:right="105"/>
              <w:rPr>
                <w:sz w:val="21"/>
              </w:rPr>
            </w:pPr>
            <w:r>
              <w:rPr>
                <w:rFonts w:ascii="Times New Roman" w:eastAsia="Times New Roman"/>
                <w:sz w:val="21"/>
              </w:rPr>
              <w:t>ZL16 </w:t>
            </w:r>
            <w:r>
              <w:rPr>
                <w:sz w:val="21"/>
              </w:rPr>
              <w:t>型</w:t>
            </w:r>
          </w:p>
        </w:tc>
        <w:tc>
          <w:tcPr>
            <w:tcW w:w="386" w:type="dxa"/>
          </w:tcPr>
          <w:p>
            <w:pPr>
              <w:pStyle w:val="TableParagraph"/>
              <w:spacing w:before="144"/>
              <w:ind w:left="2"/>
              <w:rPr>
                <w:rFonts w:ascii="Times New Roman"/>
                <w:sz w:val="21"/>
              </w:rPr>
            </w:pPr>
            <w:r>
              <w:rPr>
                <w:rFonts w:ascii="Times New Roman"/>
                <w:sz w:val="21"/>
              </w:rPr>
              <w:t>70</w:t>
            </w:r>
          </w:p>
        </w:tc>
        <w:tc>
          <w:tcPr>
            <w:tcW w:w="386" w:type="dxa"/>
          </w:tcPr>
          <w:p>
            <w:pPr>
              <w:pStyle w:val="TableParagraph"/>
              <w:spacing w:before="144"/>
              <w:ind w:left="2"/>
              <w:rPr>
                <w:rFonts w:ascii="Times New Roman"/>
                <w:sz w:val="21"/>
              </w:rPr>
            </w:pPr>
            <w:r>
              <w:rPr>
                <w:rFonts w:ascii="Times New Roman"/>
                <w:sz w:val="21"/>
              </w:rPr>
              <w:t>64</w:t>
            </w:r>
          </w:p>
        </w:tc>
        <w:tc>
          <w:tcPr>
            <w:tcW w:w="518" w:type="dxa"/>
          </w:tcPr>
          <w:p>
            <w:pPr>
              <w:pStyle w:val="TableParagraph"/>
              <w:spacing w:before="144"/>
              <w:ind w:right="167"/>
              <w:jc w:val="right"/>
              <w:rPr>
                <w:rFonts w:ascii="Times New Roman"/>
                <w:sz w:val="21"/>
              </w:rPr>
            </w:pPr>
            <w:r>
              <w:rPr>
                <w:rFonts w:ascii="Times New Roman"/>
                <w:sz w:val="21"/>
              </w:rPr>
              <w:t>60</w:t>
            </w:r>
          </w:p>
        </w:tc>
        <w:tc>
          <w:tcPr>
            <w:tcW w:w="521" w:type="dxa"/>
          </w:tcPr>
          <w:p>
            <w:pPr>
              <w:pStyle w:val="TableParagraph"/>
              <w:spacing w:before="144"/>
              <w:ind w:right="168"/>
              <w:jc w:val="right"/>
              <w:rPr>
                <w:rFonts w:ascii="Times New Roman"/>
                <w:sz w:val="21"/>
              </w:rPr>
            </w:pPr>
            <w:r>
              <w:rPr>
                <w:rFonts w:ascii="Times New Roman"/>
                <w:sz w:val="21"/>
              </w:rPr>
              <w:t>54</w:t>
            </w:r>
          </w:p>
        </w:tc>
        <w:tc>
          <w:tcPr>
            <w:tcW w:w="519" w:type="dxa"/>
          </w:tcPr>
          <w:p>
            <w:pPr>
              <w:pStyle w:val="TableParagraph"/>
              <w:spacing w:before="144"/>
              <w:ind w:left="165"/>
              <w:jc w:val="left"/>
              <w:rPr>
                <w:rFonts w:ascii="Times New Roman"/>
                <w:sz w:val="21"/>
              </w:rPr>
            </w:pPr>
            <w:r>
              <w:rPr>
                <w:rFonts w:ascii="Times New Roman"/>
                <w:sz w:val="21"/>
              </w:rPr>
              <w:t>51</w:t>
            </w:r>
          </w:p>
        </w:tc>
        <w:tc>
          <w:tcPr>
            <w:tcW w:w="518" w:type="dxa"/>
          </w:tcPr>
          <w:p>
            <w:pPr>
              <w:pStyle w:val="TableParagraph"/>
              <w:spacing w:before="144"/>
              <w:rPr>
                <w:rFonts w:ascii="Times New Roman"/>
                <w:sz w:val="21"/>
              </w:rPr>
            </w:pPr>
            <w:r>
              <w:rPr>
                <w:rFonts w:ascii="Times New Roman"/>
                <w:sz w:val="21"/>
              </w:rPr>
              <w:t>48</w:t>
            </w:r>
          </w:p>
        </w:tc>
        <w:tc>
          <w:tcPr>
            <w:tcW w:w="518" w:type="dxa"/>
          </w:tcPr>
          <w:p>
            <w:pPr>
              <w:pStyle w:val="TableParagraph"/>
              <w:spacing w:before="144"/>
              <w:rPr>
                <w:rFonts w:ascii="Times New Roman"/>
                <w:sz w:val="21"/>
              </w:rPr>
            </w:pPr>
            <w:r>
              <w:rPr>
                <w:rFonts w:ascii="Times New Roman"/>
                <w:sz w:val="21"/>
              </w:rPr>
              <w:t>46</w:t>
            </w:r>
          </w:p>
        </w:tc>
        <w:tc>
          <w:tcPr>
            <w:tcW w:w="521" w:type="dxa"/>
          </w:tcPr>
          <w:p>
            <w:pPr>
              <w:pStyle w:val="TableParagraph"/>
              <w:spacing w:before="144"/>
              <w:ind w:left="170"/>
              <w:jc w:val="left"/>
              <w:rPr>
                <w:rFonts w:ascii="Times New Roman"/>
                <w:sz w:val="21"/>
              </w:rPr>
            </w:pPr>
            <w:r>
              <w:rPr>
                <w:rFonts w:ascii="Times New Roman"/>
                <w:sz w:val="21"/>
              </w:rPr>
              <w:t>45</w:t>
            </w:r>
          </w:p>
        </w:tc>
        <w:tc>
          <w:tcPr>
            <w:tcW w:w="518" w:type="dxa"/>
          </w:tcPr>
          <w:p>
            <w:pPr>
              <w:pStyle w:val="TableParagraph"/>
              <w:spacing w:before="144"/>
              <w:rPr>
                <w:rFonts w:ascii="Times New Roman"/>
                <w:sz w:val="21"/>
              </w:rPr>
            </w:pPr>
            <w:r>
              <w:rPr>
                <w:rFonts w:ascii="Times New Roman"/>
                <w:sz w:val="21"/>
              </w:rPr>
              <w:t>44</w:t>
            </w:r>
          </w:p>
        </w:tc>
        <w:tc>
          <w:tcPr>
            <w:tcW w:w="521" w:type="dxa"/>
          </w:tcPr>
          <w:p>
            <w:pPr>
              <w:pStyle w:val="TableParagraph"/>
              <w:spacing w:before="144"/>
              <w:ind w:left="10" w:right="11"/>
              <w:rPr>
                <w:rFonts w:ascii="Times New Roman"/>
                <w:sz w:val="21"/>
              </w:rPr>
            </w:pPr>
            <w:r>
              <w:rPr>
                <w:rFonts w:ascii="Times New Roman"/>
                <w:sz w:val="21"/>
              </w:rPr>
              <w:t>42</w:t>
            </w:r>
          </w:p>
        </w:tc>
        <w:tc>
          <w:tcPr>
            <w:tcW w:w="518" w:type="dxa"/>
          </w:tcPr>
          <w:p>
            <w:pPr>
              <w:pStyle w:val="TableParagraph"/>
              <w:spacing w:before="144"/>
              <w:ind w:left="13" w:right="15"/>
              <w:rPr>
                <w:rFonts w:ascii="Times New Roman"/>
                <w:sz w:val="21"/>
              </w:rPr>
            </w:pPr>
            <w:r>
              <w:rPr>
                <w:rFonts w:ascii="Times New Roman"/>
                <w:sz w:val="21"/>
              </w:rPr>
              <w:t>41</w:t>
            </w:r>
          </w:p>
        </w:tc>
        <w:tc>
          <w:tcPr>
            <w:tcW w:w="643" w:type="dxa"/>
          </w:tcPr>
          <w:p>
            <w:pPr>
              <w:pStyle w:val="TableParagraph"/>
              <w:spacing w:before="144"/>
              <w:ind w:left="12" w:right="115"/>
              <w:rPr>
                <w:rFonts w:ascii="Times New Roman"/>
                <w:sz w:val="21"/>
              </w:rPr>
            </w:pPr>
            <w:r>
              <w:rPr>
                <w:rFonts w:ascii="Times New Roman"/>
                <w:sz w:val="21"/>
              </w:rPr>
              <w:t>40</w:t>
            </w:r>
          </w:p>
        </w:tc>
      </w:tr>
      <w:tr>
        <w:trPr>
          <w:trHeight w:val="281" w:hRule="exact"/>
        </w:trPr>
        <w:tc>
          <w:tcPr>
            <w:tcW w:w="1279" w:type="dxa"/>
          </w:tcPr>
          <w:p>
            <w:pPr>
              <w:pStyle w:val="TableParagraph"/>
              <w:spacing w:line="241" w:lineRule="exact"/>
              <w:ind w:right="263"/>
              <w:jc w:val="right"/>
              <w:rPr>
                <w:sz w:val="21"/>
              </w:rPr>
            </w:pPr>
            <w:r>
              <w:rPr>
                <w:sz w:val="21"/>
              </w:rPr>
              <w:t>推土机</w:t>
            </w:r>
          </w:p>
        </w:tc>
        <w:tc>
          <w:tcPr>
            <w:tcW w:w="1162" w:type="dxa"/>
          </w:tcPr>
          <w:p>
            <w:pPr>
              <w:pStyle w:val="TableParagraph"/>
              <w:spacing w:line="257" w:lineRule="exact"/>
              <w:ind w:left="105" w:right="104"/>
              <w:rPr>
                <w:sz w:val="21"/>
              </w:rPr>
            </w:pPr>
            <w:r>
              <w:rPr>
                <w:rFonts w:ascii="Times New Roman" w:eastAsia="Times New Roman"/>
                <w:sz w:val="21"/>
              </w:rPr>
              <w:t>T140 </w:t>
            </w:r>
            <w:r>
              <w:rPr>
                <w:sz w:val="21"/>
              </w:rPr>
              <w:t>型</w:t>
            </w:r>
          </w:p>
        </w:tc>
        <w:tc>
          <w:tcPr>
            <w:tcW w:w="386" w:type="dxa"/>
          </w:tcPr>
          <w:p>
            <w:pPr>
              <w:pStyle w:val="TableParagraph"/>
              <w:spacing w:before="8"/>
              <w:ind w:left="2"/>
              <w:rPr>
                <w:rFonts w:ascii="Times New Roman"/>
                <w:sz w:val="21"/>
              </w:rPr>
            </w:pPr>
            <w:r>
              <w:rPr>
                <w:rFonts w:ascii="Times New Roman"/>
                <w:sz w:val="21"/>
              </w:rPr>
              <w:t>80</w:t>
            </w:r>
          </w:p>
        </w:tc>
        <w:tc>
          <w:tcPr>
            <w:tcW w:w="386" w:type="dxa"/>
          </w:tcPr>
          <w:p>
            <w:pPr>
              <w:pStyle w:val="TableParagraph"/>
              <w:spacing w:before="8"/>
              <w:ind w:left="2"/>
              <w:rPr>
                <w:rFonts w:ascii="Times New Roman"/>
                <w:sz w:val="21"/>
              </w:rPr>
            </w:pPr>
            <w:r>
              <w:rPr>
                <w:rFonts w:ascii="Times New Roman"/>
                <w:sz w:val="21"/>
              </w:rPr>
              <w:t>74</w:t>
            </w:r>
          </w:p>
        </w:tc>
        <w:tc>
          <w:tcPr>
            <w:tcW w:w="518" w:type="dxa"/>
          </w:tcPr>
          <w:p>
            <w:pPr>
              <w:pStyle w:val="TableParagraph"/>
              <w:spacing w:before="8"/>
              <w:ind w:right="167"/>
              <w:jc w:val="right"/>
              <w:rPr>
                <w:rFonts w:ascii="Times New Roman"/>
                <w:sz w:val="21"/>
              </w:rPr>
            </w:pPr>
            <w:r>
              <w:rPr>
                <w:rFonts w:ascii="Times New Roman"/>
                <w:sz w:val="21"/>
              </w:rPr>
              <w:t>70</w:t>
            </w:r>
          </w:p>
        </w:tc>
        <w:tc>
          <w:tcPr>
            <w:tcW w:w="521" w:type="dxa"/>
          </w:tcPr>
          <w:p>
            <w:pPr>
              <w:pStyle w:val="TableParagraph"/>
              <w:spacing w:before="8"/>
              <w:ind w:right="168"/>
              <w:jc w:val="right"/>
              <w:rPr>
                <w:rFonts w:ascii="Times New Roman"/>
                <w:sz w:val="21"/>
              </w:rPr>
            </w:pPr>
            <w:r>
              <w:rPr>
                <w:rFonts w:ascii="Times New Roman"/>
                <w:sz w:val="21"/>
              </w:rPr>
              <w:t>64</w:t>
            </w:r>
          </w:p>
        </w:tc>
        <w:tc>
          <w:tcPr>
            <w:tcW w:w="519" w:type="dxa"/>
          </w:tcPr>
          <w:p>
            <w:pPr>
              <w:pStyle w:val="TableParagraph"/>
              <w:spacing w:before="8"/>
              <w:ind w:left="165"/>
              <w:jc w:val="left"/>
              <w:rPr>
                <w:rFonts w:ascii="Times New Roman"/>
                <w:sz w:val="21"/>
              </w:rPr>
            </w:pPr>
            <w:r>
              <w:rPr>
                <w:rFonts w:ascii="Times New Roman"/>
                <w:sz w:val="21"/>
              </w:rPr>
              <w:t>61</w:t>
            </w:r>
          </w:p>
        </w:tc>
        <w:tc>
          <w:tcPr>
            <w:tcW w:w="518" w:type="dxa"/>
          </w:tcPr>
          <w:p>
            <w:pPr>
              <w:pStyle w:val="TableParagraph"/>
              <w:spacing w:before="8"/>
              <w:rPr>
                <w:rFonts w:ascii="Times New Roman"/>
                <w:sz w:val="21"/>
              </w:rPr>
            </w:pPr>
            <w:r>
              <w:rPr>
                <w:rFonts w:ascii="Times New Roman"/>
                <w:sz w:val="21"/>
              </w:rPr>
              <w:t>58</w:t>
            </w:r>
          </w:p>
        </w:tc>
        <w:tc>
          <w:tcPr>
            <w:tcW w:w="518" w:type="dxa"/>
          </w:tcPr>
          <w:p>
            <w:pPr>
              <w:pStyle w:val="TableParagraph"/>
              <w:spacing w:before="8"/>
              <w:rPr>
                <w:rFonts w:ascii="Times New Roman"/>
                <w:sz w:val="21"/>
              </w:rPr>
            </w:pPr>
            <w:r>
              <w:rPr>
                <w:rFonts w:ascii="Times New Roman"/>
                <w:sz w:val="21"/>
              </w:rPr>
              <w:t>56</w:t>
            </w:r>
          </w:p>
        </w:tc>
        <w:tc>
          <w:tcPr>
            <w:tcW w:w="521" w:type="dxa"/>
          </w:tcPr>
          <w:p>
            <w:pPr>
              <w:pStyle w:val="TableParagraph"/>
              <w:spacing w:before="8"/>
              <w:ind w:left="170"/>
              <w:jc w:val="left"/>
              <w:rPr>
                <w:rFonts w:ascii="Times New Roman"/>
                <w:sz w:val="21"/>
              </w:rPr>
            </w:pPr>
            <w:r>
              <w:rPr>
                <w:rFonts w:ascii="Times New Roman"/>
                <w:sz w:val="21"/>
              </w:rPr>
              <w:t>55</w:t>
            </w:r>
          </w:p>
        </w:tc>
        <w:tc>
          <w:tcPr>
            <w:tcW w:w="518" w:type="dxa"/>
          </w:tcPr>
          <w:p>
            <w:pPr>
              <w:pStyle w:val="TableParagraph"/>
              <w:spacing w:before="8"/>
              <w:rPr>
                <w:rFonts w:ascii="Times New Roman"/>
                <w:sz w:val="21"/>
              </w:rPr>
            </w:pPr>
            <w:r>
              <w:rPr>
                <w:rFonts w:ascii="Times New Roman"/>
                <w:sz w:val="21"/>
              </w:rPr>
              <w:t>54</w:t>
            </w:r>
          </w:p>
        </w:tc>
        <w:tc>
          <w:tcPr>
            <w:tcW w:w="521" w:type="dxa"/>
          </w:tcPr>
          <w:p>
            <w:pPr>
              <w:pStyle w:val="TableParagraph"/>
              <w:spacing w:before="8"/>
              <w:ind w:left="10" w:right="11"/>
              <w:rPr>
                <w:rFonts w:ascii="Times New Roman"/>
                <w:sz w:val="21"/>
              </w:rPr>
            </w:pPr>
            <w:r>
              <w:rPr>
                <w:rFonts w:ascii="Times New Roman"/>
                <w:sz w:val="21"/>
              </w:rPr>
              <w:t>52</w:t>
            </w:r>
          </w:p>
        </w:tc>
        <w:tc>
          <w:tcPr>
            <w:tcW w:w="518" w:type="dxa"/>
          </w:tcPr>
          <w:p>
            <w:pPr>
              <w:pStyle w:val="TableParagraph"/>
              <w:spacing w:before="8"/>
              <w:ind w:left="13" w:right="15"/>
              <w:rPr>
                <w:rFonts w:ascii="Times New Roman"/>
                <w:sz w:val="21"/>
              </w:rPr>
            </w:pPr>
            <w:r>
              <w:rPr>
                <w:rFonts w:ascii="Times New Roman"/>
                <w:sz w:val="21"/>
              </w:rPr>
              <w:t>51</w:t>
            </w:r>
          </w:p>
        </w:tc>
        <w:tc>
          <w:tcPr>
            <w:tcW w:w="643" w:type="dxa"/>
          </w:tcPr>
          <w:p>
            <w:pPr>
              <w:pStyle w:val="TableParagraph"/>
              <w:spacing w:before="8"/>
              <w:ind w:left="12" w:right="115"/>
              <w:rPr>
                <w:rFonts w:ascii="Times New Roman"/>
                <w:sz w:val="21"/>
              </w:rPr>
            </w:pPr>
            <w:r>
              <w:rPr>
                <w:rFonts w:ascii="Times New Roman"/>
                <w:sz w:val="21"/>
              </w:rPr>
              <w:t>50</w:t>
            </w:r>
          </w:p>
        </w:tc>
      </w:tr>
      <w:tr>
        <w:trPr>
          <w:trHeight w:val="557" w:hRule="exact"/>
        </w:trPr>
        <w:tc>
          <w:tcPr>
            <w:tcW w:w="1279" w:type="dxa"/>
          </w:tcPr>
          <w:p>
            <w:pPr>
              <w:pStyle w:val="TableParagraph"/>
              <w:spacing w:line="241" w:lineRule="exact"/>
              <w:ind w:left="268"/>
              <w:jc w:val="left"/>
              <w:rPr>
                <w:sz w:val="21"/>
              </w:rPr>
            </w:pPr>
            <w:r>
              <w:rPr>
                <w:sz w:val="21"/>
              </w:rPr>
              <w:t>轮胎式液</w:t>
            </w:r>
          </w:p>
          <w:p>
            <w:pPr>
              <w:pStyle w:val="TableParagraph"/>
              <w:spacing w:line="273" w:lineRule="exact"/>
              <w:ind w:left="268"/>
              <w:jc w:val="left"/>
              <w:rPr>
                <w:sz w:val="21"/>
              </w:rPr>
            </w:pPr>
            <w:r>
              <w:rPr>
                <w:sz w:val="21"/>
              </w:rPr>
              <w:t>压挖掘机</w:t>
            </w:r>
          </w:p>
        </w:tc>
        <w:tc>
          <w:tcPr>
            <w:tcW w:w="1162" w:type="dxa"/>
          </w:tcPr>
          <w:p>
            <w:pPr>
              <w:pStyle w:val="TableParagraph"/>
              <w:spacing w:line="228" w:lineRule="exact" w:before="10"/>
              <w:ind w:left="105" w:right="106"/>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left="2"/>
              <w:rPr>
                <w:rFonts w:ascii="Times New Roman"/>
                <w:sz w:val="21"/>
              </w:rPr>
            </w:pPr>
            <w:r>
              <w:rPr>
                <w:rFonts w:ascii="Times New Roman"/>
                <w:sz w:val="21"/>
              </w:rPr>
              <w:t>78</w:t>
            </w:r>
          </w:p>
        </w:tc>
        <w:tc>
          <w:tcPr>
            <w:tcW w:w="386" w:type="dxa"/>
          </w:tcPr>
          <w:p>
            <w:pPr>
              <w:pStyle w:val="TableParagraph"/>
              <w:spacing w:before="147"/>
              <w:ind w:left="2"/>
              <w:rPr>
                <w:rFonts w:ascii="Times New Roman"/>
                <w:sz w:val="21"/>
              </w:rPr>
            </w:pPr>
            <w:r>
              <w:rPr>
                <w:rFonts w:ascii="Times New Roman"/>
                <w:sz w:val="21"/>
              </w:rPr>
              <w:t>72</w:t>
            </w:r>
          </w:p>
        </w:tc>
        <w:tc>
          <w:tcPr>
            <w:tcW w:w="518" w:type="dxa"/>
          </w:tcPr>
          <w:p>
            <w:pPr>
              <w:pStyle w:val="TableParagraph"/>
              <w:spacing w:before="147"/>
              <w:ind w:right="167"/>
              <w:jc w:val="right"/>
              <w:rPr>
                <w:rFonts w:ascii="Times New Roman"/>
                <w:sz w:val="21"/>
              </w:rPr>
            </w:pPr>
            <w:r>
              <w:rPr>
                <w:rFonts w:ascii="Times New Roman"/>
                <w:sz w:val="21"/>
              </w:rPr>
              <w:t>68</w:t>
            </w:r>
          </w:p>
        </w:tc>
        <w:tc>
          <w:tcPr>
            <w:tcW w:w="521" w:type="dxa"/>
          </w:tcPr>
          <w:p>
            <w:pPr>
              <w:pStyle w:val="TableParagraph"/>
              <w:spacing w:before="147"/>
              <w:ind w:right="168"/>
              <w:jc w:val="right"/>
              <w:rPr>
                <w:rFonts w:ascii="Times New Roman"/>
                <w:sz w:val="21"/>
              </w:rPr>
            </w:pPr>
            <w:r>
              <w:rPr>
                <w:rFonts w:ascii="Times New Roman"/>
                <w:sz w:val="21"/>
              </w:rPr>
              <w:t>62</w:t>
            </w:r>
          </w:p>
        </w:tc>
        <w:tc>
          <w:tcPr>
            <w:tcW w:w="519" w:type="dxa"/>
          </w:tcPr>
          <w:p>
            <w:pPr>
              <w:pStyle w:val="TableParagraph"/>
              <w:spacing w:before="147"/>
              <w:ind w:left="165"/>
              <w:jc w:val="left"/>
              <w:rPr>
                <w:rFonts w:ascii="Times New Roman"/>
                <w:sz w:val="21"/>
              </w:rPr>
            </w:pPr>
            <w:r>
              <w:rPr>
                <w:rFonts w:ascii="Times New Roman"/>
                <w:sz w:val="21"/>
              </w:rPr>
              <w:t>59</w:t>
            </w:r>
          </w:p>
        </w:tc>
        <w:tc>
          <w:tcPr>
            <w:tcW w:w="518" w:type="dxa"/>
          </w:tcPr>
          <w:p>
            <w:pPr>
              <w:pStyle w:val="TableParagraph"/>
              <w:spacing w:before="147"/>
              <w:rPr>
                <w:rFonts w:ascii="Times New Roman"/>
                <w:sz w:val="21"/>
              </w:rPr>
            </w:pPr>
            <w:r>
              <w:rPr>
                <w:rFonts w:ascii="Times New Roman"/>
                <w:sz w:val="21"/>
              </w:rPr>
              <w:t>56</w:t>
            </w:r>
          </w:p>
        </w:tc>
        <w:tc>
          <w:tcPr>
            <w:tcW w:w="518" w:type="dxa"/>
          </w:tcPr>
          <w:p>
            <w:pPr>
              <w:pStyle w:val="TableParagraph"/>
              <w:spacing w:before="147"/>
              <w:rPr>
                <w:rFonts w:ascii="Times New Roman"/>
                <w:sz w:val="21"/>
              </w:rPr>
            </w:pPr>
            <w:r>
              <w:rPr>
                <w:rFonts w:ascii="Times New Roman"/>
                <w:sz w:val="21"/>
              </w:rPr>
              <w:t>54</w:t>
            </w:r>
          </w:p>
        </w:tc>
        <w:tc>
          <w:tcPr>
            <w:tcW w:w="521" w:type="dxa"/>
          </w:tcPr>
          <w:p>
            <w:pPr>
              <w:pStyle w:val="TableParagraph"/>
              <w:spacing w:before="147"/>
              <w:ind w:left="170"/>
              <w:jc w:val="left"/>
              <w:rPr>
                <w:rFonts w:ascii="Times New Roman"/>
                <w:sz w:val="21"/>
              </w:rPr>
            </w:pPr>
            <w:r>
              <w:rPr>
                <w:rFonts w:ascii="Times New Roman"/>
                <w:sz w:val="21"/>
              </w:rPr>
              <w:t>53</w:t>
            </w:r>
          </w:p>
        </w:tc>
        <w:tc>
          <w:tcPr>
            <w:tcW w:w="518" w:type="dxa"/>
          </w:tcPr>
          <w:p>
            <w:pPr>
              <w:pStyle w:val="TableParagraph"/>
              <w:spacing w:before="147"/>
              <w:rPr>
                <w:rFonts w:ascii="Times New Roman"/>
                <w:sz w:val="21"/>
              </w:rPr>
            </w:pPr>
            <w:r>
              <w:rPr>
                <w:rFonts w:ascii="Times New Roman"/>
                <w:sz w:val="21"/>
              </w:rPr>
              <w:t>52</w:t>
            </w:r>
          </w:p>
        </w:tc>
        <w:tc>
          <w:tcPr>
            <w:tcW w:w="521" w:type="dxa"/>
          </w:tcPr>
          <w:p>
            <w:pPr>
              <w:pStyle w:val="TableParagraph"/>
              <w:spacing w:before="147"/>
              <w:ind w:left="10" w:right="11"/>
              <w:rPr>
                <w:rFonts w:ascii="Times New Roman"/>
                <w:sz w:val="21"/>
              </w:rPr>
            </w:pPr>
            <w:r>
              <w:rPr>
                <w:rFonts w:ascii="Times New Roman"/>
                <w:sz w:val="21"/>
              </w:rPr>
              <w:t>50</w:t>
            </w:r>
          </w:p>
        </w:tc>
        <w:tc>
          <w:tcPr>
            <w:tcW w:w="518" w:type="dxa"/>
          </w:tcPr>
          <w:p>
            <w:pPr>
              <w:pStyle w:val="TableParagraph"/>
              <w:spacing w:before="147"/>
              <w:ind w:left="13" w:right="15"/>
              <w:rPr>
                <w:rFonts w:ascii="Times New Roman"/>
                <w:sz w:val="21"/>
              </w:rPr>
            </w:pPr>
            <w:r>
              <w:rPr>
                <w:rFonts w:ascii="Times New Roman"/>
                <w:sz w:val="21"/>
              </w:rPr>
              <w:t>49</w:t>
            </w:r>
          </w:p>
        </w:tc>
        <w:tc>
          <w:tcPr>
            <w:tcW w:w="643" w:type="dxa"/>
          </w:tcPr>
          <w:p>
            <w:pPr>
              <w:pStyle w:val="TableParagraph"/>
              <w:spacing w:before="147"/>
              <w:ind w:left="12" w:right="115"/>
              <w:rPr>
                <w:rFonts w:ascii="Times New Roman"/>
                <w:sz w:val="21"/>
              </w:rPr>
            </w:pPr>
            <w:r>
              <w:rPr>
                <w:rFonts w:ascii="Times New Roman"/>
                <w:sz w:val="21"/>
              </w:rPr>
              <w:t>48</w:t>
            </w:r>
          </w:p>
        </w:tc>
      </w:tr>
      <w:tr>
        <w:trPr>
          <w:trHeight w:val="554" w:hRule="exact"/>
        </w:trPr>
        <w:tc>
          <w:tcPr>
            <w:tcW w:w="1279" w:type="dxa"/>
          </w:tcPr>
          <w:p>
            <w:pPr>
              <w:pStyle w:val="TableParagraph"/>
              <w:spacing w:line="239" w:lineRule="exact"/>
              <w:ind w:left="147" w:right="32"/>
              <w:rPr>
                <w:sz w:val="21"/>
              </w:rPr>
            </w:pPr>
            <w:r>
              <w:rPr>
                <w:sz w:val="21"/>
              </w:rPr>
              <w:t>冲击式钻井</w:t>
            </w:r>
          </w:p>
          <w:p>
            <w:pPr>
              <w:pStyle w:val="TableParagraph"/>
              <w:spacing w:line="273" w:lineRule="exact"/>
              <w:ind w:left="213"/>
              <w:rPr>
                <w:sz w:val="21"/>
              </w:rPr>
            </w:pPr>
            <w:r>
              <w:rPr>
                <w:w w:val="100"/>
                <w:sz w:val="21"/>
              </w:rPr>
              <w:t>机</w:t>
            </w:r>
          </w:p>
        </w:tc>
        <w:tc>
          <w:tcPr>
            <w:tcW w:w="1162" w:type="dxa"/>
          </w:tcPr>
          <w:p>
            <w:pPr>
              <w:pStyle w:val="TableParagraph"/>
              <w:spacing w:before="100"/>
              <w:ind w:left="105" w:right="105"/>
              <w:rPr>
                <w:sz w:val="21"/>
              </w:rPr>
            </w:pPr>
            <w:r>
              <w:rPr>
                <w:rFonts w:ascii="Times New Roman" w:eastAsia="Times New Roman"/>
                <w:sz w:val="21"/>
              </w:rPr>
              <w:t>22 </w:t>
            </w:r>
            <w:r>
              <w:rPr>
                <w:sz w:val="21"/>
              </w:rPr>
              <w:t>型</w:t>
            </w:r>
          </w:p>
        </w:tc>
        <w:tc>
          <w:tcPr>
            <w:tcW w:w="386" w:type="dxa"/>
          </w:tcPr>
          <w:p>
            <w:pPr>
              <w:pStyle w:val="TableParagraph"/>
              <w:spacing w:before="144"/>
              <w:ind w:left="2"/>
              <w:rPr>
                <w:rFonts w:ascii="Times New Roman"/>
                <w:sz w:val="21"/>
              </w:rPr>
            </w:pPr>
            <w:r>
              <w:rPr>
                <w:rFonts w:ascii="Times New Roman"/>
                <w:sz w:val="21"/>
              </w:rPr>
              <w:t>81</w:t>
            </w:r>
          </w:p>
        </w:tc>
        <w:tc>
          <w:tcPr>
            <w:tcW w:w="386" w:type="dxa"/>
          </w:tcPr>
          <w:p>
            <w:pPr>
              <w:pStyle w:val="TableParagraph"/>
              <w:spacing w:before="144"/>
              <w:ind w:left="2"/>
              <w:rPr>
                <w:rFonts w:ascii="Times New Roman"/>
                <w:sz w:val="21"/>
              </w:rPr>
            </w:pPr>
            <w:r>
              <w:rPr>
                <w:rFonts w:ascii="Times New Roman"/>
                <w:sz w:val="21"/>
              </w:rPr>
              <w:t>75</w:t>
            </w:r>
          </w:p>
        </w:tc>
        <w:tc>
          <w:tcPr>
            <w:tcW w:w="518" w:type="dxa"/>
          </w:tcPr>
          <w:p>
            <w:pPr>
              <w:pStyle w:val="TableParagraph"/>
              <w:spacing w:before="144"/>
              <w:ind w:right="167"/>
              <w:jc w:val="right"/>
              <w:rPr>
                <w:rFonts w:ascii="Times New Roman"/>
                <w:sz w:val="21"/>
              </w:rPr>
            </w:pPr>
            <w:r>
              <w:rPr>
                <w:rFonts w:ascii="Times New Roman"/>
                <w:sz w:val="21"/>
              </w:rPr>
              <w:t>71</w:t>
            </w:r>
          </w:p>
        </w:tc>
        <w:tc>
          <w:tcPr>
            <w:tcW w:w="521" w:type="dxa"/>
          </w:tcPr>
          <w:p>
            <w:pPr>
              <w:pStyle w:val="TableParagraph"/>
              <w:spacing w:before="144"/>
              <w:ind w:right="168"/>
              <w:jc w:val="right"/>
              <w:rPr>
                <w:rFonts w:ascii="Times New Roman"/>
                <w:sz w:val="21"/>
              </w:rPr>
            </w:pPr>
            <w:r>
              <w:rPr>
                <w:rFonts w:ascii="Times New Roman"/>
                <w:sz w:val="21"/>
              </w:rPr>
              <w:t>65</w:t>
            </w:r>
          </w:p>
        </w:tc>
        <w:tc>
          <w:tcPr>
            <w:tcW w:w="519" w:type="dxa"/>
          </w:tcPr>
          <w:p>
            <w:pPr>
              <w:pStyle w:val="TableParagraph"/>
              <w:spacing w:before="144"/>
              <w:ind w:left="165"/>
              <w:jc w:val="left"/>
              <w:rPr>
                <w:rFonts w:ascii="Times New Roman"/>
                <w:sz w:val="21"/>
              </w:rPr>
            </w:pPr>
            <w:r>
              <w:rPr>
                <w:rFonts w:ascii="Times New Roman"/>
                <w:sz w:val="21"/>
              </w:rPr>
              <w:t>62</w:t>
            </w:r>
          </w:p>
        </w:tc>
        <w:tc>
          <w:tcPr>
            <w:tcW w:w="518" w:type="dxa"/>
          </w:tcPr>
          <w:p>
            <w:pPr>
              <w:pStyle w:val="TableParagraph"/>
              <w:spacing w:before="144"/>
              <w:rPr>
                <w:rFonts w:ascii="Times New Roman"/>
                <w:sz w:val="21"/>
              </w:rPr>
            </w:pPr>
            <w:r>
              <w:rPr>
                <w:rFonts w:ascii="Times New Roman"/>
                <w:sz w:val="21"/>
              </w:rPr>
              <w:t>59</w:t>
            </w:r>
          </w:p>
        </w:tc>
        <w:tc>
          <w:tcPr>
            <w:tcW w:w="518" w:type="dxa"/>
          </w:tcPr>
          <w:p>
            <w:pPr>
              <w:pStyle w:val="TableParagraph"/>
              <w:spacing w:before="144"/>
              <w:rPr>
                <w:rFonts w:ascii="Times New Roman"/>
                <w:sz w:val="21"/>
              </w:rPr>
            </w:pPr>
            <w:r>
              <w:rPr>
                <w:rFonts w:ascii="Times New Roman"/>
                <w:sz w:val="21"/>
              </w:rPr>
              <w:t>57</w:t>
            </w:r>
          </w:p>
        </w:tc>
        <w:tc>
          <w:tcPr>
            <w:tcW w:w="521" w:type="dxa"/>
          </w:tcPr>
          <w:p>
            <w:pPr>
              <w:pStyle w:val="TableParagraph"/>
              <w:spacing w:before="144"/>
              <w:ind w:left="170"/>
              <w:jc w:val="left"/>
              <w:rPr>
                <w:rFonts w:ascii="Times New Roman"/>
                <w:sz w:val="21"/>
              </w:rPr>
            </w:pPr>
            <w:r>
              <w:rPr>
                <w:rFonts w:ascii="Times New Roman"/>
                <w:sz w:val="21"/>
              </w:rPr>
              <w:t>56</w:t>
            </w:r>
          </w:p>
        </w:tc>
        <w:tc>
          <w:tcPr>
            <w:tcW w:w="518" w:type="dxa"/>
          </w:tcPr>
          <w:p>
            <w:pPr>
              <w:pStyle w:val="TableParagraph"/>
              <w:spacing w:before="144"/>
              <w:rPr>
                <w:rFonts w:ascii="Times New Roman"/>
                <w:sz w:val="21"/>
              </w:rPr>
            </w:pPr>
            <w:r>
              <w:rPr>
                <w:rFonts w:ascii="Times New Roman"/>
                <w:sz w:val="21"/>
              </w:rPr>
              <w:t>55</w:t>
            </w:r>
          </w:p>
        </w:tc>
        <w:tc>
          <w:tcPr>
            <w:tcW w:w="521" w:type="dxa"/>
          </w:tcPr>
          <w:p>
            <w:pPr>
              <w:pStyle w:val="TableParagraph"/>
              <w:spacing w:before="144"/>
              <w:ind w:left="10" w:right="11"/>
              <w:rPr>
                <w:rFonts w:ascii="Times New Roman"/>
                <w:sz w:val="21"/>
              </w:rPr>
            </w:pPr>
            <w:r>
              <w:rPr>
                <w:rFonts w:ascii="Times New Roman"/>
                <w:sz w:val="21"/>
              </w:rPr>
              <w:t>53</w:t>
            </w:r>
          </w:p>
        </w:tc>
        <w:tc>
          <w:tcPr>
            <w:tcW w:w="518" w:type="dxa"/>
          </w:tcPr>
          <w:p>
            <w:pPr>
              <w:pStyle w:val="TableParagraph"/>
              <w:spacing w:before="144"/>
              <w:ind w:left="13" w:right="15"/>
              <w:rPr>
                <w:rFonts w:ascii="Times New Roman"/>
                <w:sz w:val="21"/>
              </w:rPr>
            </w:pPr>
            <w:r>
              <w:rPr>
                <w:rFonts w:ascii="Times New Roman"/>
                <w:sz w:val="21"/>
              </w:rPr>
              <w:t>52</w:t>
            </w:r>
          </w:p>
        </w:tc>
        <w:tc>
          <w:tcPr>
            <w:tcW w:w="643" w:type="dxa"/>
          </w:tcPr>
          <w:p>
            <w:pPr>
              <w:pStyle w:val="TableParagraph"/>
              <w:spacing w:before="144"/>
              <w:ind w:left="12" w:right="115"/>
              <w:rPr>
                <w:rFonts w:ascii="Times New Roman"/>
                <w:sz w:val="21"/>
              </w:rPr>
            </w:pPr>
            <w:r>
              <w:rPr>
                <w:rFonts w:ascii="Times New Roman"/>
                <w:sz w:val="21"/>
              </w:rPr>
              <w:t>51</w:t>
            </w:r>
          </w:p>
        </w:tc>
      </w:tr>
      <w:tr>
        <w:trPr>
          <w:trHeight w:val="492" w:hRule="exact"/>
        </w:trPr>
        <w:tc>
          <w:tcPr>
            <w:tcW w:w="1279" w:type="dxa"/>
          </w:tcPr>
          <w:p>
            <w:pPr>
              <w:pStyle w:val="TableParagraph"/>
              <w:spacing w:before="71"/>
              <w:ind w:right="263"/>
              <w:jc w:val="right"/>
              <w:rPr>
                <w:sz w:val="21"/>
              </w:rPr>
            </w:pPr>
            <w:r>
              <w:rPr>
                <w:sz w:val="21"/>
              </w:rPr>
              <w:t>摊铺机</w:t>
            </w:r>
          </w:p>
        </w:tc>
        <w:tc>
          <w:tcPr>
            <w:tcW w:w="1162" w:type="dxa"/>
          </w:tcPr>
          <w:p>
            <w:pPr>
              <w:pStyle w:val="TableParagraph"/>
              <w:spacing w:line="237" w:lineRule="auto"/>
              <w:ind w:left="208" w:right="121" w:hanging="72"/>
              <w:jc w:val="left"/>
              <w:rPr>
                <w:rFonts w:ascii="Times New Roman"/>
                <w:sz w:val="21"/>
              </w:rPr>
            </w:pPr>
            <w:r>
              <w:rPr>
                <w:rFonts w:ascii="Times New Roman"/>
                <w:sz w:val="21"/>
              </w:rPr>
              <w:t>Fifond311 ABGCO</w:t>
            </w:r>
          </w:p>
        </w:tc>
        <w:tc>
          <w:tcPr>
            <w:tcW w:w="386" w:type="dxa"/>
          </w:tcPr>
          <w:p>
            <w:pPr>
              <w:pStyle w:val="TableParagraph"/>
              <w:spacing w:before="113"/>
              <w:ind w:left="2"/>
              <w:rPr>
                <w:rFonts w:ascii="Times New Roman"/>
                <w:sz w:val="21"/>
              </w:rPr>
            </w:pPr>
            <w:r>
              <w:rPr>
                <w:rFonts w:ascii="Times New Roman"/>
                <w:sz w:val="21"/>
              </w:rPr>
              <w:t>76</w:t>
            </w:r>
          </w:p>
        </w:tc>
        <w:tc>
          <w:tcPr>
            <w:tcW w:w="386" w:type="dxa"/>
          </w:tcPr>
          <w:p>
            <w:pPr>
              <w:pStyle w:val="TableParagraph"/>
              <w:spacing w:before="113"/>
              <w:ind w:left="2"/>
              <w:rPr>
                <w:rFonts w:ascii="Times New Roman"/>
                <w:sz w:val="21"/>
              </w:rPr>
            </w:pPr>
            <w:r>
              <w:rPr>
                <w:rFonts w:ascii="Times New Roman"/>
                <w:sz w:val="21"/>
              </w:rPr>
              <w:t>70</w:t>
            </w:r>
          </w:p>
        </w:tc>
        <w:tc>
          <w:tcPr>
            <w:tcW w:w="518" w:type="dxa"/>
          </w:tcPr>
          <w:p>
            <w:pPr>
              <w:pStyle w:val="TableParagraph"/>
              <w:spacing w:before="113"/>
              <w:ind w:right="167"/>
              <w:jc w:val="right"/>
              <w:rPr>
                <w:rFonts w:ascii="Times New Roman"/>
                <w:sz w:val="21"/>
              </w:rPr>
            </w:pPr>
            <w:r>
              <w:rPr>
                <w:rFonts w:ascii="Times New Roman"/>
                <w:sz w:val="21"/>
              </w:rPr>
              <w:t>66</w:t>
            </w:r>
          </w:p>
        </w:tc>
        <w:tc>
          <w:tcPr>
            <w:tcW w:w="521" w:type="dxa"/>
          </w:tcPr>
          <w:p>
            <w:pPr>
              <w:pStyle w:val="TableParagraph"/>
              <w:spacing w:before="113"/>
              <w:ind w:right="168"/>
              <w:jc w:val="right"/>
              <w:rPr>
                <w:rFonts w:ascii="Times New Roman"/>
                <w:sz w:val="21"/>
              </w:rPr>
            </w:pPr>
            <w:r>
              <w:rPr>
                <w:rFonts w:ascii="Times New Roman"/>
                <w:sz w:val="21"/>
              </w:rPr>
              <w:t>60</w:t>
            </w:r>
          </w:p>
        </w:tc>
        <w:tc>
          <w:tcPr>
            <w:tcW w:w="519" w:type="dxa"/>
          </w:tcPr>
          <w:p>
            <w:pPr>
              <w:pStyle w:val="TableParagraph"/>
              <w:spacing w:before="113"/>
              <w:ind w:left="165"/>
              <w:jc w:val="left"/>
              <w:rPr>
                <w:rFonts w:ascii="Times New Roman"/>
                <w:sz w:val="21"/>
              </w:rPr>
            </w:pPr>
            <w:r>
              <w:rPr>
                <w:rFonts w:ascii="Times New Roman"/>
                <w:sz w:val="21"/>
              </w:rPr>
              <w:t>57</w:t>
            </w:r>
          </w:p>
        </w:tc>
        <w:tc>
          <w:tcPr>
            <w:tcW w:w="518" w:type="dxa"/>
          </w:tcPr>
          <w:p>
            <w:pPr>
              <w:pStyle w:val="TableParagraph"/>
              <w:spacing w:before="113"/>
              <w:rPr>
                <w:rFonts w:ascii="Times New Roman"/>
                <w:sz w:val="21"/>
              </w:rPr>
            </w:pPr>
            <w:r>
              <w:rPr>
                <w:rFonts w:ascii="Times New Roman"/>
                <w:sz w:val="21"/>
              </w:rPr>
              <w:t>54</w:t>
            </w:r>
          </w:p>
        </w:tc>
        <w:tc>
          <w:tcPr>
            <w:tcW w:w="518" w:type="dxa"/>
          </w:tcPr>
          <w:p>
            <w:pPr>
              <w:pStyle w:val="TableParagraph"/>
              <w:spacing w:before="113"/>
              <w:rPr>
                <w:rFonts w:ascii="Times New Roman"/>
                <w:sz w:val="21"/>
              </w:rPr>
            </w:pPr>
            <w:r>
              <w:rPr>
                <w:rFonts w:ascii="Times New Roman"/>
                <w:sz w:val="21"/>
              </w:rPr>
              <w:t>52</w:t>
            </w:r>
          </w:p>
        </w:tc>
        <w:tc>
          <w:tcPr>
            <w:tcW w:w="521" w:type="dxa"/>
          </w:tcPr>
          <w:p>
            <w:pPr>
              <w:pStyle w:val="TableParagraph"/>
              <w:spacing w:before="113"/>
              <w:ind w:left="170"/>
              <w:jc w:val="left"/>
              <w:rPr>
                <w:rFonts w:ascii="Times New Roman"/>
                <w:sz w:val="21"/>
              </w:rPr>
            </w:pPr>
            <w:r>
              <w:rPr>
                <w:rFonts w:ascii="Times New Roman"/>
                <w:sz w:val="21"/>
              </w:rPr>
              <w:t>51</w:t>
            </w:r>
          </w:p>
        </w:tc>
        <w:tc>
          <w:tcPr>
            <w:tcW w:w="518" w:type="dxa"/>
          </w:tcPr>
          <w:p>
            <w:pPr>
              <w:pStyle w:val="TableParagraph"/>
              <w:spacing w:before="113"/>
              <w:rPr>
                <w:rFonts w:ascii="Times New Roman"/>
                <w:sz w:val="21"/>
              </w:rPr>
            </w:pPr>
            <w:r>
              <w:rPr>
                <w:rFonts w:ascii="Times New Roman"/>
                <w:sz w:val="21"/>
              </w:rPr>
              <w:t>50</w:t>
            </w:r>
          </w:p>
        </w:tc>
        <w:tc>
          <w:tcPr>
            <w:tcW w:w="521" w:type="dxa"/>
          </w:tcPr>
          <w:p>
            <w:pPr>
              <w:pStyle w:val="TableParagraph"/>
              <w:spacing w:before="113"/>
              <w:ind w:left="10" w:right="11"/>
              <w:rPr>
                <w:rFonts w:ascii="Times New Roman"/>
                <w:sz w:val="21"/>
              </w:rPr>
            </w:pPr>
            <w:r>
              <w:rPr>
                <w:rFonts w:ascii="Times New Roman"/>
                <w:sz w:val="21"/>
              </w:rPr>
              <w:t>48</w:t>
            </w:r>
          </w:p>
        </w:tc>
        <w:tc>
          <w:tcPr>
            <w:tcW w:w="518" w:type="dxa"/>
          </w:tcPr>
          <w:p>
            <w:pPr>
              <w:pStyle w:val="TableParagraph"/>
              <w:spacing w:before="113"/>
              <w:ind w:left="13" w:right="15"/>
              <w:rPr>
                <w:rFonts w:ascii="Times New Roman"/>
                <w:sz w:val="21"/>
              </w:rPr>
            </w:pPr>
            <w:r>
              <w:rPr>
                <w:rFonts w:ascii="Times New Roman"/>
                <w:sz w:val="21"/>
              </w:rPr>
              <w:t>47</w:t>
            </w:r>
          </w:p>
        </w:tc>
        <w:tc>
          <w:tcPr>
            <w:tcW w:w="643" w:type="dxa"/>
          </w:tcPr>
          <w:p>
            <w:pPr>
              <w:pStyle w:val="TableParagraph"/>
              <w:spacing w:before="113"/>
              <w:ind w:left="12" w:right="115"/>
              <w:rPr>
                <w:rFonts w:ascii="Times New Roman"/>
                <w:sz w:val="21"/>
              </w:rPr>
            </w:pPr>
            <w:r>
              <w:rPr>
                <w:rFonts w:ascii="Times New Roman"/>
                <w:sz w:val="21"/>
              </w:rPr>
              <w:t>46</w:t>
            </w:r>
          </w:p>
        </w:tc>
      </w:tr>
      <w:tr>
        <w:trPr>
          <w:trHeight w:val="283" w:hRule="exact"/>
        </w:trPr>
        <w:tc>
          <w:tcPr>
            <w:tcW w:w="1279" w:type="dxa"/>
          </w:tcPr>
          <w:p>
            <w:pPr>
              <w:pStyle w:val="TableParagraph"/>
              <w:spacing w:line="241" w:lineRule="exact"/>
              <w:ind w:right="263"/>
              <w:jc w:val="right"/>
              <w:rPr>
                <w:sz w:val="21"/>
              </w:rPr>
            </w:pPr>
            <w:r>
              <w:rPr>
                <w:sz w:val="21"/>
              </w:rPr>
              <w:t>摊铺机</w:t>
            </w:r>
          </w:p>
        </w:tc>
        <w:tc>
          <w:tcPr>
            <w:tcW w:w="1162" w:type="dxa"/>
          </w:tcPr>
          <w:p>
            <w:pPr>
              <w:pStyle w:val="TableParagraph"/>
              <w:spacing w:before="10"/>
              <w:ind w:left="105" w:right="106"/>
              <w:rPr>
                <w:rFonts w:ascii="Times New Roman"/>
                <w:sz w:val="21"/>
              </w:rPr>
            </w:pPr>
            <w:r>
              <w:rPr>
                <w:rFonts w:ascii="Times New Roman"/>
                <w:sz w:val="21"/>
              </w:rPr>
              <w:t>VOGELE</w:t>
            </w:r>
          </w:p>
        </w:tc>
        <w:tc>
          <w:tcPr>
            <w:tcW w:w="386" w:type="dxa"/>
          </w:tcPr>
          <w:p>
            <w:pPr>
              <w:pStyle w:val="TableParagraph"/>
              <w:spacing w:before="10"/>
              <w:ind w:left="2"/>
              <w:rPr>
                <w:rFonts w:ascii="Times New Roman"/>
                <w:sz w:val="21"/>
              </w:rPr>
            </w:pPr>
            <w:r>
              <w:rPr>
                <w:rFonts w:ascii="Times New Roman"/>
                <w:sz w:val="21"/>
              </w:rPr>
              <w:t>81</w:t>
            </w:r>
          </w:p>
        </w:tc>
        <w:tc>
          <w:tcPr>
            <w:tcW w:w="386" w:type="dxa"/>
          </w:tcPr>
          <w:p>
            <w:pPr>
              <w:pStyle w:val="TableParagraph"/>
              <w:spacing w:before="10"/>
              <w:ind w:left="2"/>
              <w:rPr>
                <w:rFonts w:ascii="Times New Roman"/>
                <w:sz w:val="21"/>
              </w:rPr>
            </w:pPr>
            <w:r>
              <w:rPr>
                <w:rFonts w:ascii="Times New Roman"/>
                <w:sz w:val="21"/>
              </w:rPr>
              <w:t>75</w:t>
            </w:r>
          </w:p>
        </w:tc>
        <w:tc>
          <w:tcPr>
            <w:tcW w:w="518" w:type="dxa"/>
          </w:tcPr>
          <w:p>
            <w:pPr>
              <w:pStyle w:val="TableParagraph"/>
              <w:spacing w:before="10"/>
              <w:ind w:right="167"/>
              <w:jc w:val="right"/>
              <w:rPr>
                <w:rFonts w:ascii="Times New Roman"/>
                <w:sz w:val="21"/>
              </w:rPr>
            </w:pPr>
            <w:r>
              <w:rPr>
                <w:rFonts w:ascii="Times New Roman"/>
                <w:sz w:val="21"/>
              </w:rPr>
              <w:t>71</w:t>
            </w:r>
          </w:p>
        </w:tc>
        <w:tc>
          <w:tcPr>
            <w:tcW w:w="521" w:type="dxa"/>
          </w:tcPr>
          <w:p>
            <w:pPr>
              <w:pStyle w:val="TableParagraph"/>
              <w:spacing w:before="10"/>
              <w:ind w:right="168"/>
              <w:jc w:val="right"/>
              <w:rPr>
                <w:rFonts w:ascii="Times New Roman"/>
                <w:sz w:val="21"/>
              </w:rPr>
            </w:pPr>
            <w:r>
              <w:rPr>
                <w:rFonts w:ascii="Times New Roman"/>
                <w:sz w:val="21"/>
              </w:rPr>
              <w:t>65</w:t>
            </w:r>
          </w:p>
        </w:tc>
        <w:tc>
          <w:tcPr>
            <w:tcW w:w="519" w:type="dxa"/>
          </w:tcPr>
          <w:p>
            <w:pPr>
              <w:pStyle w:val="TableParagraph"/>
              <w:spacing w:before="10"/>
              <w:ind w:left="165"/>
              <w:jc w:val="left"/>
              <w:rPr>
                <w:rFonts w:ascii="Times New Roman"/>
                <w:sz w:val="21"/>
              </w:rPr>
            </w:pPr>
            <w:r>
              <w:rPr>
                <w:rFonts w:ascii="Times New Roman"/>
                <w:sz w:val="21"/>
              </w:rPr>
              <w:t>62</w:t>
            </w:r>
          </w:p>
        </w:tc>
        <w:tc>
          <w:tcPr>
            <w:tcW w:w="518" w:type="dxa"/>
          </w:tcPr>
          <w:p>
            <w:pPr>
              <w:pStyle w:val="TableParagraph"/>
              <w:spacing w:before="10"/>
              <w:rPr>
                <w:rFonts w:ascii="Times New Roman"/>
                <w:sz w:val="21"/>
              </w:rPr>
            </w:pPr>
            <w:r>
              <w:rPr>
                <w:rFonts w:ascii="Times New Roman"/>
                <w:sz w:val="21"/>
              </w:rPr>
              <w:t>59</w:t>
            </w:r>
          </w:p>
        </w:tc>
        <w:tc>
          <w:tcPr>
            <w:tcW w:w="518" w:type="dxa"/>
          </w:tcPr>
          <w:p>
            <w:pPr>
              <w:pStyle w:val="TableParagraph"/>
              <w:spacing w:before="10"/>
              <w:rPr>
                <w:rFonts w:ascii="Times New Roman"/>
                <w:sz w:val="21"/>
              </w:rPr>
            </w:pPr>
            <w:r>
              <w:rPr>
                <w:rFonts w:ascii="Times New Roman"/>
                <w:sz w:val="21"/>
              </w:rPr>
              <w:t>57</w:t>
            </w:r>
          </w:p>
        </w:tc>
        <w:tc>
          <w:tcPr>
            <w:tcW w:w="521" w:type="dxa"/>
          </w:tcPr>
          <w:p>
            <w:pPr>
              <w:pStyle w:val="TableParagraph"/>
              <w:spacing w:before="10"/>
              <w:ind w:left="170"/>
              <w:jc w:val="left"/>
              <w:rPr>
                <w:rFonts w:ascii="Times New Roman"/>
                <w:sz w:val="21"/>
              </w:rPr>
            </w:pPr>
            <w:r>
              <w:rPr>
                <w:rFonts w:ascii="Times New Roman"/>
                <w:sz w:val="21"/>
              </w:rPr>
              <w:t>56</w:t>
            </w:r>
          </w:p>
        </w:tc>
        <w:tc>
          <w:tcPr>
            <w:tcW w:w="518" w:type="dxa"/>
          </w:tcPr>
          <w:p>
            <w:pPr>
              <w:pStyle w:val="TableParagraph"/>
              <w:spacing w:before="10"/>
              <w:rPr>
                <w:rFonts w:ascii="Times New Roman"/>
                <w:sz w:val="21"/>
              </w:rPr>
            </w:pPr>
            <w:r>
              <w:rPr>
                <w:rFonts w:ascii="Times New Roman"/>
                <w:sz w:val="21"/>
              </w:rPr>
              <w:t>55</w:t>
            </w:r>
          </w:p>
        </w:tc>
        <w:tc>
          <w:tcPr>
            <w:tcW w:w="521" w:type="dxa"/>
          </w:tcPr>
          <w:p>
            <w:pPr>
              <w:pStyle w:val="TableParagraph"/>
              <w:spacing w:before="10"/>
              <w:ind w:left="10" w:right="11"/>
              <w:rPr>
                <w:rFonts w:ascii="Times New Roman"/>
                <w:sz w:val="21"/>
              </w:rPr>
            </w:pPr>
            <w:r>
              <w:rPr>
                <w:rFonts w:ascii="Times New Roman"/>
                <w:sz w:val="21"/>
              </w:rPr>
              <w:t>53</w:t>
            </w:r>
          </w:p>
        </w:tc>
        <w:tc>
          <w:tcPr>
            <w:tcW w:w="518" w:type="dxa"/>
          </w:tcPr>
          <w:p>
            <w:pPr>
              <w:pStyle w:val="TableParagraph"/>
              <w:spacing w:before="10"/>
              <w:ind w:left="13" w:right="15"/>
              <w:rPr>
                <w:rFonts w:ascii="Times New Roman"/>
                <w:sz w:val="21"/>
              </w:rPr>
            </w:pPr>
            <w:r>
              <w:rPr>
                <w:rFonts w:ascii="Times New Roman"/>
                <w:sz w:val="21"/>
              </w:rPr>
              <w:t>52</w:t>
            </w:r>
          </w:p>
        </w:tc>
        <w:tc>
          <w:tcPr>
            <w:tcW w:w="643" w:type="dxa"/>
          </w:tcPr>
          <w:p>
            <w:pPr>
              <w:pStyle w:val="TableParagraph"/>
              <w:spacing w:before="10"/>
              <w:ind w:left="12" w:right="115"/>
              <w:rPr>
                <w:rFonts w:ascii="Times New Roman"/>
                <w:sz w:val="21"/>
              </w:rPr>
            </w:pPr>
            <w:r>
              <w:rPr>
                <w:rFonts w:ascii="Times New Roman"/>
                <w:sz w:val="21"/>
              </w:rPr>
              <w:t>51</w:t>
            </w:r>
          </w:p>
        </w:tc>
      </w:tr>
      <w:tr>
        <w:trPr>
          <w:trHeight w:val="8202"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11"/>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3"/>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36" w:lineRule="auto" w:before="36"/>
              <w:ind w:left="103" w:firstLine="479"/>
              <w:jc w:val="left"/>
              <w:rPr>
                <w:sz w:val="24"/>
              </w:rPr>
            </w:pPr>
            <w:r>
              <w:rPr>
                <w:spacing w:val="-1"/>
                <w:sz w:val="24"/>
              </w:rPr>
              <w:t>由上表可知，本项目施工噪声影响昼间主要出现在距施工场地 </w:t>
            </w:r>
            <w:r>
              <w:rPr>
                <w:rFonts w:ascii="Times New Roman" w:eastAsia="Times New Roman"/>
                <w:sz w:val="24"/>
              </w:rPr>
              <w:t>30m</w:t>
            </w:r>
            <w:r>
              <w:rPr>
                <w:rFonts w:ascii="Times New Roman" w:eastAsia="Times New Roman"/>
                <w:spacing w:val="43"/>
                <w:sz w:val="24"/>
              </w:rPr>
              <w:t> </w:t>
            </w:r>
            <w:r>
              <w:rPr>
                <w:sz w:val="24"/>
              </w:rPr>
              <w:t>为范围</w:t>
            </w:r>
            <w:r>
              <w:rPr>
                <w:spacing w:val="-13"/>
                <w:sz w:val="24"/>
              </w:rPr>
              <w:t>内，夜间将出现在距施工场地 </w:t>
            </w:r>
            <w:r>
              <w:rPr>
                <w:rFonts w:ascii="Times New Roman" w:eastAsia="Times New Roman"/>
                <w:sz w:val="24"/>
              </w:rPr>
              <w:t>300m </w:t>
            </w:r>
            <w:r>
              <w:rPr>
                <w:spacing w:val="-9"/>
                <w:sz w:val="24"/>
              </w:rPr>
              <w:t>的范围内，由于本项目施工区域采取围挡等，</w:t>
            </w:r>
            <w:r>
              <w:rPr>
                <w:spacing w:val="-18"/>
                <w:sz w:val="24"/>
              </w:rPr>
              <w:t>对声波传播路线有遮挡，且日常作业时间不连续。根据其他道路调查、监测分析，</w:t>
            </w:r>
          </w:p>
        </w:tc>
      </w:tr>
    </w:tbl>
    <w:p>
      <w:pPr>
        <w:rPr>
          <w:sz w:val="2"/>
          <w:szCs w:val="2"/>
        </w:rPr>
      </w:pPr>
      <w:r>
        <w:rPr/>
        <w:pict>
          <v:shape style="position:absolute;margin-left:89.183998pt;margin-top:382.129974pt;width:417.95pt;height:222.9pt;mso-position-horizontal-relative:page;mso-position-vertical-relative:page;z-index:2608"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8"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4"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2" w:lineRule="exact"/>
                          <w:ind w:right="215"/>
                          <w:jc w:val="right"/>
                          <w:rPr>
                            <w:sz w:val="21"/>
                          </w:rPr>
                        </w:pPr>
                        <w:r>
                          <w:rPr>
                            <w:sz w:val="21"/>
                          </w:rPr>
                          <w:t>夜间</w:t>
                        </w:r>
                      </w:p>
                    </w:tc>
                  </w:tr>
                  <w:tr>
                    <w:trPr>
                      <w:trHeight w:val="327"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9"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5"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82.48999pt;width:415.8pt;height:222.2pt;mso-position-horizontal-relative:page;mso-position-vertical-relative:page;z-index:26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6"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4"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7"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before="9"/>
        <w:ind w:left="218"/>
      </w:pPr>
      <w:r>
        <w:rPr/>
        <w:pict>
          <v:group style="position:absolute;margin-left:84.253998pt;margin-top:71.749977pt;width:427.1pt;height:698.7pt;mso-position-horizontal-relative:page;mso-position-vertical-relative:page;z-index:-176008"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噪声实际大小、影响时间、影响程度要较预测小。</w:t>
      </w:r>
    </w:p>
    <w:p>
      <w:pPr>
        <w:pStyle w:val="BodyText"/>
        <w:spacing w:line="336" w:lineRule="auto" w:before="154"/>
        <w:ind w:left="218" w:right="211" w:firstLine="479"/>
        <w:jc w:val="both"/>
      </w:pPr>
      <w:r>
        <w:rPr>
          <w:spacing w:val="-8"/>
        </w:rPr>
        <w:t>根据项目外环境可知，本项目沿线 </w:t>
      </w:r>
      <w:r>
        <w:rPr>
          <w:rFonts w:ascii="Times New Roman" w:eastAsia="Times New Roman"/>
        </w:rPr>
        <w:t>200m </w:t>
      </w:r>
      <w:r>
        <w:rPr/>
        <w:t>范围内敏感目标主要为居民和行政</w:t>
      </w:r>
      <w:r>
        <w:rPr>
          <w:spacing w:val="-1"/>
        </w:rPr>
        <w:t>办公区，为避免项目对住户和办公造成噪声污染，建设单位应采取以下措施：</w:t>
      </w:r>
    </w:p>
    <w:p>
      <w:pPr>
        <w:pStyle w:val="BodyText"/>
        <w:spacing w:line="336" w:lineRule="auto" w:before="58"/>
        <w:ind w:left="218" w:right="220" w:firstLine="479"/>
        <w:jc w:val="both"/>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8"/>
        <w:ind w:left="218" w:right="11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3"/>
        <w:ind w:left="218" w:right="21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8" w:lineRule="auto" w:before="48"/>
        <w:ind w:left="218" w:right="21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6" w:lineRule="auto" w:before="46"/>
        <w:ind w:left="218" w:right="220" w:firstLine="479"/>
        <w:jc w:val="both"/>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8"/>
        <w:ind w:left="698"/>
      </w:pPr>
      <w:r>
        <w:rPr>
          <w:rFonts w:ascii="Times New Roman" w:eastAsia="Times New Roman"/>
        </w:rPr>
        <w:t>6</w:t>
      </w:r>
      <w:r>
        <w:rPr/>
        <w:t>）严禁在中、高考期间施工。</w:t>
      </w:r>
    </w:p>
    <w:p>
      <w:pPr>
        <w:pStyle w:val="Heading3"/>
        <w:spacing w:line="357" w:lineRule="auto" w:before="133"/>
        <w:ind w:left="218" w:right="21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成较大影响，不会造成扰民现象。</w:t>
      </w:r>
    </w:p>
    <w:p>
      <w:pPr>
        <w:spacing w:before="36"/>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7" w:lineRule="auto" w:before="133"/>
        <w:ind w:left="218" w:right="212" w:firstLine="479"/>
        <w:jc w:val="both"/>
      </w:pPr>
      <w:r>
        <w:rPr>
          <w:spacing w:val="-5"/>
        </w:rPr>
        <w:t>本项目施工期废水主要来源于路基开挖积水、施工生产废水和施工人员生活</w:t>
      </w:r>
      <w:r>
        <w:rPr>
          <w:spacing w:val="-1"/>
        </w:rPr>
        <w:t>污水。 </w:t>
      </w:r>
    </w:p>
    <w:p>
      <w:pPr>
        <w:pStyle w:val="BodyText"/>
        <w:spacing w:before="34"/>
        <w:ind w:left="698"/>
      </w:pPr>
      <w:r>
        <w:rPr/>
        <w:t>①路基开挖积水</w:t>
      </w:r>
    </w:p>
    <w:p>
      <w:pPr>
        <w:pStyle w:val="BodyText"/>
        <w:spacing w:before="154"/>
        <w:ind w:left="698"/>
      </w:pPr>
      <w:r>
        <w:rPr/>
        <w:t>本项目路基施工产生的排水为清下水，就近排入沟渠或市政雨水管网。</w:t>
      </w:r>
    </w:p>
    <w:p>
      <w:pPr>
        <w:pStyle w:val="BodyText"/>
        <w:spacing w:before="154"/>
        <w:ind w:left="698"/>
      </w:pPr>
      <w:r>
        <w:rPr/>
        <w:t>②施工废水</w:t>
      </w:r>
    </w:p>
    <w:p>
      <w:pPr>
        <w:pStyle w:val="BodyText"/>
        <w:spacing w:line="357" w:lineRule="auto" w:before="151"/>
        <w:ind w:left="218" w:right="126" w:firstLine="479"/>
        <w:jc w:val="both"/>
      </w:pPr>
      <w:r>
        <w:rPr/>
        <w:t>由于本工程所需混凝土均为商品砼，施工场地不设大型混凝土搅拌设施，施工生产废水主要是开挖、钻孔产生的泥浆水、各种施工机械设备运转的冷却水、</w:t>
      </w:r>
    </w:p>
    <w:p>
      <w:pPr>
        <w:spacing w:after="0" w:line="357" w:lineRule="auto"/>
        <w:jc w:val="both"/>
        <w:sectPr>
          <w:pgSz w:w="11910" w:h="16850"/>
          <w:pgMar w:header="0" w:footer="1141" w:top="1400" w:bottom="1340" w:left="1580" w:right="1580"/>
        </w:sectPr>
      </w:pPr>
    </w:p>
    <w:p>
      <w:pPr>
        <w:pStyle w:val="BodyText"/>
        <w:spacing w:before="9"/>
        <w:ind w:left="201" w:right="5869"/>
        <w:jc w:val="center"/>
      </w:pPr>
      <w:r>
        <w:rPr/>
        <w:pict>
          <v:group style="position:absolute;margin-left:84.253998pt;margin-top:71.749977pt;width:427.1pt;height:698.7pt;mso-position-horizontal-relative:page;mso-position-vertical-relative:page;z-index:-17598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设备和运输车辆冲洗水。</w:t>
      </w:r>
    </w:p>
    <w:p>
      <w:pPr>
        <w:pStyle w:val="BodyText"/>
        <w:spacing w:line="336" w:lineRule="auto" w:before="154"/>
        <w:ind w:left="218" w:right="208" w:firstLine="479"/>
        <w:jc w:val="both"/>
      </w:pP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1"/>
          <w:w w:val="99"/>
        </w:rPr>
        <w:t>环评要求</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3"/>
        </w:rPr>
        <w:t>）</w:t>
      </w:r>
      <w:r>
        <w:rPr/>
        <w:t>、</w:t>
      </w:r>
      <w:r>
        <w:rPr>
          <w:rFonts w:ascii="Times New Roman" w:hAnsi="Times New Roman" w:eastAsia="Times New Roman"/>
        </w:rPr>
        <w:t>1</w:t>
      </w:r>
      <w:r>
        <w:rPr/>
        <w:t>个临时沉淀池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，本项目施工废水全部进入临时隔油池、沉淀池处理，经除油、沉淀后回用于工地降尘，不外排。</w:t>
      </w:r>
    </w:p>
    <w:p>
      <w:pPr>
        <w:pStyle w:val="BodyText"/>
        <w:spacing w:before="58"/>
        <w:ind w:left="698"/>
      </w:pPr>
      <w:r>
        <w:rPr/>
        <w:t>③生活污水</w:t>
      </w:r>
    </w:p>
    <w:p>
      <w:pPr>
        <w:pStyle w:val="BodyText"/>
        <w:spacing w:line="348" w:lineRule="auto" w:before="151"/>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5" w:lineRule="auto" w:before="45"/>
        <w:ind w:left="218" w:right="214" w:firstLine="482"/>
        <w:jc w:val="both"/>
      </w:pPr>
      <w:r>
        <w:rPr>
          <w:spacing w:val="-12"/>
          <w:w w:val="95"/>
        </w:rPr>
        <w:t>因此，在采取上述措施后，本项目施工期生产废水和生活污水不会对当地地  表水水体水质造成明显影响。</w:t>
      </w:r>
    </w:p>
    <w:p>
      <w:pPr>
        <w:spacing w:before="38"/>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5"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8"/>
        <w:ind w:left="698"/>
      </w:pPr>
      <w:r>
        <w:rPr/>
        <w:t>（</w:t>
      </w:r>
      <w:r>
        <w:rPr>
          <w:rFonts w:ascii="Times New Roman" w:eastAsia="Times New Roman"/>
        </w:rPr>
        <w:t>1</w:t>
      </w:r>
      <w:r>
        <w:rPr/>
        <w:t>）生活垃圾</w:t>
      </w:r>
    </w:p>
    <w:p>
      <w:pPr>
        <w:pStyle w:val="BodyText"/>
        <w:spacing w:line="357" w:lineRule="auto" w:before="133"/>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2"/>
        <w:ind w:left="698"/>
      </w:pPr>
      <w:r>
        <w:rPr/>
        <w:t>（</w:t>
      </w:r>
      <w:r>
        <w:rPr>
          <w:rFonts w:ascii="Times New Roman" w:eastAsia="Times New Roman"/>
        </w:rPr>
        <w:t>2</w:t>
      </w:r>
      <w:r>
        <w:rPr/>
        <w:t>）施工土石方</w:t>
      </w:r>
    </w:p>
    <w:p>
      <w:pPr>
        <w:pStyle w:val="BodyText"/>
        <w:spacing w:line="345" w:lineRule="auto" w:before="135"/>
        <w:ind w:left="218" w:right="211" w:firstLine="479"/>
        <w:jc w:val="both"/>
      </w:pPr>
      <w:r>
        <w:rPr>
          <w:spacing w:val="-11"/>
        </w:rPr>
        <w:t>本项目挖方 </w:t>
      </w:r>
      <w:r>
        <w:rPr>
          <w:rFonts w:ascii="Times New Roman" w:eastAsia="Times New Roman"/>
        </w:rPr>
        <w:t>1062m</w:t>
      </w:r>
      <w:r>
        <w:rPr>
          <w:rFonts w:ascii="Times New Roman" w:eastAsia="Times New Roman"/>
          <w:position w:val="11"/>
          <w:sz w:val="16"/>
        </w:rPr>
        <w:t>3</w:t>
      </w:r>
      <w:r>
        <w:rPr>
          <w:spacing w:val="-10"/>
        </w:rPr>
        <w:t>，无填方，弃方 </w:t>
      </w:r>
      <w:r>
        <w:rPr>
          <w:rFonts w:ascii="Times New Roman" w:eastAsia="Times New Roman"/>
        </w:rPr>
        <w:t>1062m</w:t>
      </w:r>
      <w:r>
        <w:rPr>
          <w:rFonts w:ascii="Times New Roman" w:eastAsia="Times New Roman"/>
          <w:position w:val="11"/>
          <w:sz w:val="16"/>
        </w:rPr>
        <w:t>3</w:t>
      </w:r>
      <w:r>
        <w:rPr>
          <w:spacing w:val="-1"/>
        </w:rPr>
        <w:t>，弃方运至指定堆场堆放。施工</w:t>
      </w:r>
      <w:r>
        <w:rPr>
          <w:spacing w:val="-5"/>
        </w:rPr>
        <w:t>期产生的土方不能及时回填的堆放在施工现场区域范围内，采用毡布或防尘布覆</w:t>
      </w:r>
      <w:r>
        <w:rPr>
          <w:spacing w:val="-1"/>
        </w:rPr>
        <w:t>盖。</w:t>
      </w:r>
    </w:p>
    <w:p>
      <w:pPr>
        <w:spacing w:line="357" w:lineRule="auto" w:before="46"/>
        <w:ind w:left="218" w:right="212" w:firstLine="479"/>
        <w:jc w:val="both"/>
        <w:rPr>
          <w:b/>
          <w:sz w:val="24"/>
        </w:rPr>
      </w:pPr>
      <w:r>
        <w:rPr>
          <w:spacing w:val="-9"/>
          <w:sz w:val="24"/>
        </w:rPr>
        <w:t>同时，为避免弃土运输过程中对周围环境造成影响，</w:t>
      </w:r>
      <w:r>
        <w:rPr>
          <w:b/>
          <w:sz w:val="24"/>
        </w:rPr>
        <w:t>环评要求应选择对周边</w:t>
      </w:r>
      <w:r>
        <w:rPr>
          <w:b/>
          <w:spacing w:val="-7"/>
          <w:sz w:val="24"/>
        </w:rPr>
        <w:t>环境影响较小的运输路线，且在运输过程中运输车辆必须使用篷布遮盖，在运输</w:t>
      </w:r>
      <w:r>
        <w:rPr>
          <w:b/>
          <w:spacing w:val="-14"/>
          <w:sz w:val="24"/>
        </w:rPr>
        <w:t>至靠近的道路时，应加强对司机人员的管理，小心驾驶，以免发生事故导致车辆</w:t>
      </w:r>
      <w:r>
        <w:rPr>
          <w:b/>
          <w:spacing w:val="-14"/>
          <w:w w:val="95"/>
          <w:sz w:val="24"/>
        </w:rPr>
        <w:t>翻倒而造成环境污染。</w:t>
      </w:r>
    </w:p>
    <w:p>
      <w:pPr>
        <w:pStyle w:val="Heading3"/>
        <w:spacing w:line="357" w:lineRule="auto"/>
        <w:ind w:left="218" w:right="215" w:firstLine="482"/>
        <w:jc w:val="both"/>
      </w:pPr>
      <w:r>
        <w:rPr>
          <w:spacing w:val="-11"/>
          <w:w w:val="95"/>
        </w:rPr>
        <w:t>因此，本项目施工期固体废弃物均将得到有效的处置，不会对周围环境造成  二次污染。</w:t>
      </w:r>
    </w:p>
    <w:p>
      <w:pPr>
        <w:spacing w:before="36"/>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3"/>
        <w:ind w:left="698"/>
      </w:pPr>
      <w:r>
        <w:rPr/>
        <w:t>（</w:t>
      </w:r>
      <w:r>
        <w:rPr>
          <w:rFonts w:ascii="Times New Roman" w:eastAsia="Times New Roman"/>
        </w:rPr>
        <w:t>1</w:t>
      </w:r>
      <w:r>
        <w:rPr/>
        <w:t>）施工期交通影响分析</w:t>
      </w:r>
    </w:p>
    <w:p>
      <w:pPr>
        <w:pStyle w:val="BodyText"/>
        <w:spacing w:before="136"/>
        <w:ind w:left="698"/>
      </w:pPr>
      <w:r>
        <w:rPr/>
        <w:t>工程施工过程中，可能将会妨碍附近周边道路的正常通行，还可能在一定施</w:t>
      </w:r>
    </w:p>
    <w:p>
      <w:pPr>
        <w:spacing w:after="0"/>
        <w:sectPr>
          <w:pgSz w:w="11910" w:h="16850"/>
          <w:pgMar w:header="0" w:footer="1141" w:top="1400" w:bottom="1400" w:left="1580" w:right="1580"/>
        </w:sectPr>
      </w:pPr>
    </w:p>
    <w:p>
      <w:pPr>
        <w:pStyle w:val="BodyText"/>
        <w:spacing w:line="357" w:lineRule="auto" w:before="9"/>
        <w:ind w:left="218" w:right="232"/>
      </w:pPr>
      <w:r>
        <w:rPr/>
        <w:pict>
          <v:group style="position:absolute;margin-left:84.253998pt;margin-top:71.749977pt;width:427.1pt;height:698.7pt;mso-position-horizontal-relative:page;mso-position-vertical-relative:page;z-index:-17596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6"/>
        </w:rPr>
        <w:t>工阶段短时间阻断交通，或因施工现场交通指挥调度不当，导致临近施工路段路口交通堵塞，甚至可能会引发一定范围的暂时交通堵塞。</w:t>
      </w:r>
    </w:p>
    <w:p>
      <w:pPr>
        <w:pStyle w:val="BodyText"/>
        <w:spacing w:line="357" w:lineRule="auto" w:before="3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4"/>
        <w:ind w:left="698"/>
      </w:pPr>
      <w:r>
        <w:rPr/>
        <w:t>（</w:t>
      </w:r>
      <w:r>
        <w:rPr>
          <w:rFonts w:ascii="Times New Roman" w:eastAsia="Times New Roman"/>
        </w:rPr>
        <w:t>2</w:t>
      </w:r>
      <w:r>
        <w:rPr/>
        <w:t>）施工对沿线居民的影响分析</w:t>
      </w:r>
    </w:p>
    <w:p>
      <w:pPr>
        <w:pStyle w:val="BodyText"/>
        <w:spacing w:line="357" w:lineRule="auto" w:before="136"/>
        <w:ind w:left="218" w:right="232" w:firstLine="479"/>
        <w:jc w:val="both"/>
      </w:pPr>
      <w:r>
        <w:rPr>
          <w:spacing w:val="-5"/>
        </w:rPr>
        <w:t>项目施工沿线居民主要为沿线居民，项目施工期引起噪声、扬尘、废水的排</w:t>
      </w:r>
      <w:r>
        <w:rPr>
          <w:spacing w:val="-11"/>
        </w:rPr>
        <w:t>放将对沿线环境造成影响，进而影响这部分住户的生活质量，但项目将采取严格</w:t>
      </w:r>
      <w:r>
        <w:rPr>
          <w:spacing w:val="-14"/>
        </w:rPr>
        <w:t>的污染防治及减缓措施，对沿线住户的影响减至最低程度，而且这种影响是暂时的，随着工程的结束而消失。</w:t>
      </w:r>
    </w:p>
    <w:p>
      <w:pPr>
        <w:pStyle w:val="Heading3"/>
        <w:spacing w:line="357" w:lineRule="auto" w:before="36"/>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3"/>
        <w:ind w:left="700" w:right="0" w:firstLine="0"/>
        <w:jc w:val="left"/>
        <w:rPr>
          <w:b/>
          <w:sz w:val="24"/>
        </w:rPr>
      </w:pPr>
      <w:r>
        <w:rPr>
          <w:b/>
          <w:w w:val="95"/>
          <w:sz w:val="24"/>
        </w:rPr>
        <w:t>二、营运期环境影响分析</w:t>
      </w:r>
    </w:p>
    <w:p>
      <w:pPr>
        <w:spacing w:before="153"/>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3"/>
        <w:ind w:left="218" w:right="232" w:firstLine="479"/>
        <w:jc w:val="both"/>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w:t>
      </w:r>
    </w:p>
    <w:p>
      <w:pPr>
        <w:pStyle w:val="BodyText"/>
        <w:spacing w:line="355" w:lineRule="auto" w:before="36"/>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情况下，致使有毒、有害物质进入新宁河而造成污染事故。本道路禁止进行危险品运输，营运期应加强交通管理措施，避免类似事故发生。</w:t>
      </w:r>
    </w:p>
    <w:p>
      <w:pPr>
        <w:pStyle w:val="BodyText"/>
        <w:spacing w:before="33"/>
        <w:ind w:left="698"/>
      </w:pPr>
      <w:r>
        <w:rPr/>
        <w:t>为减轻路面径流对区域地表水体的影响，采取以下措施：</w:t>
      </w:r>
    </w:p>
    <w:p>
      <w:pPr>
        <w:pStyle w:val="BodyText"/>
        <w:spacing w:line="357" w:lineRule="auto" w:before="153"/>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5"/>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17593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52" w:firstLine="479"/>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52" w:firstLine="479"/>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环评要求相关单位做好运营期的道路交通管理措施：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112" w:firstLine="479"/>
      </w:pPr>
      <w:r>
        <w:rPr/>
        <w:t>（</w:t>
      </w:r>
      <w:r>
        <w:rPr>
          <w:rFonts w:ascii="Times New Roman" w:eastAsia="Times New Roman"/>
        </w:rPr>
        <w:t>2</w:t>
      </w:r>
      <w:r>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50" w:lineRule="auto" w:before="135"/>
        <w:ind w:left="218" w:right="150" w:firstLine="479"/>
      </w:pPr>
      <w:r>
        <w:rPr/>
        <w:t>营运期噪声污染源主要为交通噪声。车辆行驶辐射噪声级与车速、车辆类</w:t>
      </w:r>
      <w:r>
        <w:rPr>
          <w:spacing w:val="-4"/>
        </w:rPr>
        <w:t>型类型有关。本项目道路设计时速为 </w:t>
      </w:r>
      <w:r>
        <w:rPr>
          <w:rFonts w:ascii="Times New Roman" w:eastAsia="Times New Roman"/>
        </w:rPr>
        <w:t>60/30km/h</w:t>
      </w:r>
      <w:r>
        <w:rPr>
          <w:spacing w:val="-9"/>
        </w:rPr>
        <w:t>，路基宽度为 </w:t>
      </w:r>
      <w:r>
        <w:rPr>
          <w:rFonts w:ascii="Times New Roman" w:eastAsia="Times New Roman"/>
        </w:rPr>
        <w:t>42/24 </w:t>
      </w:r>
      <w:r>
        <w:rPr/>
        <w:t>米。本工程</w:t>
      </w:r>
      <w:r>
        <w:rPr>
          <w:spacing w:val="-3"/>
        </w:rPr>
        <w:t>为道路降坡工程，不改变道路原设计车速、宽度及设计车流量等相关设计要求。</w:t>
      </w:r>
      <w:r>
        <w:rPr>
          <w:spacing w:val="-2"/>
        </w:rPr>
        <w:t>所以恢复后道路的噪声影响程度和本工程实施前基本一致。所以根据现状噪声</w:t>
      </w:r>
    </w:p>
    <w:p>
      <w:pPr>
        <w:spacing w:after="0" w:line="350" w:lineRule="auto"/>
        <w:sectPr>
          <w:pgSz w:w="11910" w:h="16850"/>
          <w:pgMar w:header="0" w:footer="1141" w:top="1400" w:bottom="1400" w:left="1580" w:right="1580"/>
        </w:sectPr>
      </w:pPr>
    </w:p>
    <w:p>
      <w:pPr>
        <w:pStyle w:val="BodyText"/>
        <w:spacing w:before="9"/>
        <w:ind w:left="218"/>
      </w:pPr>
      <w:r>
        <w:rPr/>
        <w:t>监测值分析噪声的影响。现状噪声监测值见下表 </w:t>
      </w:r>
      <w:r>
        <w:rPr>
          <w:rFonts w:ascii="Times New Roman" w:eastAsia="Times New Roman"/>
        </w:rPr>
        <w:t>7-4</w:t>
      </w:r>
      <w:r>
        <w:rPr/>
        <w:t>。</w:t>
      </w:r>
    </w:p>
    <w:p>
      <w:pPr>
        <w:pStyle w:val="BodyText"/>
        <w:tabs>
          <w:tab w:pos="859" w:val="left" w:leader="none"/>
        </w:tabs>
        <w:spacing w:before="136"/>
        <w:ind w:right="28"/>
        <w:jc w:val="center"/>
      </w:pPr>
      <w:r>
        <w:rPr/>
        <w:t>表</w:t>
      </w:r>
      <w:r>
        <w:rPr>
          <w:spacing w:val="-61"/>
        </w:rPr>
        <w:t> </w:t>
      </w:r>
      <w:r>
        <w:rPr>
          <w:rFonts w:ascii="Times New Roman" w:eastAsia="Times New Roman"/>
        </w:rPr>
        <w:t>7-4</w:t>
        <w:tab/>
      </w:r>
      <w:r>
        <w:rPr/>
        <w:t>现状噪声监测值</w:t>
      </w:r>
    </w:p>
    <w:p>
      <w:pPr>
        <w:spacing w:after="0"/>
        <w:jc w:val="center"/>
        <w:sectPr>
          <w:pgSz w:w="11910" w:h="16850"/>
          <w:pgMar w:header="0" w:footer="1141" w:top="1400" w:bottom="1400" w:left="1580" w:right="1560"/>
        </w:sectPr>
      </w:pPr>
    </w:p>
    <w:p>
      <w:pPr>
        <w:spacing w:line="238" w:lineRule="exact" w:before="186"/>
        <w:ind w:left="0" w:right="0" w:firstLine="0"/>
        <w:jc w:val="right"/>
        <w:rPr>
          <w:rFonts w:ascii="Times New Roman"/>
          <w:sz w:val="21"/>
        </w:rPr>
      </w:pPr>
      <w:r>
        <w:rPr/>
        <w:pict>
          <v:shape style="position:absolute;margin-left:89.903999pt;margin-top:8.662717pt;width:406.4pt;height:101.05pt;mso-position-horizontal-relative:page;mso-position-vertical-relative:paragraph;z-index:277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6"/>
                    <w:gridCol w:w="1618"/>
                    <w:gridCol w:w="1616"/>
                    <w:gridCol w:w="1615"/>
                    <w:gridCol w:w="1618"/>
                  </w:tblGrid>
                  <w:tr>
                    <w:trPr>
                      <w:trHeight w:val="271" w:hRule="exact"/>
                    </w:trPr>
                    <w:tc>
                      <w:tcPr>
                        <w:tcW w:w="1646" w:type="dxa"/>
                        <w:vMerge w:val="restart"/>
                      </w:tcPr>
                      <w:p>
                        <w:pPr>
                          <w:pStyle w:val="TableParagraph"/>
                          <w:spacing w:before="102"/>
                          <w:ind w:left="398"/>
                          <w:jc w:val="left"/>
                          <w:rPr>
                            <w:sz w:val="21"/>
                          </w:rPr>
                        </w:pPr>
                        <w:r>
                          <w:rPr>
                            <w:sz w:val="21"/>
                          </w:rPr>
                          <w:t>监测点位</w:t>
                        </w:r>
                      </w:p>
                    </w:tc>
                    <w:tc>
                      <w:tcPr>
                        <w:tcW w:w="3234" w:type="dxa"/>
                        <w:gridSpan w:val="2"/>
                      </w:tcPr>
                      <w:p>
                        <w:pPr/>
                      </w:p>
                    </w:tc>
                    <w:tc>
                      <w:tcPr>
                        <w:tcW w:w="3233" w:type="dxa"/>
                        <w:gridSpan w:val="2"/>
                      </w:tcPr>
                      <w:p>
                        <w:pPr/>
                      </w:p>
                    </w:tc>
                  </w:tr>
                  <w:tr>
                    <w:trPr>
                      <w:trHeight w:val="283" w:hRule="exact"/>
                    </w:trPr>
                    <w:tc>
                      <w:tcPr>
                        <w:tcW w:w="1646" w:type="dxa"/>
                        <w:vMerge/>
                      </w:tcPr>
                      <w:p>
                        <w:pPr/>
                      </w:p>
                    </w:tc>
                    <w:tc>
                      <w:tcPr>
                        <w:tcW w:w="1618" w:type="dxa"/>
                      </w:tcPr>
                      <w:p>
                        <w:pPr/>
                      </w:p>
                    </w:tc>
                    <w:tc>
                      <w:tcPr>
                        <w:tcW w:w="1616" w:type="dxa"/>
                      </w:tcPr>
                      <w:p>
                        <w:pPr/>
                      </w:p>
                    </w:tc>
                    <w:tc>
                      <w:tcPr>
                        <w:tcW w:w="1615" w:type="dxa"/>
                      </w:tcPr>
                      <w:p>
                        <w:pPr/>
                      </w:p>
                    </w:tc>
                    <w:tc>
                      <w:tcPr>
                        <w:tcW w:w="1618" w:type="dxa"/>
                      </w:tcPr>
                      <w:p>
                        <w:pPr/>
                      </w:p>
                    </w:tc>
                  </w:tr>
                  <w:tr>
                    <w:trPr>
                      <w:trHeight w:val="290" w:hRule="exact"/>
                    </w:trPr>
                    <w:tc>
                      <w:tcPr>
                        <w:tcW w:w="1646" w:type="dxa"/>
                      </w:tcPr>
                      <w:p>
                        <w:pPr>
                          <w:pStyle w:val="TableParagraph"/>
                          <w:spacing w:before="27"/>
                          <w:ind w:left="253" w:right="252"/>
                          <w:rPr>
                            <w:rFonts w:ascii="Times New Roman"/>
                            <w:sz w:val="21"/>
                          </w:rPr>
                        </w:pPr>
                        <w:r>
                          <w:rPr>
                            <w:rFonts w:ascii="Times New Roman"/>
                            <w:sz w:val="21"/>
                          </w:rPr>
                          <w:t>N1</w:t>
                        </w:r>
                      </w:p>
                    </w:tc>
                    <w:tc>
                      <w:tcPr>
                        <w:tcW w:w="1618" w:type="dxa"/>
                      </w:tcPr>
                      <w:p>
                        <w:pPr>
                          <w:pStyle w:val="TableParagraph"/>
                          <w:spacing w:before="12"/>
                          <w:ind w:left="598" w:right="598"/>
                          <w:rPr>
                            <w:rFonts w:ascii="Times New Roman"/>
                            <w:sz w:val="21"/>
                          </w:rPr>
                        </w:pPr>
                        <w:r>
                          <w:rPr>
                            <w:rFonts w:ascii="Times New Roman"/>
                            <w:sz w:val="21"/>
                          </w:rPr>
                          <w:t>52.3</w:t>
                        </w:r>
                      </w:p>
                    </w:tc>
                    <w:tc>
                      <w:tcPr>
                        <w:tcW w:w="1616" w:type="dxa"/>
                      </w:tcPr>
                      <w:p>
                        <w:pPr>
                          <w:pStyle w:val="TableParagraph"/>
                          <w:spacing w:before="12"/>
                          <w:ind w:left="598" w:right="598"/>
                          <w:rPr>
                            <w:rFonts w:ascii="Times New Roman"/>
                            <w:sz w:val="21"/>
                          </w:rPr>
                        </w:pPr>
                        <w:r>
                          <w:rPr>
                            <w:rFonts w:ascii="Times New Roman"/>
                            <w:sz w:val="21"/>
                          </w:rPr>
                          <w:t>45.2</w:t>
                        </w:r>
                      </w:p>
                    </w:tc>
                    <w:tc>
                      <w:tcPr>
                        <w:tcW w:w="1615" w:type="dxa"/>
                      </w:tcPr>
                      <w:p>
                        <w:pPr>
                          <w:pStyle w:val="TableParagraph"/>
                          <w:spacing w:line="235" w:lineRule="exact"/>
                          <w:ind w:left="600" w:right="598"/>
                          <w:rPr>
                            <w:rFonts w:ascii="Times New Roman"/>
                            <w:sz w:val="21"/>
                          </w:rPr>
                        </w:pPr>
                        <w:r>
                          <w:rPr>
                            <w:rFonts w:ascii="Times New Roman"/>
                            <w:sz w:val="21"/>
                          </w:rPr>
                          <w:t>52.4</w:t>
                        </w:r>
                      </w:p>
                    </w:tc>
                    <w:tc>
                      <w:tcPr>
                        <w:tcW w:w="1618" w:type="dxa"/>
                      </w:tcPr>
                      <w:p>
                        <w:pPr>
                          <w:pStyle w:val="TableParagraph"/>
                          <w:spacing w:line="235" w:lineRule="exact"/>
                          <w:ind w:left="598" w:right="598"/>
                          <w:rPr>
                            <w:rFonts w:ascii="Times New Roman"/>
                            <w:sz w:val="21"/>
                          </w:rPr>
                        </w:pPr>
                        <w:r>
                          <w:rPr>
                            <w:rFonts w:ascii="Times New Roman"/>
                            <w:sz w:val="21"/>
                          </w:rPr>
                          <w:t>45.1</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N2</w:t>
                        </w:r>
                      </w:p>
                    </w:tc>
                    <w:tc>
                      <w:tcPr>
                        <w:tcW w:w="1618" w:type="dxa"/>
                      </w:tcPr>
                      <w:p>
                        <w:pPr>
                          <w:pStyle w:val="TableParagraph"/>
                          <w:spacing w:before="15"/>
                          <w:ind w:left="598" w:right="598"/>
                          <w:rPr>
                            <w:rFonts w:ascii="Times New Roman"/>
                            <w:sz w:val="21"/>
                          </w:rPr>
                        </w:pPr>
                        <w:r>
                          <w:rPr>
                            <w:rFonts w:ascii="Times New Roman"/>
                            <w:sz w:val="21"/>
                          </w:rPr>
                          <w:t>51.7</w:t>
                        </w:r>
                      </w:p>
                    </w:tc>
                    <w:tc>
                      <w:tcPr>
                        <w:tcW w:w="1616" w:type="dxa"/>
                      </w:tcPr>
                      <w:p>
                        <w:pPr>
                          <w:pStyle w:val="TableParagraph"/>
                          <w:spacing w:before="15"/>
                          <w:ind w:left="598" w:right="598"/>
                          <w:rPr>
                            <w:rFonts w:ascii="Times New Roman"/>
                            <w:sz w:val="21"/>
                          </w:rPr>
                        </w:pPr>
                        <w:r>
                          <w:rPr>
                            <w:rFonts w:ascii="Times New Roman"/>
                            <w:sz w:val="21"/>
                          </w:rPr>
                          <w:t>44.6</w:t>
                        </w:r>
                      </w:p>
                    </w:tc>
                    <w:tc>
                      <w:tcPr>
                        <w:tcW w:w="1615" w:type="dxa"/>
                      </w:tcPr>
                      <w:p>
                        <w:pPr>
                          <w:pStyle w:val="TableParagraph"/>
                          <w:spacing w:line="237" w:lineRule="exact"/>
                          <w:ind w:left="600" w:right="598"/>
                          <w:rPr>
                            <w:rFonts w:ascii="Times New Roman"/>
                            <w:sz w:val="21"/>
                          </w:rPr>
                        </w:pPr>
                        <w:r>
                          <w:rPr>
                            <w:rFonts w:ascii="Times New Roman"/>
                            <w:sz w:val="21"/>
                          </w:rPr>
                          <w:t>51.8</w:t>
                        </w:r>
                      </w:p>
                    </w:tc>
                    <w:tc>
                      <w:tcPr>
                        <w:tcW w:w="1618" w:type="dxa"/>
                      </w:tcPr>
                      <w:p>
                        <w:pPr>
                          <w:pStyle w:val="TableParagraph"/>
                          <w:spacing w:line="237" w:lineRule="exact"/>
                          <w:ind w:left="598" w:right="598"/>
                          <w:rPr>
                            <w:rFonts w:ascii="Times New Roman"/>
                            <w:sz w:val="21"/>
                          </w:rPr>
                        </w:pPr>
                        <w:r>
                          <w:rPr>
                            <w:rFonts w:ascii="Times New Roman"/>
                            <w:sz w:val="21"/>
                          </w:rPr>
                          <w:t>44.7</w:t>
                        </w:r>
                      </w:p>
                    </w:tc>
                  </w:tr>
                  <w:tr>
                    <w:trPr>
                      <w:trHeight w:val="293" w:hRule="exact"/>
                    </w:trPr>
                    <w:tc>
                      <w:tcPr>
                        <w:tcW w:w="1646" w:type="dxa"/>
                      </w:tcPr>
                      <w:p>
                        <w:pPr>
                          <w:pStyle w:val="TableParagraph"/>
                          <w:spacing w:before="29"/>
                          <w:ind w:left="253" w:right="252"/>
                          <w:rPr>
                            <w:rFonts w:ascii="Times New Roman"/>
                            <w:sz w:val="21"/>
                          </w:rPr>
                        </w:pPr>
                        <w:r>
                          <w:rPr>
                            <w:rFonts w:ascii="Times New Roman"/>
                            <w:sz w:val="21"/>
                          </w:rPr>
                          <w:t>N3</w:t>
                        </w:r>
                      </w:p>
                    </w:tc>
                    <w:tc>
                      <w:tcPr>
                        <w:tcW w:w="1618" w:type="dxa"/>
                      </w:tcPr>
                      <w:p>
                        <w:pPr>
                          <w:pStyle w:val="TableParagraph"/>
                          <w:spacing w:before="15"/>
                          <w:ind w:left="598" w:right="598"/>
                          <w:rPr>
                            <w:rFonts w:ascii="Times New Roman"/>
                            <w:sz w:val="21"/>
                          </w:rPr>
                        </w:pPr>
                        <w:r>
                          <w:rPr>
                            <w:rFonts w:ascii="Times New Roman"/>
                            <w:sz w:val="21"/>
                          </w:rPr>
                          <w:t>53.3</w:t>
                        </w:r>
                      </w:p>
                    </w:tc>
                    <w:tc>
                      <w:tcPr>
                        <w:tcW w:w="1616" w:type="dxa"/>
                      </w:tcPr>
                      <w:p>
                        <w:pPr>
                          <w:pStyle w:val="TableParagraph"/>
                          <w:spacing w:before="15"/>
                          <w:ind w:left="598" w:right="598"/>
                          <w:rPr>
                            <w:rFonts w:ascii="Times New Roman"/>
                            <w:sz w:val="21"/>
                          </w:rPr>
                        </w:pPr>
                        <w:r>
                          <w:rPr>
                            <w:rFonts w:ascii="Times New Roman"/>
                            <w:sz w:val="21"/>
                          </w:rPr>
                          <w:t>45.1</w:t>
                        </w:r>
                      </w:p>
                    </w:tc>
                    <w:tc>
                      <w:tcPr>
                        <w:tcW w:w="1615" w:type="dxa"/>
                      </w:tcPr>
                      <w:p>
                        <w:pPr>
                          <w:pStyle w:val="TableParagraph"/>
                          <w:spacing w:line="235" w:lineRule="exact"/>
                          <w:ind w:left="600" w:right="598"/>
                          <w:rPr>
                            <w:rFonts w:ascii="Times New Roman"/>
                            <w:sz w:val="21"/>
                          </w:rPr>
                        </w:pPr>
                        <w:r>
                          <w:rPr>
                            <w:rFonts w:ascii="Times New Roman"/>
                            <w:sz w:val="21"/>
                          </w:rPr>
                          <w:t>53.2</w:t>
                        </w:r>
                      </w:p>
                    </w:tc>
                    <w:tc>
                      <w:tcPr>
                        <w:tcW w:w="1618" w:type="dxa"/>
                      </w:tcPr>
                      <w:p>
                        <w:pPr>
                          <w:pStyle w:val="TableParagraph"/>
                          <w:spacing w:line="235" w:lineRule="exact"/>
                          <w:ind w:left="598" w:right="598"/>
                          <w:rPr>
                            <w:rFonts w:ascii="Times New Roman"/>
                            <w:sz w:val="21"/>
                          </w:rPr>
                        </w:pPr>
                        <w:r>
                          <w:rPr>
                            <w:rFonts w:ascii="Times New Roman"/>
                            <w:sz w:val="21"/>
                          </w:rPr>
                          <w:t>45.8</w:t>
                        </w:r>
                      </w:p>
                    </w:tc>
                  </w:tr>
                  <w:tr>
                    <w:trPr>
                      <w:trHeight w:val="290" w:hRule="exact"/>
                    </w:trPr>
                    <w:tc>
                      <w:tcPr>
                        <w:tcW w:w="1646" w:type="dxa"/>
                      </w:tcPr>
                      <w:p>
                        <w:pPr>
                          <w:pStyle w:val="TableParagraph"/>
                          <w:spacing w:line="269" w:lineRule="exact"/>
                          <w:ind w:left="254" w:right="252"/>
                          <w:rPr>
                            <w:sz w:val="21"/>
                          </w:rPr>
                        </w:pPr>
                        <w:r>
                          <w:rPr>
                            <w:rFonts w:ascii="Times New Roman" w:eastAsia="Times New Roman"/>
                            <w:sz w:val="21"/>
                          </w:rPr>
                          <w:t>4a </w:t>
                        </w:r>
                        <w:r>
                          <w:rPr>
                            <w:sz w:val="21"/>
                          </w:rPr>
                          <w:t>类标准值</w:t>
                        </w:r>
                      </w:p>
                    </w:tc>
                    <w:tc>
                      <w:tcPr>
                        <w:tcW w:w="1618" w:type="dxa"/>
                      </w:tcPr>
                      <w:p>
                        <w:pPr>
                          <w:pStyle w:val="TableParagraph"/>
                          <w:spacing w:before="12"/>
                          <w:ind w:left="596" w:right="598"/>
                          <w:rPr>
                            <w:rFonts w:ascii="Times New Roman"/>
                            <w:sz w:val="21"/>
                          </w:rPr>
                        </w:pPr>
                        <w:r>
                          <w:rPr>
                            <w:rFonts w:ascii="Times New Roman"/>
                            <w:sz w:val="21"/>
                          </w:rPr>
                          <w:t>70</w:t>
                        </w:r>
                      </w:p>
                    </w:tc>
                    <w:tc>
                      <w:tcPr>
                        <w:tcW w:w="1616" w:type="dxa"/>
                      </w:tcPr>
                      <w:p>
                        <w:pPr>
                          <w:pStyle w:val="TableParagraph"/>
                          <w:spacing w:before="12"/>
                          <w:ind w:left="593" w:right="598"/>
                          <w:rPr>
                            <w:rFonts w:ascii="Times New Roman"/>
                            <w:sz w:val="21"/>
                          </w:rPr>
                        </w:pPr>
                        <w:r>
                          <w:rPr>
                            <w:rFonts w:ascii="Times New Roman"/>
                            <w:sz w:val="21"/>
                          </w:rPr>
                          <w:t>55</w:t>
                        </w:r>
                      </w:p>
                    </w:tc>
                    <w:tc>
                      <w:tcPr>
                        <w:tcW w:w="1615" w:type="dxa"/>
                      </w:tcPr>
                      <w:p>
                        <w:pPr>
                          <w:pStyle w:val="TableParagraph"/>
                          <w:spacing w:before="12"/>
                          <w:ind w:left="598" w:right="598"/>
                          <w:rPr>
                            <w:rFonts w:ascii="Times New Roman"/>
                            <w:sz w:val="21"/>
                          </w:rPr>
                        </w:pPr>
                        <w:r>
                          <w:rPr>
                            <w:rFonts w:ascii="Times New Roman"/>
                            <w:sz w:val="21"/>
                          </w:rPr>
                          <w:t>70</w:t>
                        </w:r>
                      </w:p>
                    </w:tc>
                    <w:tc>
                      <w:tcPr>
                        <w:tcW w:w="1618" w:type="dxa"/>
                      </w:tcPr>
                      <w:p>
                        <w:pPr>
                          <w:pStyle w:val="TableParagraph"/>
                          <w:spacing w:before="12"/>
                          <w:ind w:left="598" w:right="598"/>
                          <w:rPr>
                            <w:rFonts w:ascii="Times New Roman"/>
                            <w:sz w:val="21"/>
                          </w:rPr>
                        </w:pPr>
                        <w:r>
                          <w:rPr>
                            <w:rFonts w:ascii="Times New Roman"/>
                            <w:sz w:val="21"/>
                          </w:rPr>
                          <w:t>55</w:t>
                        </w:r>
                      </w:p>
                    </w:tc>
                  </w:tr>
                  <w:tr>
                    <w:trPr>
                      <w:trHeight w:val="290" w:hRule="exact"/>
                    </w:trPr>
                    <w:tc>
                      <w:tcPr>
                        <w:tcW w:w="1646" w:type="dxa"/>
                      </w:tcPr>
                      <w:p>
                        <w:pPr>
                          <w:pStyle w:val="TableParagraph"/>
                          <w:spacing w:line="269" w:lineRule="exact"/>
                          <w:ind w:left="254" w:right="252"/>
                          <w:rPr>
                            <w:sz w:val="21"/>
                          </w:rPr>
                        </w:pPr>
                        <w:r>
                          <w:rPr>
                            <w:rFonts w:ascii="Times New Roman" w:eastAsia="Times New Roman"/>
                            <w:sz w:val="21"/>
                          </w:rPr>
                          <w:t>2 </w:t>
                        </w:r>
                        <w:r>
                          <w:rPr>
                            <w:sz w:val="21"/>
                          </w:rPr>
                          <w:t>类标准值</w:t>
                        </w:r>
                      </w:p>
                    </w:tc>
                    <w:tc>
                      <w:tcPr>
                        <w:tcW w:w="1618" w:type="dxa"/>
                      </w:tcPr>
                      <w:p>
                        <w:pPr>
                          <w:pStyle w:val="TableParagraph"/>
                          <w:spacing w:before="12"/>
                          <w:ind w:left="596" w:right="598"/>
                          <w:rPr>
                            <w:rFonts w:ascii="Times New Roman"/>
                            <w:sz w:val="21"/>
                          </w:rPr>
                        </w:pPr>
                        <w:r>
                          <w:rPr>
                            <w:rFonts w:ascii="Times New Roman"/>
                            <w:sz w:val="21"/>
                          </w:rPr>
                          <w:t>60</w:t>
                        </w:r>
                      </w:p>
                    </w:tc>
                    <w:tc>
                      <w:tcPr>
                        <w:tcW w:w="1616" w:type="dxa"/>
                      </w:tcPr>
                      <w:p>
                        <w:pPr>
                          <w:pStyle w:val="TableParagraph"/>
                          <w:spacing w:before="12"/>
                          <w:ind w:left="593" w:right="598"/>
                          <w:rPr>
                            <w:rFonts w:ascii="Times New Roman"/>
                            <w:sz w:val="21"/>
                          </w:rPr>
                        </w:pPr>
                        <w:r>
                          <w:rPr>
                            <w:rFonts w:ascii="Times New Roman"/>
                            <w:sz w:val="21"/>
                          </w:rPr>
                          <w:t>50</w:t>
                        </w:r>
                      </w:p>
                    </w:tc>
                    <w:tc>
                      <w:tcPr>
                        <w:tcW w:w="1615" w:type="dxa"/>
                      </w:tcPr>
                      <w:p>
                        <w:pPr>
                          <w:pStyle w:val="TableParagraph"/>
                          <w:spacing w:before="12"/>
                          <w:ind w:left="598" w:right="598"/>
                          <w:rPr>
                            <w:rFonts w:ascii="Times New Roman"/>
                            <w:sz w:val="21"/>
                          </w:rPr>
                        </w:pPr>
                        <w:r>
                          <w:rPr>
                            <w:rFonts w:ascii="Times New Roman"/>
                            <w:sz w:val="21"/>
                          </w:rPr>
                          <w:t>60</w:t>
                        </w:r>
                      </w:p>
                    </w:tc>
                    <w:tc>
                      <w:tcPr>
                        <w:tcW w:w="1618" w:type="dxa"/>
                      </w:tcPr>
                      <w:p>
                        <w:pPr>
                          <w:pStyle w:val="TableParagraph"/>
                          <w:spacing w:before="12"/>
                          <w:ind w:left="598" w:right="598"/>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2017.8.7</w:t>
      </w:r>
    </w:p>
    <w:p>
      <w:pPr>
        <w:spacing w:line="271" w:lineRule="exact" w:before="0"/>
        <w:ind w:left="2467" w:right="0" w:firstLine="0"/>
        <w:jc w:val="left"/>
        <w:rPr>
          <w:sz w:val="21"/>
        </w:rPr>
      </w:pPr>
      <w:r>
        <w:rPr>
          <w:sz w:val="21"/>
        </w:rPr>
        <w:t>昼间</w:t>
      </w:r>
    </w:p>
    <w:p>
      <w:pPr>
        <w:pStyle w:val="BodyText"/>
        <w:rPr>
          <w:sz w:val="20"/>
        </w:rPr>
      </w:pPr>
      <w:r>
        <w:rPr/>
        <w:br w:type="column"/>
      </w:r>
      <w:r>
        <w:rPr>
          <w:sz w:val="20"/>
        </w:rPr>
      </w:r>
    </w:p>
    <w:p>
      <w:pPr>
        <w:tabs>
          <w:tab w:pos="1805" w:val="left" w:leader="none"/>
        </w:tabs>
        <w:spacing w:before="159"/>
        <w:ind w:left="187" w:right="0" w:firstLine="0"/>
        <w:jc w:val="left"/>
        <w:rPr>
          <w:sz w:val="21"/>
        </w:rPr>
      </w:pPr>
      <w:r>
        <w:rPr>
          <w:sz w:val="21"/>
        </w:rPr>
        <w:t>夜间</w:t>
        <w:tab/>
        <w:t>昼间</w:t>
      </w:r>
    </w:p>
    <w:p>
      <w:pPr>
        <w:spacing w:before="177"/>
        <w:ind w:left="135" w:right="0" w:firstLine="0"/>
        <w:jc w:val="left"/>
        <w:rPr>
          <w:rFonts w:ascii="Times New Roman"/>
          <w:sz w:val="21"/>
        </w:rPr>
      </w:pPr>
      <w:r>
        <w:rPr/>
        <w:br w:type="column"/>
      </w:r>
      <w:r>
        <w:rPr>
          <w:rFonts w:ascii="Times New Roman"/>
          <w:sz w:val="21"/>
        </w:rPr>
        <w:t>2017.8.14</w:t>
      </w:r>
    </w:p>
    <w:p>
      <w:pPr>
        <w:spacing w:before="2"/>
        <w:ind w:left="1135" w:right="1010" w:firstLine="0"/>
        <w:jc w:val="center"/>
        <w:rPr>
          <w:sz w:val="21"/>
        </w:rPr>
      </w:pPr>
      <w:r>
        <w:rPr>
          <w:sz w:val="21"/>
        </w:rPr>
        <w:t>夜间</w:t>
      </w:r>
    </w:p>
    <w:p>
      <w:pPr>
        <w:spacing w:after="0"/>
        <w:jc w:val="center"/>
        <w:rPr>
          <w:sz w:val="21"/>
        </w:rPr>
        <w:sectPr>
          <w:type w:val="continuous"/>
          <w:pgSz w:w="11910" w:h="16850"/>
          <w:pgMar w:top="1600" w:bottom="280" w:left="1580" w:right="1560"/>
          <w:cols w:num="3" w:equalWidth="0">
            <w:col w:w="3855" w:space="40"/>
            <w:col w:w="2229" w:space="40"/>
            <w:col w:w="2606"/>
          </w:cols>
        </w:sectPr>
      </w:pPr>
    </w:p>
    <w:p>
      <w:pPr>
        <w:pStyle w:val="BodyText"/>
        <w:rPr>
          <w:sz w:val="20"/>
        </w:rPr>
      </w:pPr>
      <w:r>
        <w:rPr/>
        <w:pict>
          <v:group style="position:absolute;margin-left:83.988998pt;margin-top:71.749977pt;width:427.6pt;height:686pt;mso-position-horizontal-relative:page;mso-position-vertical-relative:page;z-index:-175912" coordorigin="1680,1435" coordsize="8552,13720">
            <v:line style="position:absolute" from="1695,1445" to="10216,1445" stroked="true" strokeweight=".48pt" strokecolor="#000000">
              <v:stroke dashstyle="solid"/>
            </v:line>
            <v:line style="position:absolute" from="1690,1440" to="1690,15144" stroked="true" strokeweight=".48pt" strokecolor="#000000">
              <v:stroke dashstyle="solid"/>
            </v:line>
            <v:line style="position:absolute" from="1685,15149" to="1695,15149" stroked="true" strokeweight=".50397pt" strokecolor="#000000">
              <v:stroke dashstyle="solid"/>
            </v:line>
            <v:line style="position:absolute" from="1685,15149" to="1695,15149" stroked="true" strokeweight=".50397pt" strokecolor="#000000">
              <v:stroke dashstyle="solid"/>
            </v:line>
            <v:line style="position:absolute" from="1695,15149" to="10216,15149" stroked="true" strokeweight=".50397pt" strokecolor="#000000">
              <v:stroke dashstyle="solid"/>
            </v:line>
            <v:line style="position:absolute" from="10221,1440" to="10221,15144" stroked="true" strokeweight=".47998pt" strokecolor="#000000">
              <v:stroke dashstyle="solid"/>
            </v:line>
            <v:line style="position:absolute" from="10216,15149" to="10226,15149" stroked="true" strokeweight=".50397pt" strokecolor="#000000">
              <v:stroke dashstyle="solid"/>
            </v:line>
            <v:line style="position:absolute" from="10216,15149" to="10226,15149" stroked="true" strokeweight=".50397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spacing w:before="11"/>
        <w:rPr>
          <w:sz w:val="28"/>
        </w:rPr>
      </w:pPr>
    </w:p>
    <w:p>
      <w:pPr>
        <w:pStyle w:val="BodyText"/>
        <w:spacing w:line="343" w:lineRule="auto" w:before="34"/>
        <w:ind w:left="218" w:right="131" w:firstLine="479"/>
      </w:pPr>
      <w:r>
        <w:rPr>
          <w:spacing w:val="-14"/>
        </w:rPr>
        <w:t>评价根据《声环境质量标准》，本项目为城市次干路，道路两侧距红线 </w:t>
      </w:r>
      <w:r>
        <w:rPr>
          <w:rFonts w:ascii="Times New Roman" w:eastAsia="Times New Roman"/>
        </w:rPr>
        <w:t>35m </w:t>
      </w:r>
      <w:r>
        <w:rPr>
          <w:spacing w:val="-9"/>
        </w:rPr>
        <w:t>以内区域执行 </w:t>
      </w:r>
      <w:r>
        <w:rPr>
          <w:rFonts w:ascii="Times New Roman" w:eastAsia="Times New Roman"/>
        </w:rPr>
        <w:t>4a </w:t>
      </w:r>
      <w:r>
        <w:rPr>
          <w:spacing w:val="-2"/>
        </w:rPr>
        <w:t>类，</w:t>
      </w:r>
      <w:r>
        <w:rPr>
          <w:rFonts w:ascii="Times New Roman" w:eastAsia="Times New Roman"/>
          <w:spacing w:val="-3"/>
        </w:rPr>
        <w:t>35m </w:t>
      </w:r>
      <w:r>
        <w:rPr>
          <w:spacing w:val="-12"/>
        </w:rPr>
        <w:t>以外执行 </w:t>
      </w:r>
      <w:r>
        <w:rPr>
          <w:rFonts w:ascii="Times New Roman" w:eastAsia="Times New Roman"/>
        </w:rPr>
        <w:t>2 </w:t>
      </w:r>
      <w:r>
        <w:rPr>
          <w:spacing w:val="-12"/>
        </w:rPr>
        <w:t>类标准。由表 </w:t>
      </w:r>
      <w:r>
        <w:rPr>
          <w:rFonts w:ascii="Times New Roman" w:eastAsia="Times New Roman"/>
        </w:rPr>
        <w:t>7-7</w:t>
      </w:r>
      <w:r>
        <w:rPr>
          <w:spacing w:val="-15"/>
        </w:rPr>
        <w:t>、</w:t>
      </w:r>
      <w:r>
        <w:rPr>
          <w:rFonts w:ascii="Times New Roman" w:eastAsia="Times New Roman"/>
        </w:rPr>
        <w:t>7-8 </w:t>
      </w:r>
      <w:r>
        <w:rPr>
          <w:spacing w:val="-3"/>
        </w:rPr>
        <w:t>预测结果可知，项</w:t>
      </w:r>
      <w:r>
        <w:rPr>
          <w:spacing w:val="-5"/>
        </w:rPr>
        <w:t>目营运期各特征年昼夜预测值、敏感点处昼夜预测值均达到《声环境质量标准》</w:t>
      </w:r>
      <w:r>
        <w:rPr>
          <w:spacing w:val="-1"/>
        </w:rPr>
        <w:t>相应标准要求，不存在扰民现象。</w:t>
      </w:r>
    </w:p>
    <w:p>
      <w:pPr>
        <w:pStyle w:val="BodyText"/>
        <w:spacing w:before="50"/>
        <w:ind w:left="698"/>
      </w:pPr>
      <w:r>
        <w:rPr/>
        <w:t>根据上表环评要求：</w:t>
      </w:r>
    </w:p>
    <w:p>
      <w:pPr>
        <w:pStyle w:val="BodyText"/>
        <w:spacing w:before="151"/>
        <w:ind w:left="698"/>
      </w:pPr>
      <w:r>
        <w:rPr/>
        <w:t>为了减少项目营运期对周边声环境的影响，环评建议采取以下措施：</w:t>
      </w:r>
    </w:p>
    <w:p>
      <w:pPr>
        <w:pStyle w:val="BodyText"/>
        <w:spacing w:before="153"/>
        <w:ind w:left="698"/>
      </w:pPr>
      <w:r>
        <w:rPr/>
        <w:t>①加强交通管理，禁止噪声过大的旧车上路，限制高噪声的机动车辆上路；</w:t>
      </w:r>
    </w:p>
    <w:p>
      <w:pPr>
        <w:pStyle w:val="BodyText"/>
        <w:spacing w:line="357" w:lineRule="auto" w:before="151"/>
        <w:ind w:left="218" w:firstLine="479"/>
      </w:pP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3"/>
        <w:ind w:left="638"/>
      </w:pPr>
      <w:r>
        <w:rPr/>
        <w:t>④居民集中路段设置“禁鸣”标志，减少突发噪声的干扰。</w:t>
      </w:r>
    </w:p>
    <w:p>
      <w:pPr>
        <w:pStyle w:val="BodyText"/>
        <w:spacing w:line="357" w:lineRule="auto" w:before="151"/>
        <w:ind w:left="218" w:right="232" w:firstLine="479"/>
      </w:pPr>
      <w:r>
        <w:rPr/>
        <w:t>采取以上噪声防治措施后，营运期交通噪声不会对周围环境造成明显不利影响。</w:t>
      </w:r>
    </w:p>
    <w:p>
      <w:pPr>
        <w:pStyle w:val="Heading3"/>
        <w:spacing w:before="36"/>
      </w:pPr>
      <w:r>
        <w:rPr>
          <w:rFonts w:ascii="Times New Roman" w:eastAsia="Times New Roman"/>
          <w:w w:val="95"/>
        </w:rPr>
        <w:t>4</w:t>
      </w:r>
      <w:r>
        <w:rPr>
          <w:w w:val="95"/>
        </w:rPr>
        <w:t>、固废影响分析</w:t>
      </w:r>
    </w:p>
    <w:p>
      <w:pPr>
        <w:pStyle w:val="BodyText"/>
        <w:spacing w:line="357" w:lineRule="auto" w:before="133"/>
        <w:ind w:left="218" w:right="23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pPr>
      <w:r>
        <w:rPr>
          <w:rFonts w:ascii="Times New Roman" w:eastAsia="Times New Roman"/>
          <w:w w:val="95"/>
        </w:rPr>
        <w:t>5</w:t>
      </w:r>
      <w:r>
        <w:rPr>
          <w:w w:val="95"/>
        </w:rPr>
        <w:t>、社会环境影响分析</w:t>
      </w:r>
    </w:p>
    <w:p>
      <w:pPr>
        <w:pStyle w:val="BodyText"/>
        <w:spacing w:line="355" w:lineRule="auto" w:before="136"/>
        <w:ind w:left="218" w:right="232"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p>
    <w:p>
      <w:pPr>
        <w:spacing w:after="0" w:line="355" w:lineRule="auto"/>
        <w:sectPr>
          <w:type w:val="continuous"/>
          <w:pgSz w:w="11910" w:h="16850"/>
          <w:pgMar w:top="1600" w:bottom="280" w:left="1580" w:right="1560"/>
        </w:sectPr>
      </w:pPr>
    </w:p>
    <w:p>
      <w:pPr>
        <w:pStyle w:val="BodyText"/>
        <w:spacing w:line="357" w:lineRule="auto" w:before="9"/>
        <w:ind w:left="218"/>
      </w:pPr>
      <w:r>
        <w:rPr/>
        <w:pict>
          <v:group style="position:absolute;margin-left:84.253998pt;margin-top:71.749977pt;width:427.1pt;height:698.7pt;mso-position-horizontal-relative:page;mso-position-vertical-relative:page;z-index:-17586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高道路通行能力；能够极大地方便人民生产生活，改善居民居住环境美化城市； 将促进区域经济发展，为社会提供更多就业机会，增加社会的稳定因素。</w:t>
      </w:r>
    </w:p>
    <w:p>
      <w:pPr>
        <w:spacing w:line="357" w:lineRule="auto" w:before="34"/>
        <w:ind w:left="700" w:right="3233" w:hanging="3"/>
        <w:jc w:val="left"/>
        <w:rPr>
          <w:b/>
          <w:sz w:val="24"/>
        </w:rPr>
      </w:pPr>
      <w:r>
        <w:rPr>
          <w:sz w:val="24"/>
        </w:rPr>
        <w:t>综上所述，本项目的社会环境影响为正效应。</w:t>
      </w:r>
      <w:r>
        <w:rPr>
          <w:b/>
          <w:w w:val="95"/>
          <w:sz w:val="24"/>
        </w:rPr>
        <w:t>三、环境风险分析</w:t>
      </w:r>
    </w:p>
    <w:p>
      <w:pPr>
        <w:pStyle w:val="BodyText"/>
        <w:spacing w:before="34"/>
        <w:ind w:left="698"/>
      </w:pPr>
      <w:r>
        <w:rPr>
          <w:rFonts w:ascii="Times New Roman" w:eastAsia="Times New Roman"/>
        </w:rPr>
        <w:t>1</w:t>
      </w:r>
      <w:r>
        <w:rPr/>
        <w:t>、风险识别</w:t>
      </w:r>
    </w:p>
    <w:p>
      <w:pPr>
        <w:pStyle w:val="BodyText"/>
        <w:spacing w:line="357" w:lineRule="auto" w:before="136"/>
        <w:ind w:left="218" w:right="268"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刷作用下，油类物质流入雨水管网，甚至直接流入项目附近的新宁河，对其造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BodyText"/>
        <w:spacing w:before="34"/>
        <w:ind w:left="698"/>
      </w:pPr>
      <w:r>
        <w:rPr>
          <w:rFonts w:ascii="Times New Roman" w:eastAsia="Times New Roman"/>
        </w:rPr>
        <w:t>2</w:t>
      </w:r>
      <w:r>
        <w:rPr/>
        <w:t>、风险事故防范措施</w:t>
      </w:r>
    </w:p>
    <w:p>
      <w:pPr>
        <w:pStyle w:val="BodyText"/>
        <w:spacing w:line="355" w:lineRule="auto" w:before="135"/>
        <w:ind w:left="218" w:right="277" w:firstLine="479"/>
        <w:jc w:val="both"/>
      </w:pPr>
      <w:r>
        <w:rPr/>
        <w:t>考虑到本项目施工期已完成，无法从工程措施入手进行处理，只能在今后的 运营期加强管理。</w:t>
      </w:r>
    </w:p>
    <w:p>
      <w:pPr>
        <w:pStyle w:val="BodyText"/>
        <w:spacing w:line="357" w:lineRule="auto" w:before="38"/>
        <w:ind w:left="218" w:firstLine="479"/>
      </w:pPr>
      <w:r>
        <w:rPr/>
        <w:t>管理措施：道路管理部门应对从事运输的车辆及人员进行严格管理及检查， 从上路检查、途中运输、停车，直到事故处理等各个环节，要加强管理，预防运 输事故的发生和控制突发事故事态的扩大。</w:t>
      </w:r>
    </w:p>
    <w:p>
      <w:pPr>
        <w:pStyle w:val="BodyText"/>
        <w:spacing w:line="357" w:lineRule="auto" w:before="34"/>
        <w:ind w:left="218" w:right="274" w:firstLine="479"/>
        <w:jc w:val="both"/>
      </w:pPr>
      <w:r>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BodyText"/>
        <w:spacing w:line="357" w:lineRule="auto" w:before="34"/>
        <w:ind w:left="218" w:right="277" w:firstLine="479"/>
        <w:jc w:val="both"/>
      </w:pPr>
      <w:r>
        <w:rPr/>
        <w:t>经分析，营运期间可能出现的环境风险主要源于运输油类产品等的车辆发生事故时引起的油类泄漏或燃料泄露，分析表明项目营运期间发生以上环境风</w:t>
      </w:r>
    </w:p>
    <w:p>
      <w:pPr>
        <w:spacing w:after="0" w:line="357" w:lineRule="auto"/>
        <w:jc w:val="both"/>
        <w:sectPr>
          <w:pgSz w:w="11910" w:h="16850"/>
          <w:pgMar w:header="0" w:footer="1141" w:top="1400" w:bottom="1400" w:left="1580" w:right="1580"/>
        </w:sectPr>
      </w:pPr>
    </w:p>
    <w:p>
      <w:pPr>
        <w:pStyle w:val="BodyText"/>
        <w:spacing w:line="357" w:lineRule="auto" w:before="9"/>
        <w:ind w:left="218" w:right="252"/>
      </w:pPr>
      <w:r>
        <w:rPr/>
        <w:pict>
          <v:group style="position:absolute;margin-left:84.253998pt;margin-top:71.749977pt;width:427.1pt;height:698.7pt;mso-position-horizontal-relative:page;mso-position-vertical-relative:page;z-index:-17584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险事故的概率极小，在采取相应防范措施的基础上可将风险事故造成的危害降至低， 达到可接受水平。故从环境风险角度分析，本项目实施可行。</w:t>
      </w:r>
    </w:p>
    <w:p>
      <w:pPr>
        <w:pStyle w:val="Heading3"/>
      </w:pPr>
      <w:r>
        <w:rPr>
          <w:w w:val="95"/>
        </w:rPr>
        <w:t>四、环保投资概算</w:t>
      </w:r>
    </w:p>
    <w:p>
      <w:pPr>
        <w:pStyle w:val="BodyText"/>
        <w:spacing w:line="336" w:lineRule="auto" w:before="154"/>
        <w:ind w:left="218" w:right="112" w:firstLine="479"/>
      </w:pPr>
      <w:r>
        <w:rPr>
          <w:spacing w:val="-6"/>
        </w:rPr>
        <w:t>项目环境保护投资总计 </w:t>
      </w:r>
      <w:r>
        <w:rPr>
          <w:rFonts w:ascii="Times New Roman" w:eastAsia="Times New Roman"/>
        </w:rPr>
        <w:t>30 </w:t>
      </w:r>
      <w:r>
        <w:rPr>
          <w:spacing w:val="-16"/>
        </w:rPr>
        <w:t>万元，占总投资 </w:t>
      </w:r>
      <w:r>
        <w:rPr>
          <w:rFonts w:ascii="Times New Roman" w:eastAsia="Times New Roman"/>
        </w:rPr>
        <w:t>580.1572 </w:t>
      </w:r>
      <w:r>
        <w:rPr>
          <w:spacing w:val="-30"/>
        </w:rPr>
        <w:t>的 </w:t>
      </w:r>
      <w:r>
        <w:rPr>
          <w:rFonts w:ascii="Times New Roman" w:eastAsia="Times New Roman"/>
          <w:spacing w:val="-11"/>
        </w:rPr>
        <w:t>5.2%</w:t>
      </w:r>
      <w:r>
        <w:rPr>
          <w:spacing w:val="-3"/>
        </w:rPr>
        <w:t>，项目环保措施</w:t>
      </w:r>
      <w:r>
        <w:rPr>
          <w:spacing w:val="-1"/>
        </w:rPr>
        <w:t>及投资见下表。</w:t>
      </w:r>
    </w:p>
    <w:p>
      <w:pPr>
        <w:pStyle w:val="Heading3"/>
        <w:tabs>
          <w:tab w:pos="3720" w:val="left" w:leader="none"/>
        </w:tabs>
        <w:spacing w:before="58" w:after="20"/>
        <w:ind w:left="2858"/>
      </w:pPr>
      <w:r>
        <w:rPr/>
        <w:t>表</w:t>
      </w:r>
      <w:r>
        <w:rPr>
          <w:spacing w:val="-60"/>
        </w:rPr>
        <w:t> </w:t>
      </w:r>
      <w:r>
        <w:rPr>
          <w:rFonts w:ascii="Times New Roman" w:eastAsia="Times New Roman"/>
        </w:rPr>
        <w:t>7-9</w:t>
        <w:tab/>
      </w:r>
      <w:r>
        <w:rPr>
          <w:w w:val="95"/>
        </w:rPr>
        <w:t>环保投资估算一览表</w:t>
      </w:r>
    </w:p>
    <w:tbl>
      <w:tblPr>
        <w:tblW w:w="0" w:type="auto"/>
        <w:jc w:val="left"/>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41"/>
        <w:gridCol w:w="890"/>
        <w:gridCol w:w="4112"/>
        <w:gridCol w:w="1419"/>
        <w:gridCol w:w="1195"/>
      </w:tblGrid>
      <w:tr>
        <w:trPr>
          <w:trHeight w:val="254" w:hRule="exact"/>
        </w:trPr>
        <w:tc>
          <w:tcPr>
            <w:tcW w:w="1531" w:type="dxa"/>
            <w:gridSpan w:val="2"/>
          </w:tcPr>
          <w:p>
            <w:pPr>
              <w:pStyle w:val="TableParagraph"/>
              <w:spacing w:line="222" w:lineRule="exact"/>
              <w:ind w:left="530" w:right="526"/>
              <w:rPr>
                <w:sz w:val="21"/>
              </w:rPr>
            </w:pPr>
            <w:r>
              <w:rPr>
                <w:sz w:val="21"/>
              </w:rPr>
              <w:t>类别</w:t>
            </w:r>
          </w:p>
        </w:tc>
        <w:tc>
          <w:tcPr>
            <w:tcW w:w="4112" w:type="dxa"/>
          </w:tcPr>
          <w:p>
            <w:pPr>
              <w:pStyle w:val="TableParagraph"/>
              <w:spacing w:line="222" w:lineRule="exact"/>
              <w:ind w:left="60" w:right="60"/>
              <w:rPr>
                <w:sz w:val="21"/>
              </w:rPr>
            </w:pPr>
            <w:r>
              <w:rPr>
                <w:sz w:val="21"/>
              </w:rPr>
              <w:t>措施内容</w:t>
            </w:r>
          </w:p>
        </w:tc>
        <w:tc>
          <w:tcPr>
            <w:tcW w:w="1419" w:type="dxa"/>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Pr>
          <w:p>
            <w:pPr>
              <w:pStyle w:val="TableParagraph"/>
              <w:spacing w:line="222" w:lineRule="exact"/>
              <w:ind w:left="360" w:right="360"/>
              <w:rPr>
                <w:sz w:val="21"/>
              </w:rPr>
            </w:pPr>
            <w:r>
              <w:rPr>
                <w:sz w:val="21"/>
              </w:rPr>
              <w:t>备注</w:t>
            </w:r>
          </w:p>
        </w:tc>
      </w:tr>
      <w:tr>
        <w:trPr>
          <w:trHeight w:val="254" w:hRule="exact"/>
        </w:trPr>
        <w:tc>
          <w:tcPr>
            <w:tcW w:w="641" w:type="dxa"/>
            <w:vMerge w:val="restart"/>
          </w:tcPr>
          <w:p>
            <w:pPr>
              <w:pStyle w:val="TableParagraph"/>
              <w:spacing w:before="10"/>
              <w:jc w:val="left"/>
              <w:rPr>
                <w:b/>
                <w:sz w:val="28"/>
              </w:rPr>
            </w:pPr>
          </w:p>
          <w:p>
            <w:pPr>
              <w:pStyle w:val="TableParagraph"/>
              <w:spacing w:line="208" w:lineRule="auto"/>
              <w:ind w:left="103" w:right="98"/>
              <w:jc w:val="both"/>
              <w:rPr>
                <w:sz w:val="21"/>
              </w:rPr>
            </w:pPr>
            <w:r>
              <w:rPr>
                <w:sz w:val="21"/>
              </w:rPr>
              <w:t>大气保护措施</w:t>
            </w:r>
          </w:p>
        </w:tc>
        <w:tc>
          <w:tcPr>
            <w:tcW w:w="890" w:type="dxa"/>
            <w:vMerge w:val="restart"/>
          </w:tcPr>
          <w:p>
            <w:pPr>
              <w:pStyle w:val="TableParagraph"/>
              <w:spacing w:before="10"/>
              <w:jc w:val="left"/>
              <w:rPr>
                <w:b/>
                <w:sz w:val="25"/>
              </w:rPr>
            </w:pPr>
          </w:p>
          <w:p>
            <w:pPr>
              <w:pStyle w:val="TableParagraph"/>
              <w:ind w:left="122"/>
              <w:jc w:val="left"/>
              <w:rPr>
                <w:sz w:val="21"/>
              </w:rPr>
            </w:pPr>
            <w:r>
              <w:rPr>
                <w:sz w:val="21"/>
              </w:rPr>
              <w:t>施工期</w:t>
            </w:r>
          </w:p>
        </w:tc>
        <w:tc>
          <w:tcPr>
            <w:tcW w:w="4112" w:type="dxa"/>
          </w:tcPr>
          <w:p>
            <w:pPr>
              <w:pStyle w:val="TableParagraph"/>
              <w:spacing w:line="222" w:lineRule="exact"/>
              <w:ind w:left="60" w:right="60"/>
              <w:rPr>
                <w:sz w:val="21"/>
              </w:rPr>
            </w:pPr>
            <w:r>
              <w:rPr>
                <w:sz w:val="21"/>
              </w:rPr>
              <w:t>施工运输材料车辆加篷布覆盖</w:t>
            </w:r>
          </w:p>
        </w:tc>
        <w:tc>
          <w:tcPr>
            <w:tcW w:w="1419" w:type="dxa"/>
          </w:tcPr>
          <w:p>
            <w:pPr>
              <w:pStyle w:val="TableParagraph"/>
              <w:spacing w:line="237" w:lineRule="exact"/>
              <w:ind w:left="190" w:right="192"/>
              <w:rPr>
                <w:rFonts w:ascii="Times New Roman"/>
                <w:sz w:val="21"/>
              </w:rPr>
            </w:pPr>
            <w:r>
              <w:rPr>
                <w:rFonts w:ascii="Times New Roman"/>
                <w:sz w:val="21"/>
              </w:rPr>
              <w:t>0.2</w:t>
            </w:r>
          </w:p>
        </w:tc>
        <w:tc>
          <w:tcPr>
            <w:tcW w:w="1195" w:type="dxa"/>
          </w:tcPr>
          <w:p>
            <w:pPr>
              <w:pStyle w:val="TableParagraph"/>
              <w:spacing w:line="222" w:lineRule="exact"/>
              <w:ind w:left="360" w:right="360"/>
              <w:rPr>
                <w:sz w:val="21"/>
              </w:rPr>
            </w:pPr>
            <w:r>
              <w:rPr>
                <w:sz w:val="21"/>
              </w:rPr>
              <w:t>已建</w:t>
            </w:r>
          </w:p>
        </w:tc>
      </w:tr>
      <w:tr>
        <w:trPr>
          <w:trHeight w:val="288" w:hRule="exact"/>
        </w:trPr>
        <w:tc>
          <w:tcPr>
            <w:tcW w:w="641" w:type="dxa"/>
            <w:vMerge/>
          </w:tcPr>
          <w:p>
            <w:pPr/>
          </w:p>
        </w:tc>
        <w:tc>
          <w:tcPr>
            <w:tcW w:w="890" w:type="dxa"/>
            <w:vMerge/>
          </w:tcPr>
          <w:p>
            <w:pPr/>
          </w:p>
        </w:tc>
        <w:tc>
          <w:tcPr>
            <w:tcW w:w="4112" w:type="dxa"/>
          </w:tcPr>
          <w:p>
            <w:pPr>
              <w:pStyle w:val="TableParagraph"/>
              <w:spacing w:line="238" w:lineRule="exact"/>
              <w:ind w:left="60" w:right="60"/>
              <w:rPr>
                <w:sz w:val="21"/>
              </w:rPr>
            </w:pPr>
            <w:r>
              <w:rPr>
                <w:sz w:val="21"/>
              </w:rPr>
              <w:t>定期洒水抑尘</w:t>
            </w:r>
          </w:p>
        </w:tc>
        <w:tc>
          <w:tcPr>
            <w:tcW w:w="1419" w:type="dxa"/>
          </w:tcPr>
          <w:p>
            <w:pPr>
              <w:pStyle w:val="TableParagraph"/>
              <w:spacing w:before="12"/>
              <w:ind w:left="190" w:right="192"/>
              <w:rPr>
                <w:rFonts w:ascii="Times New Roman"/>
                <w:sz w:val="21"/>
              </w:rPr>
            </w:pPr>
            <w:r>
              <w:rPr>
                <w:rFonts w:ascii="Times New Roman"/>
                <w:sz w:val="21"/>
              </w:rPr>
              <w:t>0.3</w:t>
            </w:r>
          </w:p>
        </w:tc>
        <w:tc>
          <w:tcPr>
            <w:tcW w:w="1195" w:type="dxa"/>
          </w:tcPr>
          <w:p>
            <w:pPr>
              <w:pStyle w:val="TableParagraph"/>
              <w:spacing w:line="241" w:lineRule="exact"/>
              <w:ind w:left="360" w:right="360"/>
              <w:rPr>
                <w:sz w:val="21"/>
              </w:rPr>
            </w:pPr>
            <w:r>
              <w:rPr>
                <w:sz w:val="21"/>
              </w:rPr>
              <w:t>已建</w:t>
            </w:r>
          </w:p>
        </w:tc>
      </w:tr>
      <w:tr>
        <w:trPr>
          <w:trHeight w:val="495" w:hRule="exact"/>
        </w:trPr>
        <w:tc>
          <w:tcPr>
            <w:tcW w:w="641" w:type="dxa"/>
            <w:vMerge/>
          </w:tcPr>
          <w:p>
            <w:pPr/>
          </w:p>
        </w:tc>
        <w:tc>
          <w:tcPr>
            <w:tcW w:w="890" w:type="dxa"/>
            <w:vMerge/>
          </w:tcPr>
          <w:p>
            <w:pPr/>
          </w:p>
        </w:tc>
        <w:tc>
          <w:tcPr>
            <w:tcW w:w="4112" w:type="dxa"/>
          </w:tcPr>
          <w:p>
            <w:pPr>
              <w:pStyle w:val="TableParagraph"/>
              <w:spacing w:line="240" w:lineRule="exact"/>
              <w:ind w:left="1207" w:right="142"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Pr>
          <w:p>
            <w:pPr>
              <w:pStyle w:val="TableParagraph"/>
              <w:spacing w:before="116"/>
              <w:ind w:right="2"/>
              <w:rPr>
                <w:rFonts w:ascii="Times New Roman"/>
                <w:sz w:val="21"/>
              </w:rPr>
            </w:pPr>
            <w:r>
              <w:rPr>
                <w:rFonts w:ascii="Times New Roman"/>
                <w:w w:val="100"/>
                <w:sz w:val="21"/>
              </w:rPr>
              <w:t>2</w:t>
            </w:r>
          </w:p>
        </w:tc>
        <w:tc>
          <w:tcPr>
            <w:tcW w:w="1195" w:type="dxa"/>
          </w:tcPr>
          <w:p>
            <w:pPr>
              <w:pStyle w:val="TableParagraph"/>
              <w:spacing w:line="241" w:lineRule="exact"/>
              <w:ind w:left="360" w:right="360"/>
              <w:rPr>
                <w:sz w:val="21"/>
              </w:rPr>
            </w:pPr>
            <w:r>
              <w:rPr>
                <w:sz w:val="21"/>
              </w:rPr>
              <w:t>已建</w:t>
            </w:r>
          </w:p>
        </w:tc>
      </w:tr>
      <w:tr>
        <w:trPr>
          <w:trHeight w:val="494" w:hRule="exact"/>
        </w:trPr>
        <w:tc>
          <w:tcPr>
            <w:tcW w:w="641" w:type="dxa"/>
            <w:vMerge/>
          </w:tcPr>
          <w:p>
            <w:pPr/>
          </w:p>
        </w:tc>
        <w:tc>
          <w:tcPr>
            <w:tcW w:w="890" w:type="dxa"/>
          </w:tcPr>
          <w:p>
            <w:pPr>
              <w:pStyle w:val="TableParagraph"/>
              <w:spacing w:before="66"/>
              <w:ind w:left="122"/>
              <w:jc w:val="left"/>
              <w:rPr>
                <w:sz w:val="21"/>
              </w:rPr>
            </w:pPr>
            <w:r>
              <w:rPr>
                <w:sz w:val="21"/>
              </w:rPr>
              <w:t>营运期</w:t>
            </w:r>
          </w:p>
        </w:tc>
        <w:tc>
          <w:tcPr>
            <w:tcW w:w="4112" w:type="dxa"/>
          </w:tcPr>
          <w:p>
            <w:pPr>
              <w:pStyle w:val="TableParagraph"/>
              <w:spacing w:line="240" w:lineRule="exact"/>
              <w:ind w:left="1836" w:right="142" w:hanging="1736"/>
              <w:jc w:val="left"/>
              <w:rPr>
                <w:sz w:val="21"/>
              </w:rPr>
            </w:pPr>
            <w:r>
              <w:rPr>
                <w:spacing w:val="-11"/>
                <w:sz w:val="21"/>
              </w:rPr>
              <w:t>加强管理，使用洒水车定期洒水、及时清扫路面</w:t>
            </w:r>
          </w:p>
        </w:tc>
        <w:tc>
          <w:tcPr>
            <w:tcW w:w="1419" w:type="dxa"/>
          </w:tcPr>
          <w:p>
            <w:pPr>
              <w:pStyle w:val="TableParagraph"/>
              <w:spacing w:before="116"/>
              <w:ind w:right="2"/>
              <w:rPr>
                <w:rFonts w:ascii="Times New Roman"/>
                <w:sz w:val="21"/>
              </w:rPr>
            </w:pPr>
            <w:r>
              <w:rPr>
                <w:rFonts w:ascii="Times New Roman"/>
                <w:w w:val="100"/>
                <w:sz w:val="21"/>
              </w:rPr>
              <w:t>2</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val="restart"/>
          </w:tcPr>
          <w:p>
            <w:pPr>
              <w:pStyle w:val="TableParagraph"/>
              <w:spacing w:before="8"/>
              <w:jc w:val="left"/>
              <w:rPr>
                <w:b/>
                <w:sz w:val="19"/>
              </w:rPr>
            </w:pPr>
          </w:p>
          <w:p>
            <w:pPr>
              <w:pStyle w:val="TableParagraph"/>
              <w:spacing w:line="240" w:lineRule="exact"/>
              <w:ind w:left="103" w:right="98"/>
              <w:jc w:val="both"/>
              <w:rPr>
                <w:sz w:val="21"/>
              </w:rPr>
            </w:pPr>
            <w:r>
              <w:rPr>
                <w:sz w:val="21"/>
              </w:rPr>
              <w:t>水环境保护措施</w:t>
            </w:r>
          </w:p>
        </w:tc>
        <w:tc>
          <w:tcPr>
            <w:tcW w:w="890" w:type="dxa"/>
            <w:vMerge w:val="restart"/>
          </w:tcPr>
          <w:p>
            <w:pPr>
              <w:pStyle w:val="TableParagraph"/>
              <w:spacing w:before="2"/>
              <w:jc w:val="left"/>
              <w:rPr>
                <w:b/>
                <w:sz w:val="24"/>
              </w:rPr>
            </w:pPr>
          </w:p>
          <w:p>
            <w:pPr>
              <w:pStyle w:val="TableParagraph"/>
              <w:ind w:left="122"/>
              <w:jc w:val="left"/>
              <w:rPr>
                <w:sz w:val="21"/>
              </w:rPr>
            </w:pPr>
            <w:r>
              <w:rPr>
                <w:sz w:val="21"/>
              </w:rPr>
              <w:t>施工期</w:t>
            </w:r>
          </w:p>
        </w:tc>
        <w:tc>
          <w:tcPr>
            <w:tcW w:w="4112" w:type="dxa"/>
          </w:tcPr>
          <w:p>
            <w:pPr>
              <w:pStyle w:val="TableParagraph"/>
              <w:spacing w:line="212" w:lineRule="exact"/>
              <w:ind w:left="60" w:right="60"/>
              <w:rPr>
                <w:sz w:val="21"/>
              </w:rPr>
            </w:pPr>
            <w:r>
              <w:rPr>
                <w:sz w:val="21"/>
              </w:rPr>
              <w:t>在施工出入口处设置 </w:t>
            </w:r>
            <w:r>
              <w:rPr>
                <w:rFonts w:ascii="Times New Roman" w:hAnsi="Times New Roman" w:eastAsia="Times New Roman"/>
                <w:sz w:val="21"/>
              </w:rPr>
              <w:t>1 </w:t>
            </w:r>
            <w:r>
              <w:rPr>
                <w:sz w:val="21"/>
              </w:rPr>
              <w:t>个临时隔油池（</w:t>
            </w:r>
            <w:r>
              <w:rPr>
                <w:rFonts w:ascii="Times New Roman" w:hAnsi="Times New Roman" w:eastAsia="Times New Roman"/>
                <w:sz w:val="21"/>
              </w:rPr>
              <w:t>3</w:t>
            </w:r>
            <w:r>
              <w:rPr>
                <w:sz w:val="21"/>
              </w:rPr>
              <w:t>×</w:t>
            </w:r>
          </w:p>
          <w:p>
            <w:pPr>
              <w:pStyle w:val="TableParagraph"/>
              <w:spacing w:line="265" w:lineRule="exact"/>
              <w:ind w:left="59" w:right="60"/>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419" w:type="dxa"/>
          </w:tcPr>
          <w:p>
            <w:pPr>
              <w:pStyle w:val="TableParagraph"/>
              <w:spacing w:before="116"/>
              <w:ind w:right="2"/>
              <w:rPr>
                <w:rFonts w:ascii="Times New Roman"/>
                <w:sz w:val="21"/>
              </w:rPr>
            </w:pPr>
            <w:r>
              <w:rPr>
                <w:rFonts w:ascii="Times New Roman"/>
                <w:w w:val="100"/>
                <w:sz w:val="21"/>
              </w:rPr>
              <w:t>5</w:t>
            </w:r>
          </w:p>
        </w:tc>
        <w:tc>
          <w:tcPr>
            <w:tcW w:w="1195" w:type="dxa"/>
          </w:tcPr>
          <w:p>
            <w:pPr>
              <w:pStyle w:val="TableParagraph"/>
              <w:spacing w:line="241" w:lineRule="exact"/>
              <w:ind w:left="360" w:right="360"/>
              <w:rPr>
                <w:sz w:val="21"/>
              </w:rPr>
            </w:pPr>
            <w:r>
              <w:rPr>
                <w:sz w:val="21"/>
              </w:rPr>
              <w:t>已建</w:t>
            </w:r>
          </w:p>
        </w:tc>
      </w:tr>
      <w:tr>
        <w:trPr>
          <w:trHeight w:val="497" w:hRule="exact"/>
        </w:trPr>
        <w:tc>
          <w:tcPr>
            <w:tcW w:w="641" w:type="dxa"/>
            <w:vMerge/>
          </w:tcPr>
          <w:p>
            <w:pPr/>
          </w:p>
        </w:tc>
        <w:tc>
          <w:tcPr>
            <w:tcW w:w="890" w:type="dxa"/>
            <w:vMerge/>
          </w:tcPr>
          <w:p>
            <w:pPr/>
          </w:p>
        </w:tc>
        <w:tc>
          <w:tcPr>
            <w:tcW w:w="4112" w:type="dxa"/>
          </w:tcPr>
          <w:p>
            <w:pPr>
              <w:pStyle w:val="TableParagraph"/>
              <w:spacing w:line="240" w:lineRule="exact" w:before="2"/>
              <w:ind w:left="1416" w:right="142" w:hanging="1316"/>
              <w:jc w:val="left"/>
              <w:rPr>
                <w:sz w:val="21"/>
              </w:rPr>
            </w:pPr>
            <w:r>
              <w:rPr>
                <w:spacing w:val="-12"/>
                <w:sz w:val="21"/>
              </w:rPr>
              <w:t>施工期租赁附近民房，施工期生活污水利用</w:t>
            </w:r>
            <w:r>
              <w:rPr>
                <w:spacing w:val="-6"/>
                <w:sz w:val="21"/>
              </w:rPr>
              <w:t>周边已有设施</w:t>
            </w:r>
          </w:p>
        </w:tc>
        <w:tc>
          <w:tcPr>
            <w:tcW w:w="1419" w:type="dxa"/>
          </w:tcPr>
          <w:p>
            <w:pPr>
              <w:pStyle w:val="TableParagraph"/>
              <w:spacing w:before="118"/>
              <w:ind w:left="190" w:right="192"/>
              <w:rPr>
                <w:rFonts w:ascii="Times New Roman"/>
                <w:sz w:val="21"/>
              </w:rPr>
            </w:pPr>
            <w:r>
              <w:rPr>
                <w:rFonts w:ascii="Times New Roman"/>
                <w:sz w:val="21"/>
              </w:rPr>
              <w:t>0.5</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494" w:hRule="exact"/>
        </w:trPr>
        <w:tc>
          <w:tcPr>
            <w:tcW w:w="641" w:type="dxa"/>
            <w:vMerge/>
          </w:tcPr>
          <w:p>
            <w:pPr/>
          </w:p>
        </w:tc>
        <w:tc>
          <w:tcPr>
            <w:tcW w:w="890" w:type="dxa"/>
          </w:tcPr>
          <w:p>
            <w:pPr>
              <w:pStyle w:val="TableParagraph"/>
              <w:spacing w:before="66"/>
              <w:ind w:left="122"/>
              <w:jc w:val="left"/>
              <w:rPr>
                <w:sz w:val="21"/>
              </w:rPr>
            </w:pPr>
            <w:r>
              <w:rPr>
                <w:sz w:val="21"/>
              </w:rPr>
              <w:t>营运期</w:t>
            </w:r>
          </w:p>
        </w:tc>
        <w:tc>
          <w:tcPr>
            <w:tcW w:w="4112" w:type="dxa"/>
          </w:tcPr>
          <w:p>
            <w:pPr>
              <w:pStyle w:val="TableParagraph"/>
              <w:spacing w:line="240" w:lineRule="exact"/>
              <w:ind w:left="1942" w:right="142" w:hanging="1842"/>
              <w:jc w:val="left"/>
              <w:rPr>
                <w:sz w:val="21"/>
              </w:rPr>
            </w:pPr>
            <w:r>
              <w:rPr>
                <w:spacing w:val="-12"/>
                <w:sz w:val="21"/>
              </w:rPr>
              <w:t>路面雨水收集系统，桥面设地表径流截排水沟</w:t>
            </w:r>
          </w:p>
        </w:tc>
        <w:tc>
          <w:tcPr>
            <w:tcW w:w="1419" w:type="dxa"/>
          </w:tcPr>
          <w:p>
            <w:pPr>
              <w:pStyle w:val="TableParagraph"/>
              <w:spacing w:before="116"/>
              <w:ind w:right="2"/>
              <w:rPr>
                <w:rFonts w:ascii="Times New Roman"/>
                <w:sz w:val="21"/>
              </w:rPr>
            </w:pPr>
            <w:r>
              <w:rPr>
                <w:rFonts w:ascii="Times New Roman"/>
                <w:w w:val="100"/>
                <w:sz w:val="21"/>
              </w:rPr>
              <w:t>4</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4" w:hRule="exact"/>
        </w:trPr>
        <w:tc>
          <w:tcPr>
            <w:tcW w:w="641" w:type="dxa"/>
            <w:vMerge w:val="restart"/>
          </w:tcPr>
          <w:p>
            <w:pPr>
              <w:pStyle w:val="TableParagraph"/>
              <w:spacing w:line="240" w:lineRule="exact" w:before="9"/>
              <w:ind w:left="103" w:right="98"/>
              <w:jc w:val="both"/>
              <w:rPr>
                <w:sz w:val="21"/>
              </w:rPr>
            </w:pPr>
            <w:r>
              <w:rPr>
                <w:sz w:val="21"/>
              </w:rPr>
              <w:t>噪声防治措施</w:t>
            </w:r>
          </w:p>
        </w:tc>
        <w:tc>
          <w:tcPr>
            <w:tcW w:w="890" w:type="dxa"/>
          </w:tcPr>
          <w:p>
            <w:pPr>
              <w:pStyle w:val="TableParagraph"/>
              <w:spacing w:before="66"/>
              <w:ind w:left="122"/>
              <w:jc w:val="left"/>
              <w:rPr>
                <w:sz w:val="21"/>
              </w:rPr>
            </w:pPr>
            <w:r>
              <w:rPr>
                <w:sz w:val="21"/>
              </w:rPr>
              <w:t>施工期</w:t>
            </w:r>
          </w:p>
        </w:tc>
        <w:tc>
          <w:tcPr>
            <w:tcW w:w="4112" w:type="dxa"/>
          </w:tcPr>
          <w:p>
            <w:pPr>
              <w:pStyle w:val="TableParagraph"/>
              <w:spacing w:line="240" w:lineRule="exact"/>
              <w:ind w:left="576" w:right="-13" w:hanging="476"/>
              <w:jc w:val="left"/>
              <w:rPr>
                <w:sz w:val="21"/>
              </w:rPr>
            </w:pPr>
            <w:r>
              <w:rPr>
                <w:sz w:val="21"/>
              </w:rPr>
              <w:t>选用低噪声设备，合理进行施工平面布置， 合理安排施工时间，修建围挡等</w:t>
            </w:r>
          </w:p>
        </w:tc>
        <w:tc>
          <w:tcPr>
            <w:tcW w:w="1419" w:type="dxa"/>
          </w:tcPr>
          <w:p>
            <w:pPr>
              <w:pStyle w:val="TableParagraph"/>
              <w:spacing w:before="116"/>
              <w:ind w:left="190" w:right="192"/>
              <w:rPr>
                <w:rFonts w:ascii="Times New Roman"/>
                <w:sz w:val="21"/>
              </w:rPr>
            </w:pPr>
            <w:r>
              <w:rPr>
                <w:rFonts w:ascii="Times New Roman"/>
                <w:sz w:val="21"/>
              </w:rPr>
              <w:t>0.3</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257" w:hRule="exact"/>
        </w:trPr>
        <w:tc>
          <w:tcPr>
            <w:tcW w:w="641" w:type="dxa"/>
            <w:vMerge/>
          </w:tcPr>
          <w:p>
            <w:pPr/>
          </w:p>
        </w:tc>
        <w:tc>
          <w:tcPr>
            <w:tcW w:w="890" w:type="dxa"/>
          </w:tcPr>
          <w:p>
            <w:pPr>
              <w:pStyle w:val="TableParagraph"/>
              <w:spacing w:line="224" w:lineRule="exact"/>
              <w:ind w:left="122"/>
              <w:jc w:val="left"/>
              <w:rPr>
                <w:sz w:val="21"/>
              </w:rPr>
            </w:pPr>
            <w:r>
              <w:rPr>
                <w:sz w:val="21"/>
              </w:rPr>
              <w:t>营运期</w:t>
            </w:r>
          </w:p>
        </w:tc>
        <w:tc>
          <w:tcPr>
            <w:tcW w:w="4112" w:type="dxa"/>
          </w:tcPr>
          <w:p>
            <w:pPr>
              <w:pStyle w:val="TableParagraph"/>
              <w:spacing w:line="224" w:lineRule="exact"/>
              <w:ind w:left="60" w:right="60"/>
              <w:rPr>
                <w:sz w:val="21"/>
              </w:rPr>
            </w:pPr>
            <w:r>
              <w:rPr>
                <w:sz w:val="21"/>
              </w:rPr>
              <w:t>设置减速、禁鸣喇叭标志；加强交通管理</w:t>
            </w:r>
          </w:p>
        </w:tc>
        <w:tc>
          <w:tcPr>
            <w:tcW w:w="1419" w:type="dxa"/>
          </w:tcPr>
          <w:p>
            <w:pPr>
              <w:pStyle w:val="TableParagraph"/>
              <w:spacing w:line="240" w:lineRule="exact"/>
              <w:ind w:left="190" w:right="192"/>
              <w:rPr>
                <w:rFonts w:ascii="Times New Roman"/>
                <w:sz w:val="21"/>
              </w:rPr>
            </w:pPr>
            <w:r>
              <w:rPr>
                <w:rFonts w:ascii="Times New Roman"/>
                <w:sz w:val="21"/>
              </w:rPr>
              <w:t>0.2</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5" w:hRule="exact"/>
        </w:trPr>
        <w:tc>
          <w:tcPr>
            <w:tcW w:w="641" w:type="dxa"/>
            <w:vMerge w:val="restart"/>
          </w:tcPr>
          <w:p>
            <w:pPr>
              <w:pStyle w:val="TableParagraph"/>
              <w:jc w:val="left"/>
              <w:rPr>
                <w:b/>
                <w:sz w:val="20"/>
              </w:rPr>
            </w:pPr>
          </w:p>
          <w:p>
            <w:pPr>
              <w:pStyle w:val="TableParagraph"/>
              <w:spacing w:before="8"/>
              <w:jc w:val="left"/>
              <w:rPr>
                <w:b/>
                <w:sz w:val="19"/>
              </w:rPr>
            </w:pPr>
          </w:p>
          <w:p>
            <w:pPr>
              <w:pStyle w:val="TableParagraph"/>
              <w:spacing w:line="240" w:lineRule="exact"/>
              <w:ind w:left="103" w:right="98"/>
              <w:jc w:val="both"/>
              <w:rPr>
                <w:sz w:val="21"/>
              </w:rPr>
            </w:pPr>
            <w:r>
              <w:rPr>
                <w:sz w:val="21"/>
              </w:rPr>
              <w:t>固废处理措施</w:t>
            </w:r>
          </w:p>
        </w:tc>
        <w:tc>
          <w:tcPr>
            <w:tcW w:w="890" w:type="dxa"/>
            <w:vMerge w:val="restart"/>
          </w:tcPr>
          <w:p>
            <w:pPr>
              <w:pStyle w:val="TableParagraph"/>
              <w:spacing w:before="1"/>
              <w:jc w:val="left"/>
              <w:rPr>
                <w:b/>
                <w:sz w:val="16"/>
              </w:rPr>
            </w:pPr>
          </w:p>
          <w:p>
            <w:pPr>
              <w:pStyle w:val="TableParagraph"/>
              <w:ind w:left="122"/>
              <w:jc w:val="left"/>
              <w:rPr>
                <w:sz w:val="21"/>
              </w:rPr>
            </w:pPr>
            <w:r>
              <w:rPr>
                <w:sz w:val="21"/>
              </w:rPr>
              <w:t>施工期</w:t>
            </w:r>
          </w:p>
        </w:tc>
        <w:tc>
          <w:tcPr>
            <w:tcW w:w="4112" w:type="dxa"/>
          </w:tcPr>
          <w:p>
            <w:pPr>
              <w:pStyle w:val="TableParagraph"/>
              <w:spacing w:line="199" w:lineRule="auto"/>
              <w:ind w:left="891" w:right="-13" w:hanging="791"/>
              <w:jc w:val="left"/>
              <w:rPr>
                <w:sz w:val="21"/>
              </w:rPr>
            </w:pPr>
            <w:r>
              <w:rPr>
                <w:spacing w:val="-14"/>
                <w:sz w:val="21"/>
              </w:rPr>
              <w:t>设置 </w:t>
            </w:r>
            <w:r>
              <w:rPr>
                <w:rFonts w:ascii="Times New Roman" w:eastAsia="Times New Roman"/>
                <w:sz w:val="21"/>
              </w:rPr>
              <w:t>1 </w:t>
            </w:r>
            <w:r>
              <w:rPr>
                <w:spacing w:val="-3"/>
                <w:sz w:val="21"/>
              </w:rPr>
              <w:t>个临时渣场，用于弃土的临时堆放， 施工期弃土及时清运处理</w:t>
            </w:r>
          </w:p>
        </w:tc>
        <w:tc>
          <w:tcPr>
            <w:tcW w:w="1419" w:type="dxa"/>
          </w:tcPr>
          <w:p>
            <w:pPr>
              <w:pStyle w:val="TableParagraph"/>
              <w:spacing w:before="116"/>
              <w:ind w:right="2"/>
              <w:rPr>
                <w:rFonts w:ascii="Times New Roman"/>
                <w:sz w:val="21"/>
              </w:rPr>
            </w:pPr>
            <w:r>
              <w:rPr>
                <w:rFonts w:ascii="Times New Roman"/>
                <w:w w:val="100"/>
                <w:sz w:val="21"/>
              </w:rPr>
              <w:t>3</w:t>
            </w:r>
          </w:p>
        </w:tc>
        <w:tc>
          <w:tcPr>
            <w:tcW w:w="1195" w:type="dxa"/>
          </w:tcPr>
          <w:p>
            <w:pPr>
              <w:pStyle w:val="TableParagraph"/>
              <w:spacing w:line="241" w:lineRule="exact"/>
              <w:ind w:left="360" w:right="360"/>
              <w:rPr>
                <w:sz w:val="21"/>
              </w:rPr>
            </w:pPr>
            <w:r>
              <w:rPr>
                <w:sz w:val="21"/>
              </w:rPr>
              <w:t>已建</w:t>
            </w:r>
          </w:p>
        </w:tc>
      </w:tr>
      <w:tr>
        <w:trPr>
          <w:trHeight w:val="288" w:hRule="exact"/>
        </w:trPr>
        <w:tc>
          <w:tcPr>
            <w:tcW w:w="641" w:type="dxa"/>
            <w:vMerge/>
          </w:tcPr>
          <w:p>
            <w:pPr/>
          </w:p>
        </w:tc>
        <w:tc>
          <w:tcPr>
            <w:tcW w:w="890" w:type="dxa"/>
            <w:vMerge/>
          </w:tcPr>
          <w:p>
            <w:pPr/>
          </w:p>
        </w:tc>
        <w:tc>
          <w:tcPr>
            <w:tcW w:w="4112" w:type="dxa"/>
          </w:tcPr>
          <w:p>
            <w:pPr>
              <w:pStyle w:val="TableParagraph"/>
              <w:spacing w:line="238" w:lineRule="exact"/>
              <w:ind w:left="60" w:right="60"/>
              <w:rPr>
                <w:sz w:val="21"/>
              </w:rPr>
            </w:pPr>
            <w:r>
              <w:rPr>
                <w:sz w:val="21"/>
              </w:rPr>
              <w:t>生活垃圾袋装收集后由环卫部门统一清运</w:t>
            </w:r>
          </w:p>
        </w:tc>
        <w:tc>
          <w:tcPr>
            <w:tcW w:w="1419" w:type="dxa"/>
          </w:tcPr>
          <w:p>
            <w:pPr>
              <w:pStyle w:val="TableParagraph"/>
              <w:spacing w:before="12"/>
              <w:ind w:left="190" w:right="192"/>
              <w:rPr>
                <w:rFonts w:ascii="Times New Roman"/>
                <w:sz w:val="21"/>
              </w:rPr>
            </w:pPr>
            <w:r>
              <w:rPr>
                <w:rFonts w:ascii="Times New Roman"/>
                <w:sz w:val="21"/>
              </w:rPr>
              <w:t>0.5</w:t>
            </w:r>
          </w:p>
        </w:tc>
        <w:tc>
          <w:tcPr>
            <w:tcW w:w="1195" w:type="dxa"/>
          </w:tcPr>
          <w:p>
            <w:pPr>
              <w:pStyle w:val="TableParagraph"/>
              <w:spacing w:line="243" w:lineRule="exact"/>
              <w:ind w:left="360" w:right="360"/>
              <w:rPr>
                <w:sz w:val="21"/>
              </w:rPr>
            </w:pPr>
            <w:r>
              <w:rPr>
                <w:sz w:val="21"/>
              </w:rPr>
              <w:t>已建</w:t>
            </w:r>
          </w:p>
        </w:tc>
      </w:tr>
      <w:tr>
        <w:trPr>
          <w:trHeight w:val="494" w:hRule="exact"/>
        </w:trPr>
        <w:tc>
          <w:tcPr>
            <w:tcW w:w="641" w:type="dxa"/>
            <w:vMerge/>
          </w:tcPr>
          <w:p>
            <w:pPr/>
          </w:p>
        </w:tc>
        <w:tc>
          <w:tcPr>
            <w:tcW w:w="890" w:type="dxa"/>
            <w:vMerge w:val="restart"/>
          </w:tcPr>
          <w:p>
            <w:pPr>
              <w:pStyle w:val="TableParagraph"/>
              <w:spacing w:before="12"/>
              <w:jc w:val="left"/>
              <w:rPr>
                <w:b/>
                <w:sz w:val="23"/>
              </w:rPr>
            </w:pPr>
          </w:p>
          <w:p>
            <w:pPr>
              <w:pStyle w:val="TableParagraph"/>
              <w:spacing w:before="1"/>
              <w:ind w:left="122"/>
              <w:jc w:val="left"/>
              <w:rPr>
                <w:sz w:val="21"/>
              </w:rPr>
            </w:pPr>
            <w:r>
              <w:rPr>
                <w:sz w:val="21"/>
              </w:rPr>
              <w:t>营运期</w:t>
            </w:r>
          </w:p>
        </w:tc>
        <w:tc>
          <w:tcPr>
            <w:tcW w:w="4112" w:type="dxa"/>
          </w:tcPr>
          <w:p>
            <w:pPr>
              <w:pStyle w:val="TableParagraph"/>
              <w:spacing w:line="240" w:lineRule="exact"/>
              <w:ind w:left="1416" w:right="142" w:hanging="1316"/>
              <w:jc w:val="left"/>
              <w:rPr>
                <w:sz w:val="21"/>
              </w:rPr>
            </w:pPr>
            <w:r>
              <w:rPr>
                <w:spacing w:val="-12"/>
                <w:sz w:val="21"/>
              </w:rPr>
              <w:t>垃圾桶若干，行人产生的生活废弃物由环卫</w:t>
            </w:r>
            <w:r>
              <w:rPr>
                <w:spacing w:val="-6"/>
                <w:sz w:val="21"/>
              </w:rPr>
              <w:t>部门统一清运</w:t>
            </w:r>
          </w:p>
        </w:tc>
        <w:tc>
          <w:tcPr>
            <w:tcW w:w="1419" w:type="dxa"/>
          </w:tcPr>
          <w:p>
            <w:pPr>
              <w:pStyle w:val="TableParagraph"/>
              <w:spacing w:before="116"/>
              <w:ind w:right="2"/>
              <w:rPr>
                <w:rFonts w:ascii="Times New Roman"/>
                <w:sz w:val="21"/>
              </w:rPr>
            </w:pPr>
            <w:r>
              <w:rPr>
                <w:rFonts w:ascii="Times New Roman"/>
                <w:w w:val="100"/>
                <w:sz w:val="21"/>
              </w:rPr>
              <w:t>1</w:t>
            </w:r>
          </w:p>
        </w:tc>
        <w:tc>
          <w:tcPr>
            <w:tcW w:w="1195" w:type="dxa"/>
          </w:tcPr>
          <w:p>
            <w:pPr>
              <w:pStyle w:val="TableParagraph"/>
              <w:spacing w:line="235" w:lineRule="exact"/>
              <w:ind w:right="1"/>
              <w:rPr>
                <w:rFonts w:ascii="Times New Roman"/>
                <w:sz w:val="21"/>
              </w:rPr>
            </w:pPr>
            <w:r>
              <w:rPr>
                <w:rFonts w:ascii="Times New Roman"/>
                <w:w w:val="100"/>
                <w:sz w:val="21"/>
              </w:rPr>
              <w:t>/</w:t>
            </w:r>
          </w:p>
        </w:tc>
      </w:tr>
      <w:tr>
        <w:trPr>
          <w:trHeight w:val="497" w:hRule="exact"/>
        </w:trPr>
        <w:tc>
          <w:tcPr>
            <w:tcW w:w="641" w:type="dxa"/>
            <w:vMerge/>
          </w:tcPr>
          <w:p>
            <w:pPr/>
          </w:p>
        </w:tc>
        <w:tc>
          <w:tcPr>
            <w:tcW w:w="890" w:type="dxa"/>
            <w:vMerge/>
          </w:tcPr>
          <w:p>
            <w:pPr/>
          </w:p>
        </w:tc>
        <w:tc>
          <w:tcPr>
            <w:tcW w:w="4112" w:type="dxa"/>
          </w:tcPr>
          <w:p>
            <w:pPr>
              <w:pStyle w:val="TableParagraph"/>
              <w:spacing w:line="240" w:lineRule="exact" w:before="2"/>
              <w:ind w:left="1942" w:right="142" w:hanging="1842"/>
              <w:jc w:val="left"/>
              <w:rPr>
                <w:sz w:val="21"/>
              </w:rPr>
            </w:pPr>
            <w:r>
              <w:rPr>
                <w:spacing w:val="-12"/>
                <w:sz w:val="21"/>
              </w:rPr>
              <w:t>路面定期清扫，清扫垃圾由环卫部门统一清运</w:t>
            </w:r>
          </w:p>
        </w:tc>
        <w:tc>
          <w:tcPr>
            <w:tcW w:w="1419" w:type="dxa"/>
          </w:tcPr>
          <w:p>
            <w:pPr>
              <w:pStyle w:val="TableParagraph"/>
              <w:spacing w:before="118"/>
              <w:ind w:right="2"/>
              <w:rPr>
                <w:rFonts w:ascii="Times New Roman"/>
                <w:sz w:val="21"/>
              </w:rPr>
            </w:pPr>
            <w:r>
              <w:rPr>
                <w:rFonts w:ascii="Times New Roman"/>
                <w:w w:val="100"/>
                <w:sz w:val="21"/>
              </w:rPr>
              <w:t>1</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494" w:hRule="exact"/>
        </w:trPr>
        <w:tc>
          <w:tcPr>
            <w:tcW w:w="1531" w:type="dxa"/>
            <w:gridSpan w:val="2"/>
          </w:tcPr>
          <w:p>
            <w:pPr>
              <w:pStyle w:val="TableParagraph"/>
              <w:spacing w:line="240" w:lineRule="exact"/>
              <w:ind w:left="549" w:right="3" w:hanging="526"/>
              <w:jc w:val="left"/>
              <w:rPr>
                <w:sz w:val="21"/>
              </w:rPr>
            </w:pPr>
            <w:r>
              <w:rPr>
                <w:sz w:val="21"/>
              </w:rPr>
              <w:t>生态及水土保持措施</w:t>
            </w:r>
          </w:p>
        </w:tc>
        <w:tc>
          <w:tcPr>
            <w:tcW w:w="4112" w:type="dxa"/>
          </w:tcPr>
          <w:p>
            <w:pPr>
              <w:pStyle w:val="TableParagraph"/>
              <w:spacing w:line="240" w:lineRule="exact"/>
              <w:ind w:left="1836" w:right="142" w:hanging="1681"/>
              <w:jc w:val="left"/>
              <w:rPr>
                <w:sz w:val="21"/>
              </w:rPr>
            </w:pPr>
            <w:r>
              <w:rPr>
                <w:sz w:val="21"/>
              </w:rPr>
              <w:t>施工期结束后对施工期临时占地进行迹地恢复</w:t>
            </w:r>
          </w:p>
        </w:tc>
        <w:tc>
          <w:tcPr>
            <w:tcW w:w="1419" w:type="dxa"/>
          </w:tcPr>
          <w:p>
            <w:pPr>
              <w:pStyle w:val="TableParagraph"/>
              <w:spacing w:before="116"/>
              <w:ind w:right="2"/>
              <w:rPr>
                <w:rFonts w:ascii="Times New Roman"/>
                <w:sz w:val="21"/>
              </w:rPr>
            </w:pPr>
            <w:r>
              <w:rPr>
                <w:rFonts w:ascii="Times New Roman"/>
                <w:w w:val="100"/>
                <w:sz w:val="21"/>
              </w:rPr>
              <w:t>8</w:t>
            </w:r>
          </w:p>
        </w:tc>
        <w:tc>
          <w:tcPr>
            <w:tcW w:w="1195" w:type="dxa"/>
          </w:tcPr>
          <w:p>
            <w:pPr>
              <w:pStyle w:val="TableParagraph"/>
              <w:spacing w:before="116"/>
              <w:ind w:right="1"/>
              <w:rPr>
                <w:rFonts w:ascii="Times New Roman"/>
                <w:sz w:val="21"/>
              </w:rPr>
            </w:pPr>
            <w:r>
              <w:rPr>
                <w:rFonts w:ascii="Times New Roman"/>
                <w:w w:val="100"/>
                <w:sz w:val="21"/>
              </w:rPr>
              <w:t>/</w:t>
            </w:r>
          </w:p>
        </w:tc>
      </w:tr>
      <w:tr>
        <w:trPr>
          <w:trHeight w:val="254" w:hRule="exact"/>
        </w:trPr>
        <w:tc>
          <w:tcPr>
            <w:tcW w:w="5643" w:type="dxa"/>
            <w:gridSpan w:val="3"/>
          </w:tcPr>
          <w:p>
            <w:pPr>
              <w:pStyle w:val="TableParagraph"/>
              <w:spacing w:line="222" w:lineRule="exact"/>
              <w:ind w:left="1956" w:right="1951"/>
              <w:rPr>
                <w:sz w:val="21"/>
              </w:rPr>
            </w:pPr>
            <w:r>
              <w:rPr>
                <w:sz w:val="21"/>
              </w:rPr>
              <w:t>定期进行环境监测</w:t>
            </w:r>
          </w:p>
        </w:tc>
        <w:tc>
          <w:tcPr>
            <w:tcW w:w="1419" w:type="dxa"/>
          </w:tcPr>
          <w:p>
            <w:pPr>
              <w:pStyle w:val="TableParagraph"/>
              <w:spacing w:line="237" w:lineRule="exact"/>
              <w:ind w:right="2"/>
              <w:rPr>
                <w:rFonts w:ascii="Times New Roman"/>
                <w:sz w:val="21"/>
              </w:rPr>
            </w:pPr>
            <w:r>
              <w:rPr>
                <w:rFonts w:ascii="Times New Roman"/>
                <w:w w:val="100"/>
                <w:sz w:val="21"/>
              </w:rPr>
              <w:t>2</w:t>
            </w:r>
          </w:p>
        </w:tc>
        <w:tc>
          <w:tcPr>
            <w:tcW w:w="1195" w:type="dxa"/>
          </w:tcPr>
          <w:p>
            <w:pPr>
              <w:pStyle w:val="TableParagraph"/>
              <w:spacing w:line="237" w:lineRule="exact"/>
              <w:ind w:right="1"/>
              <w:rPr>
                <w:rFonts w:ascii="Times New Roman"/>
                <w:sz w:val="21"/>
              </w:rPr>
            </w:pPr>
            <w:r>
              <w:rPr>
                <w:rFonts w:ascii="Times New Roman"/>
                <w:w w:val="100"/>
                <w:sz w:val="21"/>
              </w:rPr>
              <w:t>/</w:t>
            </w:r>
          </w:p>
        </w:tc>
      </w:tr>
      <w:tr>
        <w:trPr>
          <w:trHeight w:val="257" w:hRule="exact"/>
        </w:trPr>
        <w:tc>
          <w:tcPr>
            <w:tcW w:w="5643" w:type="dxa"/>
            <w:gridSpan w:val="3"/>
          </w:tcPr>
          <w:p>
            <w:pPr>
              <w:pStyle w:val="TableParagraph"/>
              <w:spacing w:line="222" w:lineRule="exact"/>
              <w:ind w:left="1953" w:right="1951"/>
              <w:rPr>
                <w:sz w:val="21"/>
              </w:rPr>
            </w:pPr>
            <w:r>
              <w:rPr>
                <w:sz w:val="21"/>
              </w:rPr>
              <w:t>合计</w:t>
            </w:r>
          </w:p>
        </w:tc>
        <w:tc>
          <w:tcPr>
            <w:tcW w:w="1419" w:type="dxa"/>
          </w:tcPr>
          <w:p>
            <w:pPr>
              <w:pStyle w:val="TableParagraph"/>
              <w:spacing w:line="237" w:lineRule="exact"/>
              <w:ind w:left="190" w:right="192"/>
              <w:rPr>
                <w:rFonts w:ascii="Times New Roman"/>
                <w:sz w:val="21"/>
              </w:rPr>
            </w:pPr>
            <w:r>
              <w:rPr>
                <w:rFonts w:ascii="Times New Roman"/>
                <w:sz w:val="21"/>
              </w:rPr>
              <w:t>30</w:t>
            </w:r>
          </w:p>
        </w:tc>
        <w:tc>
          <w:tcPr>
            <w:tcW w:w="1195" w:type="dxa"/>
          </w:tcPr>
          <w:p>
            <w:pPr/>
          </w:p>
        </w:tc>
      </w:tr>
    </w:tbl>
    <w:p>
      <w:pPr>
        <w:spacing w:after="0"/>
        <w:sectPr>
          <w:pgSz w:w="11910" w:h="16850"/>
          <w:pgMar w:header="0" w:footer="1141" w:top="1400" w:bottom="1400" w:left="1580" w:right="1580"/>
        </w:sectPr>
      </w:pPr>
    </w:p>
    <w:p>
      <w:pPr>
        <w:tabs>
          <w:tab w:pos="7297" w:val="left" w:leader="none"/>
        </w:tabs>
        <w:spacing w:line="382" w:lineRule="exact" w:before="0"/>
        <w:ind w:left="218" w:right="0" w:firstLine="0"/>
        <w:jc w:val="left"/>
        <w:rPr>
          <w:b/>
          <w:sz w:val="30"/>
        </w:rPr>
      </w:pPr>
      <w:r>
        <w:rPr/>
        <w:pict>
          <v:line style="position:absolute;mso-position-horizontal-relative:page;mso-position-vertical-relative:paragraph;z-index:-175816" from="84.744003pt,31.620001pt" to="118.940003pt,59.940001pt" stroked="true" strokeweight=".48pt" strokecolor="#000000">
            <v:stroke dashstyle="solid"/>
            <w10:wrap type="none"/>
          </v:line>
        </w:pict>
      </w:r>
      <w:r>
        <w:rPr>
          <w:b/>
          <w:sz w:val="30"/>
        </w:rPr>
        <w:t>建设项目采取的防治措施及预期治理效果</w:t>
        <w:tab/>
      </w:r>
      <w:r>
        <w:rPr>
          <w:b/>
          <w:w w:val="95"/>
          <w:sz w:val="30"/>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0" w:right="32"/>
              <w:rPr>
                <w:sz w:val="21"/>
              </w:rPr>
            </w:pPr>
            <w:r>
              <w:rPr>
                <w:sz w:val="21"/>
              </w:rPr>
              <w:t>挖方 </w:t>
            </w:r>
            <w:r>
              <w:rPr>
                <w:rFonts w:ascii="Times New Roman" w:eastAsia="Times New Roman"/>
                <w:sz w:val="21"/>
              </w:rPr>
              <w:t>1062m</w:t>
            </w:r>
            <w:r>
              <w:rPr>
                <w:rFonts w:ascii="Times New Roman" w:eastAsia="Times New Roman"/>
                <w:position w:val="10"/>
                <w:sz w:val="14"/>
              </w:rPr>
              <w:t>3</w:t>
            </w:r>
            <w:r>
              <w:rPr>
                <w:sz w:val="21"/>
              </w:rPr>
              <w:t>，无填方，弃方 </w:t>
            </w:r>
            <w:r>
              <w:rPr>
                <w:rFonts w:ascii="Times New Roman" w:eastAsia="Times New Roman"/>
                <w:sz w:val="21"/>
              </w:rPr>
              <w:t>1062m</w:t>
            </w:r>
            <w:r>
              <w:rPr>
                <w:rFonts w:ascii="Times New Roman" w:eastAsia="Times New Roman"/>
                <w:position w:val="10"/>
                <w:sz w:val="14"/>
              </w:rPr>
              <w:t>3</w:t>
            </w:r>
            <w:r>
              <w:rPr>
                <w:sz w:val="21"/>
              </w:rPr>
              <w:t>，</w:t>
            </w:r>
          </w:p>
          <w:p>
            <w:pPr>
              <w:pStyle w:val="TableParagraph"/>
              <w:spacing w:line="265" w:lineRule="exact"/>
              <w:ind w:left="32" w:right="32"/>
              <w:rPr>
                <w:sz w:val="21"/>
              </w:rPr>
            </w:pPr>
            <w:r>
              <w:rPr>
                <w:sz w:val="21"/>
              </w:rPr>
              <w:t>弃方运至指定堆场堆放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6025"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40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175792"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spacing w:line="348" w:lineRule="auto" w:before="151"/>
        <w:ind w:left="230" w:right="286" w:firstLine="479"/>
        <w:jc w:val="both"/>
      </w:pPr>
      <w:r>
        <w:rPr>
          <w:spacing w:val="-5"/>
        </w:rPr>
        <w:t>橄榄大道至牛山寺端部道路降坡工程 位于开江县新宁镇，总投资 </w:t>
      </w:r>
      <w:r>
        <w:rPr>
          <w:rFonts w:ascii="Times New Roman" w:eastAsia="Times New Roman"/>
        </w:rPr>
        <w:t>580.1572 </w:t>
      </w:r>
      <w:r>
        <w:rPr/>
        <w:t>万元，橄榄大道至牛山寺端部道路降坡工程。该项目包括橄榄大道（牛山寺） 端部工程、橄榄大道至化肥厂道路交界处、牛山寺至老城普路降坡，工程内容</w:t>
      </w:r>
      <w:r>
        <w:rPr>
          <w:spacing w:val="-3"/>
        </w:rPr>
        <w:t>包括：土方开挖、原路面恢复、人行道铺装等。</w:t>
      </w:r>
      <w:r>
        <w:rPr>
          <w:rFonts w:ascii="Times New Roman" w:eastAsia="Times New Roman"/>
        </w:rPr>
        <w:t>2016 </w:t>
      </w:r>
      <w:r>
        <w:rPr>
          <w:spacing w:val="-31"/>
        </w:rPr>
        <w:t>年 </w:t>
      </w:r>
      <w:r>
        <w:rPr>
          <w:rFonts w:ascii="Times New Roman" w:eastAsia="Times New Roman"/>
        </w:rPr>
        <w:t>2 </w:t>
      </w:r>
      <w:r>
        <w:rPr>
          <w:spacing w:val="-31"/>
        </w:rPr>
        <w:t>月 </w:t>
      </w:r>
      <w:r>
        <w:rPr>
          <w:rFonts w:ascii="Times New Roman" w:eastAsia="Times New Roman"/>
        </w:rPr>
        <w:t>4 </w:t>
      </w:r>
      <w:r>
        <w:rPr>
          <w:spacing w:val="-1"/>
        </w:rPr>
        <w:t>日，开江县发展</w:t>
      </w:r>
      <w:r>
        <w:rPr>
          <w:spacing w:val="-9"/>
        </w:rPr>
        <w:t>和改革局下达了《关于橄榄大道至牛山寺端部道路降坡工程 项目可行性研究报告的批复》（开发行审［</w:t>
      </w:r>
      <w:r>
        <w:rPr>
          <w:rFonts w:ascii="Times New Roman" w:eastAsia="Times New Roman"/>
          <w:spacing w:val="-9"/>
        </w:rPr>
        <w:t>2016</w:t>
      </w:r>
      <w:r>
        <w:rPr>
          <w:spacing w:val="-9"/>
        </w:rPr>
        <w:t>］</w:t>
      </w:r>
      <w:r>
        <w:rPr>
          <w:rFonts w:ascii="Times New Roman" w:eastAsia="Times New Roman"/>
          <w:spacing w:val="-9"/>
        </w:rPr>
        <w:t>06 </w:t>
      </w:r>
      <w:r>
        <w:rPr/>
        <w:t>号）。</w:t>
      </w:r>
    </w:p>
    <w:p>
      <w:pPr>
        <w:pStyle w:val="Heading3"/>
        <w:spacing w:before="16"/>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3"/>
        <w:ind w:left="230" w:right="195"/>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2016 </w:t>
      </w:r>
      <w:r>
        <w:rPr>
          <w:spacing w:val="-20"/>
        </w:rPr>
        <w:t>年 </w:t>
      </w:r>
      <w:r>
        <w:rPr>
          <w:rFonts w:ascii="Times New Roman" w:hAnsi="Times New Roman" w:eastAsia="Times New Roman"/>
        </w:rPr>
        <w:t>2 </w:t>
      </w:r>
      <w:r>
        <w:rPr>
          <w:spacing w:val="-21"/>
        </w:rPr>
        <w:t>月 </w:t>
      </w:r>
      <w:r>
        <w:rPr>
          <w:rFonts w:ascii="Times New Roman" w:hAnsi="Times New Roman" w:eastAsia="Times New Roman"/>
        </w:rPr>
        <w:t>4 </w:t>
      </w:r>
      <w:r>
        <w:rPr/>
        <w:t>日，开江县发展和改革局下达了</w:t>
      </w:r>
    </w:p>
    <w:p>
      <w:pPr>
        <w:pStyle w:val="BodyText"/>
        <w:spacing w:line="357" w:lineRule="auto" w:before="24"/>
        <w:ind w:left="230" w:right="286"/>
      </w:pPr>
      <w:r>
        <w:rPr>
          <w:spacing w:val="-3"/>
        </w:rPr>
        <w:t>《关于橄榄大道至牛山寺端部道路降坡工程 项目可行性研究报告</w:t>
      </w:r>
      <w:r>
        <w:rPr/>
        <w:t>（代项目建议书）</w:t>
      </w:r>
      <w:r>
        <w:rPr>
          <w:spacing w:val="-14"/>
        </w:rPr>
        <w:t>和招标事项的批复》</w:t>
      </w:r>
      <w:r>
        <w:rPr/>
        <w:t>（开发行审［</w:t>
      </w:r>
      <w:r>
        <w:rPr>
          <w:rFonts w:ascii="Times New Roman" w:eastAsia="Times New Roman"/>
        </w:rPr>
        <w:t>2016</w:t>
      </w:r>
      <w:r>
        <w:rPr/>
        <w:t>］</w:t>
      </w:r>
      <w:r>
        <w:rPr>
          <w:rFonts w:ascii="Times New Roman" w:eastAsia="Times New Roman"/>
        </w:rPr>
        <w:t>06 </w:t>
      </w:r>
      <w:r>
        <w:rPr/>
        <w:t>号</w:t>
      </w:r>
      <w:r>
        <w:rPr>
          <w:spacing w:val="-120"/>
        </w:rPr>
        <w:t>）</w:t>
      </w:r>
      <w:r>
        <w:rPr/>
        <w:t>。 </w:t>
      </w:r>
    </w:p>
    <w:p>
      <w:pPr>
        <w:pStyle w:val="BodyText"/>
        <w:spacing w:before="2"/>
        <w:ind w:left="710"/>
      </w:pPr>
      <w:r>
        <w:rPr/>
        <w:t>综上，该项目建设符合国家现行产业政策。</w:t>
      </w:r>
    </w:p>
    <w:p>
      <w:pPr>
        <w:pStyle w:val="Heading3"/>
        <w:spacing w:before="153"/>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7" w:lineRule="auto" w:before="135"/>
        <w:ind w:left="230" w:right="284" w:firstLine="479"/>
        <w:jc w:val="both"/>
      </w:pPr>
      <w:r>
        <w:rPr/>
        <w:t>本项目为橄榄大道至牛山寺端部道路降坡工程，位于新宁镇，属于市政配套工程基础设施建设，项目建成后，完善了该区域的路网结构。本项目是开江县城市道路的重要组成部分，也是开江县城市道路的重要支线，符合《四川省达州市开江县城市总体规划（2013-2030）》的中心城区道路系统规划。</w:t>
      </w:r>
    </w:p>
    <w:p>
      <w:pPr>
        <w:pStyle w:val="BodyText"/>
        <w:spacing w:before="35"/>
        <w:ind w:left="710"/>
      </w:pPr>
      <w:r>
        <w:rPr/>
        <w:t>综上所述，本项目符合相关规划要求。</w:t>
      </w:r>
    </w:p>
    <w:p>
      <w:pPr>
        <w:pStyle w:val="BodyText"/>
        <w:spacing w:before="153"/>
        <w:ind w:left="710"/>
      </w:pPr>
      <w:r>
        <w:rPr/>
        <w:t>（</w:t>
      </w:r>
      <w:r>
        <w:rPr>
          <w:rFonts w:ascii="Times New Roman" w:eastAsia="Times New Roman"/>
        </w:rPr>
        <w:t>2</w:t>
      </w:r>
      <w:r>
        <w:rPr/>
        <w:t>）选址合理性</w:t>
      </w:r>
    </w:p>
    <w:p>
      <w:pPr>
        <w:pStyle w:val="BodyText"/>
        <w:spacing w:before="133"/>
        <w:ind w:left="710"/>
      </w:pPr>
      <w:r>
        <w:rPr/>
        <w:t>本项目位于开江县新宁镇。本工程涉及橄榄大道（牛山寺）端部工程长约</w:t>
      </w:r>
    </w:p>
    <w:p>
      <w:pPr>
        <w:pStyle w:val="BodyText"/>
        <w:spacing w:line="336" w:lineRule="auto" w:before="154"/>
        <w:ind w:left="230" w:right="195"/>
      </w:pPr>
      <w:r>
        <w:rPr>
          <w:rFonts w:ascii="Times New Roman" w:eastAsia="Times New Roman"/>
          <w:spacing w:val="-5"/>
        </w:rPr>
        <w:t>111m</w:t>
      </w:r>
      <w:r>
        <w:rPr>
          <w:spacing w:val="-10"/>
        </w:rPr>
        <w:t>、橄榄大道至化肥厂道路交界处长约 </w:t>
      </w:r>
      <w:r>
        <w:rPr>
          <w:rFonts w:ascii="Times New Roman" w:eastAsia="Times New Roman"/>
        </w:rPr>
        <w:t>256.3m</w:t>
      </w:r>
      <w:r>
        <w:rPr>
          <w:spacing w:val="-6"/>
        </w:rPr>
        <w:t>、牛山寺至老城普路降坡三段</w:t>
      </w:r>
      <w:r>
        <w:rPr/>
        <w:t>道路降坡长约 </w:t>
      </w:r>
      <w:r>
        <w:rPr>
          <w:rFonts w:ascii="Times New Roman" w:eastAsia="Times New Roman"/>
        </w:rPr>
        <w:t>88m</w:t>
      </w:r>
      <w:r>
        <w:rPr>
          <w:spacing w:val="6"/>
        </w:rPr>
        <w:t>，总长 </w:t>
      </w:r>
      <w:r>
        <w:rPr>
          <w:rFonts w:ascii="Times New Roman" w:eastAsia="Times New Roman"/>
        </w:rPr>
        <w:t>455.3m</w:t>
      </w:r>
      <w:r>
        <w:rPr/>
        <w:t>，符合《四川省达州市开江县城市总体规划</w:t>
      </w:r>
    </w:p>
    <w:p>
      <w:pPr>
        <w:pStyle w:val="BodyText"/>
        <w:spacing w:before="29"/>
        <w:ind w:left="230"/>
      </w:pPr>
      <w:r>
        <w:rPr/>
        <w:t>（2013-2030）》的中心城区道路系统规划。</w:t>
      </w:r>
    </w:p>
    <w:p>
      <w:pPr>
        <w:spacing w:after="0"/>
        <w:sectPr>
          <w:footerReference w:type="default" r:id="rId11"/>
          <w:pgSz w:w="11910" w:h="16850"/>
          <w:pgMar w:footer="996" w:header="0" w:top="1400" w:bottom="1180" w:left="1620" w:right="1560"/>
          <w:pgNumType w:start="52"/>
        </w:sectPr>
      </w:pPr>
    </w:p>
    <w:p>
      <w:pPr>
        <w:pStyle w:val="BodyText"/>
        <w:spacing w:line="357" w:lineRule="auto" w:before="9"/>
        <w:ind w:left="230" w:right="220" w:firstLine="479"/>
      </w:pPr>
      <w:r>
        <w:rPr/>
        <w:pict>
          <v:group style="position:absolute;margin-left:86.893997pt;margin-top:71.749977pt;width:421.7pt;height:698.7pt;mso-position-horizontal-relative:page;mso-position-vertical-relative:page;z-index:-175768"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t>根据现场勘查，项目道路用地红线范围内，不存在临时堆土、建筑垃圾等施工期环境遗留问题，区域地势平坦，工程占地范围内不涉及居民拆迁。</w:t>
      </w:r>
    </w:p>
    <w:p>
      <w:pPr>
        <w:pStyle w:val="BodyText"/>
        <w:spacing w:line="343" w:lineRule="auto" w:before="34"/>
        <w:ind w:left="230" w:right="228" w:firstLine="479"/>
        <w:jc w:val="both"/>
      </w:pPr>
      <w:r>
        <w:rPr/>
        <w:t>项目周边市政道路完善，施工材料运输便捷。本项目道路起点与现有道路</w:t>
      </w:r>
      <w:r>
        <w:rPr>
          <w:spacing w:val="-1"/>
        </w:rPr>
        <w:t>相接。该工程主要敏感点沿线沿线两侧有少量居民，最近处为 </w:t>
      </w:r>
      <w:r>
        <w:rPr>
          <w:rFonts w:ascii="Times New Roman" w:eastAsia="Times New Roman"/>
        </w:rPr>
        <w:t>10m</w:t>
      </w:r>
      <w:r>
        <w:rPr/>
        <w:t>，橄榄大道</w:t>
      </w:r>
      <w:r>
        <w:rPr>
          <w:spacing w:val="-7"/>
        </w:rPr>
        <w:t>至化肥厂道路东侧为 </w:t>
      </w:r>
      <w:r>
        <w:rPr>
          <w:rFonts w:ascii="Times New Roman" w:eastAsia="Times New Roman"/>
        </w:rPr>
        <w:t>80m </w:t>
      </w:r>
      <w:r>
        <w:rPr>
          <w:spacing w:val="-11"/>
        </w:rPr>
        <w:t>环保局、牛山寺至老城普路东侧 </w:t>
      </w:r>
      <w:r>
        <w:rPr>
          <w:rFonts w:ascii="Times New Roman" w:eastAsia="Times New Roman"/>
        </w:rPr>
        <w:t>25m </w:t>
      </w:r>
      <w:r>
        <w:rPr>
          <w:spacing w:val="-7"/>
        </w:rPr>
        <w:t>为政务中心。其</w:t>
      </w:r>
      <w:r>
        <w:rPr>
          <w:spacing w:val="-13"/>
        </w:rPr>
        <w:t>它道路沿线红线外 </w:t>
      </w:r>
      <w:r>
        <w:rPr>
          <w:rFonts w:ascii="Times New Roman" w:eastAsia="Times New Roman"/>
        </w:rPr>
        <w:t>200m </w:t>
      </w:r>
      <w:r>
        <w:rPr/>
        <w:t>范围内主要为农田或荒地、林地。</w:t>
      </w:r>
    </w:p>
    <w:p>
      <w:pPr>
        <w:pStyle w:val="BodyText"/>
        <w:spacing w:line="348" w:lineRule="auto" w:before="19"/>
        <w:ind w:left="230" w:right="220" w:firstLine="479"/>
      </w:pPr>
      <w:r>
        <w:rPr>
          <w:spacing w:val="-1"/>
        </w:rPr>
        <w:t>总体上，本项目道路沿线外环境较简单，道路红线外 </w:t>
      </w:r>
      <w:r>
        <w:rPr>
          <w:rFonts w:ascii="Times New Roman" w:eastAsia="Times New Roman"/>
        </w:rPr>
        <w:t>200m </w:t>
      </w:r>
      <w:r>
        <w:rPr/>
        <w:t>范围内主要为</w:t>
      </w:r>
      <w:r>
        <w:rPr>
          <w:spacing w:val="-8"/>
        </w:rPr>
        <w:t>农田和荒地。项目评价范围内不涉及自然保护区、风景名胜区及重点文物古迹， </w:t>
      </w:r>
      <w:r>
        <w:rPr>
          <w:spacing w:val="-1"/>
        </w:rPr>
        <w:t>也无工业企业。项目周边无明显的环境制约因素，因此，本项目选址合理。 </w:t>
      </w:r>
    </w:p>
    <w:p>
      <w:pPr>
        <w:pStyle w:val="Heading3"/>
        <w:spacing w:before="46"/>
        <w:ind w:left="710"/>
      </w:pPr>
      <w:r>
        <w:rPr>
          <w:rFonts w:ascii="Times New Roman" w:eastAsia="Times New Roman"/>
          <w:w w:val="95"/>
        </w:rPr>
        <w:t>4</w:t>
      </w:r>
      <w:r>
        <w:rPr>
          <w:w w:val="95"/>
        </w:rPr>
        <w:t>、区域环境质量现状</w:t>
      </w:r>
    </w:p>
    <w:p>
      <w:pPr>
        <w:pStyle w:val="BodyText"/>
        <w:spacing w:before="133"/>
        <w:ind w:left="710"/>
      </w:pPr>
      <w:r>
        <w:rPr/>
        <w:t>（</w:t>
      </w:r>
      <w:r>
        <w:rPr>
          <w:rFonts w:ascii="Times New Roman" w:eastAsia="Times New Roman"/>
        </w:rPr>
        <w:t>1</w:t>
      </w:r>
      <w:r>
        <w:rPr/>
        <w:t>）大气环境</w:t>
      </w:r>
    </w:p>
    <w:p>
      <w:pPr>
        <w:pStyle w:val="BodyText"/>
        <w:spacing w:line="338" w:lineRule="auto" w:before="135"/>
        <w:ind w:left="230" w:right="220" w:firstLine="479"/>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710"/>
      </w:pPr>
      <w:r>
        <w:rPr/>
        <w:t>（</w:t>
      </w:r>
      <w:r>
        <w:rPr>
          <w:rFonts w:ascii="Times New Roman" w:eastAsia="Times New Roman"/>
        </w:rPr>
        <w:t>2</w:t>
      </w:r>
      <w:r>
        <w:rPr/>
        <w:t>）地表水环境</w:t>
      </w:r>
    </w:p>
    <w:p>
      <w:pPr>
        <w:pStyle w:val="BodyText"/>
        <w:spacing w:before="136"/>
        <w:ind w:left="713"/>
      </w:pPr>
      <w:r>
        <w:rPr>
          <w:w w:val="95"/>
        </w:rPr>
        <w:t>各监测指标满足《地表水环境质量标准》（</w:t>
      </w:r>
      <w:r>
        <w:rPr>
          <w:rFonts w:ascii="Times New Roman" w:hAnsi="Times New Roman" w:eastAsia="Times New Roman"/>
          <w:w w:val="95"/>
        </w:rPr>
        <w:t>GB3838-2002</w:t>
      </w:r>
      <w:r>
        <w:rPr>
          <w:w w:val="95"/>
        </w:rPr>
        <w:t>）Ⅲ类水域标准要</w:t>
      </w:r>
    </w:p>
    <w:p>
      <w:pPr>
        <w:pStyle w:val="BodyText"/>
        <w:spacing w:before="3"/>
        <w:rPr>
          <w:sz w:val="8"/>
        </w:rPr>
      </w:pPr>
    </w:p>
    <w:p>
      <w:pPr>
        <w:pStyle w:val="BodyText"/>
        <w:spacing w:before="26"/>
        <w:ind w:left="230"/>
      </w:pPr>
      <w:r>
        <w:rPr/>
        <w:t>求。</w:t>
      </w:r>
    </w:p>
    <w:p>
      <w:pPr>
        <w:pStyle w:val="BodyText"/>
        <w:spacing w:before="153"/>
        <w:ind w:left="710"/>
      </w:pPr>
      <w:r>
        <w:rPr/>
        <w:t>（</w:t>
      </w:r>
      <w:r>
        <w:rPr>
          <w:rFonts w:ascii="Times New Roman" w:eastAsia="Times New Roman"/>
        </w:rPr>
        <w:t>3</w:t>
      </w:r>
      <w:r>
        <w:rPr/>
        <w:t>）声环境</w:t>
      </w:r>
    </w:p>
    <w:p>
      <w:pPr>
        <w:pStyle w:val="BodyText"/>
        <w:spacing w:before="132"/>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3"/>
        <w:ind w:left="713"/>
      </w:pPr>
      <w:r>
        <w:rPr>
          <w:rFonts w:ascii="Times New Roman" w:eastAsia="Times New Roman"/>
          <w:w w:val="95"/>
        </w:rPr>
        <w:t>5</w:t>
      </w:r>
      <w:r>
        <w:rPr>
          <w:w w:val="95"/>
        </w:rPr>
        <w:t>、环境影响评价结论</w:t>
      </w:r>
    </w:p>
    <w:p>
      <w:pPr>
        <w:pStyle w:val="BodyText"/>
        <w:spacing w:before="135"/>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line="357" w:lineRule="auto" w:before="132"/>
        <w:ind w:left="230" w:right="220" w:firstLine="479"/>
      </w:pPr>
      <w:r>
        <w:rPr/>
        <w:t>本项目施工期对环境存在一定的影响，但是这些影响具有时效性，施工期间通过采取有效的污染防治措施后，可将这些影响降至最低。</w:t>
      </w:r>
    </w:p>
    <w:p>
      <w:pPr>
        <w:pStyle w:val="BodyText"/>
        <w:spacing w:before="33"/>
        <w:ind w:left="710"/>
      </w:pPr>
      <w:r>
        <w:rPr/>
        <w:t>（</w:t>
      </w:r>
      <w:r>
        <w:rPr>
          <w:rFonts w:ascii="Times New Roman" w:eastAsia="Times New Roman"/>
        </w:rPr>
        <w:t>2</w:t>
      </w:r>
      <w:r>
        <w:rPr/>
        <w:t>）营运期的影响</w:t>
      </w:r>
    </w:p>
    <w:p>
      <w:pPr>
        <w:pStyle w:val="BodyText"/>
        <w:spacing w:before="135"/>
        <w:ind w:left="710"/>
      </w:pPr>
      <w:r>
        <w:rPr/>
        <w:t>营运期对环境的重要影响主要为路面扬尘、汽车尾气和交通噪声。路面扬</w:t>
      </w:r>
    </w:p>
    <w:p>
      <w:pPr>
        <w:pStyle w:val="BodyText"/>
        <w:spacing w:before="7"/>
        <w:rPr>
          <w:sz w:val="9"/>
        </w:rPr>
      </w:pPr>
    </w:p>
    <w:p>
      <w:pPr>
        <w:pStyle w:val="BodyText"/>
        <w:spacing w:before="26"/>
        <w:ind w:left="230"/>
      </w:pPr>
      <w:r>
        <w:rPr/>
        <w:t>尘</w:t>
      </w:r>
    </w:p>
    <w:p>
      <w:pPr>
        <w:pStyle w:val="BodyText"/>
        <w:spacing w:before="153"/>
        <w:ind w:left="710"/>
      </w:pPr>
      <w:r>
        <w:rPr/>
        <w:t>通过项目绿化带中乔木、灌木吸附，可以极大的减少扬尘量。交通噪声控</w:t>
      </w:r>
    </w:p>
    <w:p>
      <w:pPr>
        <w:pStyle w:val="BodyText"/>
        <w:spacing w:before="9"/>
        <w:rPr>
          <w:sz w:val="9"/>
        </w:rPr>
      </w:pPr>
    </w:p>
    <w:p>
      <w:pPr>
        <w:pStyle w:val="BodyText"/>
        <w:spacing w:before="26"/>
        <w:ind w:left="230"/>
      </w:pPr>
      <w:r>
        <w:rPr/>
        <w:t>制要在</w:t>
      </w:r>
    </w:p>
    <w:p>
      <w:pPr>
        <w:pStyle w:val="BodyText"/>
        <w:spacing w:line="357" w:lineRule="auto" w:before="151"/>
        <w:ind w:left="230" w:right="220" w:firstLine="479"/>
      </w:pPr>
      <w:r>
        <w:rPr/>
        <w:t>环境敏感点处设置限速、禁止鸣笛的标志，利用绿化带吸收和阻隔交通噪声对这 些敏感点的影响。</w:t>
      </w:r>
    </w:p>
    <w:p>
      <w:pPr>
        <w:spacing w:after="0" w:line="357" w:lineRule="auto"/>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97.7pt;mso-position-horizontal-relative:char;mso-position-vertical-relative:line" type="#_x0000_t202" filled="false" stroked="true" strokeweight=".48001pt" strokecolor="#000000">
            <w10:anchorlock/>
            <v:textbox inset="0,0,0,0">
              <w:txbxContent>
                <w:p>
                  <w:pPr>
                    <w:spacing w:line="274" w:lineRule="exact" w:before="0"/>
                    <w:ind w:left="585" w:right="0" w:firstLine="0"/>
                    <w:jc w:val="left"/>
                    <w:rPr>
                      <w:b/>
                      <w:sz w:val="24"/>
                    </w:rPr>
                  </w:pPr>
                  <w:r>
                    <w:rPr>
                      <w:b/>
                      <w:w w:val="95"/>
                      <w:sz w:val="24"/>
                    </w:rPr>
                    <w:t>6、污染治理措施的合理性和有效性</w:t>
                  </w:r>
                  <w:r>
                    <w:rPr>
                      <w:b/>
                      <w:w w:val="99"/>
                      <w:sz w:val="24"/>
                    </w:rPr>
                    <w:t> </w:t>
                  </w:r>
                </w:p>
                <w:p>
                  <w:pPr>
                    <w:pStyle w:val="BodyText"/>
                    <w:spacing w:line="355" w:lineRule="auto" w:before="154"/>
                    <w:ind w:left="103"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8"/>
                    <w:ind w:left="103"/>
                  </w:pPr>
                  <w:r>
                    <w:rPr/>
                    <w:t>（</w:t>
                  </w:r>
                  <w:r>
                    <w:rPr>
                      <w:rFonts w:ascii="Times New Roman" w:eastAsia="Times New Roman"/>
                    </w:rPr>
                    <w:t>GB3095-2012</w:t>
                  </w:r>
                  <w:r>
                    <w:rPr/>
                    <w:t>）中的相关要求，工程建成后具有良好的环境正效益。</w:t>
                  </w:r>
                </w:p>
                <w:p>
                  <w:pPr>
                    <w:spacing w:before="133"/>
                    <w:ind w:left="585" w:right="0" w:firstLine="0"/>
                    <w:jc w:val="left"/>
                    <w:rPr>
                      <w:b/>
                      <w:sz w:val="24"/>
                    </w:rPr>
                  </w:pPr>
                  <w:r>
                    <w:rPr>
                      <w:b/>
                      <w:w w:val="95"/>
                      <w:sz w:val="24"/>
                    </w:rPr>
                    <w:t>7、总量控制</w:t>
                  </w:r>
                  <w:r>
                    <w:rPr>
                      <w:b/>
                      <w:w w:val="99"/>
                      <w:sz w:val="24"/>
                    </w:rPr>
                    <w:t> </w:t>
                  </w:r>
                </w:p>
                <w:p>
                  <w:pPr>
                    <w:pStyle w:val="BodyText"/>
                    <w:spacing w:before="154"/>
                    <w:ind w:left="583"/>
                  </w:pPr>
                  <w:r>
                    <w:rPr/>
                    <w:t>本项目不设总量控制指标。</w:t>
                  </w:r>
                </w:p>
                <w:p>
                  <w:pPr>
                    <w:spacing w:before="151"/>
                    <w:ind w:left="585" w:right="0" w:firstLine="0"/>
                    <w:jc w:val="left"/>
                    <w:rPr>
                      <w:b/>
                      <w:sz w:val="24"/>
                    </w:rPr>
                  </w:pPr>
                  <w:r>
                    <w:rPr>
                      <w:b/>
                      <w:w w:val="95"/>
                      <w:sz w:val="24"/>
                    </w:rPr>
                    <w:t>8、评价结论</w:t>
                  </w:r>
                  <w:r>
                    <w:rPr>
                      <w:b/>
                      <w:w w:val="99"/>
                      <w:sz w:val="24"/>
                    </w:rPr>
                    <w:t> </w:t>
                  </w:r>
                </w:p>
                <w:p>
                  <w:pPr>
                    <w:spacing w:line="352" w:lineRule="auto" w:before="153"/>
                    <w:ind w:left="103" w:right="0" w:firstLine="482"/>
                    <w:jc w:val="left"/>
                    <w:rPr>
                      <w:b/>
                      <w:sz w:val="24"/>
                    </w:rPr>
                  </w:pPr>
                  <w:r>
                    <w:rPr>
                      <w:b/>
                      <w:sz w:val="24"/>
                    </w:rPr>
                    <w:t>本项目属于道路建设项目，项目符合国家产业发展政策，选址符合开江县总体用地规划。贯彻了</w:t>
                  </w:r>
                  <w:r>
                    <w:rPr>
                      <w:rFonts w:ascii="Times New Roman" w:hAnsi="Times New Roman" w:eastAsia="Times New Roman"/>
                      <w:b/>
                      <w:sz w:val="24"/>
                    </w:rPr>
                    <w:t>“</w:t>
                  </w:r>
                  <w:r>
                    <w:rPr>
                      <w:b/>
                      <w:sz w:val="24"/>
                    </w:rPr>
                    <w:t>清洁生产、总量控制和达标排放原则</w:t>
                  </w:r>
                  <w:r>
                    <w:rPr>
                      <w:rFonts w:ascii="Times New Roman" w:hAnsi="Times New Roman" w:eastAsia="Times New Roman"/>
                      <w:b/>
                      <w:sz w:val="24"/>
                    </w:rPr>
                    <w:t>”</w:t>
                  </w:r>
                  <w:r>
                    <w:rPr>
                      <w:b/>
                      <w:sz w:val="24"/>
                    </w:rPr>
                    <w:t>；采取的污染物治理措施经济、技术可行，措施有效。项目在施工期、营运期只要严格按照本</w:t>
                  </w:r>
                  <w:r>
                    <w:rPr>
                      <w:b/>
                      <w:spacing w:val="-5"/>
                      <w:w w:val="95"/>
                      <w:sz w:val="24"/>
                    </w:rPr>
                    <w:t>报告表所提出的污染防治对策，并加强内部环境管理，落实废气、废水、噪声、 固</w:t>
                  </w:r>
                  <w:r>
                    <w:rPr>
                      <w:b/>
                      <w:spacing w:val="-5"/>
                      <w:sz w:val="24"/>
                    </w:rPr>
                    <w:t>废等治理措施，确保各项污染物达标排放，实现环境保护设施的有效运行。因此</w:t>
                  </w:r>
                  <w:r>
                    <w:rPr>
                      <w:b/>
                      <w:spacing w:val="-5"/>
                      <w:w w:val="95"/>
                      <w:sz w:val="24"/>
                    </w:rPr>
                    <w:t>，从环境保护的角度看，本项目建设是可行的。</w:t>
                  </w:r>
                </w:p>
                <w:p>
                  <w:pPr>
                    <w:spacing w:before="38"/>
                    <w:ind w:left="102" w:right="7222" w:firstLine="0"/>
                    <w:jc w:val="center"/>
                    <w:rPr>
                      <w:b/>
                      <w:sz w:val="24"/>
                    </w:rPr>
                  </w:pPr>
                  <w:r>
                    <w:rPr>
                      <w:b/>
                      <w:sz w:val="24"/>
                    </w:rPr>
                    <w:t>二、建议</w:t>
                  </w:r>
                  <w:r>
                    <w:rPr>
                      <w:b/>
                      <w:w w:val="99"/>
                      <w:sz w:val="24"/>
                    </w:rPr>
                    <w:t> </w:t>
                  </w:r>
                </w:p>
                <w:p>
                  <w:pPr>
                    <w:pStyle w:val="BodyText"/>
                    <w:spacing w:before="153"/>
                    <w:ind w:left="583" w:right="-15"/>
                  </w:pPr>
                  <w:r>
                    <w:rPr/>
                    <w:t>1</w:t>
                  </w:r>
                  <w:r>
                    <w:rPr>
                      <w:spacing w:val="-3"/>
                    </w:rPr>
                    <w:t>、建议在营运期建立环境监测制度，营运期不定期监测道路扬尘，噪声。</w:t>
                  </w:r>
                  <w:r>
                    <w:rPr/>
                    <w:t> </w:t>
                  </w:r>
                </w:p>
                <w:p>
                  <w:pPr>
                    <w:pStyle w:val="BodyText"/>
                    <w:spacing w:line="357" w:lineRule="auto" w:before="151"/>
                    <w:ind w:left="103" w:right="102"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能达到相 应的使用功能噪声标准。 </w:t>
                  </w:r>
                </w:p>
                <w:p>
                  <w:pPr>
                    <w:pStyle w:val="BodyText"/>
                    <w:spacing w:before="33"/>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4"/>
                    <w:ind w:left="583"/>
                  </w:pPr>
                  <w:r>
                    <w:rPr/>
                    <w:t> </w:t>
                  </w:r>
                </w:p>
                <w:p>
                  <w:pPr>
                    <w:pStyle w:val="BodyText"/>
                    <w:spacing w:before="151"/>
                    <w:ind w:left="583"/>
                  </w:pPr>
                  <w:r>
                    <w:rPr/>
                    <w:t> </w:t>
                  </w:r>
                </w:p>
                <w:p>
                  <w:pPr>
                    <w:pStyle w:val="BodyText"/>
                    <w:spacing w:before="153"/>
                    <w:ind w:left="583"/>
                  </w:pPr>
                  <w:r>
                    <w:rPr/>
                    <w:t> </w:t>
                  </w:r>
                </w:p>
                <w:p>
                  <w:pPr>
                    <w:pStyle w:val="BodyText"/>
                    <w:spacing w:before="153"/>
                    <w:ind w:left="583"/>
                  </w:pPr>
                  <w:r>
                    <w:rPr/>
                    <w:t> </w:t>
                  </w:r>
                </w:p>
                <w:p>
                  <w:pPr>
                    <w:pStyle w:val="BodyText"/>
                    <w:spacing w:before="151"/>
                    <w:ind w:left="583"/>
                  </w:pPr>
                  <w:r>
                    <w:rPr/>
                    <w:t> </w:t>
                  </w:r>
                </w:p>
                <w:p>
                  <w:pPr>
                    <w:pStyle w:val="BodyText"/>
                    <w:spacing w:before="154"/>
                    <w:ind w:left="583"/>
                  </w:pPr>
                  <w:r>
                    <w:rPr/>
                    <w:t> </w:t>
                  </w:r>
                </w:p>
              </w:txbxContent>
            </v:textbox>
            <v:stroke dashstyle="solid"/>
          </v:shape>
        </w:pict>
      </w:r>
      <w:r>
        <w:rPr>
          <w:spacing w:val="-49"/>
          <w:sz w:val="20"/>
        </w:rPr>
      </w:r>
    </w:p>
    <w:p>
      <w:pPr>
        <w:spacing w:after="0" w:line="240" w:lineRule="auto"/>
        <w:rPr>
          <w:sz w:val="20"/>
        </w:rPr>
        <w:sectPr>
          <w:pgSz w:w="11910" w:h="16850"/>
          <w:pgMar w:header="0" w:footer="996" w:top="1440" w:bottom="1180" w:left="1640" w:right="1640"/>
        </w:sectPr>
      </w:pPr>
    </w:p>
    <w:p>
      <w:pPr>
        <w:spacing w:line="240" w:lineRule="auto"/>
        <w:ind w:left="97" w:right="0" w:firstLine="0"/>
        <w:rPr>
          <w:sz w:val="20"/>
        </w:rPr>
      </w:pPr>
      <w:r>
        <w:rPr>
          <w:rFonts w:ascii="Times New Roman"/>
          <w:spacing w:val="-49"/>
          <w:sz w:val="20"/>
        </w:rPr>
        <w:t> </w:t>
      </w:r>
      <w:r>
        <w:rPr>
          <w:spacing w:val="-49"/>
          <w:sz w:val="20"/>
        </w:rPr>
        <w:pict>
          <v:shape style="width:421.2pt;height:673.9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pStyle w:val="BodyText"/>
                    <w:spacing w:before="154"/>
                    <w:ind w:left="583"/>
                  </w:pPr>
                  <w:r>
                    <w:rPr/>
                    <w:t> </w:t>
                  </w:r>
                </w:p>
                <w:p>
                  <w:pPr>
                    <w:pStyle w:val="BodyText"/>
                    <w:spacing w:before="151"/>
                    <w:ind w:left="583"/>
                  </w:pPr>
                  <w:r>
                    <w:rPr/>
                    <w:t> </w:t>
                  </w:r>
                </w:p>
                <w:p>
                  <w:pPr>
                    <w:spacing w:before="133"/>
                    <w:ind w:left="3736" w:right="3561" w:firstLine="0"/>
                    <w:jc w:val="center"/>
                    <w:rPr>
                      <w:b/>
                      <w:sz w:val="36"/>
                    </w:rPr>
                  </w:pPr>
                  <w:r>
                    <w:rPr>
                      <w:b/>
                      <w:sz w:val="36"/>
                    </w:rPr>
                    <w:t>注  释</w:t>
                  </w:r>
                  <w:r>
                    <w:rPr>
                      <w:b/>
                      <w:w w:val="99"/>
                      <w:sz w:val="36"/>
                    </w:rPr>
                    <w:t> </w:t>
                  </w:r>
                </w:p>
                <w:p>
                  <w:pPr>
                    <w:spacing w:line="355" w:lineRule="auto" w:before="249"/>
                    <w:ind w:left="736" w:right="3677" w:hanging="53"/>
                    <w:jc w:val="left"/>
                    <w:rPr>
                      <w:b/>
                      <w:sz w:val="24"/>
                    </w:rPr>
                  </w:pPr>
                  <w:r>
                    <w:rPr>
                      <w:b/>
                      <w:sz w:val="24"/>
                    </w:rPr>
                    <w:t>一、本报告表应附以下附件、附图： </w:t>
                  </w:r>
                  <w:r>
                    <w:rPr>
                      <w:b/>
                      <w:w w:val="95"/>
                      <w:sz w:val="24"/>
                    </w:rPr>
                    <w:t>附件：</w:t>
                  </w:r>
                </w:p>
                <w:p>
                  <w:pPr>
                    <w:pStyle w:val="BodyText"/>
                    <w:spacing w:before="38"/>
                    <w:ind w:left="691"/>
                  </w:pPr>
                  <w:r>
                    <w:rPr/>
                    <w:t>附件 </w:t>
                  </w:r>
                  <w:r>
                    <w:rPr>
                      <w:rFonts w:ascii="Times New Roman" w:eastAsia="Times New Roman"/>
                    </w:rPr>
                    <w:t>1  </w:t>
                  </w:r>
                  <w:r>
                    <w:rPr/>
                    <w:t>环评委托书</w:t>
                  </w:r>
                </w:p>
                <w:p>
                  <w:pPr>
                    <w:pStyle w:val="BodyText"/>
                    <w:spacing w:line="338" w:lineRule="auto" w:before="134"/>
                    <w:ind w:left="211" w:right="214" w:firstLine="479"/>
                  </w:pPr>
                  <w:r>
                    <w:rPr/>
                    <w:t>附件 </w:t>
                  </w:r>
                  <w:r>
                    <w:rPr>
                      <w:rFonts w:ascii="Times New Roman" w:eastAsia="Times New Roman"/>
                    </w:rPr>
                    <w:t>2 </w:t>
                  </w:r>
                  <w:r>
                    <w:rPr/>
                    <w:t>开江县发展和改革局《关于橄榄大道至牛山寺端部道路降坡工程项目可行性研究报告的批复》（开发行审［</w:t>
                  </w:r>
                  <w:r>
                    <w:rPr>
                      <w:rFonts w:ascii="Times New Roman" w:eastAsia="Times New Roman"/>
                    </w:rPr>
                    <w:t>2016</w:t>
                  </w:r>
                  <w:r>
                    <w:rPr/>
                    <w:t>］</w:t>
                  </w:r>
                  <w:r>
                    <w:rPr>
                      <w:rFonts w:ascii="Times New Roman" w:eastAsia="Times New Roman"/>
                    </w:rPr>
                    <w:t>06 </w:t>
                  </w:r>
                  <w:r>
                    <w:rPr/>
                    <w:t>号）</w:t>
                  </w:r>
                </w:p>
                <w:p>
                  <w:pPr>
                    <w:pStyle w:val="BodyText"/>
                    <w:spacing w:before="24"/>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7"/>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7"/>
                    <w:ind w:left="736"/>
                  </w:pPr>
                  <w:r>
                    <w:rPr/>
                    <w:t>附图 </w:t>
                  </w:r>
                  <w:r>
                    <w:rPr>
                      <w:rFonts w:ascii="Times New Roman" w:eastAsia="Times New Roman"/>
                    </w:rPr>
                    <w:t>3  </w:t>
                  </w:r>
                  <w:r>
                    <w:rPr/>
                    <w:t>项目平面布置图</w:t>
                  </w:r>
                </w:p>
                <w:p>
                  <w:pPr>
                    <w:pStyle w:val="BodyText"/>
                    <w:spacing w:before="169"/>
                    <w:ind w:left="736"/>
                  </w:pPr>
                  <w:r>
                    <w:rPr/>
                    <w:t>附图 </w:t>
                  </w:r>
                  <w:r>
                    <w:rPr>
                      <w:rFonts w:ascii="Times New Roman" w:eastAsia="Times New Roman"/>
                    </w:rPr>
                    <w:t>4  </w:t>
                  </w:r>
                  <w:r>
                    <w:rPr/>
                    <w:t>施工平面布置图</w:t>
                  </w:r>
                </w:p>
                <w:p>
                  <w:pPr>
                    <w:spacing w:line="381" w:lineRule="auto" w:before="167"/>
                    <w:ind w:left="211" w:right="241" w:firstLine="482"/>
                    <w:jc w:val="left"/>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4"/>
                      <w:sz w:val="24"/>
                    </w:rPr>
                    <w:t> 项进行专</w:t>
                  </w:r>
                </w:p>
                <w:p>
                  <w:pPr>
                    <w:spacing w:before="46"/>
                    <w:ind w:left="150" w:right="7174" w:firstLine="0"/>
                    <w:jc w:val="center"/>
                    <w:rPr>
                      <w:b/>
                      <w:sz w:val="24"/>
                    </w:rPr>
                  </w:pPr>
                  <w:r>
                    <w:rPr>
                      <w:b/>
                      <w:sz w:val="24"/>
                    </w:rPr>
                    <w:t>项评价。</w:t>
                  </w:r>
                </w:p>
                <w:p>
                  <w:pPr>
                    <w:pStyle w:val="BodyText"/>
                    <w:spacing w:before="24"/>
                    <w:ind w:left="681"/>
                  </w:pPr>
                  <w:r>
                    <w:rPr/>
                    <w:t>1、大气环境影响专项评价 </w:t>
                  </w:r>
                </w:p>
                <w:p>
                  <w:pPr>
                    <w:pStyle w:val="BodyText"/>
                    <w:spacing w:before="151"/>
                    <w:ind w:left="681"/>
                  </w:pPr>
                  <w:r>
                    <w:rPr/>
                    <w:t>2、水环境影响专项评价(包括地表水和地下水) </w:t>
                  </w:r>
                </w:p>
                <w:p>
                  <w:pPr>
                    <w:pStyle w:val="BodyText"/>
                    <w:spacing w:before="154"/>
                    <w:ind w:left="681"/>
                  </w:pPr>
                  <w:r>
                    <w:rPr/>
                    <w:t>3、生态环境影响专项评价 </w:t>
                  </w:r>
                </w:p>
                <w:p>
                  <w:pPr>
                    <w:pStyle w:val="BodyText"/>
                    <w:spacing w:before="151"/>
                    <w:ind w:left="681"/>
                  </w:pPr>
                  <w:r>
                    <w:rPr/>
                    <w:t>4、声影响专项评价 </w:t>
                  </w:r>
                </w:p>
                <w:p>
                  <w:pPr>
                    <w:pStyle w:val="BodyText"/>
                    <w:spacing w:before="154"/>
                    <w:ind w:left="681"/>
                  </w:pPr>
                  <w:r>
                    <w:rPr/>
                    <w:t>5、土壤影响专项评价 </w:t>
                  </w:r>
                </w:p>
                <w:p>
                  <w:pPr>
                    <w:pStyle w:val="BodyText"/>
                    <w:spacing w:before="154"/>
                    <w:ind w:left="681"/>
                  </w:pPr>
                  <w:r>
                    <w:rPr/>
                    <w:t>6、固体废弃物影响专项评价 </w:t>
                  </w:r>
                </w:p>
                <w:p>
                  <w:pPr>
                    <w:pStyle w:val="BodyText"/>
                    <w:spacing w:line="357" w:lineRule="auto" w:before="151"/>
                    <w:ind w:left="211" w:right="214"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6"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仿宋">
    <w:altName w:val="仿宋"/>
    <w:charset w:val="86"/>
    <w:family w:val="modern"/>
    <w:pitch w:val="fixed"/>
  </w:font>
  <w:font w:name="华文中宋">
    <w:altName w:val="华文中宋"/>
    <w:charset w:val="86"/>
    <w:family w:val="auto"/>
    <w:pitch w:val="variable"/>
  </w:font>
  <w:font w:name="MS Gothic">
    <w:altName w:val="MS Gothic"/>
    <w:charset w:val="0"/>
    <w:family w:val="modern"/>
    <w:pitch w:val="fixed"/>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177640"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177616"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52</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spacing w:line="352" w:lineRule="exact"/>
      <w:ind w:left="226"/>
      <w:outlineLvl w:val="2"/>
    </w:pPr>
    <w:rPr>
      <w:rFonts w:ascii="宋体" w:hAnsi="宋体" w:eastAsia="宋体" w:cs="宋体"/>
      <w:b/>
      <w:bCs/>
      <w:sz w:val="28"/>
      <w:szCs w:val="28"/>
    </w:rPr>
  </w:style>
  <w:style w:styleId="Heading3" w:type="paragraph">
    <w:name w:val="Heading 3"/>
    <w:basedOn w:val="Normal"/>
    <w:uiPriority w:val="1"/>
    <w:qFormat/>
    <w:pPr>
      <w:spacing w:before="34"/>
      <w:ind w:left="700"/>
      <w:outlineLvl w:val="3"/>
    </w:pPr>
    <w:rPr>
      <w:rFonts w:ascii="宋体" w:hAnsi="宋体" w:eastAsia="宋体" w:cs="宋体"/>
      <w:b/>
      <w:bCs/>
      <w:sz w:val="24"/>
      <w:szCs w:val="24"/>
    </w:rPr>
  </w:style>
  <w:style w:styleId="ListParagraph" w:type="paragraph">
    <w:name w:val="List Paragraph"/>
    <w:basedOn w:val="Normal"/>
    <w:uiPriority w:val="1"/>
    <w:qFormat/>
    <w:pPr>
      <w:spacing w:before="73"/>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hyperlink" Target="http://kjs.mep.gov.cn/hjbhbz/bzwb/dqhjbh/xgbz/201412/W020141211579618213818.pdf" TargetMode="External"/><Relationship Id="rId8" Type="http://schemas.openxmlformats.org/officeDocument/2006/relationships/image" Target="media/image2.png"/><Relationship Id="rId9" Type="http://schemas.openxmlformats.org/officeDocument/2006/relationships/image" Target="media/image3.jpeg"/><Relationship Id="rId10" Type="http://schemas.openxmlformats.org/officeDocument/2006/relationships/image" Target="media/image4.png"/><Relationship Id="rId11" Type="http://schemas.openxmlformats.org/officeDocument/2006/relationships/footer" Target="footer2.xm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2017-12-18T18:03:39Z</dcterms:created>
  <dcterms:modified xsi:type="dcterms:W3CDTF">2017-12-18T18:03:39Z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