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rPr>
          <w:rFonts w:ascii="Times New Roman"/>
          <w:sz w:val="20"/>
        </w:rPr>
      </w:pPr>
    </w:p>
    <w:p>
      <w:pPr>
        <w:pStyle w:val="BodyText"/>
        <w:spacing w:before="0"/>
        <w:rPr>
          <w:rFonts w:ascii="Times New Roman"/>
          <w:sz w:val="20"/>
        </w:rPr>
      </w:pPr>
    </w:p>
    <w:p>
      <w:pPr>
        <w:pStyle w:val="BodyText"/>
        <w:spacing w:before="0"/>
        <w:rPr>
          <w:rFonts w:ascii="Times New Roman"/>
          <w:sz w:val="20"/>
        </w:rPr>
      </w:pPr>
    </w:p>
    <w:p>
      <w:pPr>
        <w:pStyle w:val="BodyText"/>
        <w:spacing w:before="0"/>
        <w:rPr>
          <w:rFonts w:ascii="Times New Roman"/>
          <w:sz w:val="20"/>
        </w:rPr>
      </w:pPr>
    </w:p>
    <w:p>
      <w:pPr>
        <w:pStyle w:val="BodyText"/>
        <w:spacing w:before="11"/>
        <w:rPr>
          <w:rFonts w:ascii="Times New Roman"/>
          <w:sz w:val="21"/>
        </w:rPr>
      </w:pPr>
    </w:p>
    <w:p>
      <w:pPr>
        <w:spacing w:line="940" w:lineRule="exact" w:before="0"/>
        <w:ind w:left="255" w:right="80" w:firstLine="0"/>
        <w:jc w:val="center"/>
        <w:rPr>
          <w:rFonts w:ascii="黑体" w:eastAsia="黑体" w:hint="eastAsia"/>
          <w:sz w:val="84"/>
        </w:rPr>
      </w:pPr>
      <w:r>
        <w:rPr>
          <w:rFonts w:ascii="黑体" w:eastAsia="黑体" w:hint="eastAsia"/>
          <w:w w:val="90"/>
          <w:sz w:val="84"/>
        </w:rPr>
        <w:t>建设项目环境影响报告表</w:t>
      </w:r>
    </w:p>
    <w:p>
      <w:pPr>
        <w:spacing w:before="751"/>
        <w:ind w:left="258" w:right="80" w:firstLine="0"/>
        <w:jc w:val="center"/>
        <w:rPr>
          <w:rFonts w:ascii="仿宋_GB2312" w:eastAsia="仿宋_GB2312" w:hint="eastAsia"/>
          <w:b/>
          <w:sz w:val="36"/>
        </w:rPr>
      </w:pPr>
      <w:r>
        <w:rPr>
          <w:rFonts w:ascii="仿宋_GB2312" w:eastAsia="仿宋_GB2312" w:hint="eastAsia"/>
          <w:b/>
          <w:sz w:val="36"/>
        </w:rPr>
        <w:t>（</w:t>
      </w:r>
      <w:r>
        <w:rPr>
          <w:rFonts w:ascii="仿宋_GB2312" w:eastAsia="仿宋_GB2312" w:hint="eastAsia"/>
          <w:b/>
          <w:sz w:val="48"/>
        </w:rPr>
        <w:t>报 批 稿</w:t>
      </w:r>
      <w:r>
        <w:rPr>
          <w:rFonts w:ascii="仿宋_GB2312" w:eastAsia="仿宋_GB2312" w:hint="eastAsia"/>
          <w:b/>
          <w:sz w:val="36"/>
        </w:rPr>
        <w:t>）</w:t>
      </w:r>
    </w:p>
    <w:p>
      <w:pPr>
        <w:pStyle w:val="BodyText"/>
        <w:spacing w:before="0"/>
        <w:rPr>
          <w:rFonts w:ascii="仿宋_GB2312"/>
          <w:b/>
          <w:sz w:val="48"/>
        </w:rPr>
      </w:pPr>
    </w:p>
    <w:p>
      <w:pPr>
        <w:pStyle w:val="BodyText"/>
        <w:spacing w:before="0"/>
        <w:rPr>
          <w:rFonts w:ascii="仿宋_GB2312"/>
          <w:b/>
          <w:sz w:val="48"/>
        </w:rPr>
      </w:pPr>
    </w:p>
    <w:p>
      <w:pPr>
        <w:pStyle w:val="BodyText"/>
        <w:spacing w:before="0"/>
        <w:rPr>
          <w:rFonts w:ascii="仿宋_GB2312"/>
          <w:b/>
          <w:sz w:val="48"/>
        </w:rPr>
      </w:pPr>
    </w:p>
    <w:p>
      <w:pPr>
        <w:pStyle w:val="BodyText"/>
        <w:spacing w:before="7"/>
        <w:rPr>
          <w:rFonts w:ascii="仿宋_GB2312"/>
          <w:b/>
          <w:sz w:val="33"/>
        </w:rPr>
      </w:pPr>
    </w:p>
    <w:p>
      <w:pPr>
        <w:spacing w:before="1"/>
        <w:ind w:left="82" w:right="80" w:firstLine="0"/>
        <w:jc w:val="center"/>
        <w:rPr>
          <w:b/>
          <w:sz w:val="36"/>
        </w:rPr>
      </w:pPr>
      <w:r>
        <w:rPr>
          <w:b/>
          <w:w w:val="95"/>
          <w:sz w:val="36"/>
        </w:rPr>
        <w:t>项目名称：</w:t>
      </w:r>
      <w:r>
        <w:rPr>
          <w:b/>
          <w:w w:val="95"/>
          <w:sz w:val="36"/>
          <w:u w:val="single"/>
        </w:rPr>
        <w:t>梅家乡集镇雨污分流管网及人行道改造工程项目</w:t>
      </w: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9"/>
        <w:rPr>
          <w:b/>
          <w:sz w:val="14"/>
        </w:rPr>
      </w:pPr>
    </w:p>
    <w:p>
      <w:pPr>
        <w:tabs>
          <w:tab w:pos="3340" w:val="left" w:leader="none"/>
          <w:tab w:pos="7234" w:val="left" w:leader="none"/>
        </w:tabs>
        <w:spacing w:before="0"/>
        <w:ind w:left="118" w:right="0" w:firstLine="0"/>
        <w:jc w:val="left"/>
        <w:rPr>
          <w:b/>
          <w:sz w:val="36"/>
        </w:rPr>
      </w:pPr>
      <w:r>
        <w:rPr>
          <w:b/>
          <w:spacing w:val="-18"/>
          <w:w w:val="99"/>
          <w:sz w:val="36"/>
        </w:rPr>
        <w:t>建</w:t>
      </w:r>
      <w:r>
        <w:rPr>
          <w:b/>
          <w:spacing w:val="-20"/>
          <w:w w:val="99"/>
          <w:sz w:val="36"/>
        </w:rPr>
        <w:t>设单</w:t>
      </w:r>
      <w:r>
        <w:rPr>
          <w:b/>
          <w:spacing w:val="-18"/>
          <w:w w:val="99"/>
          <w:sz w:val="36"/>
        </w:rPr>
        <w:t>位</w:t>
      </w:r>
      <w:r>
        <w:rPr>
          <w:b/>
          <w:spacing w:val="-20"/>
          <w:w w:val="99"/>
          <w:sz w:val="36"/>
        </w:rPr>
        <w:t>（盖</w:t>
      </w:r>
      <w:r>
        <w:rPr>
          <w:b/>
          <w:spacing w:val="-18"/>
          <w:w w:val="99"/>
          <w:sz w:val="36"/>
        </w:rPr>
        <w:t>章</w:t>
      </w:r>
      <w:r>
        <w:rPr>
          <w:b/>
          <w:spacing w:val="-190"/>
          <w:w w:val="99"/>
          <w:sz w:val="36"/>
        </w:rPr>
        <w:t>）</w:t>
      </w:r>
      <w:r>
        <w:rPr>
          <w:b/>
          <w:spacing w:val="-19"/>
          <w:w w:val="99"/>
          <w:sz w:val="36"/>
        </w:rPr>
        <w:t>：</w:t>
      </w:r>
      <w:r>
        <w:rPr>
          <w:rFonts w:ascii="Times New Roman" w:eastAsia="Times New Roman"/>
          <w:b/>
          <w:sz w:val="36"/>
          <w:u w:val="thick"/>
        </w:rPr>
        <w:t> </w:t>
        <w:tab/>
      </w:r>
      <w:r>
        <w:rPr>
          <w:b/>
          <w:spacing w:val="-18"/>
          <w:w w:val="99"/>
          <w:sz w:val="36"/>
          <w:u w:val="thick"/>
        </w:rPr>
        <w:t>开</w:t>
      </w:r>
      <w:r>
        <w:rPr>
          <w:b/>
          <w:spacing w:val="-20"/>
          <w:w w:val="99"/>
          <w:sz w:val="36"/>
          <w:u w:val="thick"/>
        </w:rPr>
        <w:t>江县</w:t>
      </w:r>
      <w:r>
        <w:rPr>
          <w:b/>
          <w:spacing w:val="-18"/>
          <w:w w:val="99"/>
          <w:sz w:val="36"/>
          <w:u w:val="thick"/>
        </w:rPr>
        <w:t>梅</w:t>
      </w:r>
      <w:r>
        <w:rPr>
          <w:b/>
          <w:spacing w:val="-20"/>
          <w:w w:val="99"/>
          <w:sz w:val="36"/>
          <w:u w:val="thick"/>
        </w:rPr>
        <w:t>家乡</w:t>
      </w:r>
      <w:r>
        <w:rPr>
          <w:b/>
          <w:spacing w:val="-18"/>
          <w:w w:val="99"/>
          <w:sz w:val="36"/>
          <w:u w:val="thick"/>
        </w:rPr>
        <w:t>人</w:t>
      </w:r>
      <w:r>
        <w:rPr>
          <w:b/>
          <w:spacing w:val="-20"/>
          <w:w w:val="99"/>
          <w:sz w:val="36"/>
          <w:u w:val="thick"/>
        </w:rPr>
        <w:t>民政</w:t>
      </w:r>
      <w:r>
        <w:rPr>
          <w:b/>
          <w:w w:val="99"/>
          <w:sz w:val="36"/>
          <w:u w:val="thick"/>
        </w:rPr>
        <w:t>府</w:t>
      </w:r>
      <w:r>
        <w:rPr>
          <w:b/>
          <w:sz w:val="36"/>
          <w:u w:val="thick"/>
        </w:rPr>
        <w:tab/>
      </w: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3"/>
        <w:rPr>
          <w:b/>
          <w:sz w:val="16"/>
        </w:rPr>
      </w:pPr>
    </w:p>
    <w:p>
      <w:pPr>
        <w:spacing w:line="338" w:lineRule="auto" w:before="12"/>
        <w:ind w:left="2808" w:right="2628" w:firstLine="0"/>
        <w:jc w:val="center"/>
        <w:rPr>
          <w:b/>
          <w:sz w:val="32"/>
        </w:rPr>
      </w:pPr>
      <w:r>
        <w:rPr>
          <w:b/>
          <w:sz w:val="32"/>
        </w:rPr>
        <w:t>编制日期： </w:t>
      </w:r>
      <w:r>
        <w:rPr>
          <w:rFonts w:ascii="Times New Roman" w:eastAsia="Times New Roman"/>
          <w:b/>
          <w:sz w:val="32"/>
        </w:rPr>
        <w:t>2017 </w:t>
      </w:r>
      <w:r>
        <w:rPr>
          <w:b/>
          <w:sz w:val="32"/>
        </w:rPr>
        <w:t>年 </w:t>
      </w:r>
      <w:r>
        <w:rPr>
          <w:rFonts w:ascii="Times New Roman" w:eastAsia="Times New Roman"/>
          <w:b/>
          <w:sz w:val="32"/>
        </w:rPr>
        <w:t>10 </w:t>
      </w:r>
      <w:r>
        <w:rPr>
          <w:b/>
          <w:sz w:val="32"/>
        </w:rPr>
        <w:t>月</w:t>
      </w:r>
      <w:r>
        <w:rPr>
          <w:b/>
          <w:w w:val="95"/>
          <w:sz w:val="32"/>
        </w:rPr>
        <w:t>环境保护部制</w:t>
      </w:r>
    </w:p>
    <w:p>
      <w:pPr>
        <w:spacing w:before="74"/>
        <w:ind w:left="260" w:right="80" w:firstLine="0"/>
        <w:jc w:val="center"/>
        <w:rPr>
          <w:b/>
          <w:sz w:val="32"/>
        </w:rPr>
      </w:pPr>
      <w:r>
        <w:rPr>
          <w:b/>
          <w:w w:val="95"/>
          <w:sz w:val="32"/>
        </w:rPr>
        <w:t>四川省环境保护厅印</w:t>
      </w:r>
    </w:p>
    <w:p>
      <w:pPr>
        <w:spacing w:after="0"/>
        <w:jc w:val="center"/>
        <w:rPr>
          <w:sz w:val="32"/>
        </w:rPr>
        <w:sectPr>
          <w:type w:val="continuous"/>
          <w:pgSz w:w="11910" w:h="16840"/>
          <w:pgMar w:top="1580" w:bottom="280" w:left="1300" w:right="1480"/>
        </w:sectPr>
      </w:pPr>
    </w:p>
    <w:p>
      <w:pPr>
        <w:spacing w:before="38"/>
        <w:ind w:left="2043" w:right="2118" w:firstLine="0"/>
        <w:jc w:val="center"/>
        <w:rPr>
          <w:b/>
          <w:sz w:val="32"/>
        </w:rPr>
      </w:pPr>
      <w:r>
        <w:rPr>
          <w:b/>
          <w:w w:val="95"/>
          <w:sz w:val="32"/>
        </w:rPr>
        <w:t>《建设项目环境影响报告表》编制说明</w:t>
      </w:r>
    </w:p>
    <w:p>
      <w:pPr>
        <w:pStyle w:val="BodyText"/>
        <w:spacing w:before="0"/>
        <w:rPr>
          <w:b/>
          <w:sz w:val="32"/>
        </w:rPr>
      </w:pPr>
    </w:p>
    <w:p>
      <w:pPr>
        <w:pStyle w:val="BodyText"/>
        <w:spacing w:before="0"/>
        <w:rPr>
          <w:b/>
          <w:sz w:val="32"/>
        </w:rPr>
      </w:pPr>
    </w:p>
    <w:p>
      <w:pPr>
        <w:spacing w:line="484" w:lineRule="auto" w:before="271"/>
        <w:ind w:left="118" w:right="192" w:firstLine="560"/>
        <w:jc w:val="both"/>
        <w:rPr>
          <w:sz w:val="28"/>
        </w:rPr>
      </w:pPr>
      <w:r>
        <w:rPr>
          <w:sz w:val="28"/>
        </w:rPr>
        <w:t>《建设项目环境影响报告表》由具有从事环境影响评价工作资质的单</w:t>
      </w:r>
      <w:r>
        <w:rPr>
          <w:w w:val="95"/>
          <w:sz w:val="28"/>
        </w:rPr>
        <w:t>位编制。</w:t>
      </w:r>
    </w:p>
    <w:p>
      <w:pPr>
        <w:spacing w:line="458" w:lineRule="auto" w:before="88"/>
        <w:ind w:left="118" w:right="197" w:firstLine="560"/>
        <w:jc w:val="both"/>
        <w:rPr>
          <w:sz w:val="28"/>
        </w:rPr>
      </w:pPr>
      <w:r>
        <w:rPr>
          <w:rFonts w:ascii="Times New Roman" w:hAnsi="Times New Roman" w:eastAsia="Times New Roman"/>
          <w:sz w:val="28"/>
        </w:rPr>
        <w:t>1.</w:t>
      </w:r>
      <w:r>
        <w:rPr>
          <w:sz w:val="28"/>
        </w:rPr>
        <w:t>项目名称</w:t>
      </w:r>
      <w:r>
        <w:rPr>
          <w:rFonts w:ascii="Times New Roman" w:hAnsi="Times New Roman" w:eastAsia="Times New Roman"/>
          <w:sz w:val="28"/>
        </w:rPr>
        <w:t>——</w:t>
      </w:r>
      <w:r>
        <w:rPr>
          <w:spacing w:val="-4"/>
          <w:sz w:val="28"/>
        </w:rPr>
        <w:t>指项目立项批复时的名称，应不超过 </w:t>
      </w:r>
      <w:r>
        <w:rPr>
          <w:rFonts w:ascii="Times New Roman" w:hAnsi="Times New Roman" w:eastAsia="Times New Roman"/>
          <w:sz w:val="28"/>
        </w:rPr>
        <w:t>30 </w:t>
      </w:r>
      <w:r>
        <w:rPr>
          <w:sz w:val="28"/>
        </w:rPr>
        <w:t>个字（两个英</w:t>
      </w:r>
      <w:r>
        <w:rPr>
          <w:w w:val="95"/>
          <w:sz w:val="28"/>
        </w:rPr>
        <w:t>文字段作一个汉字</w:t>
      </w:r>
      <w:r>
        <w:rPr>
          <w:spacing w:val="-141"/>
          <w:w w:val="95"/>
          <w:sz w:val="28"/>
        </w:rPr>
        <w:t>）</w:t>
      </w:r>
      <w:r>
        <w:rPr>
          <w:w w:val="95"/>
          <w:sz w:val="28"/>
        </w:rPr>
        <w:t>。</w:t>
      </w:r>
    </w:p>
    <w:p>
      <w:pPr>
        <w:spacing w:before="118"/>
        <w:ind w:left="678" w:right="0" w:firstLine="0"/>
        <w:jc w:val="left"/>
        <w:rPr>
          <w:sz w:val="28"/>
        </w:rPr>
      </w:pPr>
      <w:r>
        <w:rPr>
          <w:rFonts w:ascii="Times New Roman" w:hAnsi="Times New Roman" w:eastAsia="Times New Roman"/>
          <w:w w:val="95"/>
          <w:sz w:val="28"/>
        </w:rPr>
        <w:t>2.</w:t>
      </w:r>
      <w:r>
        <w:rPr>
          <w:w w:val="95"/>
          <w:sz w:val="28"/>
        </w:rPr>
        <w:t>建设地点</w:t>
      </w:r>
      <w:r>
        <w:rPr>
          <w:rFonts w:ascii="Times New Roman" w:hAnsi="Times New Roman" w:eastAsia="Times New Roman"/>
          <w:w w:val="95"/>
          <w:sz w:val="28"/>
        </w:rPr>
        <w:t>——</w:t>
      </w:r>
      <w:r>
        <w:rPr>
          <w:w w:val="95"/>
          <w:sz w:val="28"/>
        </w:rPr>
        <w:t>指项目所在地详细地址，公路、铁路应填写起止地点。</w:t>
      </w:r>
    </w:p>
    <w:p>
      <w:pPr>
        <w:pStyle w:val="BodyText"/>
        <w:spacing w:before="12"/>
        <w:rPr>
          <w:sz w:val="26"/>
        </w:rPr>
      </w:pPr>
    </w:p>
    <w:p>
      <w:pPr>
        <w:spacing w:before="0"/>
        <w:ind w:left="678" w:right="0" w:firstLine="0"/>
        <w:jc w:val="left"/>
        <w:rPr>
          <w:sz w:val="28"/>
        </w:rPr>
      </w:pPr>
      <w:r>
        <w:rPr>
          <w:rFonts w:ascii="Times New Roman" w:hAnsi="Times New Roman" w:eastAsia="Times New Roman"/>
          <w:w w:val="95"/>
          <w:sz w:val="28"/>
        </w:rPr>
        <w:t>3.</w:t>
      </w:r>
      <w:r>
        <w:rPr>
          <w:w w:val="95"/>
          <w:sz w:val="28"/>
        </w:rPr>
        <w:t>行业类别</w:t>
      </w:r>
      <w:r>
        <w:rPr>
          <w:rFonts w:ascii="Times New Roman" w:hAnsi="Times New Roman" w:eastAsia="Times New Roman"/>
          <w:w w:val="95"/>
          <w:sz w:val="28"/>
        </w:rPr>
        <w:t>——</w:t>
      </w:r>
      <w:r>
        <w:rPr>
          <w:w w:val="95"/>
          <w:sz w:val="28"/>
        </w:rPr>
        <w:t>按国标填写。</w:t>
      </w:r>
    </w:p>
    <w:p>
      <w:pPr>
        <w:pStyle w:val="BodyText"/>
        <w:spacing w:before="12"/>
        <w:rPr>
          <w:sz w:val="26"/>
        </w:rPr>
      </w:pPr>
    </w:p>
    <w:p>
      <w:pPr>
        <w:spacing w:before="0"/>
        <w:ind w:left="678" w:right="0" w:firstLine="0"/>
        <w:jc w:val="left"/>
        <w:rPr>
          <w:sz w:val="28"/>
        </w:rPr>
      </w:pPr>
      <w:r>
        <w:rPr>
          <w:rFonts w:ascii="Times New Roman" w:hAnsi="Times New Roman" w:eastAsia="Times New Roman"/>
          <w:w w:val="95"/>
          <w:sz w:val="28"/>
        </w:rPr>
        <w:t>4.</w:t>
      </w:r>
      <w:r>
        <w:rPr>
          <w:w w:val="95"/>
          <w:sz w:val="28"/>
        </w:rPr>
        <w:t>总投资</w:t>
      </w:r>
      <w:r>
        <w:rPr>
          <w:rFonts w:ascii="Times New Roman" w:hAnsi="Times New Roman" w:eastAsia="Times New Roman"/>
          <w:w w:val="95"/>
          <w:sz w:val="28"/>
        </w:rPr>
        <w:t>——</w:t>
      </w:r>
      <w:r>
        <w:rPr>
          <w:w w:val="95"/>
          <w:sz w:val="28"/>
        </w:rPr>
        <w:t>指项目投资总额。</w:t>
      </w:r>
    </w:p>
    <w:p>
      <w:pPr>
        <w:pStyle w:val="BodyText"/>
        <w:spacing w:before="11"/>
        <w:rPr>
          <w:sz w:val="26"/>
        </w:rPr>
      </w:pPr>
    </w:p>
    <w:p>
      <w:pPr>
        <w:spacing w:line="470" w:lineRule="auto" w:before="0"/>
        <w:ind w:left="118" w:right="194" w:firstLine="560"/>
        <w:jc w:val="both"/>
        <w:rPr>
          <w:sz w:val="28"/>
        </w:rPr>
      </w:pPr>
      <w:r>
        <w:rPr>
          <w:rFonts w:ascii="Times New Roman" w:hAnsi="Times New Roman" w:eastAsia="Times New Roman"/>
          <w:sz w:val="28"/>
        </w:rPr>
        <w:t>5.</w:t>
      </w:r>
      <w:r>
        <w:rPr>
          <w:sz w:val="28"/>
        </w:rPr>
        <w:t>主要环境保护目标</w:t>
      </w:r>
      <w:r>
        <w:rPr>
          <w:rFonts w:ascii="Times New Roman" w:hAnsi="Times New Roman" w:eastAsia="Times New Roman"/>
          <w:sz w:val="28"/>
        </w:rPr>
        <w:t>——</w:t>
      </w:r>
      <w:r>
        <w:rPr>
          <w:spacing w:val="-6"/>
          <w:sz w:val="28"/>
        </w:rPr>
        <w:t>指项目区周围一定范围内集中居民住宅区、学</w:t>
      </w:r>
      <w:r>
        <w:rPr>
          <w:spacing w:val="3"/>
          <w:sz w:val="28"/>
        </w:rPr>
        <w:t>校、医院、保护文物、风景名胜区、水源地和生态敏感点等，应尽可能给</w:t>
      </w:r>
      <w:r>
        <w:rPr>
          <w:w w:val="95"/>
          <w:sz w:val="28"/>
        </w:rPr>
        <w:t>出保护目标、性质、规模和距厂界距离等。</w:t>
      </w:r>
    </w:p>
    <w:p>
      <w:pPr>
        <w:spacing w:line="470" w:lineRule="auto" w:before="103"/>
        <w:ind w:left="118" w:right="194" w:firstLine="560"/>
        <w:jc w:val="both"/>
        <w:rPr>
          <w:sz w:val="28"/>
        </w:rPr>
      </w:pPr>
      <w:r>
        <w:rPr>
          <w:rFonts w:ascii="Times New Roman" w:hAnsi="Times New Roman" w:eastAsia="Times New Roman"/>
          <w:sz w:val="28"/>
        </w:rPr>
        <w:t>6.</w:t>
      </w:r>
      <w:r>
        <w:rPr>
          <w:sz w:val="28"/>
        </w:rPr>
        <w:t>结论与建议</w:t>
      </w:r>
      <w:r>
        <w:rPr>
          <w:rFonts w:ascii="Times New Roman" w:hAnsi="Times New Roman" w:eastAsia="Times New Roman"/>
          <w:sz w:val="28"/>
        </w:rPr>
        <w:t>——</w:t>
      </w:r>
      <w:r>
        <w:rPr>
          <w:spacing w:val="-10"/>
          <w:sz w:val="28"/>
        </w:rPr>
        <w:t>给出本项目清洁生产、达标排放和总量控制的分析结</w:t>
      </w:r>
      <w:r>
        <w:rPr>
          <w:spacing w:val="3"/>
          <w:sz w:val="28"/>
        </w:rPr>
        <w:t>论，确定污染防治措施的有效性，说明本项目对环境造成的影响，给出建</w:t>
      </w:r>
      <w:r>
        <w:rPr>
          <w:w w:val="95"/>
          <w:sz w:val="28"/>
        </w:rPr>
        <w:t>设项目环境可行性的明确结论。同时提出减少环境影响的其它建议。</w:t>
      </w:r>
    </w:p>
    <w:p>
      <w:pPr>
        <w:spacing w:before="103"/>
        <w:ind w:left="678" w:right="0" w:firstLine="0"/>
        <w:jc w:val="left"/>
        <w:rPr>
          <w:sz w:val="28"/>
        </w:rPr>
      </w:pPr>
      <w:r>
        <w:rPr>
          <w:rFonts w:ascii="Times New Roman" w:hAnsi="Times New Roman" w:eastAsia="Times New Roman"/>
          <w:w w:val="95"/>
          <w:sz w:val="28"/>
        </w:rPr>
        <w:t>7.</w:t>
      </w:r>
      <w:r>
        <w:rPr>
          <w:w w:val="95"/>
          <w:sz w:val="28"/>
        </w:rPr>
        <w:t>预审意见</w:t>
      </w:r>
      <w:r>
        <w:rPr>
          <w:rFonts w:ascii="Times New Roman" w:hAnsi="Times New Roman" w:eastAsia="Times New Roman"/>
          <w:w w:val="95"/>
          <w:sz w:val="28"/>
        </w:rPr>
        <w:t>——</w:t>
      </w:r>
      <w:r>
        <w:rPr>
          <w:w w:val="95"/>
          <w:sz w:val="28"/>
        </w:rPr>
        <w:t>由行业主管部门填写答复意见，无主管部门项目，可不</w:t>
      </w:r>
    </w:p>
    <w:p>
      <w:pPr>
        <w:pStyle w:val="BodyText"/>
        <w:spacing w:before="12"/>
        <w:rPr>
          <w:sz w:val="26"/>
        </w:rPr>
      </w:pPr>
    </w:p>
    <w:p>
      <w:pPr>
        <w:spacing w:before="0"/>
        <w:ind w:left="118" w:right="0" w:firstLine="0"/>
        <w:jc w:val="left"/>
        <w:rPr>
          <w:sz w:val="28"/>
        </w:rPr>
      </w:pPr>
      <w:r>
        <w:rPr>
          <w:w w:val="95"/>
          <w:sz w:val="28"/>
        </w:rPr>
        <w:t>填。</w:t>
      </w:r>
    </w:p>
    <w:p>
      <w:pPr>
        <w:pStyle w:val="BodyText"/>
        <w:spacing w:before="7"/>
        <w:rPr>
          <w:sz w:val="28"/>
        </w:rPr>
      </w:pPr>
    </w:p>
    <w:p>
      <w:pPr>
        <w:spacing w:before="0"/>
        <w:ind w:left="678" w:right="0" w:firstLine="0"/>
        <w:jc w:val="left"/>
        <w:rPr>
          <w:sz w:val="28"/>
        </w:rPr>
      </w:pPr>
      <w:r>
        <w:rPr>
          <w:rFonts w:ascii="Times New Roman" w:hAnsi="Times New Roman" w:eastAsia="Times New Roman"/>
          <w:w w:val="95"/>
          <w:sz w:val="28"/>
        </w:rPr>
        <w:t>8.</w:t>
      </w:r>
      <w:r>
        <w:rPr>
          <w:w w:val="95"/>
          <w:sz w:val="28"/>
        </w:rPr>
        <w:t>审批意见</w:t>
      </w:r>
      <w:r>
        <w:rPr>
          <w:rFonts w:ascii="Times New Roman" w:hAnsi="Times New Roman" w:eastAsia="Times New Roman"/>
          <w:w w:val="95"/>
          <w:sz w:val="28"/>
        </w:rPr>
        <w:t>——</w:t>
      </w:r>
      <w:r>
        <w:rPr>
          <w:w w:val="95"/>
          <w:sz w:val="28"/>
        </w:rPr>
        <w:t>由负责审批该项目的环境保护行政主管部门批复。</w:t>
      </w:r>
    </w:p>
    <w:p>
      <w:pPr>
        <w:spacing w:after="0"/>
        <w:jc w:val="left"/>
        <w:rPr>
          <w:sz w:val="28"/>
        </w:rPr>
        <w:sectPr>
          <w:pgSz w:w="11910" w:h="16840"/>
          <w:pgMar w:top="1580" w:bottom="280" w:left="1300" w:right="1220"/>
        </w:sectPr>
      </w:pPr>
    </w:p>
    <w:p>
      <w:pPr>
        <w:pStyle w:val="Heading1"/>
      </w:pPr>
      <w:r>
        <w:rPr>
          <w:w w:val="95"/>
        </w:rPr>
        <w:t>建设项目基本情况</w:t>
      </w:r>
      <w:r>
        <w:rPr>
          <w:w w:val="99"/>
        </w:rPr>
        <w:t> </w:t>
      </w:r>
    </w:p>
    <w:p>
      <w:pPr>
        <w:pStyle w:val="BodyText"/>
        <w:spacing w:before="1"/>
        <w:rPr>
          <w:b/>
          <w:sz w:val="13"/>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51"/>
        <w:gridCol w:w="1559"/>
        <w:gridCol w:w="94"/>
        <w:gridCol w:w="868"/>
        <w:gridCol w:w="355"/>
        <w:gridCol w:w="160"/>
        <w:gridCol w:w="877"/>
        <w:gridCol w:w="329"/>
        <w:gridCol w:w="1322"/>
        <w:gridCol w:w="517"/>
        <w:gridCol w:w="1254"/>
      </w:tblGrid>
      <w:tr>
        <w:trPr>
          <w:trHeight w:val="470" w:hRule="exact"/>
        </w:trPr>
        <w:tc>
          <w:tcPr>
            <w:tcW w:w="1951" w:type="dxa"/>
          </w:tcPr>
          <w:p>
            <w:pPr>
              <w:pStyle w:val="TableParagraph"/>
              <w:spacing w:before="36"/>
              <w:ind w:left="103" w:right="103"/>
              <w:rPr>
                <w:sz w:val="24"/>
              </w:rPr>
            </w:pPr>
            <w:r>
              <w:rPr>
                <w:sz w:val="24"/>
              </w:rPr>
              <w:t>项目名称</w:t>
            </w:r>
          </w:p>
        </w:tc>
        <w:tc>
          <w:tcPr>
            <w:tcW w:w="7334" w:type="dxa"/>
            <w:gridSpan w:val="10"/>
          </w:tcPr>
          <w:p>
            <w:pPr>
              <w:pStyle w:val="TableParagraph"/>
              <w:spacing w:before="36"/>
              <w:ind w:left="1141"/>
              <w:jc w:val="left"/>
              <w:rPr>
                <w:sz w:val="24"/>
              </w:rPr>
            </w:pPr>
            <w:r>
              <w:rPr>
                <w:sz w:val="24"/>
              </w:rPr>
              <w:t>梅家乡集镇雨污分流管网及人行道改造工程项目</w:t>
            </w:r>
          </w:p>
        </w:tc>
      </w:tr>
      <w:tr>
        <w:trPr>
          <w:trHeight w:val="463" w:hRule="exact"/>
        </w:trPr>
        <w:tc>
          <w:tcPr>
            <w:tcW w:w="1951" w:type="dxa"/>
          </w:tcPr>
          <w:p>
            <w:pPr>
              <w:pStyle w:val="TableParagraph"/>
              <w:spacing w:before="33"/>
              <w:ind w:left="103" w:right="103"/>
              <w:rPr>
                <w:sz w:val="24"/>
              </w:rPr>
            </w:pPr>
            <w:r>
              <w:rPr>
                <w:sz w:val="24"/>
              </w:rPr>
              <w:t>建设单位</w:t>
            </w:r>
          </w:p>
        </w:tc>
        <w:tc>
          <w:tcPr>
            <w:tcW w:w="7334" w:type="dxa"/>
            <w:gridSpan w:val="10"/>
          </w:tcPr>
          <w:p>
            <w:pPr>
              <w:pStyle w:val="TableParagraph"/>
              <w:spacing w:before="33"/>
              <w:ind w:left="2442" w:right="2442"/>
              <w:rPr>
                <w:sz w:val="24"/>
              </w:rPr>
            </w:pPr>
            <w:r>
              <w:rPr>
                <w:sz w:val="24"/>
              </w:rPr>
              <w:t>开江县梅家乡人民政府</w:t>
            </w:r>
          </w:p>
        </w:tc>
      </w:tr>
      <w:tr>
        <w:trPr>
          <w:trHeight w:val="464" w:hRule="exact"/>
        </w:trPr>
        <w:tc>
          <w:tcPr>
            <w:tcW w:w="1951" w:type="dxa"/>
          </w:tcPr>
          <w:p>
            <w:pPr>
              <w:pStyle w:val="TableParagraph"/>
              <w:spacing w:before="34"/>
              <w:ind w:left="103" w:right="103"/>
              <w:rPr>
                <w:sz w:val="24"/>
              </w:rPr>
            </w:pPr>
            <w:r>
              <w:rPr>
                <w:sz w:val="24"/>
              </w:rPr>
              <w:t>法人代表</w:t>
            </w:r>
          </w:p>
        </w:tc>
        <w:tc>
          <w:tcPr>
            <w:tcW w:w="2520" w:type="dxa"/>
            <w:gridSpan w:val="3"/>
          </w:tcPr>
          <w:p>
            <w:pPr>
              <w:pStyle w:val="TableParagraph"/>
              <w:spacing w:before="34"/>
              <w:ind w:left="875" w:right="875"/>
              <w:rPr>
                <w:sz w:val="24"/>
              </w:rPr>
            </w:pPr>
            <w:r>
              <w:rPr>
                <w:sz w:val="24"/>
              </w:rPr>
              <w:t>毛羽祥</w:t>
            </w:r>
          </w:p>
        </w:tc>
        <w:tc>
          <w:tcPr>
            <w:tcW w:w="1392" w:type="dxa"/>
            <w:gridSpan w:val="3"/>
          </w:tcPr>
          <w:p>
            <w:pPr>
              <w:pStyle w:val="TableParagraph"/>
              <w:spacing w:before="34"/>
              <w:ind w:left="389"/>
              <w:jc w:val="left"/>
              <w:rPr>
                <w:sz w:val="24"/>
              </w:rPr>
            </w:pPr>
            <w:r>
              <w:rPr>
                <w:sz w:val="24"/>
              </w:rPr>
              <w:t>联系人</w:t>
            </w:r>
          </w:p>
        </w:tc>
        <w:tc>
          <w:tcPr>
            <w:tcW w:w="3422" w:type="dxa"/>
            <w:gridSpan w:val="4"/>
          </w:tcPr>
          <w:p>
            <w:pPr>
              <w:pStyle w:val="TableParagraph"/>
              <w:spacing w:before="34"/>
              <w:ind w:left="1625"/>
              <w:jc w:val="left"/>
              <w:rPr>
                <w:sz w:val="24"/>
              </w:rPr>
            </w:pPr>
            <w:r>
              <w:rPr>
                <w:sz w:val="24"/>
              </w:rPr>
              <w:t>毛羽祥</w:t>
            </w:r>
          </w:p>
        </w:tc>
      </w:tr>
      <w:tr>
        <w:trPr>
          <w:trHeight w:val="464" w:hRule="exact"/>
        </w:trPr>
        <w:tc>
          <w:tcPr>
            <w:tcW w:w="1951" w:type="dxa"/>
          </w:tcPr>
          <w:p>
            <w:pPr>
              <w:pStyle w:val="TableParagraph"/>
              <w:spacing w:before="33"/>
              <w:ind w:left="103" w:right="103"/>
              <w:rPr>
                <w:sz w:val="24"/>
              </w:rPr>
            </w:pPr>
            <w:r>
              <w:rPr>
                <w:sz w:val="24"/>
              </w:rPr>
              <w:t>通讯地址</w:t>
            </w:r>
          </w:p>
        </w:tc>
        <w:tc>
          <w:tcPr>
            <w:tcW w:w="7334" w:type="dxa"/>
            <w:gridSpan w:val="10"/>
          </w:tcPr>
          <w:p>
            <w:pPr>
              <w:pStyle w:val="TableParagraph"/>
              <w:spacing w:before="33"/>
              <w:ind w:left="2442" w:right="2325"/>
              <w:rPr>
                <w:sz w:val="24"/>
              </w:rPr>
            </w:pPr>
            <w:r>
              <w:rPr>
                <w:sz w:val="24"/>
              </w:rPr>
              <w:t>开江县梅家乡 </w:t>
            </w:r>
          </w:p>
        </w:tc>
      </w:tr>
      <w:tr>
        <w:trPr>
          <w:trHeight w:val="463" w:hRule="exact"/>
        </w:trPr>
        <w:tc>
          <w:tcPr>
            <w:tcW w:w="1951" w:type="dxa"/>
          </w:tcPr>
          <w:p>
            <w:pPr>
              <w:pStyle w:val="TableParagraph"/>
              <w:spacing w:before="33"/>
              <w:ind w:left="103" w:right="103"/>
              <w:rPr>
                <w:sz w:val="24"/>
              </w:rPr>
            </w:pPr>
            <w:r>
              <w:rPr>
                <w:sz w:val="24"/>
              </w:rPr>
              <w:t>联系电话</w:t>
            </w:r>
          </w:p>
        </w:tc>
        <w:tc>
          <w:tcPr>
            <w:tcW w:w="1652" w:type="dxa"/>
            <w:gridSpan w:val="2"/>
          </w:tcPr>
          <w:p>
            <w:pPr/>
          </w:p>
        </w:tc>
        <w:tc>
          <w:tcPr>
            <w:tcW w:w="1223" w:type="dxa"/>
            <w:gridSpan w:val="2"/>
          </w:tcPr>
          <w:p>
            <w:pPr>
              <w:pStyle w:val="TableParagraph"/>
              <w:spacing w:before="33"/>
              <w:ind w:left="425"/>
              <w:jc w:val="left"/>
              <w:rPr>
                <w:sz w:val="24"/>
              </w:rPr>
            </w:pPr>
            <w:r>
              <w:rPr>
                <w:sz w:val="24"/>
              </w:rPr>
              <w:t>传真</w:t>
            </w:r>
          </w:p>
        </w:tc>
        <w:tc>
          <w:tcPr>
            <w:tcW w:w="1366" w:type="dxa"/>
            <w:gridSpan w:val="3"/>
          </w:tcPr>
          <w:p>
            <w:pPr/>
          </w:p>
        </w:tc>
        <w:tc>
          <w:tcPr>
            <w:tcW w:w="1322" w:type="dxa"/>
          </w:tcPr>
          <w:p>
            <w:pPr>
              <w:pStyle w:val="TableParagraph"/>
              <w:spacing w:before="33"/>
              <w:ind w:left="160"/>
              <w:jc w:val="left"/>
              <w:rPr>
                <w:sz w:val="24"/>
              </w:rPr>
            </w:pPr>
            <w:r>
              <w:rPr>
                <w:sz w:val="24"/>
              </w:rPr>
              <w:t>邮政编码</w:t>
            </w:r>
          </w:p>
        </w:tc>
        <w:tc>
          <w:tcPr>
            <w:tcW w:w="1771" w:type="dxa"/>
            <w:gridSpan w:val="2"/>
          </w:tcPr>
          <w:p>
            <w:pPr>
              <w:pStyle w:val="TableParagraph"/>
              <w:spacing w:before="89"/>
              <w:ind w:left="519"/>
              <w:jc w:val="left"/>
              <w:rPr>
                <w:rFonts w:ascii="Times New Roman"/>
                <w:sz w:val="24"/>
              </w:rPr>
            </w:pPr>
            <w:r>
              <w:rPr>
                <w:rFonts w:ascii="Times New Roman"/>
                <w:sz w:val="24"/>
              </w:rPr>
              <w:t>636250</w:t>
            </w:r>
          </w:p>
        </w:tc>
      </w:tr>
      <w:tr>
        <w:trPr>
          <w:trHeight w:val="464" w:hRule="exact"/>
        </w:trPr>
        <w:tc>
          <w:tcPr>
            <w:tcW w:w="1951" w:type="dxa"/>
          </w:tcPr>
          <w:p>
            <w:pPr>
              <w:pStyle w:val="TableParagraph"/>
              <w:spacing w:before="34"/>
              <w:ind w:left="103" w:right="103"/>
              <w:rPr>
                <w:sz w:val="24"/>
              </w:rPr>
            </w:pPr>
            <w:r>
              <w:rPr>
                <w:sz w:val="24"/>
              </w:rPr>
              <w:t>建设地点</w:t>
            </w:r>
          </w:p>
        </w:tc>
        <w:tc>
          <w:tcPr>
            <w:tcW w:w="7334" w:type="dxa"/>
            <w:gridSpan w:val="10"/>
          </w:tcPr>
          <w:p>
            <w:pPr>
              <w:pStyle w:val="TableParagraph"/>
              <w:spacing w:before="34"/>
              <w:ind w:left="2442" w:right="2442"/>
              <w:rPr>
                <w:sz w:val="24"/>
              </w:rPr>
            </w:pPr>
            <w:r>
              <w:rPr>
                <w:sz w:val="24"/>
              </w:rPr>
              <w:t>开江县梅家乡</w:t>
            </w:r>
          </w:p>
        </w:tc>
      </w:tr>
      <w:tr>
        <w:trPr>
          <w:trHeight w:val="464" w:hRule="exact"/>
        </w:trPr>
        <w:tc>
          <w:tcPr>
            <w:tcW w:w="1951" w:type="dxa"/>
          </w:tcPr>
          <w:p>
            <w:pPr>
              <w:pStyle w:val="TableParagraph"/>
              <w:spacing w:before="33"/>
              <w:ind w:left="103" w:right="103"/>
              <w:rPr>
                <w:sz w:val="24"/>
              </w:rPr>
            </w:pPr>
            <w:r>
              <w:rPr>
                <w:sz w:val="24"/>
              </w:rPr>
              <w:t>立项审批部门</w:t>
            </w:r>
          </w:p>
        </w:tc>
        <w:tc>
          <w:tcPr>
            <w:tcW w:w="3035" w:type="dxa"/>
            <w:gridSpan w:val="5"/>
          </w:tcPr>
          <w:p>
            <w:pPr>
              <w:pStyle w:val="TableParagraph"/>
              <w:spacing w:before="33"/>
              <w:ind w:left="430"/>
              <w:jc w:val="left"/>
              <w:rPr>
                <w:sz w:val="24"/>
              </w:rPr>
            </w:pPr>
            <w:r>
              <w:rPr>
                <w:sz w:val="24"/>
              </w:rPr>
              <w:t>开江县发展和改革局</w:t>
            </w:r>
          </w:p>
        </w:tc>
        <w:tc>
          <w:tcPr>
            <w:tcW w:w="1207" w:type="dxa"/>
            <w:gridSpan w:val="2"/>
          </w:tcPr>
          <w:p>
            <w:pPr>
              <w:pStyle w:val="TableParagraph"/>
              <w:spacing w:before="33"/>
              <w:ind w:left="133"/>
              <w:jc w:val="left"/>
              <w:rPr>
                <w:sz w:val="24"/>
              </w:rPr>
            </w:pPr>
            <w:r>
              <w:rPr>
                <w:sz w:val="24"/>
              </w:rPr>
              <w:t>批准文号</w:t>
            </w:r>
          </w:p>
        </w:tc>
        <w:tc>
          <w:tcPr>
            <w:tcW w:w="3093" w:type="dxa"/>
            <w:gridSpan w:val="3"/>
          </w:tcPr>
          <w:p>
            <w:pPr>
              <w:pStyle w:val="TableParagraph"/>
              <w:spacing w:before="33"/>
              <w:ind w:left="270"/>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143 </w:t>
            </w:r>
            <w:r>
              <w:rPr>
                <w:sz w:val="24"/>
              </w:rPr>
              <w:t>号</w:t>
            </w:r>
          </w:p>
        </w:tc>
      </w:tr>
      <w:tr>
        <w:trPr>
          <w:trHeight w:val="634" w:hRule="exact"/>
        </w:trPr>
        <w:tc>
          <w:tcPr>
            <w:tcW w:w="1951" w:type="dxa"/>
          </w:tcPr>
          <w:p>
            <w:pPr>
              <w:pStyle w:val="TableParagraph"/>
              <w:spacing w:before="118"/>
              <w:ind w:left="103" w:right="103"/>
              <w:rPr>
                <w:sz w:val="24"/>
              </w:rPr>
            </w:pPr>
            <w:r>
              <w:rPr>
                <w:sz w:val="24"/>
              </w:rPr>
              <w:t>建设性质</w:t>
            </w:r>
          </w:p>
        </w:tc>
        <w:tc>
          <w:tcPr>
            <w:tcW w:w="3035" w:type="dxa"/>
            <w:gridSpan w:val="5"/>
          </w:tcPr>
          <w:p>
            <w:pPr>
              <w:pStyle w:val="TableParagraph"/>
              <w:tabs>
                <w:tab w:pos="1112" w:val="left" w:leader="none"/>
                <w:tab w:pos="2217" w:val="left" w:leader="none"/>
              </w:tabs>
              <w:spacing w:before="118"/>
              <w:ind w:left="178"/>
              <w:jc w:val="left"/>
              <w:rPr>
                <w:rFonts w:ascii="Times New Roman" w:hAnsi="Times New Roman" w:eastAsia="Times New Roman"/>
                <w:sz w:val="24"/>
              </w:rPr>
            </w:pPr>
            <w:r>
              <w:rPr>
                <w:sz w:val="24"/>
              </w:rPr>
              <w:t>新建</w:t>
            </w:r>
            <w:r>
              <w:rPr>
                <w:rFonts w:ascii="Wingdings" w:hAnsi="Wingdings" w:eastAsia="Wingdings"/>
                <w:sz w:val="24"/>
              </w:rPr>
              <w:t></w:t>
            </w:r>
            <w:r>
              <w:rPr>
                <w:rFonts w:ascii="Times New Roman" w:hAnsi="Times New Roman" w:eastAsia="Times New Roman"/>
                <w:sz w:val="24"/>
              </w:rPr>
              <w:tab/>
            </w:r>
            <w:r>
              <w:rPr>
                <w:sz w:val="24"/>
              </w:rPr>
              <w:t>改扩建</w:t>
            </w:r>
            <w:r>
              <w:rPr>
                <w:rFonts w:ascii="Times New Roman" w:hAnsi="Times New Roman" w:eastAsia="Times New Roman"/>
                <w:sz w:val="24"/>
              </w:rPr>
              <w:t>□</w:t>
              <w:tab/>
            </w:r>
            <w:r>
              <w:rPr>
                <w:sz w:val="24"/>
              </w:rPr>
              <w:t>技改</w:t>
            </w:r>
            <w:r>
              <w:rPr>
                <w:rFonts w:ascii="Times New Roman" w:hAnsi="Times New Roman" w:eastAsia="Times New Roman"/>
                <w:sz w:val="24"/>
              </w:rPr>
              <w:t>□</w:t>
            </w:r>
          </w:p>
        </w:tc>
        <w:tc>
          <w:tcPr>
            <w:tcW w:w="1207" w:type="dxa"/>
            <w:gridSpan w:val="2"/>
          </w:tcPr>
          <w:p>
            <w:pPr>
              <w:pStyle w:val="TableParagraph"/>
              <w:spacing w:line="275" w:lineRule="exact"/>
              <w:ind w:left="113" w:right="84"/>
              <w:rPr>
                <w:sz w:val="24"/>
              </w:rPr>
            </w:pPr>
            <w:r>
              <w:rPr>
                <w:sz w:val="24"/>
              </w:rPr>
              <w:t>行业类别</w:t>
            </w:r>
          </w:p>
          <w:p>
            <w:pPr>
              <w:pStyle w:val="TableParagraph"/>
              <w:spacing w:line="313" w:lineRule="exact"/>
              <w:ind w:left="233" w:right="84"/>
              <w:rPr>
                <w:sz w:val="24"/>
              </w:rPr>
            </w:pPr>
            <w:r>
              <w:rPr>
                <w:sz w:val="24"/>
              </w:rPr>
              <w:t>及代码</w:t>
            </w:r>
          </w:p>
        </w:tc>
        <w:tc>
          <w:tcPr>
            <w:tcW w:w="3093" w:type="dxa"/>
            <w:gridSpan w:val="3"/>
          </w:tcPr>
          <w:p>
            <w:pPr>
              <w:pStyle w:val="TableParagraph"/>
              <w:spacing w:before="118"/>
              <w:ind w:left="479"/>
              <w:jc w:val="left"/>
              <w:rPr>
                <w:rFonts w:ascii="Times New Roman" w:eastAsia="Times New Roman"/>
                <w:sz w:val="24"/>
              </w:rPr>
            </w:pPr>
            <w:r>
              <w:rPr>
                <w:sz w:val="24"/>
              </w:rPr>
              <w:t>其他环境治理 </w:t>
            </w:r>
            <w:r>
              <w:rPr>
                <w:rFonts w:ascii="Times New Roman" w:eastAsia="Times New Roman"/>
                <w:sz w:val="24"/>
              </w:rPr>
              <w:t>N8029</w:t>
            </w:r>
          </w:p>
        </w:tc>
      </w:tr>
      <w:tr>
        <w:trPr>
          <w:trHeight w:val="464" w:hRule="exact"/>
        </w:trPr>
        <w:tc>
          <w:tcPr>
            <w:tcW w:w="1951" w:type="dxa"/>
          </w:tcPr>
          <w:p>
            <w:pPr>
              <w:pStyle w:val="TableParagraph"/>
              <w:spacing w:before="33"/>
              <w:ind w:left="103" w:right="103"/>
              <w:rPr>
                <w:sz w:val="24"/>
              </w:rPr>
            </w:pPr>
            <w:r>
              <w:rPr>
                <w:sz w:val="24"/>
              </w:rPr>
              <w:t>占地面积</w:t>
            </w:r>
          </w:p>
        </w:tc>
        <w:tc>
          <w:tcPr>
            <w:tcW w:w="3035" w:type="dxa"/>
            <w:gridSpan w:val="5"/>
          </w:tcPr>
          <w:p>
            <w:pPr/>
          </w:p>
        </w:tc>
        <w:tc>
          <w:tcPr>
            <w:tcW w:w="1207" w:type="dxa"/>
            <w:gridSpan w:val="2"/>
          </w:tcPr>
          <w:p>
            <w:pPr>
              <w:pStyle w:val="TableParagraph"/>
              <w:spacing w:before="33"/>
              <w:ind w:left="133"/>
              <w:jc w:val="left"/>
              <w:rPr>
                <w:sz w:val="24"/>
              </w:rPr>
            </w:pPr>
            <w:r>
              <w:rPr>
                <w:sz w:val="24"/>
              </w:rPr>
              <w:t>绿化面积</w:t>
            </w:r>
          </w:p>
        </w:tc>
        <w:tc>
          <w:tcPr>
            <w:tcW w:w="3093" w:type="dxa"/>
            <w:gridSpan w:val="3"/>
          </w:tcPr>
          <w:p>
            <w:pPr>
              <w:pStyle w:val="TableParagraph"/>
              <w:spacing w:before="89"/>
              <w:ind w:left="27"/>
              <w:rPr>
                <w:rFonts w:ascii="Times New Roman"/>
                <w:sz w:val="24"/>
              </w:rPr>
            </w:pPr>
            <w:r>
              <w:rPr>
                <w:rFonts w:ascii="Times New Roman"/>
                <w:sz w:val="24"/>
              </w:rPr>
              <w:t>/</w:t>
            </w:r>
          </w:p>
        </w:tc>
      </w:tr>
      <w:tr>
        <w:trPr>
          <w:trHeight w:val="634" w:hRule="exact"/>
        </w:trPr>
        <w:tc>
          <w:tcPr>
            <w:tcW w:w="1951" w:type="dxa"/>
          </w:tcPr>
          <w:p>
            <w:pPr>
              <w:pStyle w:val="TableParagraph"/>
              <w:spacing w:line="275" w:lineRule="exact"/>
              <w:ind w:left="103" w:right="103"/>
              <w:rPr>
                <w:sz w:val="24"/>
              </w:rPr>
            </w:pPr>
            <w:r>
              <w:rPr>
                <w:sz w:val="24"/>
              </w:rPr>
              <w:t>总投资</w:t>
            </w:r>
          </w:p>
          <w:p>
            <w:pPr>
              <w:pStyle w:val="TableParagraph"/>
              <w:spacing w:line="313" w:lineRule="exact"/>
              <w:ind w:left="103" w:right="103"/>
              <w:rPr>
                <w:sz w:val="24"/>
              </w:rPr>
            </w:pPr>
            <w:r>
              <w:rPr>
                <w:sz w:val="24"/>
              </w:rPr>
              <w:t>（万元）</w:t>
            </w:r>
          </w:p>
        </w:tc>
        <w:tc>
          <w:tcPr>
            <w:tcW w:w="1559" w:type="dxa"/>
          </w:tcPr>
          <w:p>
            <w:pPr>
              <w:pStyle w:val="TableParagraph"/>
              <w:spacing w:before="174"/>
              <w:ind w:left="574" w:right="575"/>
              <w:rPr>
                <w:rFonts w:ascii="Times New Roman"/>
                <w:sz w:val="24"/>
              </w:rPr>
            </w:pPr>
            <w:r>
              <w:rPr>
                <w:rFonts w:ascii="Times New Roman"/>
                <w:sz w:val="24"/>
              </w:rPr>
              <w:t>150</w:t>
            </w:r>
          </w:p>
        </w:tc>
        <w:tc>
          <w:tcPr>
            <w:tcW w:w="1476" w:type="dxa"/>
            <w:gridSpan w:val="4"/>
          </w:tcPr>
          <w:p>
            <w:pPr>
              <w:pStyle w:val="TableParagraph"/>
              <w:spacing w:line="275" w:lineRule="exact"/>
              <w:ind w:left="253"/>
              <w:jc w:val="left"/>
              <w:rPr>
                <w:sz w:val="24"/>
              </w:rPr>
            </w:pPr>
            <w:r>
              <w:rPr>
                <w:sz w:val="24"/>
              </w:rPr>
              <w:t>环保投资</w:t>
            </w:r>
          </w:p>
          <w:p>
            <w:pPr>
              <w:pStyle w:val="TableParagraph"/>
              <w:spacing w:line="313" w:lineRule="exact"/>
              <w:ind w:left="253"/>
              <w:jc w:val="left"/>
              <w:rPr>
                <w:sz w:val="24"/>
              </w:rPr>
            </w:pPr>
            <w:r>
              <w:rPr>
                <w:sz w:val="24"/>
              </w:rPr>
              <w:t>（万元）</w:t>
            </w:r>
          </w:p>
        </w:tc>
        <w:tc>
          <w:tcPr>
            <w:tcW w:w="1207" w:type="dxa"/>
            <w:gridSpan w:val="2"/>
          </w:tcPr>
          <w:p>
            <w:pPr>
              <w:pStyle w:val="TableParagraph"/>
              <w:spacing w:before="174"/>
              <w:ind w:left="113" w:right="84"/>
              <w:rPr>
                <w:rFonts w:ascii="Times New Roman"/>
                <w:sz w:val="24"/>
              </w:rPr>
            </w:pPr>
            <w:r>
              <w:rPr>
                <w:rFonts w:ascii="Times New Roman"/>
                <w:sz w:val="24"/>
              </w:rPr>
              <w:t>41</w:t>
            </w:r>
          </w:p>
        </w:tc>
        <w:tc>
          <w:tcPr>
            <w:tcW w:w="1839" w:type="dxa"/>
            <w:gridSpan w:val="2"/>
          </w:tcPr>
          <w:p>
            <w:pPr>
              <w:pStyle w:val="TableParagraph"/>
              <w:spacing w:line="275" w:lineRule="exact"/>
              <w:ind w:left="189" w:right="160"/>
              <w:rPr>
                <w:sz w:val="24"/>
              </w:rPr>
            </w:pPr>
            <w:r>
              <w:rPr>
                <w:sz w:val="24"/>
              </w:rPr>
              <w:t>环保投资占总</w:t>
            </w:r>
          </w:p>
          <w:p>
            <w:pPr>
              <w:pStyle w:val="TableParagraph"/>
              <w:spacing w:line="313" w:lineRule="exact"/>
              <w:ind w:left="189" w:right="160"/>
              <w:rPr>
                <w:sz w:val="24"/>
              </w:rPr>
            </w:pPr>
            <w:r>
              <w:rPr>
                <w:sz w:val="24"/>
              </w:rPr>
              <w:t>投资比例</w:t>
            </w:r>
          </w:p>
        </w:tc>
        <w:tc>
          <w:tcPr>
            <w:tcW w:w="1254" w:type="dxa"/>
          </w:tcPr>
          <w:p>
            <w:pPr>
              <w:pStyle w:val="TableParagraph"/>
              <w:spacing w:before="174"/>
              <w:ind w:left="311"/>
              <w:jc w:val="left"/>
              <w:rPr>
                <w:rFonts w:ascii="Times New Roman"/>
                <w:sz w:val="24"/>
              </w:rPr>
            </w:pPr>
            <w:r>
              <w:rPr>
                <w:rFonts w:ascii="Times New Roman"/>
                <w:sz w:val="24"/>
              </w:rPr>
              <w:t>0.12%</w:t>
            </w:r>
          </w:p>
        </w:tc>
      </w:tr>
      <w:tr>
        <w:trPr>
          <w:trHeight w:val="464" w:hRule="exact"/>
        </w:trPr>
        <w:tc>
          <w:tcPr>
            <w:tcW w:w="1951" w:type="dxa"/>
          </w:tcPr>
          <w:p>
            <w:pPr>
              <w:pStyle w:val="TableParagraph"/>
              <w:spacing w:before="33"/>
              <w:ind w:left="103" w:right="-17"/>
              <w:rPr>
                <w:sz w:val="24"/>
              </w:rPr>
            </w:pPr>
            <w:r>
              <w:rPr>
                <w:spacing w:val="-17"/>
                <w:sz w:val="24"/>
              </w:rPr>
              <w:t>评价经费</w:t>
            </w:r>
            <w:r>
              <w:rPr>
                <w:sz w:val="24"/>
              </w:rPr>
              <w:t>（万元）</w:t>
            </w:r>
          </w:p>
        </w:tc>
        <w:tc>
          <w:tcPr>
            <w:tcW w:w="1559" w:type="dxa"/>
          </w:tcPr>
          <w:p>
            <w:pPr/>
          </w:p>
        </w:tc>
        <w:tc>
          <w:tcPr>
            <w:tcW w:w="1476" w:type="dxa"/>
            <w:gridSpan w:val="4"/>
          </w:tcPr>
          <w:p>
            <w:pPr>
              <w:pStyle w:val="TableParagraph"/>
              <w:spacing w:before="33"/>
              <w:ind w:left="253"/>
              <w:jc w:val="left"/>
              <w:rPr>
                <w:sz w:val="24"/>
              </w:rPr>
            </w:pPr>
            <w:r>
              <w:rPr>
                <w:sz w:val="24"/>
              </w:rPr>
              <w:t>投产日期</w:t>
            </w:r>
          </w:p>
        </w:tc>
        <w:tc>
          <w:tcPr>
            <w:tcW w:w="4300" w:type="dxa"/>
            <w:gridSpan w:val="5"/>
          </w:tcPr>
          <w:p>
            <w:pPr/>
          </w:p>
        </w:tc>
      </w:tr>
      <w:tr>
        <w:trPr>
          <w:trHeight w:val="7966" w:hRule="exact"/>
        </w:trPr>
        <w:tc>
          <w:tcPr>
            <w:tcW w:w="9286" w:type="dxa"/>
            <w:gridSpan w:val="11"/>
          </w:tcPr>
          <w:p>
            <w:pPr>
              <w:pStyle w:val="TableParagraph"/>
              <w:spacing w:line="357" w:lineRule="auto" w:before="40"/>
              <w:ind w:left="103" w:right="7016"/>
              <w:jc w:val="left"/>
              <w:rPr>
                <w:b/>
                <w:sz w:val="24"/>
              </w:rPr>
            </w:pPr>
            <w:r>
              <w:rPr>
                <w:b/>
                <w:sz w:val="24"/>
              </w:rPr>
              <w:t>项目内容及规模： </w:t>
            </w:r>
            <w:r>
              <w:rPr>
                <w:b/>
                <w:w w:val="95"/>
                <w:sz w:val="24"/>
              </w:rPr>
              <w:t>一、建设项目的由来</w:t>
            </w:r>
          </w:p>
          <w:p>
            <w:pPr>
              <w:pStyle w:val="TableParagraph"/>
              <w:spacing w:line="357" w:lineRule="auto" w:before="36"/>
              <w:ind w:left="103" w:right="50" w:firstLine="480"/>
              <w:jc w:val="both"/>
              <w:rPr>
                <w:sz w:val="24"/>
              </w:rPr>
            </w:pPr>
            <w:r>
              <w:rPr>
                <w:sz w:val="24"/>
              </w:rPr>
              <w:t>随着西部大开发的实施，开江县各乡镇的工业、农业及旅游业取得了快速的发展， 为当地带来财政收入的同时，也产生了水体污染等环境问题，不仅使当地的水体环境及旅游环境受到极大的威胁，而且严重地影响到下游城市的水源环境。</w:t>
            </w:r>
          </w:p>
          <w:p>
            <w:pPr>
              <w:pStyle w:val="TableParagraph"/>
              <w:spacing w:line="357" w:lineRule="auto" w:before="36"/>
              <w:ind w:left="103" w:right="50" w:firstLine="480"/>
              <w:jc w:val="both"/>
              <w:rPr>
                <w:sz w:val="24"/>
              </w:rPr>
            </w:pPr>
            <w:r>
              <w:rPr>
                <w:spacing w:val="-3"/>
                <w:sz w:val="24"/>
              </w:rPr>
              <w:t>在当前开江县梅家乡的城乡统筹建设进程中，水环境综合治理也成为开江县经济建设和社会发展的当务之急。城乡规划过后，城镇人口增多，直接造成了污水量的增加， </w:t>
            </w:r>
            <w:r>
              <w:rPr>
                <w:spacing w:val="-7"/>
                <w:sz w:val="24"/>
              </w:rPr>
              <w:t>目前雨污分流管网建设滞后，导致一部分污水无法进行收集和处理，排入了河道，对环</w:t>
            </w:r>
            <w:r>
              <w:rPr>
                <w:spacing w:val="-10"/>
                <w:sz w:val="24"/>
              </w:rPr>
              <w:t>境的污染较为严重。由于历史和建设原因，城区范围内的污水管网和雨污分流管网建设不完善，不合理，导致部分城区污水和雨水不能有效分流，污水不有效收集，送入污水处理厂进行处理，影响纳污水体的水环境质量。</w:t>
            </w:r>
          </w:p>
          <w:p>
            <w:pPr>
              <w:pStyle w:val="TableParagraph"/>
              <w:spacing w:line="357" w:lineRule="auto" w:before="36"/>
              <w:ind w:left="103" w:right="101" w:firstLine="480"/>
              <w:jc w:val="both"/>
              <w:rPr>
                <w:sz w:val="24"/>
              </w:rPr>
            </w:pPr>
            <w:r>
              <w:rPr>
                <w:spacing w:val="-4"/>
                <w:sz w:val="24"/>
              </w:rPr>
              <w:t>为让开江县梅家乡的天更蓝、水更清，整治城乡环境和城乡水环境，努力营造人与</w:t>
            </w:r>
            <w:r>
              <w:rPr>
                <w:spacing w:val="-7"/>
                <w:sz w:val="24"/>
              </w:rPr>
              <w:t>水和谐共荣的优美环境，同时综合考虑梅家乡以后的发展程度、城市扩建所要达到的规模、污水量增加的程度等因素。</w:t>
            </w:r>
          </w:p>
          <w:p>
            <w:pPr>
              <w:pStyle w:val="TableParagraph"/>
              <w:spacing w:line="357" w:lineRule="auto" w:before="36"/>
              <w:ind w:left="103" w:right="-17" w:firstLine="480"/>
              <w:jc w:val="both"/>
              <w:rPr>
                <w:sz w:val="24"/>
              </w:rPr>
            </w:pPr>
            <w:r>
              <w:rPr>
                <w:spacing w:val="-14"/>
                <w:sz w:val="24"/>
              </w:rPr>
              <w:t>综上所述，对开江县城区的污水实施统一收集和处理，不论从环境影响角度上分析，</w:t>
            </w:r>
            <w:r>
              <w:rPr>
                <w:spacing w:val="-16"/>
                <w:sz w:val="24"/>
              </w:rPr>
              <w:t>还是从提高群众的生活质量上讲都是十分有益的。至此，开江县梅家乡人民政府拟实施</w:t>
            </w:r>
          </w:p>
          <w:p>
            <w:pPr>
              <w:pStyle w:val="TableParagraph"/>
              <w:spacing w:before="36"/>
              <w:ind w:left="103"/>
              <w:jc w:val="left"/>
              <w:rPr>
                <w:sz w:val="24"/>
              </w:rPr>
            </w:pPr>
            <w:r>
              <w:rPr>
                <w:sz w:val="24"/>
              </w:rPr>
              <w:t>“梅家乡集镇雨污分流管网及人行道改造工程项目”</w:t>
            </w:r>
          </w:p>
        </w:tc>
      </w:tr>
    </w:tbl>
    <w:p>
      <w:pPr>
        <w:spacing w:after="0"/>
        <w:jc w:val="left"/>
        <w:rPr>
          <w:sz w:val="24"/>
        </w:rPr>
        <w:sectPr>
          <w:footerReference w:type="default" r:id="rId5"/>
          <w:pgSz w:w="11910" w:h="16840"/>
          <w:pgMar w:footer="1246" w:header="0" w:top="1200" w:bottom="1440" w:left="1200" w:right="1200"/>
          <w:pgNumType w:start="1"/>
        </w:sectPr>
      </w:pPr>
    </w:p>
    <w:p>
      <w:pPr>
        <w:pStyle w:val="Heading2"/>
        <w:spacing w:before="45"/>
        <w:ind w:left="700"/>
      </w:pPr>
      <w:r>
        <w:rPr/>
        <w:pict>
          <v:group style="position:absolute;margin-left:65.2705pt;margin-top:56.448982pt;width:464.8pt;height:703.5pt;mso-position-horizontal-relative:page;mso-position-vertical-relative:page;z-index:-84256" coordorigin="1305,1129" coordsize="9296,14070">
            <v:shape style="position:absolute;left:1310;top:1134;width:9281;height:14060" coordorigin="1310,1134" coordsize="9281,14060" path="m1315,1139l10591,1139m1310,1134l1310,15193e" filled="false" stroked="true" strokeweight=".481pt" strokecolor="#000000">
              <v:path arrowok="t"/>
              <v:stroke dashstyle="solid"/>
            </v:shape>
            <v:line style="position:absolute" from="1315,15188" to="10591,15188" stroked="true" strokeweight=".48pt" strokecolor="#000000">
              <v:stroke dashstyle="solid"/>
            </v:line>
            <v:line style="position:absolute" from="10596,1134" to="10596,15193" stroked="true" strokeweight=".48pt" strokecolor="#000000">
              <v:stroke dashstyle="solid"/>
            </v:line>
            <w10:wrap type="none"/>
          </v:group>
        </w:pict>
      </w:r>
      <w:r>
        <w:rPr>
          <w:w w:val="95"/>
        </w:rPr>
        <w:t>根据现场调查，本项目已经建设完毕，因此，本次环评属于补评。</w:t>
      </w:r>
    </w:p>
    <w:p>
      <w:pPr>
        <w:pStyle w:val="BodyText"/>
        <w:spacing w:line="357" w:lineRule="auto" w:before="153"/>
        <w:ind w:left="218" w:right="211" w:firstLine="480"/>
        <w:jc w:val="both"/>
      </w:pPr>
      <w:r>
        <w:rPr>
          <w:spacing w:val="-18"/>
        </w:rPr>
        <w:t>根据《中华人民共和国环境保护法》、《中华人民共和国环境影响评价法》及《建设</w:t>
      </w:r>
      <w:r>
        <w:rPr>
          <w:spacing w:val="-16"/>
        </w:rPr>
        <w:t>项目环境保护管理条例》等法律法规的要求，本项目的建设应进行环境影响评价。本项目为雨污水管网建设</w:t>
      </w:r>
      <w:r>
        <w:rPr>
          <w:rFonts w:ascii="仿宋_GB2312" w:eastAsia="仿宋_GB2312" w:hint="eastAsia"/>
          <w:spacing w:val="-16"/>
        </w:rPr>
        <w:t>，</w:t>
      </w:r>
      <w:r>
        <w:rPr>
          <w:spacing w:val="-21"/>
        </w:rPr>
        <w:t>根据《建设项目环境影响评价分类管理名录》，本项目需要编制</w:t>
      </w:r>
      <w:r>
        <w:rPr>
          <w:spacing w:val="-15"/>
        </w:rPr>
        <w:t>环境影响报告表。据此，开江县梅家乡人民政府委托湖南葆华环保有限公司对该项目进</w:t>
      </w:r>
      <w:r>
        <w:rPr>
          <w:spacing w:val="-14"/>
        </w:rPr>
        <w:t>行环境影响评价工作。在接受委托后，本公司即组织有关人员对该工程进行实地踏勘和</w:t>
      </w:r>
      <w:r>
        <w:rPr>
          <w:spacing w:val="-11"/>
        </w:rPr>
        <w:t>资料收集，并根据现场收集资料和有关技术规范及相关规定，收集分析了本工程及相关的技术资料，在充分研读有关文件和资料后，结合该项目的污染特征，编制完成了该项</w:t>
      </w:r>
      <w:r>
        <w:rPr>
          <w:spacing w:val="-13"/>
        </w:rPr>
        <w:t>目的环境影响评价报告表，呈环境保护主管部门审查，待审核后作为项目环境管理及环保设计的依据。</w:t>
      </w:r>
    </w:p>
    <w:p>
      <w:pPr>
        <w:pStyle w:val="Heading2"/>
        <w:spacing w:before="35"/>
        <w:ind w:left="268" w:right="5842"/>
        <w:jc w:val="center"/>
        <w:rPr>
          <w:rFonts w:ascii="新宋体" w:eastAsia="新宋体" w:hint="eastAsia"/>
        </w:rPr>
      </w:pPr>
      <w:r>
        <w:rPr>
          <w:rFonts w:ascii="新宋体" w:eastAsia="新宋体" w:hint="eastAsia"/>
          <w:w w:val="95"/>
        </w:rPr>
        <w:t>二、产业政策及选址合理性分析</w:t>
      </w:r>
      <w:r>
        <w:rPr>
          <w:rFonts w:ascii="新宋体" w:eastAsia="新宋体" w:hint="eastAsia"/>
          <w:w w:val="99"/>
        </w:rPr>
        <w:t> </w:t>
      </w:r>
    </w:p>
    <w:p>
      <w:pPr>
        <w:spacing w:before="153"/>
        <w:ind w:left="700" w:right="0" w:firstLine="0"/>
        <w:jc w:val="left"/>
        <w:rPr>
          <w:b/>
          <w:sz w:val="24"/>
        </w:rPr>
      </w:pPr>
      <w:r>
        <w:rPr>
          <w:rFonts w:ascii="Times New Roman" w:eastAsia="Times New Roman"/>
          <w:b/>
          <w:w w:val="95"/>
          <w:sz w:val="24"/>
        </w:rPr>
        <w:t>1</w:t>
      </w:r>
      <w:r>
        <w:rPr>
          <w:b/>
          <w:w w:val="95"/>
          <w:sz w:val="24"/>
        </w:rPr>
        <w:t>、产业政策合理性分析</w:t>
      </w:r>
    </w:p>
    <w:p>
      <w:pPr>
        <w:pStyle w:val="BodyText"/>
        <w:spacing w:line="343" w:lineRule="auto"/>
        <w:ind w:left="218" w:right="216" w:firstLine="480"/>
        <w:jc w:val="both"/>
      </w:pPr>
      <w:r>
        <w:rPr>
          <w:spacing w:val="-3"/>
        </w:rPr>
        <w:t>本项目属于城市污水管网建设，不属于国家发展和改革委员会《产业结构调整指导目录》（</w:t>
      </w:r>
      <w:r>
        <w:rPr>
          <w:rFonts w:ascii="Times New Roman" w:hAnsi="Times New Roman" w:eastAsia="Times New Roman"/>
          <w:spacing w:val="-3"/>
        </w:rPr>
        <w:t>2011 </w:t>
      </w:r>
      <w:r>
        <w:rPr/>
        <w:t>年本）（</w:t>
      </w:r>
      <w:r>
        <w:rPr>
          <w:rFonts w:ascii="Times New Roman" w:hAnsi="Times New Roman" w:eastAsia="Times New Roman"/>
        </w:rPr>
        <w:t>2013 </w:t>
      </w:r>
      <w:r>
        <w:rPr/>
        <w:t>修正）的鼓励类、限制类、淘汰类，符合国务院《促进产</w:t>
      </w:r>
      <w:r>
        <w:rPr>
          <w:spacing w:val="-12"/>
        </w:rPr>
        <w:t>业结构调整暂行规定》</w:t>
      </w:r>
      <w:r>
        <w:rPr/>
        <w:t>（国发［</w:t>
      </w:r>
      <w:r>
        <w:rPr>
          <w:rFonts w:ascii="Times New Roman" w:hAnsi="Times New Roman" w:eastAsia="Times New Roman"/>
        </w:rPr>
        <w:t>2005</w:t>
      </w:r>
      <w:r>
        <w:rPr/>
        <w:t>］</w:t>
      </w:r>
      <w:r>
        <w:rPr>
          <w:rFonts w:ascii="Times New Roman" w:hAnsi="Times New Roman" w:eastAsia="Times New Roman"/>
        </w:rPr>
        <w:t>40 </w:t>
      </w:r>
      <w:r>
        <w:rPr/>
        <w:t>号）第二章第五条“加强能源、交通、水利和信息等基础设施建设，增强对经济社会发展的保障能力”的要求，属于允许类。</w:t>
      </w:r>
    </w:p>
    <w:p>
      <w:pPr>
        <w:pStyle w:val="BodyText"/>
        <w:spacing w:line="357" w:lineRule="auto" w:before="50"/>
        <w:ind w:left="218" w:right="216" w:firstLine="480"/>
        <w:jc w:val="both"/>
      </w:pPr>
      <w:r>
        <w:rPr>
          <w:spacing w:val="-6"/>
        </w:rPr>
        <w:t>开江县发展和改革局以“关于梅家乡集镇雨污分流管网及人行道改造工程项目可行性研究报告的批复（开发行审［</w:t>
      </w:r>
      <w:r>
        <w:rPr>
          <w:rFonts w:ascii="Times New Roman" w:hAnsi="Times New Roman" w:eastAsia="Times New Roman"/>
          <w:spacing w:val="-6"/>
        </w:rPr>
        <w:t>20</w:t>
      </w:r>
      <w:r>
        <w:rPr>
          <w:rFonts w:ascii="Times New Roman" w:hAnsi="Times New Roman" w:eastAsia="Times New Roman"/>
          <w:spacing w:val="-9"/>
        </w:rPr>
        <w:t>1</w:t>
      </w:r>
      <w:r>
        <w:rPr>
          <w:rFonts w:ascii="Times New Roman" w:hAnsi="Times New Roman" w:eastAsia="Times New Roman"/>
        </w:rPr>
        <w:t>1</w:t>
      </w:r>
      <w:r>
        <w:rPr/>
        <w:t>］</w:t>
      </w:r>
      <w:r>
        <w:rPr>
          <w:rFonts w:ascii="Times New Roman" w:hAnsi="Times New Roman" w:eastAsia="Times New Roman"/>
        </w:rPr>
        <w:t>143 </w:t>
      </w:r>
      <w:r>
        <w:rPr/>
        <w:t>号</w:t>
      </w:r>
      <w:r>
        <w:rPr>
          <w:spacing w:val="-120"/>
        </w:rPr>
        <w:t>）</w:t>
      </w:r>
      <w:r>
        <w:rPr/>
        <w:t>”同意本项目立项。</w:t>
      </w:r>
    </w:p>
    <w:p>
      <w:pPr>
        <w:pStyle w:val="Heading2"/>
        <w:spacing w:before="5"/>
        <w:ind w:left="700"/>
      </w:pPr>
      <w:r>
        <w:rPr>
          <w:w w:val="95"/>
        </w:rPr>
        <w:t>综上所述，本项目的建设符合国家现行的产业政策。</w:t>
      </w:r>
    </w:p>
    <w:p>
      <w:pPr>
        <w:spacing w:before="153"/>
        <w:ind w:left="700" w:right="0" w:firstLine="0"/>
        <w:jc w:val="left"/>
        <w:rPr>
          <w:b/>
          <w:sz w:val="24"/>
        </w:rPr>
      </w:pPr>
      <w:r>
        <w:rPr>
          <w:rFonts w:ascii="Times New Roman" w:eastAsia="Times New Roman"/>
          <w:b/>
          <w:w w:val="95"/>
          <w:sz w:val="24"/>
        </w:rPr>
        <w:t>2</w:t>
      </w:r>
      <w:r>
        <w:rPr>
          <w:b/>
          <w:w w:val="95"/>
          <w:sz w:val="24"/>
        </w:rPr>
        <w:t>、规划选址合理性分析</w:t>
      </w:r>
    </w:p>
    <w:p>
      <w:pPr>
        <w:pStyle w:val="BodyText"/>
        <w:spacing w:line="352" w:lineRule="auto"/>
        <w:ind w:left="218" w:right="215" w:firstLine="480"/>
        <w:jc w:val="both"/>
      </w:pPr>
      <w:r>
        <w:rPr>
          <w:spacing w:val="-4"/>
        </w:rPr>
        <w:t>本项目位于开江县梅家乡，本项目的建设内容符合乡镇给排水规划，符合梅家乡总</w:t>
      </w:r>
      <w:r>
        <w:rPr>
          <w:spacing w:val="-8"/>
        </w:rPr>
        <w:t>体规划，本工程均沿现有的道路走向进行铺设，不新增用地，临时用地较少，符合集约</w:t>
      </w:r>
      <w:r>
        <w:rPr>
          <w:spacing w:val="-12"/>
        </w:rPr>
        <w:t>和合理利用土地原则。沿线均为现有的居民住宅、商铺、办公场所等，工程均为城镇建</w:t>
      </w:r>
      <w:r>
        <w:rPr>
          <w:spacing w:val="-9"/>
        </w:rPr>
        <w:t>成区，管道不涉及自然保护区、风景名胜区及重点文物古迹，项目施工范围内无饮用水</w:t>
      </w:r>
      <w:r>
        <w:rPr>
          <w:spacing w:val="-12"/>
        </w:rPr>
        <w:t>源取水口，下游 </w:t>
      </w:r>
      <w:r>
        <w:rPr>
          <w:rFonts w:ascii="Times New Roman" w:eastAsia="Times New Roman"/>
        </w:rPr>
        <w:t>10 </w:t>
      </w:r>
      <w:r>
        <w:rPr/>
        <w:t>公里河道内无地表水饮用水源取水口，评价范围内没有明显的环境制约因素，因此，本项目选址合理。</w:t>
      </w:r>
    </w:p>
    <w:p>
      <w:pPr>
        <w:pStyle w:val="Heading2"/>
        <w:spacing w:line="357" w:lineRule="auto" w:before="41"/>
        <w:ind w:left="218" w:right="3007" w:firstLine="482"/>
      </w:pPr>
      <w:r>
        <w:rPr/>
        <w:t>综上所述，本项目符合开江县梅家乡的乡镇总体规划。</w:t>
      </w:r>
      <w:r>
        <w:rPr>
          <w:w w:val="95"/>
        </w:rPr>
        <w:t>三、项目概况</w:t>
      </w:r>
      <w:r>
        <w:rPr>
          <w:w w:val="99"/>
        </w:rPr>
        <w:t> </w:t>
      </w:r>
    </w:p>
    <w:p>
      <w:pPr>
        <w:pStyle w:val="BodyText"/>
        <w:spacing w:line="357" w:lineRule="auto" w:before="36"/>
        <w:ind w:left="698" w:right="2552"/>
      </w:pPr>
      <w:r>
        <w:rPr/>
        <w:t>项目名称：梅家乡集镇雨污分流管网及人行道改造工程项目建设性质：新建（补评）</w:t>
      </w:r>
    </w:p>
    <w:p>
      <w:pPr>
        <w:spacing w:after="0" w:line="357" w:lineRule="auto"/>
        <w:sectPr>
          <w:pgSz w:w="11910" w:h="16840"/>
          <w:pgMar w:header="0" w:footer="1246" w:top="1120" w:bottom="1440" w:left="1200" w:right="1200"/>
        </w:sectPr>
      </w:pPr>
    </w:p>
    <w:p>
      <w:pPr>
        <w:pStyle w:val="BodyText"/>
        <w:spacing w:before="45"/>
        <w:ind w:left="698"/>
      </w:pPr>
      <w:r>
        <w:rPr/>
        <w:pict>
          <v:group style="position:absolute;margin-left:65.2705pt;margin-top:56.448982pt;width:464.8pt;height:709.05pt;mso-position-horizontal-relative:page;mso-position-vertical-relative:page;z-index:-84232" coordorigin="1305,1129" coordsize="9296,14181">
            <v:shape style="position:absolute;left:1310;top:1134;width:9281;height:14171" coordorigin="1310,1134" coordsize="9281,14171" path="m1315,1139l10591,1139m1310,1134l1310,15305e" filled="false" stroked="true" strokeweight=".481pt" strokecolor="#000000">
              <v:path arrowok="t"/>
              <v:stroke dashstyle="solid"/>
            </v:shape>
            <v:line style="position:absolute" from="1315,15300" to="10591,15300" stroked="true" strokeweight=".48pt" strokecolor="#000000">
              <v:stroke dashstyle="solid"/>
            </v:line>
            <v:line style="position:absolute" from="10596,1134" to="10596,15305" stroked="true" strokeweight=".48pt" strokecolor="#000000">
              <v:stroke dashstyle="solid"/>
            </v:line>
            <w10:wrap type="none"/>
          </v:group>
        </w:pict>
      </w:r>
      <w:r>
        <w:rPr/>
        <w:t>建设地点：开江县梅家乡</w:t>
      </w:r>
    </w:p>
    <w:p>
      <w:pPr>
        <w:pStyle w:val="BodyText"/>
        <w:spacing w:line="338" w:lineRule="auto" w:before="153"/>
        <w:ind w:left="698" w:right="4932"/>
        <w:rPr>
          <w:rFonts w:ascii="新宋体" w:eastAsia="新宋体" w:hint="eastAsia"/>
        </w:rPr>
      </w:pPr>
      <w:r>
        <w:rPr/>
        <w:t>资金来源：项目总投资 </w:t>
      </w:r>
      <w:r>
        <w:rPr>
          <w:rFonts w:ascii="Times New Roman" w:eastAsia="Times New Roman"/>
        </w:rPr>
        <w:t>150 </w:t>
      </w:r>
      <w:r>
        <w:rPr/>
        <w:t>万元。建设单位：开江县梅家乡人民政府</w:t>
      </w:r>
      <w:r>
        <w:rPr>
          <w:rFonts w:ascii="新宋体" w:eastAsia="新宋体" w:hint="eastAsia"/>
        </w:rPr>
        <w:t> </w:t>
      </w:r>
    </w:p>
    <w:p>
      <w:pPr>
        <w:pStyle w:val="Heading2"/>
        <w:spacing w:before="55"/>
        <w:ind w:left="218"/>
      </w:pPr>
      <w:r>
        <w:rPr>
          <w:w w:val="95"/>
        </w:rPr>
        <w:t>四、工程建设规模及内容</w:t>
      </w:r>
    </w:p>
    <w:p>
      <w:pPr>
        <w:pStyle w:val="ListParagraph"/>
        <w:numPr>
          <w:ilvl w:val="1"/>
          <w:numId w:val="1"/>
        </w:numPr>
        <w:tabs>
          <w:tab w:pos="1061" w:val="left" w:leader="none"/>
        </w:tabs>
        <w:spacing w:line="240" w:lineRule="auto" w:before="154" w:after="0"/>
        <w:ind w:left="1060" w:right="0" w:hanging="360"/>
        <w:jc w:val="left"/>
        <w:rPr>
          <w:b/>
          <w:sz w:val="24"/>
        </w:rPr>
      </w:pPr>
      <w:r>
        <w:rPr>
          <w:b/>
          <w:sz w:val="24"/>
        </w:rPr>
        <w:t>建设内容</w:t>
      </w:r>
    </w:p>
    <w:p>
      <w:pPr>
        <w:pStyle w:val="BodyText"/>
        <w:spacing w:line="357" w:lineRule="auto"/>
        <w:ind w:left="218" w:firstLine="504"/>
      </w:pPr>
      <w:r>
        <w:rPr/>
        <w:t>本项目主要建设内容为铺设雨污分流管网及人行道改造项目，新建污水管道总长 </w:t>
      </w:r>
      <w:r>
        <w:rPr>
          <w:rFonts w:ascii="Times New Roman" w:eastAsia="Times New Roman"/>
        </w:rPr>
        <w:t>1221 </w:t>
      </w:r>
      <w:r>
        <w:rPr/>
        <w:t>米，雨水管道长 </w:t>
      </w:r>
      <w:r>
        <w:rPr>
          <w:rFonts w:ascii="Times New Roman" w:eastAsia="Times New Roman"/>
        </w:rPr>
        <w:t>2426 </w:t>
      </w:r>
      <w:r>
        <w:rPr/>
        <w:t>米，新建路沿石 </w:t>
      </w:r>
      <w:r>
        <w:rPr>
          <w:rFonts w:ascii="Times New Roman" w:eastAsia="Times New Roman"/>
        </w:rPr>
        <w:t>2180 </w:t>
      </w:r>
      <w:r>
        <w:rPr/>
        <w:t>米，人行道彩化 </w:t>
      </w:r>
      <w:r>
        <w:rPr>
          <w:rFonts w:ascii="Times New Roman" w:eastAsia="Times New Roman"/>
        </w:rPr>
        <w:t>4470 </w:t>
      </w:r>
      <w:r>
        <w:rPr/>
        <w:t>平方。</w:t>
      </w:r>
    </w:p>
    <w:p>
      <w:pPr>
        <w:pStyle w:val="Heading2"/>
        <w:numPr>
          <w:ilvl w:val="1"/>
          <w:numId w:val="1"/>
        </w:numPr>
        <w:tabs>
          <w:tab w:pos="1061" w:val="left" w:leader="none"/>
        </w:tabs>
        <w:spacing w:line="240" w:lineRule="auto" w:before="5" w:after="0"/>
        <w:ind w:left="1060" w:right="0" w:hanging="360"/>
        <w:jc w:val="left"/>
      </w:pPr>
      <w:r>
        <w:rPr>
          <w:w w:val="95"/>
        </w:rPr>
        <w:t>主要建设内容和项目组成</w:t>
      </w:r>
    </w:p>
    <w:p>
      <w:pPr>
        <w:pStyle w:val="BodyText"/>
        <w:spacing w:before="136"/>
        <w:ind w:left="698"/>
      </w:pPr>
      <w:r>
        <w:rPr/>
        <w:t>本项目的项目组成及主要的环境问题列表如下表 </w:t>
      </w:r>
      <w:r>
        <w:rPr>
          <w:rFonts w:ascii="Times New Roman" w:eastAsia="Times New Roman"/>
        </w:rPr>
        <w:t>1-1</w:t>
      </w:r>
      <w:r>
        <w:rPr/>
        <w:t>。</w:t>
      </w:r>
    </w:p>
    <w:p>
      <w:pPr>
        <w:pStyle w:val="Heading2"/>
        <w:tabs>
          <w:tab w:pos="3737" w:val="left" w:leader="none"/>
        </w:tabs>
        <w:spacing w:before="136"/>
        <w:ind w:left="2876"/>
      </w:pPr>
      <w:r>
        <w:rPr/>
        <w:t>表</w:t>
      </w:r>
      <w:r>
        <w:rPr>
          <w:spacing w:val="-61"/>
        </w:rPr>
        <w:t> </w:t>
      </w:r>
      <w:r>
        <w:rPr>
          <w:rFonts w:ascii="Times New Roman" w:eastAsia="Times New Roman"/>
        </w:rPr>
        <w:t>1-1</w:t>
        <w:tab/>
      </w:r>
      <w:r>
        <w:rPr>
          <w:w w:val="95"/>
        </w:rPr>
        <w:t>项目组成及主要环境问题表</w:t>
      </w:r>
    </w:p>
    <w:p>
      <w:pPr>
        <w:pStyle w:val="BodyText"/>
        <w:spacing w:before="4"/>
        <w:rPr>
          <w:b/>
          <w:sz w:val="7"/>
        </w:rPr>
      </w:pPr>
    </w:p>
    <w:tbl>
      <w:tblPr>
        <w:tblW w:w="0" w:type="auto"/>
        <w:jc w:val="left"/>
        <w:tblInd w:w="52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666"/>
        <w:gridCol w:w="1069"/>
        <w:gridCol w:w="4177"/>
        <w:gridCol w:w="1254"/>
        <w:gridCol w:w="1253"/>
      </w:tblGrid>
      <w:tr>
        <w:trPr>
          <w:trHeight w:val="335" w:hRule="exact"/>
        </w:trPr>
        <w:tc>
          <w:tcPr>
            <w:tcW w:w="666" w:type="dxa"/>
            <w:vMerge w:val="restart"/>
            <w:tcBorders>
              <w:right w:val="single" w:sz="6" w:space="0" w:color="000000"/>
            </w:tcBorders>
          </w:tcPr>
          <w:p>
            <w:pPr>
              <w:pStyle w:val="TableParagraph"/>
              <w:spacing w:before="152"/>
              <w:ind w:left="106"/>
              <w:jc w:val="left"/>
              <w:rPr>
                <w:b/>
                <w:sz w:val="21"/>
              </w:rPr>
            </w:pPr>
            <w:r>
              <w:rPr>
                <w:b/>
                <w:sz w:val="21"/>
              </w:rPr>
              <w:t>类别</w:t>
            </w:r>
          </w:p>
        </w:tc>
        <w:tc>
          <w:tcPr>
            <w:tcW w:w="1069" w:type="dxa"/>
            <w:vMerge w:val="restart"/>
            <w:tcBorders>
              <w:left w:val="single" w:sz="6" w:space="0" w:color="000000"/>
              <w:right w:val="single" w:sz="6" w:space="0" w:color="000000"/>
            </w:tcBorders>
          </w:tcPr>
          <w:p>
            <w:pPr>
              <w:pStyle w:val="TableParagraph"/>
              <w:spacing w:before="152"/>
              <w:ind w:left="263"/>
              <w:jc w:val="left"/>
              <w:rPr>
                <w:b/>
                <w:sz w:val="21"/>
              </w:rPr>
            </w:pPr>
            <w:r>
              <w:rPr>
                <w:b/>
                <w:sz w:val="21"/>
              </w:rPr>
              <w:t>名 称</w:t>
            </w:r>
          </w:p>
        </w:tc>
        <w:tc>
          <w:tcPr>
            <w:tcW w:w="4177" w:type="dxa"/>
            <w:vMerge w:val="restart"/>
            <w:tcBorders>
              <w:left w:val="single" w:sz="6" w:space="0" w:color="000000"/>
              <w:right w:val="single" w:sz="6" w:space="0" w:color="000000"/>
            </w:tcBorders>
          </w:tcPr>
          <w:p>
            <w:pPr>
              <w:pStyle w:val="TableParagraph"/>
              <w:spacing w:before="152"/>
              <w:ind w:left="1553" w:right="1553"/>
              <w:rPr>
                <w:b/>
                <w:sz w:val="21"/>
              </w:rPr>
            </w:pPr>
            <w:r>
              <w:rPr>
                <w:b/>
                <w:sz w:val="21"/>
              </w:rPr>
              <w:t>建设内容</w:t>
            </w:r>
          </w:p>
        </w:tc>
        <w:tc>
          <w:tcPr>
            <w:tcW w:w="2507" w:type="dxa"/>
            <w:gridSpan w:val="2"/>
            <w:tcBorders>
              <w:left w:val="single" w:sz="6" w:space="0" w:color="000000"/>
              <w:bottom w:val="single" w:sz="6" w:space="0" w:color="000000"/>
            </w:tcBorders>
          </w:tcPr>
          <w:p>
            <w:pPr>
              <w:pStyle w:val="TableParagraph"/>
              <w:spacing w:line="262" w:lineRule="exact"/>
              <w:ind w:left="613"/>
              <w:jc w:val="left"/>
              <w:rPr>
                <w:b/>
                <w:sz w:val="21"/>
              </w:rPr>
            </w:pPr>
            <w:r>
              <w:rPr>
                <w:b/>
                <w:w w:val="95"/>
                <w:sz w:val="21"/>
              </w:rPr>
              <w:t>主要环境问题</w:t>
            </w:r>
          </w:p>
        </w:tc>
      </w:tr>
      <w:tr>
        <w:trPr>
          <w:trHeight w:val="328" w:hRule="exact"/>
        </w:trPr>
        <w:tc>
          <w:tcPr>
            <w:tcW w:w="666" w:type="dxa"/>
            <w:vMerge/>
            <w:tcBorders>
              <w:bottom w:val="single" w:sz="6" w:space="0" w:color="000000"/>
              <w:right w:val="single" w:sz="6" w:space="0" w:color="000000"/>
            </w:tcBorders>
          </w:tcPr>
          <w:p>
            <w:pPr/>
          </w:p>
        </w:tc>
        <w:tc>
          <w:tcPr>
            <w:tcW w:w="1069" w:type="dxa"/>
            <w:vMerge/>
            <w:tcBorders>
              <w:left w:val="single" w:sz="6" w:space="0" w:color="000000"/>
              <w:bottom w:val="single" w:sz="6" w:space="0" w:color="000000"/>
              <w:right w:val="single" w:sz="6" w:space="0" w:color="000000"/>
            </w:tcBorders>
          </w:tcPr>
          <w:p>
            <w:pPr/>
          </w:p>
        </w:tc>
        <w:tc>
          <w:tcPr>
            <w:tcW w:w="4177" w:type="dxa"/>
            <w:vMerge/>
            <w:tcBorders>
              <w:left w:val="single" w:sz="6" w:space="0" w:color="000000"/>
              <w:bottom w:val="single" w:sz="6" w:space="0" w:color="000000"/>
              <w:right w:val="single" w:sz="6" w:space="0" w:color="000000"/>
            </w:tcBorders>
          </w:tcPr>
          <w:p>
            <w:pPr/>
          </w:p>
        </w:tc>
        <w:tc>
          <w:tcPr>
            <w:tcW w:w="1254" w:type="dxa"/>
            <w:tcBorders>
              <w:top w:val="single" w:sz="6" w:space="0" w:color="000000"/>
              <w:left w:val="single" w:sz="6" w:space="0" w:color="000000"/>
              <w:bottom w:val="single" w:sz="6" w:space="0" w:color="000000"/>
              <w:right w:val="single" w:sz="6" w:space="0" w:color="000000"/>
            </w:tcBorders>
          </w:tcPr>
          <w:p>
            <w:pPr>
              <w:pStyle w:val="TableParagraph"/>
              <w:spacing w:line="262" w:lineRule="exact"/>
              <w:ind w:left="179" w:right="180"/>
              <w:rPr>
                <w:b/>
                <w:sz w:val="21"/>
              </w:rPr>
            </w:pPr>
            <w:r>
              <w:rPr>
                <w:b/>
                <w:sz w:val="21"/>
              </w:rPr>
              <w:t>建设期</w:t>
            </w:r>
          </w:p>
        </w:tc>
        <w:tc>
          <w:tcPr>
            <w:tcW w:w="1253" w:type="dxa"/>
            <w:tcBorders>
              <w:top w:val="single" w:sz="6" w:space="0" w:color="000000"/>
              <w:left w:val="single" w:sz="6" w:space="0" w:color="000000"/>
              <w:bottom w:val="single" w:sz="6" w:space="0" w:color="000000"/>
            </w:tcBorders>
          </w:tcPr>
          <w:p>
            <w:pPr>
              <w:pStyle w:val="TableParagraph"/>
              <w:spacing w:line="262" w:lineRule="exact"/>
              <w:ind w:left="281" w:right="277"/>
              <w:rPr>
                <w:b/>
                <w:sz w:val="21"/>
              </w:rPr>
            </w:pPr>
            <w:r>
              <w:rPr>
                <w:b/>
                <w:sz w:val="21"/>
              </w:rPr>
              <w:t>营运期</w:t>
            </w:r>
          </w:p>
        </w:tc>
      </w:tr>
      <w:tr>
        <w:trPr>
          <w:trHeight w:val="950" w:hRule="exact"/>
        </w:trPr>
        <w:tc>
          <w:tcPr>
            <w:tcW w:w="666" w:type="dxa"/>
            <w:vMerge w:val="restart"/>
            <w:tcBorders>
              <w:top w:val="single" w:sz="6" w:space="0" w:color="000000"/>
              <w:right w:val="single" w:sz="6" w:space="0" w:color="000000"/>
            </w:tcBorders>
          </w:tcPr>
          <w:p>
            <w:pPr>
              <w:pStyle w:val="TableParagraph"/>
              <w:jc w:val="left"/>
              <w:rPr>
                <w:b/>
                <w:sz w:val="20"/>
              </w:rPr>
            </w:pPr>
          </w:p>
          <w:p>
            <w:pPr>
              <w:pStyle w:val="TableParagraph"/>
              <w:spacing w:before="4"/>
              <w:jc w:val="left"/>
              <w:rPr>
                <w:b/>
                <w:sz w:val="15"/>
              </w:rPr>
            </w:pPr>
          </w:p>
          <w:p>
            <w:pPr>
              <w:pStyle w:val="TableParagraph"/>
              <w:spacing w:line="273" w:lineRule="auto"/>
              <w:ind w:left="92" w:right="110"/>
              <w:jc w:val="left"/>
              <w:rPr>
                <w:b/>
                <w:sz w:val="21"/>
              </w:rPr>
            </w:pPr>
            <w:r>
              <w:rPr>
                <w:b/>
                <w:sz w:val="21"/>
              </w:rPr>
              <w:t>主体工程</w:t>
            </w: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line="273" w:lineRule="auto" w:before="142"/>
              <w:ind w:left="316" w:right="298"/>
              <w:jc w:val="left"/>
              <w:rPr>
                <w:sz w:val="21"/>
              </w:rPr>
            </w:pPr>
            <w:r>
              <w:rPr>
                <w:sz w:val="21"/>
              </w:rPr>
              <w:t>管网建设</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61" w:lineRule="exact"/>
              <w:ind w:left="99" w:firstLine="221"/>
              <w:jc w:val="left"/>
              <w:rPr>
                <w:sz w:val="21"/>
              </w:rPr>
            </w:pPr>
            <w:r>
              <w:rPr>
                <w:sz w:val="21"/>
              </w:rPr>
              <w:t>铺设雨污分流管网及人行道改造项目，</w:t>
            </w:r>
          </w:p>
          <w:p>
            <w:pPr>
              <w:pStyle w:val="TableParagraph"/>
              <w:spacing w:before="37"/>
              <w:ind w:left="99"/>
              <w:jc w:val="left"/>
              <w:rPr>
                <w:sz w:val="21"/>
              </w:rPr>
            </w:pPr>
            <w:r>
              <w:rPr>
                <w:sz w:val="21"/>
              </w:rPr>
              <w:t>新建污水管道总长 </w:t>
            </w:r>
            <w:r>
              <w:rPr>
                <w:rFonts w:ascii="Times New Roman" w:eastAsia="Times New Roman"/>
                <w:sz w:val="21"/>
              </w:rPr>
              <w:t>1221 </w:t>
            </w:r>
            <w:r>
              <w:rPr>
                <w:sz w:val="21"/>
              </w:rPr>
              <w:t>米，雨水管道长</w:t>
            </w:r>
          </w:p>
          <w:p>
            <w:pPr>
              <w:pStyle w:val="TableParagraph"/>
              <w:spacing w:before="21"/>
              <w:ind w:left="99"/>
              <w:jc w:val="left"/>
              <w:rPr>
                <w:sz w:val="21"/>
              </w:rPr>
            </w:pPr>
            <w:r>
              <w:rPr>
                <w:rFonts w:ascii="Times New Roman" w:eastAsia="Times New Roman"/>
                <w:sz w:val="21"/>
              </w:rPr>
              <w:t>2426 </w:t>
            </w:r>
            <w:r>
              <w:rPr>
                <w:sz w:val="21"/>
              </w:rPr>
              <w:t>米</w:t>
            </w:r>
          </w:p>
        </w:tc>
        <w:tc>
          <w:tcPr>
            <w:tcW w:w="1254"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7"/>
              <w:jc w:val="left"/>
              <w:rPr>
                <w:b/>
                <w:sz w:val="21"/>
              </w:rPr>
            </w:pPr>
          </w:p>
          <w:p>
            <w:pPr>
              <w:pStyle w:val="TableParagraph"/>
              <w:spacing w:line="273" w:lineRule="auto"/>
              <w:ind w:left="100" w:right="86"/>
              <w:jc w:val="both"/>
              <w:rPr>
                <w:sz w:val="21"/>
              </w:rPr>
            </w:pPr>
            <w:r>
              <w:rPr>
                <w:sz w:val="21"/>
              </w:rPr>
              <w:t>占用土地、植被破坏、水土流失、施工扬尘、施工噪声、施工废水、生活垃圾、临时堆土、淤泥</w:t>
            </w:r>
          </w:p>
        </w:tc>
        <w:tc>
          <w:tcPr>
            <w:tcW w:w="1253" w:type="dxa"/>
            <w:vMerge w:val="restart"/>
            <w:tcBorders>
              <w:top w:val="single" w:sz="6" w:space="0" w:color="000000"/>
              <w:lef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9"/>
              <w:jc w:val="left"/>
              <w:rPr>
                <w:b/>
                <w:sz w:val="14"/>
              </w:rPr>
            </w:pPr>
          </w:p>
          <w:p>
            <w:pPr>
              <w:pStyle w:val="TableParagraph"/>
              <w:spacing w:line="237" w:lineRule="auto"/>
              <w:ind w:left="99" w:right="79"/>
              <w:jc w:val="left"/>
              <w:rPr>
                <w:sz w:val="21"/>
              </w:rPr>
            </w:pPr>
            <w:r>
              <w:rPr>
                <w:sz w:val="21"/>
              </w:rPr>
              <w:t>对原有水 流状态有 一定影响， 防洪正效 </w:t>
            </w:r>
            <w:r>
              <w:rPr>
                <w:spacing w:val="-4"/>
                <w:sz w:val="21"/>
              </w:rPr>
              <w:t>益显著，恢</w:t>
            </w:r>
            <w:r>
              <w:rPr>
                <w:spacing w:val="-6"/>
                <w:sz w:val="21"/>
              </w:rPr>
              <w:t>复植被、改善环境</w:t>
            </w:r>
          </w:p>
        </w:tc>
      </w:tr>
      <w:tr>
        <w:trPr>
          <w:trHeight w:val="640" w:hRule="exact"/>
        </w:trPr>
        <w:tc>
          <w:tcPr>
            <w:tcW w:w="666" w:type="dxa"/>
            <w:vMerge/>
            <w:tcBorders>
              <w:bottom w:val="single" w:sz="6" w:space="0" w:color="000000"/>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line="273" w:lineRule="auto"/>
              <w:ind w:left="422" w:right="88" w:hanging="316"/>
              <w:jc w:val="left"/>
              <w:rPr>
                <w:sz w:val="21"/>
              </w:rPr>
            </w:pPr>
            <w:r>
              <w:rPr>
                <w:sz w:val="21"/>
              </w:rPr>
              <w:t>人行道改造</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78" w:lineRule="exact"/>
              <w:ind w:left="321"/>
              <w:jc w:val="left"/>
              <w:rPr>
                <w:rFonts w:ascii="Times New Roman" w:eastAsia="Times New Roman"/>
                <w:sz w:val="21"/>
              </w:rPr>
            </w:pPr>
            <w:r>
              <w:rPr>
                <w:sz w:val="21"/>
              </w:rPr>
              <w:t>新建路沿石 </w:t>
            </w:r>
            <w:r>
              <w:rPr>
                <w:rFonts w:ascii="Times New Roman" w:eastAsia="Times New Roman"/>
                <w:sz w:val="21"/>
              </w:rPr>
              <w:t>2180 </w:t>
            </w:r>
            <w:r>
              <w:rPr>
                <w:sz w:val="21"/>
              </w:rPr>
              <w:t>米，人行道彩化 </w:t>
            </w:r>
            <w:r>
              <w:rPr>
                <w:rFonts w:ascii="Times New Roman" w:eastAsia="Times New Roman"/>
                <w:sz w:val="21"/>
              </w:rPr>
              <w:t>4470</w:t>
            </w:r>
          </w:p>
          <w:p>
            <w:pPr>
              <w:pStyle w:val="TableParagraph"/>
              <w:spacing w:before="21"/>
              <w:ind w:left="99"/>
              <w:jc w:val="left"/>
              <w:rPr>
                <w:sz w:val="21"/>
              </w:rPr>
            </w:pPr>
            <w:r>
              <w:rPr>
                <w:sz w:val="21"/>
              </w:rPr>
              <w:t>平方</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638" w:hRule="exact"/>
        </w:trPr>
        <w:tc>
          <w:tcPr>
            <w:tcW w:w="666" w:type="dxa"/>
            <w:vMerge w:val="restart"/>
            <w:tcBorders>
              <w:top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1"/>
              <w:jc w:val="left"/>
              <w:rPr>
                <w:b/>
                <w:sz w:val="24"/>
              </w:rPr>
            </w:pPr>
          </w:p>
          <w:p>
            <w:pPr>
              <w:pStyle w:val="TableParagraph"/>
              <w:spacing w:line="273" w:lineRule="auto" w:before="1"/>
              <w:ind w:left="92" w:right="110"/>
              <w:jc w:val="left"/>
              <w:rPr>
                <w:b/>
                <w:sz w:val="21"/>
              </w:rPr>
            </w:pPr>
            <w:r>
              <w:rPr>
                <w:b/>
                <w:sz w:val="21"/>
              </w:rPr>
              <w:t>辅助工程</w:t>
            </w: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line="261" w:lineRule="exact"/>
              <w:ind w:left="86" w:right="87"/>
              <w:rPr>
                <w:sz w:val="21"/>
              </w:rPr>
            </w:pPr>
            <w:r>
              <w:rPr>
                <w:sz w:val="21"/>
              </w:rPr>
              <w:t>临时施工</w:t>
            </w:r>
          </w:p>
          <w:p>
            <w:pPr>
              <w:pStyle w:val="TableParagraph"/>
              <w:spacing w:before="37"/>
              <w:ind w:left="86" w:right="87"/>
              <w:rPr>
                <w:sz w:val="21"/>
              </w:rPr>
            </w:pPr>
            <w:r>
              <w:rPr>
                <w:sz w:val="21"/>
              </w:rPr>
              <w:t>便道</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61" w:lineRule="exact"/>
              <w:ind w:left="309"/>
              <w:jc w:val="left"/>
              <w:rPr>
                <w:sz w:val="21"/>
              </w:rPr>
            </w:pPr>
            <w:r>
              <w:rPr>
                <w:sz w:val="21"/>
              </w:rPr>
              <w:t>项目区所在地交通便利，施工期间可利用</w:t>
            </w:r>
          </w:p>
          <w:p>
            <w:pPr>
              <w:pStyle w:val="TableParagraph"/>
              <w:spacing w:before="37"/>
              <w:ind w:left="99"/>
              <w:jc w:val="left"/>
              <w:rPr>
                <w:sz w:val="21"/>
              </w:rPr>
            </w:pPr>
            <w:r>
              <w:rPr>
                <w:sz w:val="21"/>
              </w:rPr>
              <w:t>已有道路进行运输，不新增施工便道。</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640" w:hRule="exact"/>
        </w:trPr>
        <w:tc>
          <w:tcPr>
            <w:tcW w:w="666" w:type="dxa"/>
            <w:vMerge/>
            <w:tcBorders>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line="273" w:lineRule="auto"/>
              <w:ind w:left="106" w:right="88" w:firstLine="210"/>
              <w:jc w:val="left"/>
              <w:rPr>
                <w:sz w:val="21"/>
              </w:rPr>
            </w:pPr>
            <w:r>
              <w:rPr>
                <w:sz w:val="21"/>
              </w:rPr>
              <w:t>临 时 施工营地</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73" w:lineRule="auto"/>
              <w:ind w:left="99" w:firstLine="210"/>
              <w:jc w:val="left"/>
              <w:rPr>
                <w:sz w:val="21"/>
              </w:rPr>
            </w:pPr>
            <w:r>
              <w:rPr>
                <w:sz w:val="21"/>
              </w:rPr>
              <w:t>项目位于城镇，不设置施工营地，施工人员住宿通过租赁附近房屋。</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638" w:hRule="exact"/>
        </w:trPr>
        <w:tc>
          <w:tcPr>
            <w:tcW w:w="666" w:type="dxa"/>
            <w:vMerge/>
            <w:tcBorders>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142"/>
              <w:ind w:left="106"/>
              <w:jc w:val="left"/>
              <w:rPr>
                <w:sz w:val="21"/>
              </w:rPr>
            </w:pPr>
            <w:r>
              <w:rPr>
                <w:sz w:val="21"/>
              </w:rPr>
              <w:t>临时堆场</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61" w:lineRule="exact"/>
              <w:ind w:left="309"/>
              <w:jc w:val="left"/>
              <w:rPr>
                <w:sz w:val="21"/>
              </w:rPr>
            </w:pPr>
            <w:r>
              <w:rPr>
                <w:sz w:val="21"/>
              </w:rPr>
              <w:t>项目不设置临时堆场，开挖的弃土临时堆</w:t>
            </w:r>
          </w:p>
          <w:p>
            <w:pPr>
              <w:pStyle w:val="TableParagraph"/>
              <w:spacing w:before="37"/>
              <w:ind w:left="99"/>
              <w:jc w:val="left"/>
              <w:rPr>
                <w:sz w:val="21"/>
              </w:rPr>
            </w:pPr>
            <w:r>
              <w:rPr>
                <w:sz w:val="21"/>
              </w:rPr>
              <w:t>放于两侧，及时回填或外运处置。</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952" w:hRule="exact"/>
        </w:trPr>
        <w:tc>
          <w:tcPr>
            <w:tcW w:w="666" w:type="dxa"/>
            <w:vMerge/>
            <w:tcBorders>
              <w:bottom w:val="single" w:sz="6" w:space="0" w:color="000000"/>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11"/>
              <w:jc w:val="left"/>
              <w:rPr>
                <w:b/>
                <w:sz w:val="22"/>
              </w:rPr>
            </w:pPr>
          </w:p>
          <w:p>
            <w:pPr>
              <w:pStyle w:val="TableParagraph"/>
              <w:ind w:left="316"/>
              <w:jc w:val="left"/>
              <w:rPr>
                <w:sz w:val="21"/>
              </w:rPr>
            </w:pPr>
            <w:r>
              <w:rPr>
                <w:sz w:val="21"/>
              </w:rPr>
              <w:t>渣场</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78" w:lineRule="exact"/>
              <w:ind w:left="309"/>
              <w:jc w:val="left"/>
              <w:rPr>
                <w:sz w:val="21"/>
              </w:rPr>
            </w:pPr>
            <w:r>
              <w:rPr>
                <w:sz w:val="21"/>
              </w:rPr>
              <w:t>本项目建设总挖方量 </w:t>
            </w:r>
            <w:r>
              <w:rPr>
                <w:rFonts w:ascii="Times New Roman" w:eastAsia="Times New Roman"/>
                <w:sz w:val="21"/>
              </w:rPr>
              <w:t>7448m</w:t>
            </w:r>
            <w:r>
              <w:rPr>
                <w:rFonts w:ascii="Times New Roman" w:eastAsia="Times New Roman"/>
                <w:position w:val="8"/>
                <w:sz w:val="14"/>
              </w:rPr>
              <w:t>3</w:t>
            </w:r>
            <w:r>
              <w:rPr>
                <w:sz w:val="21"/>
              </w:rPr>
              <w:t>，总填方量</w:t>
            </w:r>
          </w:p>
          <w:p>
            <w:pPr>
              <w:pStyle w:val="TableParagraph"/>
              <w:spacing w:line="256" w:lineRule="auto" w:before="21"/>
              <w:ind w:left="99" w:hanging="1"/>
              <w:jc w:val="left"/>
              <w:rPr>
                <w:sz w:val="21"/>
              </w:rPr>
            </w:pPr>
            <w:r>
              <w:rPr>
                <w:rFonts w:ascii="Times New Roman" w:eastAsia="Times New Roman"/>
                <w:sz w:val="21"/>
              </w:rPr>
              <w:t>950.6m</w:t>
            </w:r>
            <w:r>
              <w:rPr>
                <w:rFonts w:ascii="Times New Roman" w:eastAsia="Times New Roman"/>
                <w:position w:val="8"/>
                <w:sz w:val="14"/>
              </w:rPr>
              <w:t>3</w:t>
            </w:r>
            <w:r>
              <w:rPr>
                <w:sz w:val="21"/>
              </w:rPr>
              <w:t>，总弃方量 </w:t>
            </w:r>
            <w:r>
              <w:rPr>
                <w:rFonts w:ascii="Times New Roman" w:eastAsia="Times New Roman"/>
                <w:sz w:val="21"/>
              </w:rPr>
              <w:t>6497.4m</w:t>
            </w:r>
            <w:r>
              <w:rPr>
                <w:rFonts w:ascii="Times New Roman" w:eastAsia="Times New Roman"/>
                <w:position w:val="8"/>
                <w:sz w:val="14"/>
              </w:rPr>
              <w:t>3</w:t>
            </w:r>
            <w:r>
              <w:rPr>
                <w:sz w:val="21"/>
              </w:rPr>
              <w:t>，弃渣运送至指定的渣场进行堆放。</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524" w:hRule="exact"/>
        </w:trPr>
        <w:tc>
          <w:tcPr>
            <w:tcW w:w="666" w:type="dxa"/>
            <w:vMerge w:val="restart"/>
            <w:tcBorders>
              <w:top w:val="single" w:sz="6" w:space="0" w:color="000000"/>
              <w:right w:val="single" w:sz="6" w:space="0" w:color="000000"/>
            </w:tcBorders>
          </w:tcPr>
          <w:p>
            <w:pPr>
              <w:pStyle w:val="TableParagraph"/>
              <w:spacing w:before="8"/>
              <w:jc w:val="left"/>
              <w:rPr>
                <w:b/>
                <w:sz w:val="14"/>
              </w:rPr>
            </w:pPr>
          </w:p>
          <w:p>
            <w:pPr>
              <w:pStyle w:val="TableParagraph"/>
              <w:spacing w:line="273" w:lineRule="auto"/>
              <w:ind w:left="92" w:right="110"/>
              <w:jc w:val="left"/>
              <w:rPr>
                <w:b/>
                <w:sz w:val="21"/>
              </w:rPr>
            </w:pPr>
            <w:r>
              <w:rPr>
                <w:b/>
                <w:sz w:val="21"/>
              </w:rPr>
              <w:t>公用工程</w:t>
            </w: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86"/>
              <w:ind w:left="106"/>
              <w:jc w:val="left"/>
              <w:rPr>
                <w:sz w:val="21"/>
              </w:rPr>
            </w:pPr>
            <w:r>
              <w:rPr>
                <w:sz w:val="21"/>
              </w:rPr>
              <w:t>施工用电</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before="86"/>
              <w:ind w:left="99"/>
              <w:jc w:val="left"/>
              <w:rPr>
                <w:sz w:val="21"/>
              </w:rPr>
            </w:pPr>
            <w:r>
              <w:rPr>
                <w:sz w:val="21"/>
              </w:rPr>
              <w:t>采用市政电网供电。</w:t>
            </w:r>
          </w:p>
        </w:tc>
        <w:tc>
          <w:tcPr>
            <w:tcW w:w="1254" w:type="dxa"/>
            <w:vMerge/>
            <w:tcBorders>
              <w:left w:val="single" w:sz="6" w:space="0" w:color="000000"/>
              <w:right w:val="single" w:sz="6" w:space="0" w:color="000000"/>
            </w:tcBorders>
          </w:tcPr>
          <w:p>
            <w:pPr/>
          </w:p>
        </w:tc>
        <w:tc>
          <w:tcPr>
            <w:tcW w:w="1253" w:type="dxa"/>
            <w:vMerge/>
            <w:tcBorders>
              <w:left w:val="single" w:sz="6" w:space="0" w:color="000000"/>
            </w:tcBorders>
          </w:tcPr>
          <w:p>
            <w:pPr/>
          </w:p>
        </w:tc>
      </w:tr>
      <w:tr>
        <w:trPr>
          <w:trHeight w:val="526" w:hRule="exact"/>
        </w:trPr>
        <w:tc>
          <w:tcPr>
            <w:tcW w:w="666" w:type="dxa"/>
            <w:vMerge/>
            <w:tcBorders>
              <w:bottom w:val="single" w:sz="6" w:space="0" w:color="000000"/>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86"/>
              <w:ind w:left="106"/>
              <w:jc w:val="left"/>
              <w:rPr>
                <w:sz w:val="21"/>
              </w:rPr>
            </w:pPr>
            <w:r>
              <w:rPr>
                <w:sz w:val="21"/>
              </w:rPr>
              <w:t>施工用水</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before="86"/>
              <w:ind w:left="99"/>
              <w:jc w:val="left"/>
              <w:rPr>
                <w:sz w:val="21"/>
              </w:rPr>
            </w:pPr>
            <w:r>
              <w:rPr>
                <w:sz w:val="21"/>
              </w:rPr>
              <w:t>用水由附近市政自来水管网解决。</w:t>
            </w:r>
          </w:p>
        </w:tc>
        <w:tc>
          <w:tcPr>
            <w:tcW w:w="1254" w:type="dxa"/>
            <w:vMerge/>
            <w:tcBorders>
              <w:left w:val="single" w:sz="6" w:space="0" w:color="000000"/>
              <w:bottom w:val="single" w:sz="6" w:space="0" w:color="000000"/>
              <w:right w:val="single" w:sz="6" w:space="0" w:color="000000"/>
            </w:tcBorders>
          </w:tcPr>
          <w:p>
            <w:pPr/>
          </w:p>
        </w:tc>
        <w:tc>
          <w:tcPr>
            <w:tcW w:w="1253" w:type="dxa"/>
            <w:vMerge/>
            <w:tcBorders>
              <w:left w:val="single" w:sz="6" w:space="0" w:color="000000"/>
              <w:bottom w:val="single" w:sz="6" w:space="0" w:color="000000"/>
            </w:tcBorders>
          </w:tcPr>
          <w:p>
            <w:pPr/>
          </w:p>
        </w:tc>
      </w:tr>
      <w:tr>
        <w:trPr>
          <w:trHeight w:val="638" w:hRule="exact"/>
        </w:trPr>
        <w:tc>
          <w:tcPr>
            <w:tcW w:w="666" w:type="dxa"/>
            <w:vMerge w:val="restart"/>
            <w:tcBorders>
              <w:top w:val="single" w:sz="6" w:space="0" w:color="000000"/>
              <w:right w:val="single" w:sz="6" w:space="0" w:color="000000"/>
            </w:tcBorders>
          </w:tcPr>
          <w:p>
            <w:pPr>
              <w:pStyle w:val="TableParagraph"/>
              <w:jc w:val="left"/>
              <w:rPr>
                <w:b/>
                <w:sz w:val="20"/>
              </w:rPr>
            </w:pPr>
          </w:p>
          <w:p>
            <w:pPr>
              <w:pStyle w:val="TableParagraph"/>
              <w:spacing w:before="5"/>
              <w:jc w:val="left"/>
              <w:rPr>
                <w:b/>
                <w:sz w:val="23"/>
              </w:rPr>
            </w:pPr>
          </w:p>
          <w:p>
            <w:pPr>
              <w:pStyle w:val="TableParagraph"/>
              <w:spacing w:line="273" w:lineRule="auto"/>
              <w:ind w:left="92" w:right="110"/>
              <w:jc w:val="left"/>
              <w:rPr>
                <w:b/>
                <w:sz w:val="21"/>
              </w:rPr>
            </w:pPr>
            <w:r>
              <w:rPr>
                <w:b/>
                <w:sz w:val="21"/>
              </w:rPr>
              <w:t>环保工程</w:t>
            </w: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142"/>
              <w:ind w:left="212"/>
              <w:jc w:val="left"/>
              <w:rPr>
                <w:sz w:val="21"/>
              </w:rPr>
            </w:pPr>
            <w:r>
              <w:rPr>
                <w:sz w:val="21"/>
              </w:rPr>
              <w:t>沉淀池</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line="261" w:lineRule="exact"/>
              <w:ind w:left="99"/>
              <w:jc w:val="left"/>
              <w:rPr>
                <w:sz w:val="21"/>
              </w:rPr>
            </w:pPr>
            <w:r>
              <w:rPr>
                <w:sz w:val="21"/>
              </w:rPr>
              <w:t>在施工场地设置沉淀池，对生产废水进行沉</w:t>
            </w:r>
          </w:p>
          <w:p>
            <w:pPr>
              <w:pStyle w:val="TableParagraph"/>
              <w:spacing w:before="37"/>
              <w:ind w:left="99"/>
              <w:jc w:val="left"/>
              <w:rPr>
                <w:sz w:val="21"/>
              </w:rPr>
            </w:pPr>
            <w:r>
              <w:rPr>
                <w:sz w:val="21"/>
              </w:rPr>
              <w:t>淀处理。</w:t>
            </w:r>
          </w:p>
        </w:tc>
        <w:tc>
          <w:tcPr>
            <w:tcW w:w="1254" w:type="dxa"/>
            <w:tcBorders>
              <w:top w:val="single" w:sz="6" w:space="0" w:color="000000"/>
              <w:left w:val="single" w:sz="6" w:space="0" w:color="000000"/>
              <w:bottom w:val="single" w:sz="6" w:space="0" w:color="000000"/>
              <w:right w:val="single" w:sz="6" w:space="0" w:color="000000"/>
            </w:tcBorders>
          </w:tcPr>
          <w:p>
            <w:pPr>
              <w:pStyle w:val="TableParagraph"/>
              <w:spacing w:before="142"/>
              <w:ind w:left="179" w:right="180"/>
              <w:rPr>
                <w:sz w:val="21"/>
              </w:rPr>
            </w:pPr>
            <w:r>
              <w:rPr>
                <w:sz w:val="21"/>
              </w:rPr>
              <w:t>生产废水</w:t>
            </w:r>
          </w:p>
        </w:tc>
        <w:tc>
          <w:tcPr>
            <w:tcW w:w="1253" w:type="dxa"/>
            <w:tcBorders>
              <w:top w:val="single" w:sz="6" w:space="0" w:color="000000"/>
              <w:left w:val="single" w:sz="6" w:space="0" w:color="000000"/>
              <w:bottom w:val="single" w:sz="6" w:space="0" w:color="000000"/>
            </w:tcBorders>
          </w:tcPr>
          <w:p>
            <w:pPr/>
          </w:p>
        </w:tc>
      </w:tr>
      <w:tr>
        <w:trPr>
          <w:trHeight w:val="582" w:hRule="exact"/>
        </w:trPr>
        <w:tc>
          <w:tcPr>
            <w:tcW w:w="666" w:type="dxa"/>
            <w:vMerge/>
            <w:tcBorders>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114"/>
              <w:ind w:left="100"/>
              <w:jc w:val="left"/>
              <w:rPr>
                <w:sz w:val="21"/>
              </w:rPr>
            </w:pPr>
            <w:r>
              <w:rPr>
                <w:sz w:val="21"/>
              </w:rPr>
              <w:t>噪声</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before="114"/>
              <w:ind w:left="99"/>
              <w:jc w:val="left"/>
              <w:rPr>
                <w:sz w:val="21"/>
              </w:rPr>
            </w:pPr>
            <w:r>
              <w:rPr>
                <w:sz w:val="21"/>
              </w:rPr>
              <w:t>施工期封闭施工，施工场地四周设置围挡，</w:t>
            </w:r>
          </w:p>
        </w:tc>
        <w:tc>
          <w:tcPr>
            <w:tcW w:w="1254" w:type="dxa"/>
            <w:tcBorders>
              <w:top w:val="single" w:sz="6" w:space="0" w:color="000000"/>
              <w:left w:val="single" w:sz="6" w:space="0" w:color="000000"/>
              <w:bottom w:val="single" w:sz="6" w:space="0" w:color="000000"/>
              <w:right w:val="single" w:sz="6" w:space="0" w:color="000000"/>
            </w:tcBorders>
          </w:tcPr>
          <w:p>
            <w:pPr>
              <w:pStyle w:val="TableParagraph"/>
              <w:spacing w:before="113"/>
              <w:ind w:left="179" w:right="180"/>
              <w:rPr>
                <w:sz w:val="21"/>
              </w:rPr>
            </w:pPr>
            <w:r>
              <w:rPr>
                <w:sz w:val="21"/>
              </w:rPr>
              <w:t>噪音</w:t>
            </w:r>
          </w:p>
        </w:tc>
        <w:tc>
          <w:tcPr>
            <w:tcW w:w="1253" w:type="dxa"/>
            <w:tcBorders>
              <w:top w:val="single" w:sz="6" w:space="0" w:color="000000"/>
              <w:left w:val="single" w:sz="6" w:space="0" w:color="000000"/>
              <w:bottom w:val="single" w:sz="6" w:space="0" w:color="000000"/>
            </w:tcBorders>
          </w:tcPr>
          <w:p>
            <w:pPr/>
          </w:p>
        </w:tc>
      </w:tr>
      <w:tr>
        <w:trPr>
          <w:trHeight w:val="582" w:hRule="exact"/>
        </w:trPr>
        <w:tc>
          <w:tcPr>
            <w:tcW w:w="666" w:type="dxa"/>
            <w:vMerge/>
            <w:tcBorders>
              <w:bottom w:val="single" w:sz="6" w:space="0" w:color="000000"/>
              <w:right w:val="single" w:sz="6" w:space="0" w:color="000000"/>
            </w:tcBorders>
          </w:tcPr>
          <w:p>
            <w:pPr/>
          </w:p>
        </w:tc>
        <w:tc>
          <w:tcPr>
            <w:tcW w:w="1069" w:type="dxa"/>
            <w:tcBorders>
              <w:top w:val="single" w:sz="6" w:space="0" w:color="000000"/>
              <w:left w:val="single" w:sz="6" w:space="0" w:color="000000"/>
              <w:bottom w:val="single" w:sz="6" w:space="0" w:color="000000"/>
              <w:right w:val="single" w:sz="6" w:space="0" w:color="000000"/>
            </w:tcBorders>
          </w:tcPr>
          <w:p>
            <w:pPr>
              <w:pStyle w:val="TableParagraph"/>
              <w:spacing w:before="114"/>
              <w:ind w:left="100"/>
              <w:jc w:val="left"/>
              <w:rPr>
                <w:sz w:val="21"/>
              </w:rPr>
            </w:pPr>
            <w:r>
              <w:rPr>
                <w:sz w:val="21"/>
              </w:rPr>
              <w:t>水土保持</w:t>
            </w:r>
          </w:p>
        </w:tc>
        <w:tc>
          <w:tcPr>
            <w:tcW w:w="4177" w:type="dxa"/>
            <w:tcBorders>
              <w:top w:val="single" w:sz="6" w:space="0" w:color="000000"/>
              <w:left w:val="single" w:sz="6" w:space="0" w:color="000000"/>
              <w:bottom w:val="single" w:sz="6" w:space="0" w:color="000000"/>
              <w:right w:val="single" w:sz="6" w:space="0" w:color="000000"/>
            </w:tcBorders>
          </w:tcPr>
          <w:p>
            <w:pPr>
              <w:pStyle w:val="TableParagraph"/>
              <w:spacing w:before="114"/>
              <w:ind w:left="1553" w:right="1553"/>
              <w:rPr>
                <w:rFonts w:ascii="Times New Roman" w:eastAsia="Times New Roman"/>
                <w:sz w:val="21"/>
              </w:rPr>
            </w:pPr>
            <w:r>
              <w:rPr>
                <w:sz w:val="21"/>
              </w:rPr>
              <w:t>详见表 </w:t>
            </w:r>
            <w:r>
              <w:rPr>
                <w:rFonts w:ascii="Times New Roman" w:eastAsia="Times New Roman"/>
                <w:sz w:val="21"/>
              </w:rPr>
              <w:t>8-1</w:t>
            </w:r>
          </w:p>
        </w:tc>
        <w:tc>
          <w:tcPr>
            <w:tcW w:w="1254" w:type="dxa"/>
            <w:tcBorders>
              <w:top w:val="single" w:sz="6" w:space="0" w:color="000000"/>
              <w:left w:val="single" w:sz="6" w:space="0" w:color="000000"/>
              <w:bottom w:val="single" w:sz="6" w:space="0" w:color="000000"/>
              <w:right w:val="single" w:sz="6" w:space="0" w:color="000000"/>
            </w:tcBorders>
          </w:tcPr>
          <w:p>
            <w:pPr>
              <w:pStyle w:val="TableParagraph"/>
              <w:spacing w:before="162"/>
              <w:ind w:left="4"/>
              <w:rPr>
                <w:rFonts w:ascii="Times New Roman" w:hAnsi="Times New Roman"/>
                <w:sz w:val="21"/>
              </w:rPr>
            </w:pPr>
            <w:r>
              <w:rPr>
                <w:rFonts w:ascii="Times New Roman" w:hAnsi="Times New Roman"/>
                <w:sz w:val="21"/>
              </w:rPr>
              <w:t>—</w:t>
            </w:r>
          </w:p>
        </w:tc>
        <w:tc>
          <w:tcPr>
            <w:tcW w:w="1253" w:type="dxa"/>
            <w:tcBorders>
              <w:top w:val="single" w:sz="6" w:space="0" w:color="000000"/>
              <w:left w:val="single" w:sz="6" w:space="0" w:color="000000"/>
              <w:bottom w:val="single" w:sz="6" w:space="0" w:color="000000"/>
            </w:tcBorders>
          </w:tcPr>
          <w:p>
            <w:pPr>
              <w:pStyle w:val="TableParagraph"/>
              <w:spacing w:before="162"/>
              <w:ind w:left="10"/>
              <w:rPr>
                <w:rFonts w:ascii="Times New Roman" w:hAnsi="Times New Roman"/>
                <w:sz w:val="21"/>
              </w:rPr>
            </w:pPr>
            <w:r>
              <w:rPr>
                <w:rFonts w:ascii="Times New Roman" w:hAnsi="Times New Roman"/>
                <w:sz w:val="21"/>
              </w:rPr>
              <w:t>—</w:t>
            </w:r>
          </w:p>
        </w:tc>
      </w:tr>
      <w:tr>
        <w:trPr>
          <w:trHeight w:val="534" w:hRule="exact"/>
        </w:trPr>
        <w:tc>
          <w:tcPr>
            <w:tcW w:w="1735" w:type="dxa"/>
            <w:gridSpan w:val="2"/>
            <w:tcBorders>
              <w:top w:val="single" w:sz="6" w:space="0" w:color="000000"/>
              <w:right w:val="single" w:sz="6" w:space="0" w:color="000000"/>
            </w:tcBorders>
          </w:tcPr>
          <w:p>
            <w:pPr>
              <w:pStyle w:val="TableParagraph"/>
              <w:spacing w:before="86"/>
              <w:ind w:left="429"/>
              <w:jc w:val="left"/>
              <w:rPr>
                <w:b/>
                <w:sz w:val="21"/>
              </w:rPr>
            </w:pPr>
            <w:r>
              <w:rPr>
                <w:b/>
                <w:sz w:val="21"/>
              </w:rPr>
              <w:t>拆迁安置</w:t>
            </w:r>
          </w:p>
        </w:tc>
        <w:tc>
          <w:tcPr>
            <w:tcW w:w="6684" w:type="dxa"/>
            <w:gridSpan w:val="3"/>
            <w:tcBorders>
              <w:top w:val="single" w:sz="6" w:space="0" w:color="000000"/>
              <w:left w:val="single" w:sz="6" w:space="0" w:color="000000"/>
            </w:tcBorders>
          </w:tcPr>
          <w:p>
            <w:pPr>
              <w:pStyle w:val="TableParagraph"/>
              <w:spacing w:before="86"/>
              <w:ind w:left="2367" w:right="2364"/>
              <w:rPr>
                <w:sz w:val="21"/>
              </w:rPr>
            </w:pPr>
            <w:r>
              <w:rPr>
                <w:sz w:val="21"/>
              </w:rPr>
              <w:t>项目不涉及拆迁安置</w:t>
            </w:r>
          </w:p>
        </w:tc>
      </w:tr>
    </w:tbl>
    <w:p>
      <w:pPr>
        <w:spacing w:after="0"/>
        <w:rPr>
          <w:sz w:val="21"/>
        </w:rPr>
        <w:sectPr>
          <w:pgSz w:w="11910" w:h="16840"/>
          <w:pgMar w:header="0" w:footer="1246" w:top="1120" w:bottom="1440" w:left="1200" w:right="1200"/>
        </w:sectPr>
      </w:pPr>
    </w:p>
    <w:p>
      <w:pPr>
        <w:tabs>
          <w:tab w:pos="4340" w:val="left" w:leader="none"/>
        </w:tabs>
        <w:spacing w:before="45"/>
        <w:ind w:left="3237" w:right="0" w:firstLine="0"/>
        <w:jc w:val="left"/>
        <w:rPr>
          <w:b/>
          <w:sz w:val="24"/>
        </w:rPr>
      </w:pPr>
      <w:r>
        <w:rPr/>
        <w:pict>
          <v:group style="position:absolute;margin-left:65.029999pt;margin-top:56.689484pt;width:465.3pt;height:702.6pt;mso-position-horizontal-relative:page;mso-position-vertical-relative:page;z-index:-84208" coordorigin="1301,1134" coordsize="9306,14052">
            <v:shape style="position:absolute;left:1306;top:1139;width:9296;height:14042" coordorigin="1306,1139" coordsize="9296,14042" path="m1306,1139l1315,1139m1306,1139l1315,1139m1315,1139l10591,1139m10591,1139l10601,1139m10591,1139l10601,1139m1310,1144l1310,15180m1315,15175l10591,15175e" filled="false" stroked="true" strokeweight=".481pt" strokecolor="#000000">
              <v:path arrowok="t"/>
              <v:stroke dashstyle="solid"/>
            </v:shape>
            <v:line style="position:absolute" from="10596,1144" to="10596,15180" stroked="true" strokeweight=".48pt" strokecolor="#000000">
              <v:stroke dashstyle="solid"/>
            </v:line>
            <w10:wrap type="none"/>
          </v:group>
        </w:pict>
      </w:r>
      <w:r>
        <w:rPr>
          <w:b/>
          <w:sz w:val="24"/>
        </w:rPr>
        <w:t>表</w:t>
      </w:r>
      <w:r>
        <w:rPr>
          <w:b/>
          <w:spacing w:val="-61"/>
          <w:sz w:val="24"/>
        </w:rPr>
        <w:t> </w:t>
      </w:r>
      <w:r>
        <w:rPr>
          <w:rFonts w:ascii="Times New Roman" w:eastAsia="Times New Roman"/>
          <w:b/>
          <w:sz w:val="24"/>
        </w:rPr>
        <w:t>1-2</w:t>
        <w:tab/>
      </w:r>
      <w:r>
        <w:rPr>
          <w:b/>
          <w:w w:val="95"/>
          <w:sz w:val="24"/>
        </w:rPr>
        <w:t>项目主要工程内容</w:t>
      </w:r>
    </w:p>
    <w:p>
      <w:pPr>
        <w:pStyle w:val="BodyText"/>
        <w:spacing w:before="3"/>
        <w:rPr>
          <w:b/>
          <w:sz w:val="7"/>
        </w:rPr>
      </w:pPr>
    </w:p>
    <w:tbl>
      <w:tblPr>
        <w:tblW w:w="0" w:type="auto"/>
        <w:jc w:val="left"/>
        <w:tblInd w:w="596"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742"/>
        <w:gridCol w:w="3544"/>
        <w:gridCol w:w="4001"/>
      </w:tblGrid>
      <w:tr>
        <w:trPr>
          <w:trHeight w:val="475" w:hRule="exact"/>
        </w:trPr>
        <w:tc>
          <w:tcPr>
            <w:tcW w:w="742" w:type="dxa"/>
            <w:tcBorders>
              <w:bottom w:val="single" w:sz="4" w:space="0" w:color="000000"/>
              <w:right w:val="single" w:sz="4" w:space="0" w:color="000000"/>
            </w:tcBorders>
          </w:tcPr>
          <w:p>
            <w:pPr>
              <w:pStyle w:val="TableParagraph"/>
              <w:spacing w:before="58"/>
              <w:ind w:left="125" w:right="134"/>
              <w:rPr>
                <w:b/>
                <w:sz w:val="21"/>
              </w:rPr>
            </w:pPr>
            <w:r>
              <w:rPr>
                <w:b/>
                <w:sz w:val="21"/>
              </w:rPr>
              <w:t>序号</w:t>
            </w:r>
          </w:p>
        </w:tc>
        <w:tc>
          <w:tcPr>
            <w:tcW w:w="3544" w:type="dxa"/>
            <w:tcBorders>
              <w:left w:val="single" w:sz="4" w:space="0" w:color="000000"/>
              <w:bottom w:val="single" w:sz="4" w:space="0" w:color="000000"/>
              <w:right w:val="single" w:sz="4" w:space="0" w:color="000000"/>
            </w:tcBorders>
          </w:tcPr>
          <w:p>
            <w:pPr>
              <w:pStyle w:val="TableParagraph"/>
              <w:spacing w:before="58"/>
              <w:ind w:left="4" w:right="3"/>
              <w:rPr>
                <w:b/>
                <w:sz w:val="21"/>
              </w:rPr>
            </w:pPr>
            <w:r>
              <w:rPr>
                <w:b/>
                <w:sz w:val="21"/>
              </w:rPr>
              <w:t>工程</w:t>
            </w:r>
          </w:p>
        </w:tc>
        <w:tc>
          <w:tcPr>
            <w:tcW w:w="4001" w:type="dxa"/>
            <w:tcBorders>
              <w:left w:val="single" w:sz="4" w:space="0" w:color="000000"/>
              <w:bottom w:val="single" w:sz="4" w:space="0" w:color="000000"/>
            </w:tcBorders>
          </w:tcPr>
          <w:p>
            <w:pPr>
              <w:pStyle w:val="TableParagraph"/>
              <w:spacing w:before="58"/>
              <w:ind w:left="752" w:right="743"/>
              <w:rPr>
                <w:b/>
                <w:sz w:val="21"/>
              </w:rPr>
            </w:pPr>
            <w:r>
              <w:rPr>
                <w:b/>
                <w:sz w:val="21"/>
              </w:rPr>
              <w:t>备注</w:t>
            </w:r>
          </w:p>
        </w:tc>
      </w:tr>
      <w:tr>
        <w:trPr>
          <w:trHeight w:val="463" w:hRule="exact"/>
        </w:trPr>
        <w:tc>
          <w:tcPr>
            <w:tcW w:w="742" w:type="dxa"/>
            <w:tcBorders>
              <w:top w:val="single" w:sz="4" w:space="0" w:color="000000"/>
              <w:bottom w:val="single" w:sz="4" w:space="0" w:color="000000"/>
              <w:right w:val="single" w:sz="4" w:space="0" w:color="000000"/>
            </w:tcBorders>
          </w:tcPr>
          <w:p>
            <w:pPr>
              <w:pStyle w:val="TableParagraph"/>
              <w:spacing w:before="106"/>
              <w:ind w:right="10"/>
              <w:rPr>
                <w:rFonts w:ascii="Times New Roman"/>
                <w:sz w:val="21"/>
              </w:rPr>
            </w:pPr>
            <w:r>
              <w:rPr>
                <w:rFonts w:ascii="Times New Roman"/>
                <w:sz w:val="21"/>
              </w:rPr>
              <w:t>1</w:t>
            </w:r>
          </w:p>
        </w:tc>
        <w:tc>
          <w:tcPr>
            <w:tcW w:w="3544" w:type="dxa"/>
            <w:tcBorders>
              <w:top w:val="single" w:sz="4" w:space="0" w:color="000000"/>
              <w:left w:val="single" w:sz="4" w:space="0" w:color="000000"/>
              <w:bottom w:val="single" w:sz="4" w:space="0" w:color="000000"/>
              <w:right w:val="single" w:sz="4" w:space="0" w:color="000000"/>
            </w:tcBorders>
          </w:tcPr>
          <w:p>
            <w:pPr>
              <w:pStyle w:val="TableParagraph"/>
              <w:spacing w:before="57"/>
              <w:ind w:left="3" w:right="3"/>
              <w:rPr>
                <w:sz w:val="21"/>
              </w:rPr>
            </w:pPr>
            <w:r>
              <w:rPr>
                <w:rFonts w:ascii="Times New Roman" w:eastAsia="Times New Roman"/>
                <w:sz w:val="21"/>
              </w:rPr>
              <w:t>d400~600 </w:t>
            </w:r>
            <w:r>
              <w:rPr>
                <w:sz w:val="21"/>
              </w:rPr>
              <w:t>聚乙烯塑钢缠绕污水管</w:t>
            </w:r>
          </w:p>
        </w:tc>
        <w:tc>
          <w:tcPr>
            <w:tcW w:w="4001" w:type="dxa"/>
            <w:tcBorders>
              <w:top w:val="single" w:sz="4" w:space="0" w:color="000000"/>
              <w:left w:val="single" w:sz="4" w:space="0" w:color="000000"/>
              <w:bottom w:val="single" w:sz="4" w:space="0" w:color="000000"/>
            </w:tcBorders>
          </w:tcPr>
          <w:p>
            <w:pPr>
              <w:pStyle w:val="TableParagraph"/>
              <w:spacing w:before="57"/>
              <w:ind w:left="752" w:right="744"/>
              <w:rPr>
                <w:sz w:val="21"/>
              </w:rPr>
            </w:pPr>
            <w:r>
              <w:rPr>
                <w:rFonts w:ascii="Times New Roman" w:eastAsia="Times New Roman"/>
                <w:sz w:val="21"/>
              </w:rPr>
              <w:t>HDPE</w:t>
            </w:r>
            <w:r>
              <w:rPr>
                <w:sz w:val="21"/>
              </w:rPr>
              <w:t>，</w:t>
            </w:r>
            <w:r>
              <w:rPr>
                <w:rFonts w:ascii="Times New Roman" w:eastAsia="Times New Roman"/>
                <w:sz w:val="21"/>
              </w:rPr>
              <w:t>SN8 </w:t>
            </w:r>
            <w:r>
              <w:rPr>
                <w:sz w:val="21"/>
              </w:rPr>
              <w:t>级，热熔接口</w:t>
            </w:r>
          </w:p>
        </w:tc>
      </w:tr>
      <w:tr>
        <w:trPr>
          <w:trHeight w:val="464" w:hRule="exact"/>
        </w:trPr>
        <w:tc>
          <w:tcPr>
            <w:tcW w:w="742" w:type="dxa"/>
            <w:tcBorders>
              <w:top w:val="single" w:sz="4" w:space="0" w:color="000000"/>
              <w:bottom w:val="single" w:sz="4" w:space="0" w:color="000000"/>
              <w:right w:val="single" w:sz="4" w:space="0" w:color="000000"/>
            </w:tcBorders>
          </w:tcPr>
          <w:p>
            <w:pPr>
              <w:pStyle w:val="TableParagraph"/>
              <w:spacing w:before="107"/>
              <w:ind w:right="10"/>
              <w:rPr>
                <w:rFonts w:ascii="Times New Roman"/>
                <w:sz w:val="21"/>
              </w:rPr>
            </w:pPr>
            <w:r>
              <w:rPr>
                <w:rFonts w:ascii="Times New Roman"/>
                <w:sz w:val="21"/>
              </w:rPr>
              <w:t>2</w:t>
            </w:r>
          </w:p>
        </w:tc>
        <w:tc>
          <w:tcPr>
            <w:tcW w:w="3544" w:type="dxa"/>
            <w:tcBorders>
              <w:top w:val="single" w:sz="4" w:space="0" w:color="000000"/>
              <w:left w:val="single" w:sz="4" w:space="0" w:color="000000"/>
              <w:bottom w:val="single" w:sz="4" w:space="0" w:color="000000"/>
              <w:right w:val="single" w:sz="4" w:space="0" w:color="000000"/>
            </w:tcBorders>
          </w:tcPr>
          <w:p>
            <w:pPr>
              <w:pStyle w:val="TableParagraph"/>
              <w:spacing w:before="58"/>
              <w:ind w:left="2" w:right="3"/>
              <w:rPr>
                <w:sz w:val="21"/>
              </w:rPr>
            </w:pPr>
            <w:r>
              <w:rPr>
                <w:rFonts w:ascii="Times New Roman" w:eastAsia="Times New Roman"/>
                <w:sz w:val="21"/>
              </w:rPr>
              <w:t>d600~2600 </w:t>
            </w:r>
            <w:r>
              <w:rPr>
                <w:sz w:val="21"/>
              </w:rPr>
              <w:t>硬聚氯乙烯雨水管</w:t>
            </w:r>
          </w:p>
        </w:tc>
        <w:tc>
          <w:tcPr>
            <w:tcW w:w="4001" w:type="dxa"/>
            <w:tcBorders>
              <w:top w:val="single" w:sz="4" w:space="0" w:color="000000"/>
              <w:left w:val="single" w:sz="4" w:space="0" w:color="000000"/>
              <w:bottom w:val="single" w:sz="4" w:space="0" w:color="000000"/>
            </w:tcBorders>
          </w:tcPr>
          <w:p>
            <w:pPr>
              <w:pStyle w:val="TableParagraph"/>
              <w:spacing w:before="58"/>
              <w:ind w:left="752" w:right="744"/>
              <w:rPr>
                <w:sz w:val="21"/>
              </w:rPr>
            </w:pPr>
            <w:r>
              <w:rPr>
                <w:rFonts w:ascii="Times New Roman" w:eastAsia="Times New Roman"/>
                <w:sz w:val="21"/>
              </w:rPr>
              <w:t>UPVC</w:t>
            </w:r>
            <w:r>
              <w:rPr>
                <w:sz w:val="21"/>
              </w:rPr>
              <w:t>，雨水出户管</w:t>
            </w:r>
          </w:p>
        </w:tc>
      </w:tr>
      <w:tr>
        <w:trPr>
          <w:trHeight w:val="464" w:hRule="exact"/>
        </w:trPr>
        <w:tc>
          <w:tcPr>
            <w:tcW w:w="742" w:type="dxa"/>
            <w:tcBorders>
              <w:top w:val="single" w:sz="4" w:space="0" w:color="000000"/>
              <w:bottom w:val="single" w:sz="4" w:space="0" w:color="000000"/>
              <w:right w:val="single" w:sz="4" w:space="0" w:color="000000"/>
            </w:tcBorders>
          </w:tcPr>
          <w:p>
            <w:pPr>
              <w:pStyle w:val="TableParagraph"/>
              <w:spacing w:before="106"/>
              <w:ind w:right="10"/>
              <w:rPr>
                <w:rFonts w:ascii="Times New Roman"/>
                <w:sz w:val="21"/>
              </w:rPr>
            </w:pPr>
            <w:r>
              <w:rPr>
                <w:rFonts w:ascii="Times New Roman"/>
                <w:sz w:val="21"/>
              </w:rPr>
              <w:t>3</w:t>
            </w:r>
          </w:p>
        </w:tc>
        <w:tc>
          <w:tcPr>
            <w:tcW w:w="3544" w:type="dxa"/>
            <w:tcBorders>
              <w:top w:val="single" w:sz="4" w:space="0" w:color="000000"/>
              <w:left w:val="single" w:sz="4" w:space="0" w:color="000000"/>
              <w:bottom w:val="single" w:sz="4" w:space="0" w:color="000000"/>
              <w:right w:val="single" w:sz="4" w:space="0" w:color="000000"/>
            </w:tcBorders>
          </w:tcPr>
          <w:p>
            <w:pPr>
              <w:pStyle w:val="TableParagraph"/>
              <w:spacing w:before="57"/>
              <w:ind w:left="3" w:right="3"/>
              <w:rPr>
                <w:sz w:val="21"/>
              </w:rPr>
            </w:pPr>
            <w:r>
              <w:rPr>
                <w:sz w:val="21"/>
              </w:rPr>
              <w:t>路沿石</w:t>
            </w:r>
          </w:p>
        </w:tc>
        <w:tc>
          <w:tcPr>
            <w:tcW w:w="4001" w:type="dxa"/>
            <w:tcBorders>
              <w:top w:val="single" w:sz="4" w:space="0" w:color="000000"/>
              <w:left w:val="single" w:sz="4" w:space="0" w:color="000000"/>
              <w:bottom w:val="single" w:sz="4" w:space="0" w:color="000000"/>
            </w:tcBorders>
          </w:tcPr>
          <w:p>
            <w:pPr>
              <w:pStyle w:val="TableParagraph"/>
              <w:spacing w:before="57"/>
              <w:ind w:left="751" w:right="744"/>
              <w:rPr>
                <w:sz w:val="21"/>
              </w:rPr>
            </w:pPr>
            <w:r>
              <w:rPr>
                <w:rFonts w:ascii="Times New Roman" w:eastAsia="Times New Roman"/>
                <w:sz w:val="21"/>
              </w:rPr>
              <w:t>HDPE</w:t>
            </w:r>
            <w:r>
              <w:rPr>
                <w:sz w:val="21"/>
              </w:rPr>
              <w:t>，带沉泥槽</w:t>
            </w:r>
          </w:p>
        </w:tc>
      </w:tr>
      <w:tr>
        <w:trPr>
          <w:trHeight w:val="644" w:hRule="exact"/>
        </w:trPr>
        <w:tc>
          <w:tcPr>
            <w:tcW w:w="742" w:type="dxa"/>
            <w:tcBorders>
              <w:top w:val="single" w:sz="4" w:space="0" w:color="000000"/>
              <w:right w:val="single" w:sz="4" w:space="0" w:color="000000"/>
            </w:tcBorders>
          </w:tcPr>
          <w:p>
            <w:pPr>
              <w:pStyle w:val="TableParagraph"/>
              <w:spacing w:before="191"/>
              <w:ind w:right="10"/>
              <w:rPr>
                <w:rFonts w:ascii="Times New Roman"/>
                <w:sz w:val="21"/>
              </w:rPr>
            </w:pPr>
            <w:r>
              <w:rPr>
                <w:rFonts w:ascii="Times New Roman"/>
                <w:sz w:val="21"/>
              </w:rPr>
              <w:t>4</w:t>
            </w:r>
          </w:p>
        </w:tc>
        <w:tc>
          <w:tcPr>
            <w:tcW w:w="3544" w:type="dxa"/>
            <w:tcBorders>
              <w:top w:val="single" w:sz="4" w:space="0" w:color="000000"/>
              <w:left w:val="single" w:sz="4" w:space="0" w:color="000000"/>
              <w:right w:val="single" w:sz="4" w:space="0" w:color="000000"/>
            </w:tcBorders>
          </w:tcPr>
          <w:p>
            <w:pPr>
              <w:pStyle w:val="TableParagraph"/>
              <w:spacing w:before="142"/>
              <w:ind w:left="2" w:right="3"/>
              <w:rPr>
                <w:sz w:val="21"/>
              </w:rPr>
            </w:pPr>
            <w:r>
              <w:rPr>
                <w:sz w:val="21"/>
              </w:rPr>
              <w:t>破除路面后恢复工程量</w:t>
            </w:r>
          </w:p>
        </w:tc>
        <w:tc>
          <w:tcPr>
            <w:tcW w:w="4001" w:type="dxa"/>
            <w:tcBorders>
              <w:top w:val="single" w:sz="4" w:space="0" w:color="000000"/>
              <w:left w:val="single" w:sz="4" w:space="0" w:color="000000"/>
            </w:tcBorders>
          </w:tcPr>
          <w:p>
            <w:pPr>
              <w:pStyle w:val="TableParagraph"/>
              <w:spacing w:line="261" w:lineRule="exact"/>
              <w:ind w:left="103" w:right="-11" w:firstLine="1"/>
              <w:jc w:val="left"/>
              <w:rPr>
                <w:sz w:val="21"/>
              </w:rPr>
            </w:pPr>
            <w:r>
              <w:rPr>
                <w:sz w:val="21"/>
              </w:rPr>
              <w:t>由于管道铺设需对道路进行局部开挖，因</w:t>
            </w:r>
          </w:p>
          <w:p>
            <w:pPr>
              <w:pStyle w:val="TableParagraph"/>
              <w:spacing w:before="37"/>
              <w:ind w:left="103" w:right="-11"/>
              <w:jc w:val="left"/>
              <w:rPr>
                <w:sz w:val="21"/>
              </w:rPr>
            </w:pPr>
            <w:r>
              <w:rPr>
                <w:spacing w:val="-10"/>
                <w:sz w:val="21"/>
              </w:rPr>
              <w:t>此待管道铺设完成后，应对道路进行修复。</w:t>
            </w:r>
          </w:p>
        </w:tc>
      </w:tr>
    </w:tbl>
    <w:p>
      <w:pPr>
        <w:spacing w:before="41"/>
        <w:ind w:left="0" w:right="6438" w:firstLine="0"/>
        <w:jc w:val="center"/>
        <w:rPr>
          <w:b/>
          <w:sz w:val="24"/>
        </w:rPr>
      </w:pPr>
      <w:r>
        <w:rPr>
          <w:b/>
          <w:w w:val="95"/>
          <w:sz w:val="24"/>
        </w:rPr>
        <w:t>五、主要原辅材料及能耗</w:t>
      </w:r>
    </w:p>
    <w:p>
      <w:pPr>
        <w:pStyle w:val="BodyText"/>
        <w:spacing w:line="348" w:lineRule="auto" w:before="154"/>
        <w:ind w:left="218" w:right="191" w:firstLine="480"/>
      </w:pPr>
      <w:r>
        <w:rPr/>
        <w:t>项目所需砂砾石料、卵石料、砂石料均从外购，运至项目区，综合运距约 </w:t>
      </w:r>
      <w:r>
        <w:rPr>
          <w:rFonts w:ascii="Times New Roman" w:eastAsia="Times New Roman"/>
        </w:rPr>
        <w:t>10km</w:t>
      </w:r>
      <w:r>
        <w:rPr/>
        <w:t>。</w:t>
      </w:r>
      <w:r>
        <w:rPr>
          <w:spacing w:val="-12"/>
        </w:rPr>
        <w:t>工程所需主要建筑材料：水泥、电线电缆等可从当地或县城购买。施工用水可就地提取， 施工用电可在项目区内的市政电网就近接入。</w:t>
      </w:r>
    </w:p>
    <w:p>
      <w:pPr>
        <w:pStyle w:val="BodyText"/>
        <w:spacing w:before="46"/>
        <w:ind w:left="698"/>
      </w:pPr>
      <w:r>
        <w:rPr/>
        <w:t>本项目主要原辅材料及能耗情况见表 </w:t>
      </w:r>
      <w:r>
        <w:rPr>
          <w:rFonts w:ascii="Times New Roman" w:eastAsia="Times New Roman"/>
        </w:rPr>
        <w:t>1-3</w:t>
      </w:r>
      <w:r>
        <w:rPr/>
        <w:t>，主要设备清单见表 </w:t>
      </w:r>
      <w:r>
        <w:rPr>
          <w:rFonts w:ascii="Times New Roman" w:eastAsia="Times New Roman"/>
        </w:rPr>
        <w:t>1-4</w:t>
      </w:r>
      <w:r>
        <w:rPr/>
        <w:t>。</w:t>
      </w:r>
    </w:p>
    <w:p>
      <w:pPr>
        <w:pStyle w:val="Heading2"/>
        <w:tabs>
          <w:tab w:pos="981" w:val="left" w:leader="none"/>
        </w:tabs>
        <w:spacing w:before="136"/>
        <w:ind w:left="0" w:right="19"/>
        <w:jc w:val="center"/>
      </w:pPr>
      <w:r>
        <w:rPr/>
        <w:t>表</w:t>
      </w:r>
      <w:r>
        <w:rPr>
          <w:spacing w:val="-61"/>
        </w:rPr>
        <w:t> </w:t>
      </w:r>
      <w:r>
        <w:rPr>
          <w:rFonts w:ascii="Times New Roman" w:eastAsia="Times New Roman"/>
        </w:rPr>
        <w:t>1-3</w:t>
        <w:tab/>
      </w:r>
      <w:r>
        <w:rPr>
          <w:w w:val="95"/>
        </w:rPr>
        <w:t>工程建设主要设备</w:t>
      </w:r>
    </w:p>
    <w:p>
      <w:pPr>
        <w:pStyle w:val="BodyText"/>
        <w:spacing w:before="4"/>
        <w:rPr>
          <w:b/>
          <w:sz w:val="7"/>
        </w:rPr>
      </w:pPr>
    </w:p>
    <w:tbl>
      <w:tblPr>
        <w:tblW w:w="0" w:type="auto"/>
        <w:jc w:val="left"/>
        <w:tblInd w:w="79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418"/>
        <w:gridCol w:w="2485"/>
        <w:gridCol w:w="2250"/>
        <w:gridCol w:w="1740"/>
      </w:tblGrid>
      <w:tr>
        <w:trPr>
          <w:trHeight w:val="506" w:hRule="exact"/>
        </w:trPr>
        <w:tc>
          <w:tcPr>
            <w:tcW w:w="1418" w:type="dxa"/>
            <w:tcBorders>
              <w:bottom w:val="single" w:sz="4" w:space="0" w:color="000000"/>
              <w:right w:val="single" w:sz="4" w:space="0" w:color="000000"/>
            </w:tcBorders>
          </w:tcPr>
          <w:p>
            <w:pPr>
              <w:pStyle w:val="TableParagraph"/>
              <w:spacing w:before="77"/>
              <w:ind w:left="465" w:right="472"/>
              <w:rPr>
                <w:b/>
                <w:sz w:val="21"/>
              </w:rPr>
            </w:pPr>
            <w:r>
              <w:rPr>
                <w:b/>
                <w:sz w:val="21"/>
              </w:rPr>
              <w:t>序号</w:t>
            </w:r>
          </w:p>
        </w:tc>
        <w:tc>
          <w:tcPr>
            <w:tcW w:w="2485" w:type="dxa"/>
            <w:tcBorders>
              <w:left w:val="single" w:sz="4" w:space="0" w:color="000000"/>
              <w:bottom w:val="single" w:sz="4" w:space="0" w:color="000000"/>
              <w:right w:val="single" w:sz="4" w:space="0" w:color="000000"/>
            </w:tcBorders>
          </w:tcPr>
          <w:p>
            <w:pPr>
              <w:pStyle w:val="TableParagraph"/>
              <w:spacing w:before="77"/>
              <w:ind w:left="648" w:right="649"/>
              <w:rPr>
                <w:b/>
                <w:sz w:val="21"/>
              </w:rPr>
            </w:pPr>
            <w:r>
              <w:rPr>
                <w:b/>
                <w:sz w:val="21"/>
              </w:rPr>
              <w:t>名称</w:t>
            </w:r>
          </w:p>
        </w:tc>
        <w:tc>
          <w:tcPr>
            <w:tcW w:w="2250" w:type="dxa"/>
            <w:tcBorders>
              <w:left w:val="single" w:sz="4" w:space="0" w:color="000000"/>
              <w:bottom w:val="single" w:sz="4" w:space="0" w:color="000000"/>
              <w:right w:val="single" w:sz="4" w:space="0" w:color="000000"/>
            </w:tcBorders>
          </w:tcPr>
          <w:p>
            <w:pPr>
              <w:pStyle w:val="TableParagraph"/>
              <w:spacing w:before="77"/>
              <w:ind w:left="908"/>
              <w:jc w:val="left"/>
              <w:rPr>
                <w:b/>
                <w:sz w:val="21"/>
              </w:rPr>
            </w:pPr>
            <w:r>
              <w:rPr>
                <w:b/>
                <w:sz w:val="21"/>
              </w:rPr>
              <w:t>台数</w:t>
            </w:r>
          </w:p>
        </w:tc>
        <w:tc>
          <w:tcPr>
            <w:tcW w:w="1740" w:type="dxa"/>
            <w:tcBorders>
              <w:left w:val="single" w:sz="4" w:space="0" w:color="000000"/>
              <w:bottom w:val="single" w:sz="4" w:space="0" w:color="000000"/>
            </w:tcBorders>
          </w:tcPr>
          <w:p>
            <w:pPr>
              <w:pStyle w:val="TableParagraph"/>
              <w:spacing w:before="77"/>
              <w:ind w:left="634" w:right="625"/>
              <w:rPr>
                <w:b/>
                <w:sz w:val="21"/>
              </w:rPr>
            </w:pPr>
            <w:r>
              <w:rPr>
                <w:b/>
                <w:sz w:val="21"/>
              </w:rPr>
              <w:t>备注</w:t>
            </w:r>
          </w:p>
        </w:tc>
      </w:tr>
      <w:tr>
        <w:trPr>
          <w:trHeight w:val="476" w:hRule="exact"/>
        </w:trPr>
        <w:tc>
          <w:tcPr>
            <w:tcW w:w="1418" w:type="dxa"/>
            <w:tcBorders>
              <w:top w:val="single" w:sz="4" w:space="0" w:color="000000"/>
              <w:bottom w:val="single" w:sz="4" w:space="0" w:color="000000"/>
              <w:right w:val="single" w:sz="4" w:space="0" w:color="000000"/>
            </w:tcBorders>
          </w:tcPr>
          <w:p>
            <w:pPr>
              <w:pStyle w:val="TableParagraph"/>
              <w:spacing w:before="116"/>
              <w:ind w:right="8"/>
              <w:rPr>
                <w:rFonts w:ascii="Times New Roman"/>
                <w:sz w:val="21"/>
              </w:rPr>
            </w:pPr>
            <w:r>
              <w:rPr>
                <w:rFonts w:ascii="Times New Roman"/>
                <w:sz w:val="21"/>
              </w:rPr>
              <w:t>1</w:t>
            </w:r>
          </w:p>
        </w:tc>
        <w:tc>
          <w:tcPr>
            <w:tcW w:w="2485" w:type="dxa"/>
            <w:tcBorders>
              <w:top w:val="single" w:sz="4" w:space="0" w:color="000000"/>
              <w:left w:val="single" w:sz="4" w:space="0" w:color="000000"/>
              <w:bottom w:val="single" w:sz="4" w:space="0" w:color="000000"/>
              <w:right w:val="single" w:sz="4" w:space="0" w:color="000000"/>
            </w:tcBorders>
          </w:tcPr>
          <w:p>
            <w:pPr>
              <w:pStyle w:val="TableParagraph"/>
              <w:spacing w:before="66"/>
              <w:ind w:left="648" w:right="649"/>
              <w:rPr>
                <w:sz w:val="21"/>
              </w:rPr>
            </w:pPr>
            <w:r>
              <w:rPr>
                <w:rFonts w:ascii="Times New Roman" w:eastAsia="Times New Roman"/>
                <w:sz w:val="21"/>
              </w:rPr>
              <w:t>PE </w:t>
            </w:r>
            <w:r>
              <w:rPr>
                <w:sz w:val="21"/>
              </w:rPr>
              <w:t>管热熔机</w:t>
            </w:r>
          </w:p>
        </w:tc>
        <w:tc>
          <w:tcPr>
            <w:tcW w:w="2250" w:type="dxa"/>
            <w:tcBorders>
              <w:top w:val="single" w:sz="4" w:space="0" w:color="000000"/>
              <w:left w:val="single" w:sz="4" w:space="0" w:color="000000"/>
              <w:bottom w:val="single" w:sz="4" w:space="0" w:color="000000"/>
              <w:right w:val="single" w:sz="4" w:space="0" w:color="000000"/>
            </w:tcBorders>
          </w:tcPr>
          <w:p>
            <w:pPr>
              <w:pStyle w:val="TableParagraph"/>
              <w:spacing w:before="66"/>
              <w:ind w:left="935"/>
              <w:jc w:val="left"/>
              <w:rPr>
                <w:sz w:val="21"/>
              </w:rPr>
            </w:pPr>
            <w:r>
              <w:rPr>
                <w:rFonts w:ascii="Times New Roman" w:eastAsia="Times New Roman"/>
                <w:sz w:val="21"/>
              </w:rPr>
              <w:t>1 </w:t>
            </w:r>
            <w:r>
              <w:rPr>
                <w:sz w:val="21"/>
              </w:rPr>
              <w:t>台</w:t>
            </w:r>
          </w:p>
        </w:tc>
        <w:tc>
          <w:tcPr>
            <w:tcW w:w="1740" w:type="dxa"/>
            <w:tcBorders>
              <w:top w:val="single" w:sz="4" w:space="0" w:color="000000"/>
              <w:left w:val="single" w:sz="4" w:space="0" w:color="000000"/>
              <w:bottom w:val="single" w:sz="4" w:space="0" w:color="000000"/>
            </w:tcBorders>
          </w:tcPr>
          <w:p>
            <w:pPr>
              <w:pStyle w:val="TableParagraph"/>
              <w:spacing w:before="116"/>
              <w:ind w:left="6"/>
              <w:rPr>
                <w:rFonts w:ascii="Times New Roman"/>
                <w:sz w:val="21"/>
              </w:rPr>
            </w:pPr>
            <w:r>
              <w:rPr>
                <w:rFonts w:ascii="Times New Roman"/>
                <w:w w:val="99"/>
                <w:sz w:val="21"/>
              </w:rPr>
              <w:t>-</w:t>
            </w:r>
          </w:p>
        </w:tc>
      </w:tr>
      <w:tr>
        <w:trPr>
          <w:trHeight w:val="475" w:hRule="exact"/>
        </w:trPr>
        <w:tc>
          <w:tcPr>
            <w:tcW w:w="1418" w:type="dxa"/>
            <w:tcBorders>
              <w:top w:val="single" w:sz="4" w:space="0" w:color="000000"/>
              <w:bottom w:val="single" w:sz="4" w:space="0" w:color="000000"/>
              <w:right w:val="single" w:sz="4" w:space="0" w:color="000000"/>
            </w:tcBorders>
          </w:tcPr>
          <w:p>
            <w:pPr>
              <w:pStyle w:val="TableParagraph"/>
              <w:spacing w:before="114"/>
              <w:ind w:right="8"/>
              <w:rPr>
                <w:rFonts w:ascii="Times New Roman"/>
                <w:sz w:val="21"/>
              </w:rPr>
            </w:pPr>
            <w:r>
              <w:rPr>
                <w:rFonts w:ascii="Times New Roman"/>
                <w:sz w:val="21"/>
              </w:rPr>
              <w:t>2</w:t>
            </w:r>
          </w:p>
        </w:tc>
        <w:tc>
          <w:tcPr>
            <w:tcW w:w="2485" w:type="dxa"/>
            <w:tcBorders>
              <w:top w:val="single" w:sz="4" w:space="0" w:color="000000"/>
              <w:left w:val="single" w:sz="4" w:space="0" w:color="000000"/>
              <w:bottom w:val="single" w:sz="4" w:space="0" w:color="000000"/>
              <w:right w:val="single" w:sz="4" w:space="0" w:color="000000"/>
            </w:tcBorders>
          </w:tcPr>
          <w:p>
            <w:pPr>
              <w:pStyle w:val="TableParagraph"/>
              <w:spacing w:before="65"/>
              <w:ind w:left="648" w:right="648"/>
              <w:rPr>
                <w:sz w:val="21"/>
              </w:rPr>
            </w:pPr>
            <w:r>
              <w:rPr>
                <w:sz w:val="21"/>
              </w:rPr>
              <w:t>压路机</w:t>
            </w:r>
          </w:p>
        </w:tc>
        <w:tc>
          <w:tcPr>
            <w:tcW w:w="2250" w:type="dxa"/>
            <w:tcBorders>
              <w:top w:val="single" w:sz="4" w:space="0" w:color="000000"/>
              <w:left w:val="single" w:sz="4" w:space="0" w:color="000000"/>
              <w:bottom w:val="single" w:sz="4" w:space="0" w:color="000000"/>
              <w:right w:val="single" w:sz="4" w:space="0" w:color="000000"/>
            </w:tcBorders>
          </w:tcPr>
          <w:p>
            <w:pPr>
              <w:pStyle w:val="TableParagraph"/>
              <w:spacing w:before="65"/>
              <w:ind w:left="936"/>
              <w:jc w:val="left"/>
              <w:rPr>
                <w:sz w:val="21"/>
              </w:rPr>
            </w:pPr>
            <w:r>
              <w:rPr>
                <w:rFonts w:ascii="Times New Roman" w:eastAsia="Times New Roman"/>
                <w:sz w:val="21"/>
              </w:rPr>
              <w:t>3 </w:t>
            </w:r>
            <w:r>
              <w:rPr>
                <w:sz w:val="21"/>
              </w:rPr>
              <w:t>台</w:t>
            </w:r>
          </w:p>
        </w:tc>
        <w:tc>
          <w:tcPr>
            <w:tcW w:w="1740" w:type="dxa"/>
            <w:tcBorders>
              <w:top w:val="single" w:sz="4" w:space="0" w:color="000000"/>
              <w:left w:val="single" w:sz="4" w:space="0" w:color="000000"/>
              <w:bottom w:val="single" w:sz="4" w:space="0" w:color="000000"/>
            </w:tcBorders>
          </w:tcPr>
          <w:p>
            <w:pPr>
              <w:pStyle w:val="TableParagraph"/>
              <w:spacing w:before="114"/>
              <w:ind w:left="7"/>
              <w:rPr>
                <w:rFonts w:ascii="Times New Roman"/>
                <w:sz w:val="21"/>
              </w:rPr>
            </w:pPr>
            <w:r>
              <w:rPr>
                <w:rFonts w:ascii="Times New Roman"/>
                <w:w w:val="99"/>
                <w:sz w:val="21"/>
              </w:rPr>
              <w:t>-</w:t>
            </w:r>
          </w:p>
        </w:tc>
      </w:tr>
      <w:tr>
        <w:trPr>
          <w:trHeight w:val="487" w:hRule="exact"/>
        </w:trPr>
        <w:tc>
          <w:tcPr>
            <w:tcW w:w="1418" w:type="dxa"/>
            <w:tcBorders>
              <w:top w:val="single" w:sz="4" w:space="0" w:color="000000"/>
              <w:right w:val="single" w:sz="4" w:space="0" w:color="000000"/>
            </w:tcBorders>
          </w:tcPr>
          <w:p>
            <w:pPr>
              <w:pStyle w:val="TableParagraph"/>
              <w:spacing w:before="116"/>
              <w:ind w:right="8"/>
              <w:rPr>
                <w:rFonts w:ascii="Times New Roman"/>
                <w:sz w:val="21"/>
              </w:rPr>
            </w:pPr>
            <w:r>
              <w:rPr>
                <w:rFonts w:ascii="Times New Roman"/>
                <w:sz w:val="21"/>
              </w:rPr>
              <w:t>3</w:t>
            </w:r>
          </w:p>
        </w:tc>
        <w:tc>
          <w:tcPr>
            <w:tcW w:w="2485" w:type="dxa"/>
            <w:tcBorders>
              <w:top w:val="single" w:sz="4" w:space="0" w:color="000000"/>
              <w:left w:val="single" w:sz="4" w:space="0" w:color="000000"/>
              <w:right w:val="single" w:sz="4" w:space="0" w:color="000000"/>
            </w:tcBorders>
          </w:tcPr>
          <w:p>
            <w:pPr>
              <w:pStyle w:val="TableParagraph"/>
              <w:spacing w:before="66"/>
              <w:ind w:left="648" w:right="648"/>
              <w:rPr>
                <w:sz w:val="21"/>
              </w:rPr>
            </w:pPr>
            <w:r>
              <w:rPr>
                <w:sz w:val="21"/>
              </w:rPr>
              <w:t>破碎机</w:t>
            </w:r>
          </w:p>
        </w:tc>
        <w:tc>
          <w:tcPr>
            <w:tcW w:w="2250" w:type="dxa"/>
            <w:tcBorders>
              <w:top w:val="single" w:sz="4" w:space="0" w:color="000000"/>
              <w:left w:val="single" w:sz="4" w:space="0" w:color="000000"/>
              <w:right w:val="single" w:sz="4" w:space="0" w:color="000000"/>
            </w:tcBorders>
          </w:tcPr>
          <w:p>
            <w:pPr>
              <w:pStyle w:val="TableParagraph"/>
              <w:spacing w:before="66"/>
              <w:ind w:left="936"/>
              <w:jc w:val="left"/>
              <w:rPr>
                <w:sz w:val="21"/>
              </w:rPr>
            </w:pPr>
            <w:r>
              <w:rPr>
                <w:rFonts w:ascii="Times New Roman" w:eastAsia="Times New Roman"/>
                <w:sz w:val="21"/>
              </w:rPr>
              <w:t>2 </w:t>
            </w:r>
            <w:r>
              <w:rPr>
                <w:sz w:val="21"/>
              </w:rPr>
              <w:t>台</w:t>
            </w:r>
          </w:p>
        </w:tc>
        <w:tc>
          <w:tcPr>
            <w:tcW w:w="1740" w:type="dxa"/>
            <w:tcBorders>
              <w:top w:val="single" w:sz="4" w:space="0" w:color="000000"/>
              <w:left w:val="single" w:sz="4" w:space="0" w:color="000000"/>
            </w:tcBorders>
          </w:tcPr>
          <w:p>
            <w:pPr>
              <w:pStyle w:val="TableParagraph"/>
              <w:spacing w:before="116"/>
              <w:ind w:left="7"/>
              <w:rPr>
                <w:rFonts w:ascii="Times New Roman"/>
                <w:sz w:val="21"/>
              </w:rPr>
            </w:pPr>
            <w:r>
              <w:rPr>
                <w:rFonts w:ascii="Times New Roman"/>
                <w:w w:val="99"/>
                <w:sz w:val="21"/>
              </w:rPr>
              <w:t>-</w:t>
            </w:r>
          </w:p>
        </w:tc>
      </w:tr>
    </w:tbl>
    <w:p>
      <w:pPr>
        <w:tabs>
          <w:tab w:pos="4581" w:val="left" w:leader="none"/>
        </w:tabs>
        <w:spacing w:before="40"/>
        <w:ind w:left="3478" w:right="0" w:firstLine="0"/>
        <w:jc w:val="left"/>
        <w:rPr>
          <w:b/>
          <w:sz w:val="24"/>
        </w:rPr>
      </w:pPr>
      <w:r>
        <w:rPr>
          <w:b/>
          <w:sz w:val="24"/>
        </w:rPr>
        <w:t>表</w:t>
      </w:r>
      <w:r>
        <w:rPr>
          <w:b/>
          <w:spacing w:val="-61"/>
          <w:sz w:val="24"/>
        </w:rPr>
        <w:t> </w:t>
      </w:r>
      <w:r>
        <w:rPr>
          <w:rFonts w:ascii="Times New Roman" w:eastAsia="Times New Roman"/>
          <w:b/>
          <w:sz w:val="24"/>
        </w:rPr>
        <w:t>1-4</w:t>
        <w:tab/>
      </w:r>
      <w:r>
        <w:rPr>
          <w:b/>
          <w:w w:val="95"/>
          <w:sz w:val="24"/>
        </w:rPr>
        <w:t>主要原辅材料</w:t>
      </w:r>
    </w:p>
    <w:p>
      <w:pPr>
        <w:pStyle w:val="BodyText"/>
        <w:spacing w:before="3"/>
        <w:rPr>
          <w:b/>
          <w:sz w:val="7"/>
        </w:rPr>
      </w:pPr>
    </w:p>
    <w:tbl>
      <w:tblPr>
        <w:tblW w:w="0" w:type="auto"/>
        <w:jc w:val="left"/>
        <w:tblInd w:w="5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690"/>
        <w:gridCol w:w="2410"/>
        <w:gridCol w:w="3071"/>
        <w:gridCol w:w="1236"/>
        <w:gridCol w:w="1039"/>
      </w:tblGrid>
      <w:tr>
        <w:trPr>
          <w:trHeight w:val="418" w:hRule="exact"/>
        </w:trPr>
        <w:tc>
          <w:tcPr>
            <w:tcW w:w="690" w:type="dxa"/>
            <w:tcBorders>
              <w:bottom w:val="single" w:sz="4" w:space="0" w:color="000000"/>
              <w:right w:val="single" w:sz="4" w:space="0" w:color="000000"/>
            </w:tcBorders>
          </w:tcPr>
          <w:p>
            <w:pPr>
              <w:pStyle w:val="TableParagraph"/>
              <w:spacing w:before="29"/>
              <w:ind w:left="101" w:right="107"/>
              <w:rPr>
                <w:b/>
                <w:sz w:val="21"/>
              </w:rPr>
            </w:pPr>
            <w:r>
              <w:rPr>
                <w:b/>
                <w:sz w:val="21"/>
              </w:rPr>
              <w:t>序号</w:t>
            </w:r>
          </w:p>
        </w:tc>
        <w:tc>
          <w:tcPr>
            <w:tcW w:w="2410" w:type="dxa"/>
            <w:tcBorders>
              <w:left w:val="single" w:sz="4" w:space="0" w:color="000000"/>
              <w:bottom w:val="single" w:sz="4" w:space="0" w:color="000000"/>
              <w:right w:val="single" w:sz="4" w:space="0" w:color="000000"/>
            </w:tcBorders>
          </w:tcPr>
          <w:p>
            <w:pPr>
              <w:pStyle w:val="TableParagraph"/>
              <w:spacing w:before="29"/>
              <w:ind w:left="130" w:right="130"/>
              <w:rPr>
                <w:b/>
                <w:sz w:val="21"/>
              </w:rPr>
            </w:pPr>
            <w:r>
              <w:rPr>
                <w:b/>
                <w:sz w:val="21"/>
              </w:rPr>
              <w:t>名称</w:t>
            </w:r>
          </w:p>
        </w:tc>
        <w:tc>
          <w:tcPr>
            <w:tcW w:w="3071" w:type="dxa"/>
            <w:tcBorders>
              <w:left w:val="single" w:sz="4" w:space="0" w:color="000000"/>
              <w:bottom w:val="single" w:sz="4" w:space="0" w:color="000000"/>
              <w:right w:val="single" w:sz="4" w:space="0" w:color="000000"/>
            </w:tcBorders>
          </w:tcPr>
          <w:p>
            <w:pPr>
              <w:pStyle w:val="TableParagraph"/>
              <w:spacing w:before="29"/>
              <w:ind w:left="266" w:right="266"/>
              <w:rPr>
                <w:b/>
                <w:sz w:val="21"/>
              </w:rPr>
            </w:pPr>
            <w:r>
              <w:rPr>
                <w:b/>
                <w:w w:val="95"/>
                <w:sz w:val="21"/>
              </w:rPr>
              <w:t>规格（单位、数量）</w:t>
            </w:r>
          </w:p>
        </w:tc>
        <w:tc>
          <w:tcPr>
            <w:tcW w:w="1236" w:type="dxa"/>
            <w:tcBorders>
              <w:left w:val="single" w:sz="4" w:space="0" w:color="000000"/>
              <w:bottom w:val="single" w:sz="4" w:space="0" w:color="000000"/>
              <w:right w:val="single" w:sz="4" w:space="0" w:color="000000"/>
            </w:tcBorders>
          </w:tcPr>
          <w:p>
            <w:pPr>
              <w:pStyle w:val="TableParagraph"/>
              <w:spacing w:before="29"/>
              <w:ind w:left="173" w:right="173"/>
              <w:rPr>
                <w:b/>
                <w:sz w:val="21"/>
              </w:rPr>
            </w:pPr>
            <w:r>
              <w:rPr>
                <w:b/>
                <w:sz w:val="21"/>
              </w:rPr>
              <w:t>产地</w:t>
            </w:r>
          </w:p>
        </w:tc>
        <w:tc>
          <w:tcPr>
            <w:tcW w:w="1039" w:type="dxa"/>
            <w:tcBorders>
              <w:left w:val="single" w:sz="4" w:space="0" w:color="000000"/>
              <w:bottom w:val="single" w:sz="4" w:space="0" w:color="000000"/>
            </w:tcBorders>
          </w:tcPr>
          <w:p>
            <w:pPr>
              <w:pStyle w:val="TableParagraph"/>
              <w:spacing w:before="29"/>
              <w:ind w:left="282" w:right="275"/>
              <w:rPr>
                <w:b/>
                <w:sz w:val="21"/>
              </w:rPr>
            </w:pPr>
            <w:r>
              <w:rPr>
                <w:b/>
                <w:sz w:val="21"/>
              </w:rPr>
              <w:t>备注</w:t>
            </w:r>
          </w:p>
        </w:tc>
      </w:tr>
      <w:tr>
        <w:trPr>
          <w:trHeight w:val="407" w:hRule="exact"/>
        </w:trPr>
        <w:tc>
          <w:tcPr>
            <w:tcW w:w="690" w:type="dxa"/>
            <w:tcBorders>
              <w:top w:val="single" w:sz="4" w:space="0" w:color="000000"/>
              <w:bottom w:val="single" w:sz="4" w:space="0" w:color="000000"/>
              <w:right w:val="single" w:sz="4" w:space="0" w:color="000000"/>
            </w:tcBorders>
          </w:tcPr>
          <w:p>
            <w:pPr>
              <w:pStyle w:val="TableParagraph"/>
              <w:spacing w:before="77"/>
              <w:ind w:right="8"/>
              <w:rPr>
                <w:rFonts w:ascii="Times New Roman"/>
                <w:b/>
                <w:sz w:val="21"/>
              </w:rPr>
            </w:pPr>
            <w:r>
              <w:rPr>
                <w:rFonts w:ascii="Times New Roman"/>
                <w:b/>
                <w:sz w:val="21"/>
              </w:rPr>
              <w:t>1</w:t>
            </w:r>
          </w:p>
        </w:tc>
        <w:tc>
          <w:tcPr>
            <w:tcW w:w="2410" w:type="dxa"/>
            <w:tcBorders>
              <w:top w:val="single" w:sz="4" w:space="0" w:color="000000"/>
              <w:left w:val="single" w:sz="4" w:space="0" w:color="000000"/>
              <w:bottom w:val="single" w:sz="4" w:space="0" w:color="000000"/>
              <w:right w:val="single" w:sz="4" w:space="0" w:color="000000"/>
            </w:tcBorders>
          </w:tcPr>
          <w:p>
            <w:pPr>
              <w:pStyle w:val="TableParagraph"/>
              <w:spacing w:before="29"/>
              <w:ind w:left="130" w:right="130"/>
              <w:rPr>
                <w:sz w:val="21"/>
              </w:rPr>
            </w:pPr>
            <w:r>
              <w:rPr>
                <w:sz w:val="21"/>
              </w:rPr>
              <w:t>聚乙烯塑钢缠绕污水管</w:t>
            </w:r>
          </w:p>
        </w:tc>
        <w:tc>
          <w:tcPr>
            <w:tcW w:w="3071" w:type="dxa"/>
            <w:tcBorders>
              <w:top w:val="single" w:sz="4" w:space="0" w:color="000000"/>
              <w:left w:val="single" w:sz="4" w:space="0" w:color="000000"/>
              <w:bottom w:val="single" w:sz="4" w:space="0" w:color="000000"/>
              <w:right w:val="single" w:sz="4" w:space="0" w:color="000000"/>
            </w:tcBorders>
          </w:tcPr>
          <w:p>
            <w:pPr>
              <w:pStyle w:val="TableParagraph"/>
              <w:spacing w:before="29"/>
              <w:ind w:left="266" w:right="277"/>
              <w:rPr>
                <w:sz w:val="21"/>
              </w:rPr>
            </w:pPr>
            <w:r>
              <w:rPr>
                <w:rFonts w:ascii="Times New Roman" w:eastAsia="Times New Roman"/>
                <w:sz w:val="21"/>
              </w:rPr>
              <w:t>d400~600</w:t>
            </w:r>
            <w:r>
              <w:rPr>
                <w:sz w:val="21"/>
              </w:rPr>
              <w:t>，总长 </w:t>
            </w:r>
            <w:r>
              <w:rPr>
                <w:rFonts w:ascii="Times New Roman" w:eastAsia="Times New Roman"/>
                <w:sz w:val="21"/>
              </w:rPr>
              <w:t>65500 </w:t>
            </w:r>
            <w:r>
              <w:rPr>
                <w:sz w:val="21"/>
              </w:rPr>
              <w:t>米</w:t>
            </w:r>
          </w:p>
        </w:tc>
        <w:tc>
          <w:tcPr>
            <w:tcW w:w="1236" w:type="dxa"/>
            <w:tcBorders>
              <w:top w:val="single" w:sz="4" w:space="0" w:color="000000"/>
              <w:left w:val="single" w:sz="4" w:space="0" w:color="000000"/>
              <w:bottom w:val="single" w:sz="4" w:space="0" w:color="000000"/>
              <w:right w:val="single" w:sz="4" w:space="0" w:color="000000"/>
            </w:tcBorders>
          </w:tcPr>
          <w:p>
            <w:pPr>
              <w:pStyle w:val="TableParagraph"/>
              <w:spacing w:before="28"/>
              <w:ind w:left="172" w:right="173"/>
              <w:rPr>
                <w:sz w:val="21"/>
              </w:rPr>
            </w:pPr>
            <w:r>
              <w:rPr>
                <w:sz w:val="21"/>
              </w:rPr>
              <w:t>外购</w:t>
            </w:r>
          </w:p>
        </w:tc>
        <w:tc>
          <w:tcPr>
            <w:tcW w:w="1039" w:type="dxa"/>
            <w:tcBorders>
              <w:top w:val="single" w:sz="4" w:space="0" w:color="000000"/>
              <w:left w:val="single" w:sz="4" w:space="0" w:color="000000"/>
              <w:bottom w:val="single" w:sz="4" w:space="0" w:color="000000"/>
            </w:tcBorders>
          </w:tcPr>
          <w:p>
            <w:pPr>
              <w:pStyle w:val="TableParagraph"/>
              <w:spacing w:before="77"/>
              <w:ind w:left="6"/>
              <w:rPr>
                <w:rFonts w:ascii="Times New Roman" w:hAnsi="Times New Roman"/>
                <w:sz w:val="21"/>
              </w:rPr>
            </w:pPr>
            <w:r>
              <w:rPr>
                <w:rFonts w:ascii="Times New Roman" w:hAnsi="Times New Roman"/>
                <w:sz w:val="21"/>
              </w:rPr>
              <w:t>—</w:t>
            </w:r>
          </w:p>
        </w:tc>
      </w:tr>
      <w:tr>
        <w:trPr>
          <w:trHeight w:val="407" w:hRule="exact"/>
        </w:trPr>
        <w:tc>
          <w:tcPr>
            <w:tcW w:w="690" w:type="dxa"/>
            <w:tcBorders>
              <w:top w:val="single" w:sz="4" w:space="0" w:color="000000"/>
              <w:bottom w:val="single" w:sz="4" w:space="0" w:color="000000"/>
              <w:right w:val="single" w:sz="4" w:space="0" w:color="000000"/>
            </w:tcBorders>
          </w:tcPr>
          <w:p>
            <w:pPr>
              <w:pStyle w:val="TableParagraph"/>
              <w:spacing w:before="77"/>
              <w:ind w:right="8"/>
              <w:rPr>
                <w:rFonts w:ascii="Times New Roman"/>
                <w:b/>
                <w:sz w:val="21"/>
              </w:rPr>
            </w:pPr>
            <w:r>
              <w:rPr>
                <w:rFonts w:ascii="Times New Roman"/>
                <w:b/>
                <w:sz w:val="21"/>
              </w:rPr>
              <w:t>2</w:t>
            </w:r>
          </w:p>
        </w:tc>
        <w:tc>
          <w:tcPr>
            <w:tcW w:w="2410" w:type="dxa"/>
            <w:tcBorders>
              <w:top w:val="single" w:sz="4" w:space="0" w:color="000000"/>
              <w:left w:val="single" w:sz="4" w:space="0" w:color="000000"/>
              <w:bottom w:val="single" w:sz="4" w:space="0" w:color="000000"/>
              <w:right w:val="single" w:sz="4" w:space="0" w:color="000000"/>
            </w:tcBorders>
          </w:tcPr>
          <w:p>
            <w:pPr>
              <w:pStyle w:val="TableParagraph"/>
              <w:spacing w:before="29"/>
              <w:ind w:left="130" w:right="130"/>
              <w:rPr>
                <w:sz w:val="21"/>
              </w:rPr>
            </w:pPr>
            <w:r>
              <w:rPr>
                <w:sz w:val="21"/>
              </w:rPr>
              <w:t>硬聚氯乙烯雨水管</w:t>
            </w:r>
          </w:p>
        </w:tc>
        <w:tc>
          <w:tcPr>
            <w:tcW w:w="3071" w:type="dxa"/>
            <w:tcBorders>
              <w:top w:val="single" w:sz="4" w:space="0" w:color="000000"/>
              <w:left w:val="single" w:sz="4" w:space="0" w:color="000000"/>
              <w:bottom w:val="single" w:sz="4" w:space="0" w:color="000000"/>
              <w:right w:val="single" w:sz="4" w:space="0" w:color="000000"/>
            </w:tcBorders>
          </w:tcPr>
          <w:p>
            <w:pPr>
              <w:pStyle w:val="TableParagraph"/>
              <w:spacing w:before="29"/>
              <w:ind w:left="266" w:right="279"/>
              <w:rPr>
                <w:sz w:val="21"/>
              </w:rPr>
            </w:pPr>
            <w:r>
              <w:rPr>
                <w:rFonts w:ascii="Times New Roman" w:eastAsia="Times New Roman"/>
                <w:sz w:val="21"/>
              </w:rPr>
              <w:t>d600~2600</w:t>
            </w:r>
            <w:r>
              <w:rPr>
                <w:sz w:val="21"/>
              </w:rPr>
              <w:t>，总长 </w:t>
            </w:r>
            <w:r>
              <w:rPr>
                <w:rFonts w:ascii="Times New Roman" w:eastAsia="Times New Roman"/>
                <w:sz w:val="21"/>
              </w:rPr>
              <w:t>80325 </w:t>
            </w:r>
            <w:r>
              <w:rPr>
                <w:sz w:val="21"/>
              </w:rPr>
              <w:t>米</w:t>
            </w:r>
          </w:p>
        </w:tc>
        <w:tc>
          <w:tcPr>
            <w:tcW w:w="1236" w:type="dxa"/>
            <w:tcBorders>
              <w:top w:val="single" w:sz="4" w:space="0" w:color="000000"/>
              <w:left w:val="single" w:sz="4" w:space="0" w:color="000000"/>
              <w:bottom w:val="single" w:sz="4" w:space="0" w:color="000000"/>
              <w:right w:val="single" w:sz="4" w:space="0" w:color="000000"/>
            </w:tcBorders>
          </w:tcPr>
          <w:p>
            <w:pPr>
              <w:pStyle w:val="TableParagraph"/>
              <w:spacing w:before="28"/>
              <w:ind w:left="173" w:right="173"/>
              <w:rPr>
                <w:sz w:val="21"/>
              </w:rPr>
            </w:pPr>
            <w:r>
              <w:rPr>
                <w:sz w:val="21"/>
              </w:rPr>
              <w:t>外购</w:t>
            </w:r>
          </w:p>
        </w:tc>
        <w:tc>
          <w:tcPr>
            <w:tcW w:w="1039" w:type="dxa"/>
            <w:tcBorders>
              <w:top w:val="single" w:sz="4" w:space="0" w:color="000000"/>
              <w:left w:val="single" w:sz="4" w:space="0" w:color="000000"/>
              <w:bottom w:val="single" w:sz="4" w:space="0" w:color="000000"/>
            </w:tcBorders>
          </w:tcPr>
          <w:p>
            <w:pPr>
              <w:pStyle w:val="TableParagraph"/>
              <w:spacing w:before="77"/>
              <w:ind w:left="5"/>
              <w:rPr>
                <w:rFonts w:ascii="Times New Roman" w:hAnsi="Times New Roman"/>
                <w:sz w:val="21"/>
              </w:rPr>
            </w:pPr>
            <w:r>
              <w:rPr>
                <w:rFonts w:ascii="Times New Roman" w:hAnsi="Times New Roman"/>
                <w:sz w:val="21"/>
              </w:rPr>
              <w:t>—</w:t>
            </w:r>
          </w:p>
        </w:tc>
      </w:tr>
      <w:tr>
        <w:trPr>
          <w:trHeight w:val="407" w:hRule="exact"/>
        </w:trPr>
        <w:tc>
          <w:tcPr>
            <w:tcW w:w="690" w:type="dxa"/>
            <w:tcBorders>
              <w:top w:val="single" w:sz="4" w:space="0" w:color="000000"/>
              <w:bottom w:val="single" w:sz="4" w:space="0" w:color="000000"/>
              <w:right w:val="single" w:sz="4" w:space="0" w:color="000000"/>
            </w:tcBorders>
          </w:tcPr>
          <w:p>
            <w:pPr>
              <w:pStyle w:val="TableParagraph"/>
              <w:spacing w:before="77"/>
              <w:ind w:right="8"/>
              <w:rPr>
                <w:rFonts w:ascii="Times New Roman"/>
                <w:b/>
                <w:sz w:val="21"/>
              </w:rPr>
            </w:pPr>
            <w:r>
              <w:rPr>
                <w:rFonts w:ascii="Times New Roman"/>
                <w:b/>
                <w:sz w:val="21"/>
              </w:rPr>
              <w:t>3</w:t>
            </w:r>
          </w:p>
        </w:tc>
        <w:tc>
          <w:tcPr>
            <w:tcW w:w="2410" w:type="dxa"/>
            <w:tcBorders>
              <w:top w:val="single" w:sz="4" w:space="0" w:color="000000"/>
              <w:left w:val="single" w:sz="4" w:space="0" w:color="000000"/>
              <w:bottom w:val="single" w:sz="4" w:space="0" w:color="000000"/>
              <w:right w:val="single" w:sz="4" w:space="0" w:color="000000"/>
            </w:tcBorders>
          </w:tcPr>
          <w:p>
            <w:pPr>
              <w:pStyle w:val="TableParagraph"/>
              <w:spacing w:before="28"/>
              <w:ind w:left="129" w:right="130"/>
              <w:rPr>
                <w:sz w:val="21"/>
              </w:rPr>
            </w:pPr>
            <w:r>
              <w:rPr>
                <w:sz w:val="21"/>
              </w:rPr>
              <w:t>路沿石</w:t>
            </w:r>
          </w:p>
        </w:tc>
        <w:tc>
          <w:tcPr>
            <w:tcW w:w="3071" w:type="dxa"/>
            <w:tcBorders>
              <w:top w:val="single" w:sz="4" w:space="0" w:color="000000"/>
              <w:left w:val="single" w:sz="4" w:space="0" w:color="000000"/>
              <w:bottom w:val="single" w:sz="4" w:space="0" w:color="000000"/>
              <w:right w:val="single" w:sz="4" w:space="0" w:color="000000"/>
            </w:tcBorders>
          </w:tcPr>
          <w:p>
            <w:pPr>
              <w:pStyle w:val="TableParagraph"/>
              <w:spacing w:before="29"/>
              <w:ind w:left="266" w:right="267"/>
              <w:rPr>
                <w:sz w:val="21"/>
              </w:rPr>
            </w:pPr>
            <w:r>
              <w:rPr>
                <w:rFonts w:ascii="Times New Roman" w:eastAsia="Times New Roman"/>
                <w:sz w:val="21"/>
              </w:rPr>
              <w:t>3000 </w:t>
            </w:r>
            <w:r>
              <w:rPr>
                <w:sz w:val="21"/>
              </w:rPr>
              <w:t>米</w:t>
            </w:r>
          </w:p>
        </w:tc>
        <w:tc>
          <w:tcPr>
            <w:tcW w:w="1236" w:type="dxa"/>
            <w:tcBorders>
              <w:top w:val="single" w:sz="4" w:space="0" w:color="000000"/>
              <w:left w:val="single" w:sz="4" w:space="0" w:color="000000"/>
              <w:bottom w:val="single" w:sz="4" w:space="0" w:color="000000"/>
              <w:right w:val="single" w:sz="4" w:space="0" w:color="000000"/>
            </w:tcBorders>
          </w:tcPr>
          <w:p>
            <w:pPr>
              <w:pStyle w:val="TableParagraph"/>
              <w:spacing w:before="28"/>
              <w:ind w:left="173" w:right="173"/>
              <w:rPr>
                <w:sz w:val="21"/>
              </w:rPr>
            </w:pPr>
            <w:r>
              <w:rPr>
                <w:sz w:val="21"/>
              </w:rPr>
              <w:t>外购</w:t>
            </w:r>
          </w:p>
        </w:tc>
        <w:tc>
          <w:tcPr>
            <w:tcW w:w="1039" w:type="dxa"/>
            <w:tcBorders>
              <w:top w:val="single" w:sz="4" w:space="0" w:color="000000"/>
              <w:left w:val="single" w:sz="4" w:space="0" w:color="000000"/>
              <w:bottom w:val="single" w:sz="4" w:space="0" w:color="000000"/>
            </w:tcBorders>
          </w:tcPr>
          <w:p>
            <w:pPr>
              <w:pStyle w:val="TableParagraph"/>
              <w:spacing w:before="77"/>
              <w:ind w:left="5"/>
              <w:rPr>
                <w:rFonts w:ascii="Times New Roman" w:hAnsi="Times New Roman"/>
                <w:sz w:val="21"/>
              </w:rPr>
            </w:pPr>
            <w:r>
              <w:rPr>
                <w:rFonts w:ascii="Times New Roman" w:hAnsi="Times New Roman"/>
                <w:sz w:val="21"/>
              </w:rPr>
              <w:t>—</w:t>
            </w:r>
          </w:p>
        </w:tc>
      </w:tr>
      <w:tr>
        <w:trPr>
          <w:trHeight w:val="407" w:hRule="exact"/>
        </w:trPr>
        <w:tc>
          <w:tcPr>
            <w:tcW w:w="690" w:type="dxa"/>
            <w:tcBorders>
              <w:top w:val="single" w:sz="4" w:space="0" w:color="000000"/>
              <w:bottom w:val="single" w:sz="4" w:space="0" w:color="000000"/>
              <w:right w:val="single" w:sz="4" w:space="0" w:color="000000"/>
            </w:tcBorders>
          </w:tcPr>
          <w:p>
            <w:pPr>
              <w:pStyle w:val="TableParagraph"/>
              <w:spacing w:before="77"/>
              <w:ind w:right="8"/>
              <w:rPr>
                <w:rFonts w:ascii="Times New Roman"/>
                <w:b/>
                <w:sz w:val="21"/>
              </w:rPr>
            </w:pPr>
            <w:r>
              <w:rPr>
                <w:rFonts w:ascii="Times New Roman"/>
                <w:b/>
                <w:sz w:val="21"/>
              </w:rPr>
              <w:t>4</w:t>
            </w:r>
          </w:p>
        </w:tc>
        <w:tc>
          <w:tcPr>
            <w:tcW w:w="2410" w:type="dxa"/>
            <w:tcBorders>
              <w:top w:val="single" w:sz="4" w:space="0" w:color="000000"/>
              <w:left w:val="single" w:sz="4" w:space="0" w:color="000000"/>
              <w:bottom w:val="single" w:sz="4" w:space="0" w:color="000000"/>
              <w:right w:val="single" w:sz="4" w:space="0" w:color="000000"/>
            </w:tcBorders>
          </w:tcPr>
          <w:p>
            <w:pPr>
              <w:pStyle w:val="TableParagraph"/>
              <w:spacing w:before="29"/>
              <w:ind w:left="129" w:right="130"/>
              <w:rPr>
                <w:sz w:val="21"/>
              </w:rPr>
            </w:pPr>
            <w:r>
              <w:rPr>
                <w:sz w:val="21"/>
              </w:rPr>
              <w:t>混凝土</w:t>
            </w:r>
          </w:p>
        </w:tc>
        <w:tc>
          <w:tcPr>
            <w:tcW w:w="3071" w:type="dxa"/>
            <w:tcBorders>
              <w:top w:val="single" w:sz="4" w:space="0" w:color="000000"/>
              <w:left w:val="single" w:sz="4" w:space="0" w:color="000000"/>
              <w:bottom w:val="single" w:sz="4" w:space="0" w:color="000000"/>
              <w:right w:val="single" w:sz="4" w:space="0" w:color="000000"/>
            </w:tcBorders>
          </w:tcPr>
          <w:p>
            <w:pPr>
              <w:pStyle w:val="TableParagraph"/>
              <w:spacing w:before="77"/>
              <w:ind w:left="266" w:right="266"/>
              <w:rPr>
                <w:rFonts w:ascii="Times New Roman"/>
                <w:sz w:val="21"/>
              </w:rPr>
            </w:pPr>
            <w:r>
              <w:rPr>
                <w:rFonts w:ascii="Times New Roman"/>
                <w:sz w:val="21"/>
              </w:rPr>
              <w:t>2t</w:t>
            </w:r>
          </w:p>
        </w:tc>
        <w:tc>
          <w:tcPr>
            <w:tcW w:w="1236" w:type="dxa"/>
            <w:tcBorders>
              <w:top w:val="single" w:sz="4" w:space="0" w:color="000000"/>
              <w:left w:val="single" w:sz="4" w:space="0" w:color="000000"/>
              <w:bottom w:val="single" w:sz="4" w:space="0" w:color="000000"/>
              <w:right w:val="single" w:sz="4" w:space="0" w:color="000000"/>
            </w:tcBorders>
          </w:tcPr>
          <w:p>
            <w:pPr>
              <w:pStyle w:val="TableParagraph"/>
              <w:spacing w:before="29"/>
              <w:ind w:left="173" w:right="173"/>
              <w:rPr>
                <w:sz w:val="21"/>
              </w:rPr>
            </w:pPr>
            <w:r>
              <w:rPr>
                <w:sz w:val="21"/>
              </w:rPr>
              <w:t>外购</w:t>
            </w:r>
          </w:p>
        </w:tc>
        <w:tc>
          <w:tcPr>
            <w:tcW w:w="1039" w:type="dxa"/>
            <w:tcBorders>
              <w:top w:val="single" w:sz="4" w:space="0" w:color="000000"/>
              <w:left w:val="single" w:sz="4" w:space="0" w:color="000000"/>
              <w:bottom w:val="single" w:sz="4" w:space="0" w:color="000000"/>
            </w:tcBorders>
          </w:tcPr>
          <w:p>
            <w:pPr>
              <w:pStyle w:val="TableParagraph"/>
              <w:spacing w:before="79"/>
              <w:ind w:left="5"/>
              <w:rPr>
                <w:rFonts w:ascii="Times New Roman" w:hAnsi="Times New Roman"/>
                <w:sz w:val="21"/>
              </w:rPr>
            </w:pPr>
            <w:r>
              <w:rPr>
                <w:rFonts w:ascii="Times New Roman" w:hAnsi="Times New Roman"/>
                <w:sz w:val="21"/>
              </w:rPr>
              <w:t>—</w:t>
            </w:r>
          </w:p>
        </w:tc>
      </w:tr>
      <w:tr>
        <w:trPr>
          <w:trHeight w:val="419" w:hRule="exact"/>
        </w:trPr>
        <w:tc>
          <w:tcPr>
            <w:tcW w:w="690" w:type="dxa"/>
            <w:tcBorders>
              <w:top w:val="single" w:sz="4" w:space="0" w:color="000000"/>
              <w:right w:val="single" w:sz="4" w:space="0" w:color="000000"/>
            </w:tcBorders>
          </w:tcPr>
          <w:p>
            <w:pPr>
              <w:pStyle w:val="TableParagraph"/>
              <w:spacing w:before="78"/>
              <w:ind w:right="8"/>
              <w:rPr>
                <w:rFonts w:ascii="Times New Roman"/>
                <w:b/>
                <w:sz w:val="21"/>
              </w:rPr>
            </w:pPr>
            <w:r>
              <w:rPr>
                <w:rFonts w:ascii="Times New Roman"/>
                <w:b/>
                <w:sz w:val="21"/>
              </w:rPr>
              <w:t>5</w:t>
            </w:r>
          </w:p>
        </w:tc>
        <w:tc>
          <w:tcPr>
            <w:tcW w:w="2410" w:type="dxa"/>
            <w:tcBorders>
              <w:top w:val="single" w:sz="4" w:space="0" w:color="000000"/>
              <w:left w:val="single" w:sz="4" w:space="0" w:color="000000"/>
              <w:right w:val="single" w:sz="4" w:space="0" w:color="000000"/>
            </w:tcBorders>
          </w:tcPr>
          <w:p>
            <w:pPr>
              <w:pStyle w:val="TableParagraph"/>
              <w:spacing w:before="29"/>
              <w:ind w:left="130" w:right="130"/>
              <w:rPr>
                <w:sz w:val="21"/>
              </w:rPr>
            </w:pPr>
            <w:r>
              <w:rPr>
                <w:sz w:val="21"/>
              </w:rPr>
              <w:t>沙石</w:t>
            </w:r>
          </w:p>
        </w:tc>
        <w:tc>
          <w:tcPr>
            <w:tcW w:w="3071" w:type="dxa"/>
            <w:tcBorders>
              <w:top w:val="single" w:sz="4" w:space="0" w:color="000000"/>
              <w:left w:val="single" w:sz="4" w:space="0" w:color="000000"/>
              <w:right w:val="single" w:sz="4" w:space="0" w:color="000000"/>
            </w:tcBorders>
          </w:tcPr>
          <w:p>
            <w:pPr>
              <w:pStyle w:val="TableParagraph"/>
              <w:spacing w:before="78"/>
              <w:ind w:left="266" w:right="266"/>
              <w:rPr>
                <w:rFonts w:ascii="Times New Roman"/>
                <w:sz w:val="21"/>
              </w:rPr>
            </w:pPr>
            <w:r>
              <w:rPr>
                <w:rFonts w:ascii="Times New Roman"/>
                <w:sz w:val="21"/>
              </w:rPr>
              <w:t>1t</w:t>
            </w:r>
          </w:p>
        </w:tc>
        <w:tc>
          <w:tcPr>
            <w:tcW w:w="1236" w:type="dxa"/>
            <w:tcBorders>
              <w:top w:val="single" w:sz="4" w:space="0" w:color="000000"/>
              <w:left w:val="single" w:sz="4" w:space="0" w:color="000000"/>
              <w:right w:val="single" w:sz="4" w:space="0" w:color="000000"/>
            </w:tcBorders>
          </w:tcPr>
          <w:p>
            <w:pPr>
              <w:pStyle w:val="TableParagraph"/>
              <w:spacing w:before="29"/>
              <w:ind w:left="173" w:right="173"/>
              <w:rPr>
                <w:sz w:val="21"/>
              </w:rPr>
            </w:pPr>
            <w:r>
              <w:rPr>
                <w:sz w:val="21"/>
              </w:rPr>
              <w:t>本地采购</w:t>
            </w:r>
          </w:p>
        </w:tc>
        <w:tc>
          <w:tcPr>
            <w:tcW w:w="1039" w:type="dxa"/>
            <w:tcBorders>
              <w:top w:val="single" w:sz="4" w:space="0" w:color="000000"/>
              <w:left w:val="single" w:sz="4" w:space="0" w:color="000000"/>
            </w:tcBorders>
          </w:tcPr>
          <w:p>
            <w:pPr>
              <w:pStyle w:val="TableParagraph"/>
              <w:spacing w:before="78"/>
              <w:ind w:left="5"/>
              <w:rPr>
                <w:rFonts w:ascii="Times New Roman" w:hAnsi="Times New Roman"/>
                <w:sz w:val="21"/>
              </w:rPr>
            </w:pPr>
            <w:r>
              <w:rPr>
                <w:rFonts w:ascii="Times New Roman" w:hAnsi="Times New Roman"/>
                <w:sz w:val="21"/>
              </w:rPr>
              <w:t>—</w:t>
            </w:r>
          </w:p>
        </w:tc>
      </w:tr>
    </w:tbl>
    <w:p>
      <w:pPr>
        <w:spacing w:before="41"/>
        <w:ind w:left="0" w:right="6438" w:firstLine="0"/>
        <w:jc w:val="center"/>
        <w:rPr>
          <w:b/>
          <w:sz w:val="24"/>
        </w:rPr>
      </w:pPr>
      <w:r>
        <w:rPr>
          <w:b/>
          <w:w w:val="95"/>
          <w:sz w:val="24"/>
        </w:rPr>
        <w:t>六、工程施工组织及方案</w:t>
      </w:r>
    </w:p>
    <w:p>
      <w:pPr>
        <w:pStyle w:val="BodyText"/>
        <w:spacing w:line="338" w:lineRule="auto" w:before="154"/>
        <w:ind w:left="218" w:right="191" w:firstLine="480"/>
      </w:pPr>
      <w:r>
        <w:rPr>
          <w:spacing w:val="-5"/>
        </w:rPr>
        <w:t>根据现场调查，本项目已于 </w:t>
      </w:r>
      <w:r>
        <w:rPr>
          <w:rFonts w:ascii="Times New Roman" w:eastAsia="Times New Roman"/>
          <w:spacing w:val="-3"/>
        </w:rPr>
        <w:t>2011 </w:t>
      </w:r>
      <w:r>
        <w:rPr>
          <w:spacing w:val="-30"/>
        </w:rPr>
        <w:t>年 </w:t>
      </w:r>
      <w:r>
        <w:rPr>
          <w:rFonts w:ascii="Times New Roman" w:eastAsia="Times New Roman"/>
        </w:rPr>
        <w:t>9 </w:t>
      </w:r>
      <w:r>
        <w:rPr>
          <w:spacing w:val="-2"/>
        </w:rPr>
        <w:t>月开工建设，</w:t>
      </w:r>
      <w:r>
        <w:rPr>
          <w:rFonts w:ascii="Times New Roman" w:eastAsia="Times New Roman"/>
          <w:spacing w:val="-11"/>
        </w:rPr>
        <w:t>2011 </w:t>
      </w:r>
      <w:r>
        <w:rPr>
          <w:spacing w:val="-30"/>
        </w:rPr>
        <w:t>年 </w:t>
      </w:r>
      <w:r>
        <w:rPr>
          <w:rFonts w:ascii="Times New Roman" w:eastAsia="Times New Roman"/>
          <w:spacing w:val="-5"/>
        </w:rPr>
        <w:t>11 </w:t>
      </w:r>
      <w:r>
        <w:rPr>
          <w:spacing w:val="-6"/>
        </w:rPr>
        <w:t>月竣工投入使用，建</w:t>
      </w:r>
      <w:r>
        <w:rPr>
          <w:spacing w:val="-20"/>
        </w:rPr>
        <w:t>设工期 </w:t>
      </w:r>
      <w:r>
        <w:rPr>
          <w:rFonts w:ascii="Times New Roman" w:eastAsia="Times New Roman"/>
        </w:rPr>
        <w:t>3 </w:t>
      </w:r>
      <w:r>
        <w:rPr/>
        <w:t>个月。</w:t>
      </w:r>
    </w:p>
    <w:p>
      <w:pPr>
        <w:pStyle w:val="Heading2"/>
        <w:spacing w:before="26"/>
        <w:ind w:left="700"/>
      </w:pPr>
      <w:r>
        <w:rPr>
          <w:rFonts w:ascii="Times New Roman" w:eastAsia="Times New Roman"/>
          <w:w w:val="95"/>
        </w:rPr>
        <w:t>1</w:t>
      </w:r>
      <w:r>
        <w:rPr>
          <w:w w:val="95"/>
        </w:rPr>
        <w:t>、施工布置原则</w:t>
      </w:r>
    </w:p>
    <w:p>
      <w:pPr>
        <w:pStyle w:val="BodyText"/>
        <w:spacing w:line="357" w:lineRule="auto"/>
        <w:ind w:left="218" w:right="212" w:firstLine="480"/>
      </w:pPr>
      <w:r>
        <w:rPr/>
        <w:t>施工总布置主要考虑有利于施工作业，易于管理，方便民工生活，少占地，安全可靠，经济合理的原则进行。</w:t>
      </w:r>
    </w:p>
    <w:p>
      <w:pPr>
        <w:pStyle w:val="Heading2"/>
        <w:spacing w:before="36"/>
        <w:ind w:left="700"/>
      </w:pPr>
      <w:r>
        <w:rPr>
          <w:rFonts w:ascii="Times New Roman" w:eastAsia="Times New Roman"/>
          <w:w w:val="95"/>
        </w:rPr>
        <w:t>2</w:t>
      </w:r>
      <w:r>
        <w:rPr>
          <w:w w:val="95"/>
        </w:rPr>
        <w:t>、管材及基础</w:t>
      </w:r>
    </w:p>
    <w:p>
      <w:pPr>
        <w:spacing w:after="0"/>
        <w:sectPr>
          <w:pgSz w:w="11910" w:h="16840"/>
          <w:pgMar w:header="0" w:footer="1246" w:top="1120" w:bottom="1440" w:left="1200" w:right="1180"/>
        </w:sectPr>
      </w:pPr>
    </w:p>
    <w:p>
      <w:pPr>
        <w:pStyle w:val="ListParagraph"/>
        <w:numPr>
          <w:ilvl w:val="1"/>
          <w:numId w:val="2"/>
        </w:numPr>
        <w:tabs>
          <w:tab w:pos="1000" w:val="left" w:leader="none"/>
        </w:tabs>
        <w:spacing w:line="240" w:lineRule="auto" w:before="45" w:after="0"/>
        <w:ind w:left="218" w:right="0" w:firstLine="480"/>
        <w:jc w:val="left"/>
        <w:rPr>
          <w:sz w:val="24"/>
        </w:rPr>
      </w:pPr>
      <w:r>
        <w:rPr/>
        <w:pict>
          <v:group style="position:absolute;margin-left:65.2705pt;margin-top:56.448982pt;width:464.8pt;height:703.5pt;mso-position-horizontal-relative:page;mso-position-vertical-relative:page;z-index:-84184" coordorigin="1305,1129" coordsize="9296,14070">
            <v:shape style="position:absolute;left:1310;top:1134;width:9281;height:14060" coordorigin="1310,1134" coordsize="9281,14060" path="m1315,1139l10591,1139m1310,1134l1310,15193e" filled="false" stroked="true" strokeweight=".481pt" strokecolor="#000000">
              <v:path arrowok="t"/>
              <v:stroke dashstyle="solid"/>
            </v:shape>
            <v:line style="position:absolute" from="1315,15188" to="10591,15188" stroked="true" strokeweight=".48pt" strokecolor="#000000">
              <v:stroke dashstyle="solid"/>
            </v:line>
            <v:line style="position:absolute" from="10596,1134" to="10596,15193" stroked="true" strokeweight=".48pt" strokecolor="#000000">
              <v:stroke dashstyle="solid"/>
            </v:line>
            <w10:wrap type="none"/>
          </v:group>
        </w:pict>
      </w:r>
      <w:r>
        <w:rPr>
          <w:sz w:val="24"/>
        </w:rPr>
        <w:t>、</w:t>
      </w:r>
      <w:r>
        <w:rPr>
          <w:rFonts w:ascii="Times New Roman" w:hAnsi="Times New Roman" w:eastAsia="Times New Roman"/>
          <w:sz w:val="24"/>
        </w:rPr>
        <w:t>d300 </w:t>
      </w:r>
      <w:r>
        <w:rPr>
          <w:sz w:val="24"/>
        </w:rPr>
        <w:t>雨水口连接管采用</w:t>
      </w:r>
      <w:r>
        <w:rPr>
          <w:rFonts w:ascii="Times New Roman" w:hAnsi="Times New Roman" w:eastAsia="Times New Roman"/>
          <w:sz w:val="24"/>
        </w:rPr>
        <w:t>Ⅰ</w:t>
      </w:r>
      <w:r>
        <w:rPr>
          <w:sz w:val="24"/>
        </w:rPr>
        <w:t>级钢筋混凝土承插管，</w:t>
      </w:r>
      <w:r>
        <w:rPr>
          <w:rFonts w:ascii="Times New Roman" w:hAnsi="Times New Roman" w:eastAsia="Times New Roman"/>
          <w:sz w:val="24"/>
        </w:rPr>
        <w:t>360 </w:t>
      </w:r>
      <w:r>
        <w:rPr>
          <w:sz w:val="24"/>
        </w:rPr>
        <w:t>度混凝土满包基础。</w:t>
      </w:r>
    </w:p>
    <w:p>
      <w:pPr>
        <w:pStyle w:val="ListParagraph"/>
        <w:numPr>
          <w:ilvl w:val="1"/>
          <w:numId w:val="2"/>
        </w:numPr>
        <w:tabs>
          <w:tab w:pos="1000" w:val="left" w:leader="none"/>
        </w:tabs>
        <w:spacing w:line="338" w:lineRule="auto" w:before="135" w:after="0"/>
        <w:ind w:left="218" w:right="236" w:firstLine="480"/>
        <w:jc w:val="left"/>
        <w:rPr>
          <w:sz w:val="24"/>
        </w:rPr>
      </w:pPr>
      <w:r>
        <w:rPr>
          <w:spacing w:val="-7"/>
          <w:sz w:val="24"/>
        </w:rPr>
        <w:t>、管顶覆土小于 </w:t>
      </w:r>
      <w:r>
        <w:rPr>
          <w:rFonts w:ascii="Times New Roman" w:eastAsia="Times New Roman"/>
          <w:sz w:val="24"/>
        </w:rPr>
        <w:t>1.0</w:t>
      </w:r>
      <w:r>
        <w:rPr>
          <w:spacing w:val="-5"/>
          <w:sz w:val="24"/>
        </w:rPr>
        <w:t>，或管道过河时，采用 </w:t>
      </w:r>
      <w:r>
        <w:rPr>
          <w:rFonts w:ascii="Times New Roman" w:eastAsia="Times New Roman"/>
          <w:sz w:val="24"/>
        </w:rPr>
        <w:t>II</w:t>
      </w:r>
      <w:r>
        <w:rPr>
          <w:rFonts w:ascii="Times New Roman" w:eastAsia="Times New Roman"/>
          <w:spacing w:val="7"/>
          <w:sz w:val="24"/>
        </w:rPr>
        <w:t> </w:t>
      </w:r>
      <w:r>
        <w:rPr>
          <w:sz w:val="24"/>
        </w:rPr>
        <w:t>级钢筋混凝土承插管，</w:t>
      </w:r>
      <w:r>
        <w:rPr>
          <w:rFonts w:ascii="Times New Roman" w:eastAsia="Times New Roman"/>
          <w:sz w:val="24"/>
        </w:rPr>
        <w:t>360</w:t>
      </w:r>
      <w:r>
        <w:rPr>
          <w:rFonts w:ascii="Times New Roman" w:eastAsia="Times New Roman"/>
          <w:spacing w:val="7"/>
          <w:sz w:val="24"/>
        </w:rPr>
        <w:t> </w:t>
      </w:r>
      <w:r>
        <w:rPr>
          <w:sz w:val="24"/>
        </w:rPr>
        <w:t>度混凝土满包基础。</w:t>
      </w:r>
    </w:p>
    <w:p>
      <w:pPr>
        <w:pStyle w:val="ListParagraph"/>
        <w:numPr>
          <w:ilvl w:val="1"/>
          <w:numId w:val="2"/>
        </w:numPr>
        <w:tabs>
          <w:tab w:pos="1000" w:val="left" w:leader="none"/>
        </w:tabs>
        <w:spacing w:line="240" w:lineRule="auto" w:before="55" w:after="0"/>
        <w:ind w:left="999" w:right="0" w:hanging="301"/>
        <w:jc w:val="left"/>
        <w:rPr>
          <w:sz w:val="24"/>
        </w:rPr>
      </w:pPr>
      <w:r>
        <w:rPr>
          <w:spacing w:val="-11"/>
          <w:sz w:val="24"/>
        </w:rPr>
        <w:t>、管顶覆土 </w:t>
      </w:r>
      <w:r>
        <w:rPr>
          <w:rFonts w:ascii="Times New Roman" w:hAnsi="Times New Roman" w:eastAsia="Times New Roman"/>
          <w:sz w:val="24"/>
        </w:rPr>
        <w:t>1.0</w:t>
      </w:r>
      <w:r>
        <w:rPr>
          <w:sz w:val="24"/>
        </w:rPr>
        <w:t>≤</w:t>
      </w:r>
      <w:r>
        <w:rPr>
          <w:rFonts w:ascii="Times New Roman" w:hAnsi="Times New Roman" w:eastAsia="Times New Roman"/>
          <w:sz w:val="24"/>
        </w:rPr>
        <w:t>H</w:t>
      </w:r>
      <w:r>
        <w:rPr>
          <w:sz w:val="24"/>
        </w:rPr>
        <w:t>≤</w:t>
      </w:r>
      <w:r>
        <w:rPr>
          <w:rFonts w:ascii="Times New Roman" w:hAnsi="Times New Roman" w:eastAsia="Times New Roman"/>
          <w:sz w:val="24"/>
        </w:rPr>
        <w:t>7.0</w:t>
      </w:r>
      <w:r>
        <w:rPr>
          <w:rFonts w:ascii="Times New Roman" w:hAnsi="Times New Roman" w:eastAsia="Times New Roman"/>
          <w:spacing w:val="-1"/>
          <w:sz w:val="24"/>
        </w:rPr>
        <w:t> </w:t>
      </w:r>
      <w:r>
        <w:rPr>
          <w:sz w:val="24"/>
        </w:rPr>
        <w:t>时，采用钢筋混凝土承插管，</w:t>
      </w:r>
      <w:r>
        <w:rPr>
          <w:rFonts w:ascii="Times New Roman" w:hAnsi="Times New Roman" w:eastAsia="Times New Roman"/>
          <w:sz w:val="24"/>
        </w:rPr>
        <w:t>180</w:t>
      </w:r>
      <w:r>
        <w:rPr>
          <w:rFonts w:ascii="Times New Roman" w:hAnsi="Times New Roman" w:eastAsia="Times New Roman"/>
          <w:spacing w:val="-1"/>
          <w:sz w:val="24"/>
        </w:rPr>
        <w:t> </w:t>
      </w:r>
      <w:r>
        <w:rPr>
          <w:sz w:val="24"/>
        </w:rPr>
        <w:t>度砂石满包基础。</w:t>
      </w:r>
    </w:p>
    <w:p>
      <w:pPr>
        <w:pStyle w:val="Heading2"/>
        <w:spacing w:before="135"/>
        <w:ind w:left="700"/>
      </w:pPr>
      <w:r>
        <w:rPr>
          <w:rFonts w:ascii="Times New Roman" w:eastAsia="Times New Roman"/>
          <w:w w:val="95"/>
        </w:rPr>
        <w:t>3</w:t>
      </w:r>
      <w:r>
        <w:rPr>
          <w:w w:val="95"/>
        </w:rPr>
        <w:t>、沟稽开挖及回填</w:t>
      </w:r>
    </w:p>
    <w:p>
      <w:pPr>
        <w:pStyle w:val="ListParagraph"/>
        <w:numPr>
          <w:ilvl w:val="1"/>
          <w:numId w:val="3"/>
        </w:numPr>
        <w:tabs>
          <w:tab w:pos="1026" w:val="left" w:leader="none"/>
        </w:tabs>
        <w:spacing w:line="240" w:lineRule="auto" w:before="135" w:after="0"/>
        <w:ind w:left="218" w:right="0" w:firstLine="480"/>
        <w:jc w:val="left"/>
        <w:rPr>
          <w:sz w:val="24"/>
        </w:rPr>
      </w:pPr>
      <w:r>
        <w:rPr>
          <w:spacing w:val="26"/>
          <w:sz w:val="24"/>
        </w:rPr>
        <w:t>、排水管道</w:t>
      </w:r>
      <w:r>
        <w:rPr>
          <w:spacing w:val="27"/>
          <w:sz w:val="24"/>
        </w:rPr>
        <w:t>（</w:t>
      </w:r>
      <w:r>
        <w:rPr>
          <w:spacing w:val="26"/>
          <w:sz w:val="24"/>
        </w:rPr>
        <w:t>渠</w:t>
      </w:r>
      <w:r>
        <w:rPr>
          <w:spacing w:val="27"/>
          <w:sz w:val="24"/>
        </w:rPr>
        <w:t>）</w:t>
      </w:r>
      <w:r>
        <w:rPr>
          <w:spacing w:val="24"/>
          <w:sz w:val="24"/>
        </w:rPr>
        <w:t>沟槽开挖应满足《给水徘水管道工程施工及验收规范</w:t>
      </w:r>
    </w:p>
    <w:p>
      <w:pPr>
        <w:pStyle w:val="BodyText"/>
        <w:spacing w:line="338" w:lineRule="auto"/>
        <w:ind w:left="218"/>
      </w:pPr>
      <w:r>
        <w:rPr/>
        <w:t>（</w:t>
      </w:r>
      <w:r>
        <w:rPr>
          <w:rFonts w:ascii="Times New Roman" w:eastAsia="Times New Roman"/>
          <w:spacing w:val="-1"/>
          <w:w w:val="99"/>
        </w:rPr>
        <w:t>G</w:t>
      </w:r>
      <w:r>
        <w:rPr>
          <w:rFonts w:ascii="Times New Roman" w:eastAsia="Times New Roman"/>
          <w:spacing w:val="-1"/>
        </w:rPr>
        <w:t>B</w:t>
      </w:r>
      <w:r>
        <w:rPr>
          <w:rFonts w:ascii="Times New Roman" w:eastAsia="Times New Roman"/>
        </w:rPr>
        <w:t>5026</w:t>
      </w:r>
      <w:r>
        <w:rPr>
          <w:rFonts w:ascii="Times New Roman" w:eastAsia="Times New Roman"/>
          <w:spacing w:val="1"/>
        </w:rPr>
        <w:t>8</w:t>
      </w:r>
      <w:r>
        <w:rPr>
          <w:rFonts w:ascii="Times New Roman" w:eastAsia="Times New Roman"/>
        </w:rPr>
        <w:t>-2008</w:t>
      </w:r>
      <w:r>
        <w:rPr>
          <w:spacing w:val="-120"/>
        </w:rPr>
        <w:t>）</w:t>
      </w:r>
      <w:r>
        <w:rPr>
          <w:spacing w:val="-11"/>
        </w:rPr>
        <w:t>》的规定。通常情况下，当采用砂石基础时，基坑宽度按照国标执行，</w:t>
      </w:r>
      <w:r>
        <w:rPr>
          <w:spacing w:val="-17"/>
        </w:rPr>
        <w:t>沟槽宽度为 </w:t>
      </w:r>
      <w:r>
        <w:rPr>
          <w:rFonts w:ascii="Times New Roman" w:eastAsia="Times New Roman"/>
        </w:rPr>
        <w:t>D+2t+2a</w:t>
      </w:r>
      <w:r>
        <w:rPr>
          <w:spacing w:val="-3"/>
        </w:rPr>
        <w:t>；当采用硂基础时，基坑宽度按照 </w:t>
      </w:r>
      <w:r>
        <w:rPr>
          <w:rFonts w:ascii="Times New Roman" w:eastAsia="Times New Roman"/>
        </w:rPr>
        <w:t>GB50268-2008 </w:t>
      </w:r>
      <w:r>
        <w:rPr/>
        <w:t>执行，沟槽宽度</w:t>
      </w:r>
      <w:r>
        <w:rPr>
          <w:spacing w:val="-27"/>
        </w:rPr>
        <w:t>为 </w:t>
      </w:r>
      <w:r>
        <w:rPr>
          <w:rFonts w:ascii="Times New Roman" w:eastAsia="Times New Roman"/>
          <w:spacing w:val="-5"/>
        </w:rPr>
        <w:t>D1+2(bl+b2+b3)</w:t>
      </w:r>
      <w:r>
        <w:rPr>
          <w:spacing w:val="-10"/>
        </w:rPr>
        <w:t>；基坑工作面宽度及沟槽边坡按《四川省建设工程工程量清单》计算。</w:t>
      </w:r>
    </w:p>
    <w:p>
      <w:pPr>
        <w:pStyle w:val="ListParagraph"/>
        <w:numPr>
          <w:ilvl w:val="1"/>
          <w:numId w:val="3"/>
        </w:numPr>
        <w:tabs>
          <w:tab w:pos="1000" w:val="left" w:leader="none"/>
        </w:tabs>
        <w:spacing w:line="240" w:lineRule="auto" w:before="26" w:after="0"/>
        <w:ind w:left="999" w:right="0" w:hanging="301"/>
        <w:jc w:val="left"/>
        <w:rPr>
          <w:sz w:val="24"/>
        </w:rPr>
      </w:pPr>
      <w:r>
        <w:rPr>
          <w:spacing w:val="-11"/>
          <w:sz w:val="24"/>
        </w:rPr>
        <w:t>、沟槽回填压实系数按国标执行，并应满足《给水徘水管道工程施工及验收规范</w:t>
      </w:r>
    </w:p>
    <w:p>
      <w:pPr>
        <w:pStyle w:val="BodyText"/>
        <w:ind w:left="218"/>
      </w:pPr>
      <w:r>
        <w:rPr/>
        <w:t>（</w:t>
      </w:r>
      <w:r>
        <w:rPr>
          <w:rFonts w:ascii="Times New Roman" w:eastAsia="Times New Roman"/>
          <w:spacing w:val="-1"/>
          <w:w w:val="99"/>
        </w:rPr>
        <w:t>G</w:t>
      </w:r>
      <w:r>
        <w:rPr>
          <w:rFonts w:ascii="Times New Roman" w:eastAsia="Times New Roman"/>
          <w:spacing w:val="-1"/>
        </w:rPr>
        <w:t>B</w:t>
      </w:r>
      <w:r>
        <w:rPr>
          <w:rFonts w:ascii="Times New Roman" w:eastAsia="Times New Roman"/>
        </w:rPr>
        <w:t>5026</w:t>
      </w:r>
      <w:r>
        <w:rPr>
          <w:rFonts w:ascii="Times New Roman" w:eastAsia="Times New Roman"/>
          <w:spacing w:val="1"/>
        </w:rPr>
        <w:t>8</w:t>
      </w:r>
      <w:r>
        <w:rPr>
          <w:rFonts w:ascii="Times New Roman" w:eastAsia="Times New Roman"/>
        </w:rPr>
        <w:t>-2008</w:t>
      </w:r>
      <w:r>
        <w:rPr>
          <w:spacing w:val="-120"/>
        </w:rPr>
        <w:t>）</w:t>
      </w:r>
      <w:r>
        <w:rPr/>
        <w:t>》的规定。</w:t>
      </w:r>
    </w:p>
    <w:p>
      <w:pPr>
        <w:pStyle w:val="ListParagraph"/>
        <w:numPr>
          <w:ilvl w:val="1"/>
          <w:numId w:val="3"/>
        </w:numPr>
        <w:tabs>
          <w:tab w:pos="1000" w:val="left" w:leader="none"/>
        </w:tabs>
        <w:spacing w:line="240" w:lineRule="auto" w:before="135" w:after="0"/>
        <w:ind w:left="999" w:right="0" w:hanging="301"/>
        <w:jc w:val="left"/>
        <w:rPr>
          <w:rFonts w:ascii="Times New Roman" w:hAnsi="Times New Roman" w:eastAsia="Times New Roman"/>
          <w:sz w:val="24"/>
        </w:rPr>
      </w:pPr>
      <w:r>
        <w:rPr>
          <w:spacing w:val="-22"/>
          <w:sz w:val="24"/>
        </w:rPr>
        <w:t>、管顶 </w:t>
      </w:r>
      <w:r>
        <w:rPr>
          <w:rFonts w:ascii="Times New Roman" w:hAnsi="Times New Roman" w:eastAsia="Times New Roman"/>
          <w:sz w:val="24"/>
        </w:rPr>
        <w:t>50cm</w:t>
      </w:r>
      <w:r>
        <w:rPr>
          <w:rFonts w:ascii="Times New Roman" w:hAnsi="Times New Roman" w:eastAsia="Times New Roman"/>
          <w:spacing w:val="-7"/>
          <w:sz w:val="24"/>
        </w:rPr>
        <w:t> </w:t>
      </w:r>
      <w:r>
        <w:rPr>
          <w:spacing w:val="-10"/>
          <w:sz w:val="24"/>
        </w:rPr>
        <w:t>范围</w:t>
      </w:r>
      <w:r>
        <w:rPr>
          <w:sz w:val="24"/>
        </w:rPr>
        <w:t>（Ⅱ区</w:t>
      </w:r>
      <w:r>
        <w:rPr>
          <w:spacing w:val="-20"/>
          <w:sz w:val="24"/>
        </w:rPr>
        <w:t>）</w:t>
      </w:r>
      <w:r>
        <w:rPr>
          <w:spacing w:val="-9"/>
          <w:sz w:val="24"/>
        </w:rPr>
        <w:t>回填压实系数为 </w:t>
      </w:r>
      <w:r>
        <w:rPr>
          <w:rFonts w:ascii="Times New Roman" w:hAnsi="Times New Roman" w:eastAsia="Times New Roman"/>
          <w:sz w:val="24"/>
        </w:rPr>
        <w:t>0.85</w:t>
      </w:r>
      <w:r>
        <w:rPr>
          <w:sz w:val="24"/>
        </w:rPr>
        <w:t>～</w:t>
      </w:r>
      <w:r>
        <w:rPr>
          <w:rFonts w:ascii="Times New Roman" w:hAnsi="Times New Roman" w:eastAsia="Times New Roman"/>
          <w:sz w:val="24"/>
        </w:rPr>
        <w:t>0.86</w:t>
      </w:r>
      <w:r>
        <w:rPr>
          <w:spacing w:val="-10"/>
          <w:sz w:val="24"/>
        </w:rPr>
        <w:t>，用木夯夯实，管顶 </w:t>
      </w:r>
      <w:r>
        <w:rPr>
          <w:rFonts w:ascii="Times New Roman" w:hAnsi="Times New Roman" w:eastAsia="Times New Roman"/>
          <w:sz w:val="24"/>
        </w:rPr>
        <w:t>50cm</w:t>
      </w:r>
    </w:p>
    <w:p>
      <w:pPr>
        <w:pStyle w:val="BodyText"/>
        <w:ind w:left="218"/>
      </w:pPr>
      <w:r>
        <w:rPr/>
        <w:t>以上范围，按道路路基要求密实度回填。若因特殊因素需要增加管顶压实系数时，管侧</w:t>
      </w:r>
    </w:p>
    <w:p>
      <w:pPr>
        <w:pStyle w:val="BodyText"/>
        <w:spacing w:before="153"/>
        <w:ind w:left="218"/>
      </w:pPr>
      <w:r>
        <w:rPr/>
        <w:t>（</w:t>
      </w:r>
      <w:r>
        <w:rPr>
          <w:rFonts w:ascii="Times New Roman" w:hAnsi="Times New Roman" w:eastAsia="Times New Roman"/>
        </w:rPr>
        <w:t>Ⅰ</w:t>
      </w:r>
      <w:r>
        <w:rPr/>
        <w:t>区）回填压实系数也相对增加；必要时应对管道采取加固措施。</w:t>
      </w:r>
    </w:p>
    <w:p>
      <w:pPr>
        <w:pStyle w:val="ListParagraph"/>
        <w:numPr>
          <w:ilvl w:val="1"/>
          <w:numId w:val="3"/>
        </w:numPr>
        <w:tabs>
          <w:tab w:pos="1000" w:val="left" w:leader="none"/>
        </w:tabs>
        <w:spacing w:line="240" w:lineRule="auto" w:before="135" w:after="0"/>
        <w:ind w:left="999" w:right="0" w:hanging="301"/>
        <w:jc w:val="left"/>
        <w:rPr>
          <w:sz w:val="24"/>
        </w:rPr>
      </w:pPr>
      <w:r>
        <w:rPr>
          <w:spacing w:val="-7"/>
          <w:sz w:val="24"/>
        </w:rPr>
        <w:t>、膨胀土地区管顶 </w:t>
      </w:r>
      <w:r>
        <w:rPr>
          <w:rFonts w:ascii="Times New Roman" w:eastAsia="Times New Roman"/>
          <w:sz w:val="24"/>
        </w:rPr>
        <w:t>50cm</w:t>
      </w:r>
      <w:r>
        <w:rPr>
          <w:rFonts w:ascii="Times New Roman" w:eastAsia="Times New Roman"/>
          <w:spacing w:val="-2"/>
          <w:sz w:val="24"/>
        </w:rPr>
        <w:t> </w:t>
      </w:r>
      <w:r>
        <w:rPr>
          <w:spacing w:val="-8"/>
          <w:sz w:val="24"/>
        </w:rPr>
        <w:t>以下沟槽，采用 </w:t>
      </w:r>
      <w:r>
        <w:rPr>
          <w:rFonts w:ascii="Times New Roman" w:eastAsia="Times New Roman"/>
          <w:sz w:val="24"/>
        </w:rPr>
        <w:t>6</w:t>
      </w:r>
      <w:r>
        <w:rPr>
          <w:sz w:val="24"/>
        </w:rPr>
        <w:t>～</w:t>
      </w:r>
      <w:r>
        <w:rPr>
          <w:rFonts w:ascii="Times New Roman" w:eastAsia="Times New Roman"/>
          <w:sz w:val="24"/>
        </w:rPr>
        <w:t>8%</w:t>
      </w:r>
      <w:r>
        <w:rPr>
          <w:sz w:val="24"/>
        </w:rPr>
        <w:t>灰土回填。</w:t>
      </w:r>
    </w:p>
    <w:p>
      <w:pPr>
        <w:pStyle w:val="ListParagraph"/>
        <w:numPr>
          <w:ilvl w:val="1"/>
          <w:numId w:val="3"/>
        </w:numPr>
        <w:tabs>
          <w:tab w:pos="1000" w:val="left" w:leader="none"/>
        </w:tabs>
        <w:spacing w:line="338" w:lineRule="auto" w:before="135" w:after="0"/>
        <w:ind w:left="218" w:right="237" w:firstLine="480"/>
        <w:jc w:val="left"/>
        <w:rPr>
          <w:sz w:val="24"/>
        </w:rPr>
      </w:pPr>
      <w:r>
        <w:rPr>
          <w:sz w:val="24"/>
        </w:rPr>
        <w:t>、</w:t>
      </w:r>
      <w:r>
        <w:rPr>
          <w:rFonts w:ascii="Times New Roman" w:eastAsia="Times New Roman"/>
          <w:sz w:val="24"/>
        </w:rPr>
        <w:t>d300</w:t>
      </w:r>
      <w:r>
        <w:rPr>
          <w:rFonts w:ascii="Times New Roman" w:eastAsia="Times New Roman"/>
          <w:spacing w:val="6"/>
          <w:sz w:val="24"/>
        </w:rPr>
        <w:t> </w:t>
      </w:r>
      <w:r>
        <w:rPr>
          <w:sz w:val="24"/>
        </w:rPr>
        <w:t>雨水口接入管沟槽采用夹砂石回填，对立即进入道路建设的沟槽，路基</w:t>
      </w:r>
      <w:r>
        <w:rPr>
          <w:spacing w:val="-30"/>
          <w:sz w:val="24"/>
        </w:rPr>
        <w:t>下 </w:t>
      </w:r>
      <w:r>
        <w:rPr>
          <w:rFonts w:ascii="Times New Roman" w:eastAsia="Times New Roman"/>
          <w:sz w:val="24"/>
        </w:rPr>
        <w:t>0.8m</w:t>
      </w:r>
      <w:r>
        <w:rPr>
          <w:rFonts w:ascii="Times New Roman" w:eastAsia="Times New Roman"/>
          <w:spacing w:val="-1"/>
          <w:sz w:val="24"/>
        </w:rPr>
        <w:t> </w:t>
      </w:r>
      <w:r>
        <w:rPr>
          <w:sz w:val="24"/>
        </w:rPr>
        <w:t>采用夹砂石回填。</w:t>
      </w:r>
    </w:p>
    <w:p>
      <w:pPr>
        <w:pStyle w:val="Heading2"/>
        <w:spacing w:before="26"/>
        <w:ind w:left="700"/>
      </w:pPr>
      <w:r>
        <w:rPr>
          <w:rFonts w:ascii="Times New Roman" w:eastAsia="Times New Roman"/>
        </w:rPr>
        <w:t>4</w:t>
      </w:r>
      <w:r>
        <w:rPr/>
        <w:t>、构筑物</w:t>
      </w:r>
    </w:p>
    <w:p>
      <w:pPr>
        <w:pStyle w:val="ListParagraph"/>
        <w:numPr>
          <w:ilvl w:val="1"/>
          <w:numId w:val="4"/>
        </w:numPr>
        <w:tabs>
          <w:tab w:pos="1000" w:val="left" w:leader="none"/>
        </w:tabs>
        <w:spacing w:line="240" w:lineRule="auto" w:before="135" w:after="0"/>
        <w:ind w:left="218" w:right="0" w:firstLine="480"/>
        <w:jc w:val="left"/>
        <w:rPr>
          <w:sz w:val="24"/>
        </w:rPr>
      </w:pPr>
      <w:r>
        <w:rPr>
          <w:spacing w:val="-9"/>
          <w:sz w:val="24"/>
        </w:rPr>
        <w:t>、混凝土检查井要求混凝土面浇筑平整，不再抹面，井周 </w:t>
      </w:r>
      <w:r>
        <w:rPr>
          <w:rFonts w:ascii="Times New Roman" w:eastAsia="Times New Roman"/>
          <w:sz w:val="24"/>
        </w:rPr>
        <w:t>80cm</w:t>
      </w:r>
      <w:r>
        <w:rPr>
          <w:rFonts w:ascii="Times New Roman" w:eastAsia="Times New Roman"/>
          <w:spacing w:val="-1"/>
          <w:sz w:val="24"/>
        </w:rPr>
        <w:t> </w:t>
      </w:r>
      <w:r>
        <w:rPr>
          <w:sz w:val="24"/>
        </w:rPr>
        <w:t>范围内采用砂粒</w:t>
      </w:r>
    </w:p>
    <w:p>
      <w:pPr>
        <w:pStyle w:val="BodyText"/>
        <w:ind w:left="218"/>
      </w:pPr>
      <w:r>
        <w:rPr/>
        <w:t>（或碎石）加强。</w:t>
      </w:r>
    </w:p>
    <w:p>
      <w:pPr>
        <w:pStyle w:val="ListParagraph"/>
        <w:numPr>
          <w:ilvl w:val="1"/>
          <w:numId w:val="4"/>
        </w:numPr>
        <w:tabs>
          <w:tab w:pos="1006" w:val="left" w:leader="none"/>
        </w:tabs>
        <w:spacing w:line="240" w:lineRule="auto" w:before="153" w:after="0"/>
        <w:ind w:left="1005" w:right="0" w:hanging="307"/>
        <w:jc w:val="left"/>
        <w:rPr>
          <w:rFonts w:ascii="Times New Roman" w:hAnsi="Times New Roman" w:eastAsia="Times New Roman"/>
          <w:sz w:val="24"/>
        </w:rPr>
      </w:pPr>
      <w:r>
        <w:rPr>
          <w:spacing w:val="7"/>
          <w:sz w:val="24"/>
        </w:rPr>
        <w:t>、井盖采用高分子材料，车行道和停车场等场所采用重型井盖，型号为</w:t>
      </w:r>
      <w:r>
        <w:rPr>
          <w:sz w:val="24"/>
        </w:rPr>
        <w:t>Φ</w:t>
      </w:r>
      <w:r>
        <w:rPr>
          <w:rFonts w:ascii="Times New Roman" w:hAnsi="Times New Roman" w:eastAsia="Times New Roman"/>
          <w:sz w:val="24"/>
        </w:rPr>
        <w:t>700</w:t>
      </w:r>
    </w:p>
    <w:p>
      <w:pPr>
        <w:pStyle w:val="BodyText"/>
        <w:ind w:left="218"/>
      </w:pPr>
      <w:r>
        <w:rPr>
          <w:spacing w:val="-9"/>
        </w:rPr>
        <w:t>（</w:t>
      </w:r>
      <w:r>
        <w:rPr>
          <w:rFonts w:ascii="Times New Roman" w:hAnsi="Times New Roman" w:eastAsia="Times New Roman"/>
          <w:spacing w:val="-9"/>
        </w:rPr>
        <w:t>ZQ</w:t>
      </w:r>
      <w:r>
        <w:rPr>
          <w:spacing w:val="-9"/>
        </w:rPr>
        <w:t>）</w:t>
      </w:r>
      <w:r>
        <w:rPr>
          <w:spacing w:val="-11"/>
        </w:rPr>
        <w:t>、人行道、绿地等采用轻型井盖，型号为</w:t>
      </w:r>
      <w:r>
        <w:rPr>
          <w:spacing w:val="-12"/>
        </w:rPr>
        <w:t>Φ</w:t>
      </w:r>
      <w:r>
        <w:rPr>
          <w:rFonts w:ascii="Times New Roman" w:hAnsi="Times New Roman" w:eastAsia="Times New Roman"/>
          <w:spacing w:val="-12"/>
        </w:rPr>
        <w:t>700</w:t>
      </w:r>
      <w:r>
        <w:rPr>
          <w:spacing w:val="-12"/>
        </w:rPr>
        <w:t>（</w:t>
      </w:r>
      <w:r>
        <w:rPr>
          <w:rFonts w:ascii="Times New Roman" w:hAnsi="Times New Roman" w:eastAsia="Times New Roman"/>
          <w:spacing w:val="-12"/>
        </w:rPr>
        <w:t>QQ</w:t>
      </w:r>
      <w:r>
        <w:rPr>
          <w:spacing w:val="-12"/>
        </w:rPr>
        <w:t>），</w:t>
      </w:r>
      <w:r>
        <w:rPr/>
        <w:t>并设置防盗及防跳装置。</w:t>
      </w:r>
    </w:p>
    <w:p>
      <w:pPr>
        <w:pStyle w:val="ListParagraph"/>
        <w:numPr>
          <w:ilvl w:val="1"/>
          <w:numId w:val="4"/>
        </w:numPr>
        <w:tabs>
          <w:tab w:pos="1000" w:val="left" w:leader="none"/>
        </w:tabs>
        <w:spacing w:line="338" w:lineRule="auto" w:before="135" w:after="0"/>
        <w:ind w:left="218" w:right="235" w:firstLine="480"/>
        <w:jc w:val="left"/>
        <w:rPr>
          <w:sz w:val="24"/>
        </w:rPr>
      </w:pPr>
      <w:r>
        <w:rPr>
          <w:spacing w:val="-4"/>
          <w:sz w:val="24"/>
        </w:rPr>
        <w:t>、雨水口支管采用 </w:t>
      </w:r>
      <w:r>
        <w:rPr>
          <w:rFonts w:ascii="Times New Roman" w:hAnsi="Times New Roman" w:eastAsia="Times New Roman"/>
          <w:sz w:val="24"/>
        </w:rPr>
        <w:t>d300</w:t>
      </w:r>
      <w:r>
        <w:rPr>
          <w:sz w:val="24"/>
        </w:rPr>
        <w:t>，</w:t>
      </w:r>
      <w:r>
        <w:rPr>
          <w:rFonts w:ascii="Times New Roman" w:hAnsi="Times New Roman" w:eastAsia="Times New Roman"/>
          <w:sz w:val="24"/>
        </w:rPr>
        <w:t>i</w:t>
      </w:r>
      <w:r>
        <w:rPr>
          <w:sz w:val="24"/>
        </w:rPr>
        <w:t>≥</w:t>
      </w:r>
      <w:r>
        <w:rPr>
          <w:rFonts w:ascii="Times New Roman" w:hAnsi="Times New Roman" w:eastAsia="Times New Roman"/>
          <w:sz w:val="24"/>
        </w:rPr>
        <w:t>0.01</w:t>
      </w:r>
      <w:r>
        <w:rPr>
          <w:spacing w:val="-8"/>
          <w:sz w:val="24"/>
        </w:rPr>
        <w:t>，井深 </w:t>
      </w:r>
      <w:r>
        <w:rPr>
          <w:rFonts w:ascii="Times New Roman" w:hAnsi="Times New Roman" w:eastAsia="Times New Roman"/>
          <w:sz w:val="24"/>
        </w:rPr>
        <w:t>H</w:t>
      </w:r>
      <w:r>
        <w:rPr>
          <w:sz w:val="24"/>
        </w:rPr>
        <w:t>≤</w:t>
      </w:r>
      <w:r>
        <w:rPr>
          <w:rFonts w:ascii="Times New Roman" w:hAnsi="Times New Roman" w:eastAsia="Times New Roman"/>
          <w:sz w:val="24"/>
        </w:rPr>
        <w:t>1.0m</w:t>
      </w:r>
      <w:r>
        <w:rPr>
          <w:sz w:val="24"/>
        </w:rPr>
        <w:t>。雨水口在有路沿的道路上， 采用偏沟式雨水口，其它采用平箅式雨水口，雨水箆采用高分子材料，混凝土井圈，</w:t>
      </w:r>
    </w:p>
    <w:p>
      <w:pPr>
        <w:pStyle w:val="ListParagraph"/>
        <w:numPr>
          <w:ilvl w:val="1"/>
          <w:numId w:val="4"/>
        </w:numPr>
        <w:tabs>
          <w:tab w:pos="1000" w:val="left" w:leader="none"/>
        </w:tabs>
        <w:spacing w:line="338" w:lineRule="auto" w:before="55" w:after="0"/>
        <w:ind w:left="218" w:right="236" w:firstLine="480"/>
        <w:jc w:val="left"/>
        <w:rPr>
          <w:sz w:val="24"/>
        </w:rPr>
      </w:pPr>
      <w:r>
        <w:rPr>
          <w:spacing w:val="-11"/>
          <w:sz w:val="24"/>
        </w:rPr>
        <w:t>、雨水口和检查井之间连接管断面：在道路最低点和道路交叉口的位置设置雨水</w:t>
      </w:r>
      <w:r>
        <w:rPr>
          <w:spacing w:val="-14"/>
          <w:sz w:val="24"/>
        </w:rPr>
        <w:t>口，雨水箆顶部与其相接的道路路面低 </w:t>
      </w:r>
      <w:r>
        <w:rPr>
          <w:rFonts w:ascii="Times New Roman" w:eastAsia="Times New Roman"/>
          <w:sz w:val="24"/>
        </w:rPr>
        <w:t>0.5~2cm</w:t>
      </w:r>
      <w:r>
        <w:rPr>
          <w:sz w:val="24"/>
        </w:rPr>
        <w:t>，并应于道路路面平顺连接。</w:t>
      </w:r>
    </w:p>
    <w:p>
      <w:pPr>
        <w:pStyle w:val="Heading2"/>
        <w:spacing w:before="26"/>
        <w:ind w:left="700"/>
      </w:pPr>
      <w:r>
        <w:rPr>
          <w:rFonts w:ascii="Times New Roman" w:eastAsia="Times New Roman"/>
          <w:w w:val="95"/>
        </w:rPr>
        <w:t>5</w:t>
      </w:r>
      <w:r>
        <w:rPr>
          <w:w w:val="95"/>
        </w:rPr>
        <w:t>、管道穿越情况</w:t>
      </w:r>
    </w:p>
    <w:p>
      <w:pPr>
        <w:pStyle w:val="BodyText"/>
        <w:ind w:left="698"/>
      </w:pPr>
      <w:r>
        <w:rPr/>
        <w:t>本项目雨水和污水管道均沿现有道路走向进行铺设，无涉水施工。</w:t>
      </w:r>
    </w:p>
    <w:p>
      <w:pPr>
        <w:pStyle w:val="Heading2"/>
        <w:ind w:left="700"/>
      </w:pPr>
      <w:r>
        <w:rPr>
          <w:rFonts w:ascii="Times New Roman" w:eastAsia="Times New Roman"/>
          <w:w w:val="95"/>
        </w:rPr>
        <w:t>6</w:t>
      </w:r>
      <w:r>
        <w:rPr>
          <w:w w:val="95"/>
        </w:rPr>
        <w:t>、新建路沿石</w:t>
      </w:r>
    </w:p>
    <w:p>
      <w:pPr>
        <w:pStyle w:val="BodyText"/>
        <w:spacing w:before="136"/>
        <w:ind w:left="698"/>
      </w:pPr>
      <w:r>
        <w:rPr>
          <w:spacing w:val="1"/>
        </w:rPr>
        <w:t>对彩色砼砖路段统一铺装为压印混凝土</w:t>
      </w:r>
      <w:r>
        <w:rPr>
          <w:spacing w:val="2"/>
        </w:rPr>
        <w:t>（</w:t>
      </w:r>
      <w:r>
        <w:rPr>
          <w:spacing w:val="1"/>
        </w:rPr>
        <w:t>保留原基层</w:t>
      </w:r>
      <w:r>
        <w:rPr>
          <w:spacing w:val="-119"/>
        </w:rPr>
        <w:t>）</w:t>
      </w:r>
      <w:r>
        <w:rPr>
          <w:spacing w:val="1"/>
        </w:rPr>
        <w:t>，更换原路沿石，对外露高</w:t>
      </w:r>
    </w:p>
    <w:p>
      <w:pPr>
        <w:spacing w:after="0"/>
        <w:sectPr>
          <w:pgSz w:w="11910" w:h="16840"/>
          <w:pgMar w:header="0" w:footer="1246" w:top="1120" w:bottom="1440" w:left="1200" w:right="1180"/>
        </w:sectPr>
      </w:pPr>
    </w:p>
    <w:p>
      <w:pPr>
        <w:pStyle w:val="BodyText"/>
        <w:spacing w:line="338" w:lineRule="auto" w:before="45"/>
        <w:ind w:left="218"/>
      </w:pPr>
      <w:r>
        <w:rPr/>
        <w:pict>
          <v:group style="position:absolute;margin-left:65.2705pt;margin-top:56.448982pt;width:464.8pt;height:703.5pt;mso-position-horizontal-relative:page;mso-position-vertical-relative:page;z-index:-84160" coordorigin="1305,1129" coordsize="9296,14070">
            <v:shape style="position:absolute;left:1310;top:1134;width:9281;height:14060" coordorigin="1310,1134" coordsize="9281,14060" path="m1315,1139l10591,1139m1310,1134l1310,15193e" filled="false" stroked="true" strokeweight=".481pt" strokecolor="#000000">
              <v:path arrowok="t"/>
              <v:stroke dashstyle="solid"/>
            </v:shape>
            <v:line style="position:absolute" from="1315,15188" to="10591,15188" stroked="true" strokeweight=".48pt" strokecolor="#000000">
              <v:stroke dashstyle="solid"/>
            </v:line>
            <v:line style="position:absolute" from="10596,1134" to="10596,15193" stroked="true" strokeweight=".48pt" strokecolor="#000000">
              <v:stroke dashstyle="solid"/>
            </v:line>
            <w10:wrap type="none"/>
          </v:group>
        </w:pict>
      </w:r>
      <w:r>
        <w:rPr/>
        <w:t>度不足 </w:t>
      </w:r>
      <w:r>
        <w:rPr>
          <w:rFonts w:ascii="Times New Roman" w:eastAsia="Times New Roman"/>
        </w:rPr>
        <w:t>10cm </w:t>
      </w:r>
      <w:r>
        <w:rPr/>
        <w:t>的局部开口位置路缘石进行更换，调整并完善盲道及无障碍设施，对局部损坏的基层进行修补。面层结构采用 </w:t>
      </w:r>
      <w:r>
        <w:rPr>
          <w:rFonts w:ascii="Times New Roman" w:eastAsia="Times New Roman"/>
        </w:rPr>
        <w:t>5~10cm </w:t>
      </w:r>
      <w:r>
        <w:rPr/>
        <w:t>压印混凝土。</w:t>
      </w:r>
    </w:p>
    <w:p>
      <w:pPr>
        <w:pStyle w:val="Heading2"/>
        <w:spacing w:before="26"/>
        <w:ind w:left="218"/>
      </w:pPr>
      <w:r>
        <w:rPr>
          <w:w w:val="95"/>
        </w:rPr>
        <w:t>七、施工设施</w:t>
      </w:r>
    </w:p>
    <w:p>
      <w:pPr>
        <w:spacing w:before="153"/>
        <w:ind w:left="700" w:right="0" w:firstLine="0"/>
        <w:jc w:val="left"/>
        <w:rPr>
          <w:b/>
          <w:sz w:val="24"/>
        </w:rPr>
      </w:pPr>
      <w:r>
        <w:rPr>
          <w:rFonts w:ascii="Times New Roman" w:eastAsia="Times New Roman"/>
          <w:b/>
          <w:w w:val="95"/>
          <w:sz w:val="24"/>
        </w:rPr>
        <w:t>1</w:t>
      </w:r>
      <w:r>
        <w:rPr>
          <w:b/>
          <w:w w:val="95"/>
          <w:sz w:val="24"/>
        </w:rPr>
        <w:t>、施工交通运输</w:t>
      </w:r>
    </w:p>
    <w:p>
      <w:pPr>
        <w:pStyle w:val="BodyText"/>
        <w:spacing w:line="357" w:lineRule="auto"/>
        <w:ind w:left="218" w:right="152" w:firstLine="480"/>
      </w:pPr>
      <w:r>
        <w:rPr/>
        <w:t>项目位于开江县梅家乡城镇，交通十分方便，因此本项目不新增施工便道。利用现有道路进行施工。</w:t>
      </w:r>
    </w:p>
    <w:p>
      <w:pPr>
        <w:pStyle w:val="Heading2"/>
        <w:spacing w:before="36"/>
        <w:ind w:left="700"/>
      </w:pPr>
      <w:r>
        <w:rPr>
          <w:rFonts w:ascii="Times New Roman" w:eastAsia="Times New Roman"/>
          <w:w w:val="95"/>
        </w:rPr>
        <w:t>2</w:t>
      </w:r>
      <w:r>
        <w:rPr>
          <w:w w:val="95"/>
        </w:rPr>
        <w:t>、施工场地</w:t>
      </w:r>
    </w:p>
    <w:p>
      <w:pPr>
        <w:pStyle w:val="BodyText"/>
        <w:spacing w:line="357" w:lineRule="auto"/>
        <w:ind w:left="218" w:right="216" w:firstLine="480"/>
        <w:jc w:val="both"/>
      </w:pPr>
      <w:r>
        <w:rPr>
          <w:spacing w:val="-4"/>
        </w:rPr>
        <w:t>根据本工程施工特点，本工程拟采用分散施工和设备集中的方式进行布置。计划将</w:t>
      </w:r>
      <w:r>
        <w:rPr>
          <w:spacing w:val="-7"/>
        </w:rPr>
        <w:t>本工程施工区按施工区域进行分散布置。各工区按需要布置生产所需的水、电系统就近接入。施工机械、施工设备和施工材料集中存放于仓库，仓库位于建设局内。</w:t>
      </w:r>
    </w:p>
    <w:p>
      <w:pPr>
        <w:pStyle w:val="Heading2"/>
        <w:spacing w:before="35"/>
        <w:ind w:left="700"/>
      </w:pPr>
      <w:r>
        <w:rPr>
          <w:rFonts w:ascii="Times New Roman" w:eastAsia="Times New Roman"/>
          <w:w w:val="95"/>
        </w:rPr>
        <w:t>4</w:t>
      </w:r>
      <w:r>
        <w:rPr>
          <w:w w:val="95"/>
        </w:rPr>
        <w:t>、施工营地</w:t>
      </w:r>
    </w:p>
    <w:p>
      <w:pPr>
        <w:pStyle w:val="BodyText"/>
        <w:spacing w:line="357" w:lineRule="auto"/>
        <w:ind w:left="218" w:right="150" w:firstLine="482"/>
      </w:pPr>
      <w:r>
        <w:rPr/>
        <w:t>根据现场调查，本工程施工人员以地方民工为主，工程施工人员办公、生活租赁附近民房，不新建施工营地。</w:t>
      </w:r>
    </w:p>
    <w:p>
      <w:pPr>
        <w:pStyle w:val="Heading2"/>
        <w:spacing w:before="36"/>
        <w:ind w:left="700"/>
      </w:pPr>
      <w:r>
        <w:rPr>
          <w:rFonts w:ascii="Times New Roman" w:eastAsia="Times New Roman"/>
          <w:w w:val="95"/>
        </w:rPr>
        <w:t>5</w:t>
      </w:r>
      <w:r>
        <w:rPr>
          <w:w w:val="95"/>
        </w:rPr>
        <w:t>、施工料场</w:t>
      </w:r>
    </w:p>
    <w:p>
      <w:pPr>
        <w:pStyle w:val="BodyText"/>
        <w:spacing w:line="357" w:lineRule="auto"/>
        <w:ind w:left="218" w:right="192" w:firstLine="480"/>
      </w:pPr>
      <w:r>
        <w:rPr/>
        <w:t>本项目不设土料场、石料场和砂石料场，所需砂、卵石、条块石、片石等材料均外购，采用汽车运输。不设混凝土搅拌场，所需混凝土全部外购。</w:t>
      </w:r>
    </w:p>
    <w:p>
      <w:pPr>
        <w:pStyle w:val="BodyText"/>
        <w:spacing w:before="35"/>
        <w:ind w:left="700"/>
      </w:pPr>
      <w:r>
        <w:rPr/>
        <w:t>项目</w:t>
      </w:r>
      <w:r>
        <w:rPr>
          <w:sz w:val="21"/>
        </w:rPr>
        <w:t>不</w:t>
      </w:r>
      <w:r>
        <w:rPr/>
        <w:t>设置取土场、弃渣运送至指定的渣场进行堆放。</w:t>
      </w:r>
    </w:p>
    <w:p>
      <w:pPr>
        <w:pStyle w:val="Heading2"/>
        <w:spacing w:before="153"/>
        <w:ind w:left="698"/>
      </w:pPr>
      <w:r>
        <w:rPr>
          <w:rFonts w:ascii="Times New Roman" w:eastAsia="Times New Roman"/>
          <w:w w:val="95"/>
        </w:rPr>
        <w:t>6</w:t>
      </w:r>
      <w:r>
        <w:rPr>
          <w:w w:val="95"/>
        </w:rPr>
        <w:t>、临时弃渣场</w:t>
      </w:r>
    </w:p>
    <w:p>
      <w:pPr>
        <w:pStyle w:val="BodyText"/>
        <w:spacing w:line="350" w:lineRule="auto"/>
        <w:ind w:left="218" w:right="215" w:firstLine="480"/>
        <w:jc w:val="both"/>
      </w:pPr>
      <w:r>
        <w:rPr>
          <w:spacing w:val="-6"/>
        </w:rPr>
        <w:t>本项目建设总挖方量 </w:t>
      </w:r>
      <w:r>
        <w:rPr>
          <w:rFonts w:ascii="Times New Roman" w:hAnsi="Times New Roman" w:eastAsia="Times New Roman"/>
          <w:spacing w:val="-4"/>
        </w:rPr>
        <w:t>7448m</w:t>
      </w:r>
      <w:r>
        <w:rPr>
          <w:rFonts w:ascii="Times New Roman" w:hAnsi="Times New Roman" w:eastAsia="Times New Roman"/>
          <w:spacing w:val="-4"/>
          <w:position w:val="9"/>
          <w:sz w:val="16"/>
        </w:rPr>
        <w:t>3</w:t>
      </w:r>
      <w:r>
        <w:rPr>
          <w:spacing w:val="-12"/>
        </w:rPr>
        <w:t>，总填方量 </w:t>
      </w:r>
      <w:r>
        <w:rPr>
          <w:rFonts w:ascii="Times New Roman" w:hAnsi="Times New Roman" w:eastAsia="Times New Roman"/>
          <w:spacing w:val="-3"/>
        </w:rPr>
        <w:t>950.6m</w:t>
      </w:r>
      <w:r>
        <w:rPr>
          <w:rFonts w:ascii="Times New Roman" w:hAnsi="Times New Roman" w:eastAsia="Times New Roman"/>
          <w:spacing w:val="-3"/>
          <w:position w:val="9"/>
          <w:sz w:val="16"/>
        </w:rPr>
        <w:t>3</w:t>
      </w:r>
      <w:r>
        <w:rPr>
          <w:spacing w:val="-12"/>
        </w:rPr>
        <w:t>，总弃方量 </w:t>
      </w:r>
      <w:r>
        <w:rPr>
          <w:rFonts w:ascii="Times New Roman" w:hAnsi="Times New Roman" w:eastAsia="Times New Roman"/>
        </w:rPr>
        <w:t>6497.4m</w:t>
      </w:r>
      <w:r>
        <w:rPr>
          <w:rFonts w:ascii="Times New Roman" w:hAnsi="Times New Roman" w:eastAsia="Times New Roman"/>
          <w:position w:val="9"/>
          <w:sz w:val="16"/>
        </w:rPr>
        <w:t>3</w:t>
      </w:r>
      <w:r>
        <w:rPr>
          <w:spacing w:val="-5"/>
        </w:rPr>
        <w:t>。弃渣运送至</w:t>
      </w:r>
      <w:r>
        <w:rPr>
          <w:spacing w:val="-9"/>
        </w:rPr>
        <w:t>指定的渣场进行堆放。根据现场调查，施工期按照“临时弃土少占地，就近回填”的原则，开挖料采取分类堆放，临时堆放于两侧，渣土日产日清，及时外运处置，不在现场进行堆存，不另设临时渣土堆放地。弃料运至城市建筑垃圾填埋场处理。</w:t>
      </w:r>
    </w:p>
    <w:p>
      <w:pPr>
        <w:pStyle w:val="Heading2"/>
        <w:spacing w:before="43"/>
        <w:ind w:left="218"/>
      </w:pPr>
      <w:r>
        <w:rPr>
          <w:w w:val="95"/>
        </w:rPr>
        <w:t>八、施工辅助设施</w:t>
      </w:r>
    </w:p>
    <w:p>
      <w:pPr>
        <w:pStyle w:val="BodyText"/>
        <w:spacing w:before="154"/>
        <w:ind w:left="698"/>
      </w:pPr>
      <w:r>
        <w:rPr/>
        <w:t>（</w:t>
      </w:r>
      <w:r>
        <w:rPr>
          <w:rFonts w:ascii="Times New Roman" w:eastAsia="Times New Roman"/>
        </w:rPr>
        <w:t>1</w:t>
      </w:r>
      <w:r>
        <w:rPr/>
        <w:t>）施工供水</w:t>
      </w:r>
    </w:p>
    <w:p>
      <w:pPr>
        <w:pStyle w:val="BodyText"/>
        <w:spacing w:line="357" w:lineRule="auto" w:before="136"/>
        <w:ind w:left="218" w:right="152" w:firstLine="480"/>
      </w:pPr>
      <w:r>
        <w:rPr/>
        <w:t>施工生活用水采用自来水，施工生产用水在施工区附近取水，水量水质能满足工程生产用水要求。</w:t>
      </w:r>
    </w:p>
    <w:p>
      <w:pPr>
        <w:pStyle w:val="BodyText"/>
        <w:spacing w:before="36"/>
        <w:ind w:left="698"/>
      </w:pPr>
      <w:r>
        <w:rPr/>
        <w:t>（</w:t>
      </w:r>
      <w:r>
        <w:rPr>
          <w:rFonts w:ascii="Times New Roman" w:eastAsia="Times New Roman"/>
        </w:rPr>
        <w:t>2</w:t>
      </w:r>
      <w:r>
        <w:rPr/>
        <w:t>）施工供电</w:t>
      </w:r>
    </w:p>
    <w:p>
      <w:pPr>
        <w:pStyle w:val="BodyText"/>
        <w:spacing w:line="338" w:lineRule="auto"/>
        <w:ind w:left="218" w:right="152" w:firstLine="480"/>
      </w:pPr>
      <w:r>
        <w:rPr>
          <w:spacing w:val="-6"/>
        </w:rPr>
        <w:t>工程施工用电从市政接电，另配备移动式柴油发电机 </w:t>
      </w:r>
      <w:r>
        <w:rPr>
          <w:rFonts w:ascii="Times New Roman" w:eastAsia="Times New Roman"/>
        </w:rPr>
        <w:t>2 </w:t>
      </w:r>
      <w:r>
        <w:rPr>
          <w:spacing w:val="-4"/>
        </w:rPr>
        <w:t>台作为备用电源，能够满足施工期供电要求。</w:t>
      </w:r>
    </w:p>
    <w:p>
      <w:pPr>
        <w:pStyle w:val="BodyText"/>
        <w:spacing w:before="55"/>
        <w:ind w:left="698"/>
      </w:pPr>
      <w:r>
        <w:rPr/>
        <w:t>（</w:t>
      </w:r>
      <w:r>
        <w:rPr>
          <w:rFonts w:ascii="Times New Roman" w:eastAsia="Times New Roman"/>
        </w:rPr>
        <w:t>3</w:t>
      </w:r>
      <w:r>
        <w:rPr/>
        <w:t>）场内供风</w:t>
      </w:r>
    </w:p>
    <w:p>
      <w:pPr>
        <w:spacing w:after="0"/>
        <w:sectPr>
          <w:pgSz w:w="11910" w:h="16840"/>
          <w:pgMar w:header="0" w:footer="1246" w:top="1120" w:bottom="1440" w:left="1200" w:right="1200"/>
        </w:sectPr>
      </w:pPr>
    </w:p>
    <w:p>
      <w:pPr>
        <w:pStyle w:val="BodyText"/>
        <w:spacing w:line="338" w:lineRule="auto" w:before="45"/>
        <w:ind w:left="218" w:right="117" w:firstLine="480"/>
      </w:pPr>
      <w:r>
        <w:rPr/>
        <w:pict>
          <v:group style="position:absolute;margin-left:65.2705pt;margin-top:56.448982pt;width:464.8pt;height:692.15pt;mso-position-horizontal-relative:page;mso-position-vertical-relative:page;z-index:-84136" coordorigin="1305,1129" coordsize="9296,13843">
            <v:line style="position:absolute" from="1315,1139" to="10591,1139" stroked="true" strokeweight=".481pt" strokecolor="#000000">
              <v:stroke dashstyle="solid"/>
            </v:line>
            <v:line style="position:absolute" from="1315,7776" to="10591,7776" stroked="true" strokeweight=".48pt" strokecolor="#000000">
              <v:stroke dashstyle="solid"/>
            </v:line>
            <v:line style="position:absolute" from="1310,1134" to="1310,14966" stroked="true" strokeweight=".481pt" strokecolor="#000000">
              <v:stroke dashstyle="solid"/>
            </v:line>
            <v:line style="position:absolute" from="1315,14962" to="10591,14962" stroked="true" strokeweight=".48pt" strokecolor="#000000">
              <v:stroke dashstyle="solid"/>
            </v:line>
            <v:line style="position:absolute" from="10596,1134" to="10596,14966" stroked="true" strokeweight=".48pt" strokecolor="#000000">
              <v:stroke dashstyle="solid"/>
            </v:line>
            <w10:wrap type="none"/>
          </v:group>
        </w:pict>
      </w:r>
      <w:r>
        <w:rPr>
          <w:spacing w:val="-13"/>
        </w:rPr>
        <w:t>工程设置 </w:t>
      </w:r>
      <w:r>
        <w:rPr>
          <w:rFonts w:ascii="Times New Roman" w:eastAsia="Times New Roman"/>
        </w:rPr>
        <w:t>1 </w:t>
      </w:r>
      <w:r>
        <w:rPr>
          <w:spacing w:val="-17"/>
        </w:rPr>
        <w:t>台移动式、容量为 </w:t>
      </w:r>
      <w:r>
        <w:rPr>
          <w:rFonts w:ascii="Times New Roman" w:eastAsia="Times New Roman"/>
        </w:rPr>
        <w:t>3m</w:t>
      </w:r>
      <w:r>
        <w:rPr>
          <w:rFonts w:ascii="Times New Roman" w:eastAsia="Times New Roman"/>
          <w:position w:val="9"/>
          <w:sz w:val="16"/>
        </w:rPr>
        <w:t>3</w:t>
      </w:r>
      <w:r>
        <w:rPr>
          <w:rFonts w:ascii="Times New Roman" w:eastAsia="Times New Roman"/>
        </w:rPr>
        <w:t>/min </w:t>
      </w:r>
      <w:r>
        <w:rPr>
          <w:spacing w:val="-8"/>
        </w:rPr>
        <w:t>的空压机作为供气设备，用于混凝土的打毛、钢筋除锈及工作面的清扫等。</w:t>
      </w:r>
    </w:p>
    <w:p>
      <w:pPr>
        <w:pStyle w:val="Heading2"/>
        <w:spacing w:before="55"/>
        <w:ind w:left="218"/>
      </w:pPr>
      <w:r>
        <w:rPr>
          <w:w w:val="95"/>
        </w:rPr>
        <w:t>九、土石方平衡</w:t>
      </w:r>
    </w:p>
    <w:p>
      <w:pPr>
        <w:pStyle w:val="BodyText"/>
        <w:spacing w:line="338" w:lineRule="auto" w:before="153"/>
        <w:ind w:left="218" w:right="191" w:firstLine="480"/>
      </w:pPr>
      <w:r>
        <w:rPr>
          <w:spacing w:val="-6"/>
        </w:rPr>
        <w:t>本项目建设总挖方量 </w:t>
      </w:r>
      <w:r>
        <w:rPr>
          <w:rFonts w:ascii="Times New Roman" w:eastAsia="Times New Roman"/>
          <w:spacing w:val="-4"/>
        </w:rPr>
        <w:t>7448m</w:t>
      </w:r>
      <w:r>
        <w:rPr>
          <w:rFonts w:ascii="Times New Roman" w:eastAsia="Times New Roman"/>
          <w:spacing w:val="-4"/>
          <w:position w:val="9"/>
          <w:sz w:val="16"/>
        </w:rPr>
        <w:t>3</w:t>
      </w:r>
      <w:r>
        <w:rPr>
          <w:spacing w:val="-12"/>
        </w:rPr>
        <w:t>，总填方量 </w:t>
      </w:r>
      <w:r>
        <w:rPr>
          <w:rFonts w:ascii="Times New Roman" w:eastAsia="Times New Roman"/>
          <w:spacing w:val="-3"/>
        </w:rPr>
        <w:t>950.6m</w:t>
      </w:r>
      <w:r>
        <w:rPr>
          <w:rFonts w:ascii="Times New Roman" w:eastAsia="Times New Roman"/>
          <w:spacing w:val="-3"/>
          <w:position w:val="9"/>
          <w:sz w:val="16"/>
        </w:rPr>
        <w:t>3</w:t>
      </w:r>
      <w:r>
        <w:rPr>
          <w:spacing w:val="-12"/>
        </w:rPr>
        <w:t>，总弃方量 </w:t>
      </w:r>
      <w:r>
        <w:rPr>
          <w:rFonts w:ascii="Times New Roman" w:eastAsia="Times New Roman"/>
        </w:rPr>
        <w:t>6497.4m</w:t>
      </w:r>
      <w:r>
        <w:rPr>
          <w:rFonts w:ascii="Times New Roman" w:eastAsia="Times New Roman"/>
          <w:position w:val="9"/>
          <w:sz w:val="16"/>
        </w:rPr>
        <w:t>3</w:t>
      </w:r>
      <w:r>
        <w:rPr>
          <w:spacing w:val="-5"/>
        </w:rPr>
        <w:t>。土石方平衡</w:t>
      </w:r>
      <w:r>
        <w:rPr>
          <w:spacing w:val="-24"/>
        </w:rPr>
        <w:t>见表 </w:t>
      </w:r>
      <w:r>
        <w:rPr>
          <w:rFonts w:ascii="Times New Roman" w:eastAsia="Times New Roman"/>
        </w:rPr>
        <w:t>1-6</w:t>
      </w:r>
      <w:r>
        <w:rPr/>
        <w:t>。</w:t>
      </w:r>
    </w:p>
    <w:p>
      <w:pPr>
        <w:pStyle w:val="Heading2"/>
        <w:tabs>
          <w:tab w:pos="3417" w:val="left" w:leader="none"/>
          <w:tab w:pos="5947" w:val="left" w:leader="none"/>
        </w:tabs>
        <w:spacing w:before="26"/>
        <w:ind w:left="2556"/>
        <w:rPr>
          <w:rFonts w:ascii="Times New Roman" w:eastAsia="Times New Roman"/>
          <w:sz w:val="16"/>
        </w:rPr>
      </w:pPr>
      <w:r>
        <w:rPr/>
        <w:t>表</w:t>
      </w:r>
      <w:r>
        <w:rPr>
          <w:spacing w:val="-61"/>
        </w:rPr>
        <w:t> </w:t>
      </w:r>
      <w:r>
        <w:rPr>
          <w:rFonts w:ascii="Times New Roman" w:eastAsia="Times New Roman"/>
        </w:rPr>
        <w:t>1-6</w:t>
        <w:tab/>
      </w:r>
      <w:r>
        <w:rPr/>
        <w:t>项目土石方平衡表</w:t>
        <w:tab/>
      </w:r>
      <w:r>
        <w:rPr>
          <w:w w:val="95"/>
        </w:rPr>
        <w:t>单位：</w:t>
      </w:r>
      <w:r>
        <w:rPr>
          <w:rFonts w:ascii="Times New Roman" w:eastAsia="Times New Roman"/>
          <w:w w:val="95"/>
        </w:rPr>
        <w:t>m</w:t>
      </w:r>
      <w:r>
        <w:rPr>
          <w:rFonts w:ascii="Times New Roman" w:eastAsia="Times New Roman"/>
          <w:w w:val="95"/>
          <w:position w:val="8"/>
          <w:sz w:val="16"/>
        </w:rPr>
        <w:t>3</w:t>
      </w:r>
    </w:p>
    <w:p>
      <w:pPr>
        <w:pStyle w:val="BodyText"/>
        <w:spacing w:before="3"/>
        <w:rPr>
          <w:rFonts w:ascii="Times New Roman"/>
          <w:b/>
          <w:sz w:val="8"/>
        </w:rPr>
      </w:pPr>
    </w:p>
    <w:tbl>
      <w:tblPr>
        <w:tblW w:w="0" w:type="auto"/>
        <w:jc w:val="left"/>
        <w:tblInd w:w="145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779"/>
        <w:gridCol w:w="1205"/>
        <w:gridCol w:w="1205"/>
        <w:gridCol w:w="1278"/>
        <w:gridCol w:w="2093"/>
      </w:tblGrid>
      <w:tr>
        <w:trPr>
          <w:trHeight w:val="491" w:hRule="exact"/>
        </w:trPr>
        <w:tc>
          <w:tcPr>
            <w:tcW w:w="779" w:type="dxa"/>
            <w:tcBorders>
              <w:bottom w:val="single" w:sz="6" w:space="0" w:color="000000"/>
              <w:right w:val="single" w:sz="6" w:space="0" w:color="000000"/>
            </w:tcBorders>
          </w:tcPr>
          <w:p>
            <w:pPr>
              <w:pStyle w:val="TableParagraph"/>
              <w:spacing w:before="65"/>
              <w:ind w:left="144" w:right="152"/>
              <w:rPr>
                <w:sz w:val="21"/>
              </w:rPr>
            </w:pPr>
            <w:r>
              <w:rPr>
                <w:sz w:val="21"/>
              </w:rPr>
              <w:t>序号</w:t>
            </w:r>
          </w:p>
        </w:tc>
        <w:tc>
          <w:tcPr>
            <w:tcW w:w="1205" w:type="dxa"/>
            <w:tcBorders>
              <w:left w:val="single" w:sz="6" w:space="0" w:color="000000"/>
              <w:bottom w:val="single" w:sz="6" w:space="0" w:color="000000"/>
              <w:right w:val="single" w:sz="6" w:space="0" w:color="000000"/>
            </w:tcBorders>
          </w:tcPr>
          <w:p>
            <w:pPr>
              <w:pStyle w:val="TableParagraph"/>
              <w:spacing w:before="65"/>
              <w:ind w:left="338" w:right="338"/>
              <w:rPr>
                <w:sz w:val="21"/>
              </w:rPr>
            </w:pPr>
            <w:r>
              <w:rPr>
                <w:sz w:val="21"/>
              </w:rPr>
              <w:t>挖方</w:t>
            </w:r>
          </w:p>
        </w:tc>
        <w:tc>
          <w:tcPr>
            <w:tcW w:w="1205" w:type="dxa"/>
            <w:tcBorders>
              <w:left w:val="single" w:sz="6" w:space="0" w:color="000000"/>
              <w:bottom w:val="single" w:sz="6" w:space="0" w:color="000000"/>
              <w:right w:val="single" w:sz="6" w:space="0" w:color="000000"/>
            </w:tcBorders>
          </w:tcPr>
          <w:p>
            <w:pPr>
              <w:pStyle w:val="TableParagraph"/>
              <w:spacing w:before="65"/>
              <w:ind w:left="338" w:right="338"/>
              <w:rPr>
                <w:sz w:val="21"/>
              </w:rPr>
            </w:pPr>
            <w:r>
              <w:rPr>
                <w:sz w:val="21"/>
              </w:rPr>
              <w:t>填方</w:t>
            </w:r>
          </w:p>
        </w:tc>
        <w:tc>
          <w:tcPr>
            <w:tcW w:w="1278" w:type="dxa"/>
            <w:tcBorders>
              <w:left w:val="single" w:sz="6" w:space="0" w:color="000000"/>
              <w:bottom w:val="single" w:sz="6" w:space="0" w:color="000000"/>
              <w:right w:val="single" w:sz="6" w:space="0" w:color="000000"/>
            </w:tcBorders>
          </w:tcPr>
          <w:p>
            <w:pPr>
              <w:pStyle w:val="TableParagraph"/>
              <w:spacing w:before="65"/>
              <w:ind w:left="322" w:right="323"/>
              <w:rPr>
                <w:sz w:val="21"/>
              </w:rPr>
            </w:pPr>
            <w:r>
              <w:rPr>
                <w:sz w:val="21"/>
              </w:rPr>
              <w:t>弃方</w:t>
            </w:r>
          </w:p>
        </w:tc>
        <w:tc>
          <w:tcPr>
            <w:tcW w:w="2093" w:type="dxa"/>
            <w:tcBorders>
              <w:left w:val="single" w:sz="6" w:space="0" w:color="000000"/>
              <w:bottom w:val="single" w:sz="6" w:space="0" w:color="000000"/>
            </w:tcBorders>
          </w:tcPr>
          <w:p>
            <w:pPr>
              <w:pStyle w:val="TableParagraph"/>
              <w:spacing w:before="65"/>
              <w:ind w:left="387" w:right="383"/>
              <w:rPr>
                <w:sz w:val="21"/>
              </w:rPr>
            </w:pPr>
            <w:r>
              <w:rPr>
                <w:sz w:val="21"/>
              </w:rPr>
              <w:t>去向</w:t>
            </w:r>
          </w:p>
        </w:tc>
      </w:tr>
      <w:tr>
        <w:trPr>
          <w:trHeight w:val="492" w:hRule="exact"/>
        </w:trPr>
        <w:tc>
          <w:tcPr>
            <w:tcW w:w="779" w:type="dxa"/>
            <w:tcBorders>
              <w:top w:val="single" w:sz="6" w:space="0" w:color="000000"/>
              <w:right w:val="single" w:sz="6" w:space="0" w:color="000000"/>
            </w:tcBorders>
          </w:tcPr>
          <w:p>
            <w:pPr>
              <w:pStyle w:val="TableParagraph"/>
              <w:spacing w:before="114"/>
              <w:ind w:right="8"/>
              <w:rPr>
                <w:rFonts w:ascii="Times New Roman"/>
                <w:sz w:val="21"/>
              </w:rPr>
            </w:pPr>
            <w:r>
              <w:rPr>
                <w:rFonts w:ascii="Times New Roman"/>
                <w:sz w:val="21"/>
              </w:rPr>
              <w:t>1</w:t>
            </w:r>
          </w:p>
        </w:tc>
        <w:tc>
          <w:tcPr>
            <w:tcW w:w="1205" w:type="dxa"/>
            <w:tcBorders>
              <w:top w:val="single" w:sz="6" w:space="0" w:color="000000"/>
              <w:left w:val="single" w:sz="6" w:space="0" w:color="000000"/>
              <w:right w:val="single" w:sz="6" w:space="0" w:color="000000"/>
            </w:tcBorders>
          </w:tcPr>
          <w:p>
            <w:pPr>
              <w:pStyle w:val="TableParagraph"/>
              <w:spacing w:before="114"/>
              <w:ind w:left="338" w:right="337"/>
              <w:rPr>
                <w:rFonts w:ascii="Times New Roman"/>
                <w:sz w:val="21"/>
              </w:rPr>
            </w:pPr>
            <w:r>
              <w:rPr>
                <w:rFonts w:ascii="Times New Roman"/>
                <w:sz w:val="21"/>
              </w:rPr>
              <w:t>7448</w:t>
            </w:r>
          </w:p>
        </w:tc>
        <w:tc>
          <w:tcPr>
            <w:tcW w:w="1205" w:type="dxa"/>
            <w:tcBorders>
              <w:top w:val="single" w:sz="6" w:space="0" w:color="000000"/>
              <w:left w:val="single" w:sz="6" w:space="0" w:color="000000"/>
              <w:right w:val="single" w:sz="6" w:space="0" w:color="000000"/>
            </w:tcBorders>
          </w:tcPr>
          <w:p>
            <w:pPr>
              <w:pStyle w:val="TableParagraph"/>
              <w:spacing w:before="114"/>
              <w:ind w:left="338" w:right="338"/>
              <w:rPr>
                <w:rFonts w:ascii="Times New Roman"/>
                <w:sz w:val="21"/>
              </w:rPr>
            </w:pPr>
            <w:r>
              <w:rPr>
                <w:rFonts w:ascii="Times New Roman"/>
                <w:sz w:val="21"/>
              </w:rPr>
              <w:t>950.6</w:t>
            </w:r>
          </w:p>
        </w:tc>
        <w:tc>
          <w:tcPr>
            <w:tcW w:w="1278" w:type="dxa"/>
            <w:tcBorders>
              <w:top w:val="single" w:sz="6" w:space="0" w:color="000000"/>
              <w:left w:val="single" w:sz="6" w:space="0" w:color="000000"/>
              <w:right w:val="single" w:sz="6" w:space="0" w:color="000000"/>
            </w:tcBorders>
          </w:tcPr>
          <w:p>
            <w:pPr>
              <w:pStyle w:val="TableParagraph"/>
              <w:spacing w:before="114"/>
              <w:ind w:left="323" w:right="323"/>
              <w:rPr>
                <w:rFonts w:ascii="Times New Roman"/>
                <w:sz w:val="21"/>
              </w:rPr>
            </w:pPr>
            <w:r>
              <w:rPr>
                <w:rFonts w:ascii="Times New Roman"/>
                <w:sz w:val="21"/>
              </w:rPr>
              <w:t>6497.4</w:t>
            </w:r>
          </w:p>
        </w:tc>
        <w:tc>
          <w:tcPr>
            <w:tcW w:w="2093" w:type="dxa"/>
            <w:tcBorders>
              <w:top w:val="single" w:sz="6" w:space="0" w:color="000000"/>
              <w:left w:val="single" w:sz="6" w:space="0" w:color="000000"/>
            </w:tcBorders>
          </w:tcPr>
          <w:p>
            <w:pPr>
              <w:pStyle w:val="TableParagraph"/>
              <w:spacing w:before="65"/>
              <w:ind w:left="387" w:right="383"/>
              <w:rPr>
                <w:sz w:val="21"/>
              </w:rPr>
            </w:pPr>
            <w:r>
              <w:rPr>
                <w:sz w:val="21"/>
              </w:rPr>
              <w:t>指定渣场堆放</w:t>
            </w:r>
          </w:p>
        </w:tc>
      </w:tr>
    </w:tbl>
    <w:p>
      <w:pPr>
        <w:spacing w:before="40"/>
        <w:ind w:left="218" w:right="0" w:firstLine="0"/>
        <w:jc w:val="left"/>
        <w:rPr>
          <w:b/>
          <w:sz w:val="24"/>
        </w:rPr>
      </w:pPr>
      <w:r>
        <w:rPr>
          <w:b/>
          <w:w w:val="95"/>
          <w:sz w:val="24"/>
        </w:rPr>
        <w:t>十、工程占地及拆迁安置</w:t>
      </w:r>
    </w:p>
    <w:p>
      <w:pPr>
        <w:spacing w:before="153"/>
        <w:ind w:left="700" w:right="0" w:firstLine="0"/>
        <w:jc w:val="left"/>
        <w:rPr>
          <w:b/>
          <w:sz w:val="24"/>
        </w:rPr>
      </w:pPr>
      <w:r>
        <w:rPr>
          <w:rFonts w:ascii="Times New Roman" w:eastAsia="Times New Roman"/>
          <w:b/>
          <w:w w:val="95"/>
          <w:sz w:val="24"/>
        </w:rPr>
        <w:t>1</w:t>
      </w:r>
      <w:r>
        <w:rPr>
          <w:b/>
          <w:w w:val="95"/>
          <w:sz w:val="24"/>
        </w:rPr>
        <w:t>、工程占地</w:t>
      </w:r>
    </w:p>
    <w:p>
      <w:pPr>
        <w:pStyle w:val="BodyText"/>
        <w:ind w:left="698"/>
      </w:pPr>
      <w:r>
        <w:rPr/>
        <w:t>本项目无新增用地，均沿现有道路走向进行铺设。</w:t>
      </w:r>
    </w:p>
    <w:p>
      <w:pPr>
        <w:pStyle w:val="Heading2"/>
        <w:spacing w:before="153"/>
        <w:ind w:left="700"/>
      </w:pPr>
      <w:r>
        <w:rPr>
          <w:rFonts w:ascii="Times New Roman" w:eastAsia="Times New Roman"/>
          <w:w w:val="95"/>
        </w:rPr>
        <w:t>2</w:t>
      </w:r>
      <w:r>
        <w:rPr>
          <w:w w:val="95"/>
        </w:rPr>
        <w:t>、拆迁安置</w:t>
      </w:r>
    </w:p>
    <w:p>
      <w:pPr>
        <w:pStyle w:val="BodyText"/>
        <w:ind w:left="698"/>
      </w:pPr>
      <w:r>
        <w:rPr/>
        <w:t>根据主体工程设计及现场调查，本项目不涉及拆迁。</w:t>
      </w:r>
    </w:p>
    <w:p>
      <w:pPr>
        <w:pStyle w:val="BodyText"/>
        <w:spacing w:before="0"/>
        <w:rPr>
          <w:sz w:val="20"/>
        </w:rPr>
      </w:pPr>
    </w:p>
    <w:p>
      <w:pPr>
        <w:pStyle w:val="BodyText"/>
        <w:spacing w:before="0"/>
        <w:rPr>
          <w:sz w:val="20"/>
        </w:rPr>
      </w:pPr>
    </w:p>
    <w:p>
      <w:pPr>
        <w:pStyle w:val="Heading1"/>
        <w:spacing w:before="153"/>
      </w:pPr>
      <w:r>
        <w:rPr>
          <w:w w:val="95"/>
        </w:rPr>
        <w:t>与本项目有关的原有污染情况及主要环境问题：</w:t>
      </w:r>
    </w:p>
    <w:p>
      <w:pPr>
        <w:pStyle w:val="BodyText"/>
        <w:spacing w:line="357" w:lineRule="auto" w:before="211"/>
        <w:ind w:left="218" w:right="236" w:firstLine="480"/>
        <w:jc w:val="both"/>
      </w:pPr>
      <w:r>
        <w:rPr>
          <w:spacing w:val="-4"/>
        </w:rPr>
        <w:t>项目建设区域属于城镇建成区，周边多为居民，本项目已经建设完成，项目建设区</w:t>
      </w:r>
      <w:r>
        <w:rPr>
          <w:spacing w:val="-8"/>
        </w:rPr>
        <w:t>内无明显环境遗留问题。据现场调查，本项目施工期间未收到附近居民及企业等对本项目的反对意见。</w:t>
      </w:r>
    </w:p>
    <w:p>
      <w:pPr>
        <w:spacing w:after="0" w:line="357" w:lineRule="auto"/>
        <w:jc w:val="both"/>
        <w:sectPr>
          <w:pgSz w:w="11910" w:h="16840"/>
          <w:pgMar w:header="0" w:footer="1246" w:top="1120" w:bottom="1440" w:left="1200" w:right="1180"/>
        </w:sectPr>
      </w:pPr>
    </w:p>
    <w:p>
      <w:pPr>
        <w:pStyle w:val="Heading1"/>
        <w:jc w:val="both"/>
      </w:pPr>
      <w:r>
        <w:rPr/>
        <w:pict>
          <v:group style="position:absolute;margin-left:65.2705pt;margin-top:87.649986pt;width:457.4pt;height:680.1pt;mso-position-horizontal-relative:page;mso-position-vertical-relative:page;z-index:-84112" coordorigin="1305,1753" coordsize="9148,13602">
            <v:line style="position:absolute" from="1315,1763" to="10444,1763" stroked="true" strokeweight=".48pt" strokecolor="#000000">
              <v:stroke dashstyle="solid"/>
            </v:line>
            <v:shape style="position:absolute;left:1310;top:1758;width:9134;height:13592" coordorigin="1310,1758" coordsize="9134,13592" path="m1310,1758l1310,15349m1315,15344l10444,15344e" filled="false" stroked="true" strokeweight=".481pt" strokecolor="#000000">
              <v:path arrowok="t"/>
              <v:stroke dashstyle="solid"/>
            </v:shape>
            <v:line style="position:absolute" from="10448,1758" to="10448,15349" stroked="true" strokeweight=".48pt" strokecolor="#000000">
              <v:stroke dashstyle="solid"/>
            </v:line>
            <w10:wrap type="none"/>
          </v:group>
        </w:pict>
      </w:r>
      <w:r>
        <w:rPr>
          <w:w w:val="95"/>
        </w:rPr>
        <w:t>建设项目所在地自然环境社会环境简况</w:t>
      </w:r>
    </w:p>
    <w:p>
      <w:pPr>
        <w:pStyle w:val="Heading2"/>
        <w:spacing w:before="221"/>
        <w:ind w:left="218"/>
        <w:jc w:val="both"/>
        <w:rPr>
          <w:b w:val="0"/>
        </w:rPr>
      </w:pPr>
      <w:r>
        <w:rPr>
          <w:w w:val="99"/>
        </w:rPr>
        <w:t>一、自然环境简况</w:t>
      </w:r>
      <w:r>
        <w:rPr>
          <w:spacing w:val="1"/>
          <w:w w:val="99"/>
        </w:rPr>
        <w:t>（</w:t>
      </w:r>
      <w:r>
        <w:rPr>
          <w:w w:val="99"/>
        </w:rPr>
        <w:t>地形、地貌、地质、气候、气象、水文、植被、生物多样性等</w:t>
      </w:r>
      <w:r>
        <w:rPr>
          <w:spacing w:val="-119"/>
          <w:w w:val="99"/>
        </w:rPr>
        <w:t>）</w:t>
      </w:r>
      <w:r>
        <w:rPr>
          <w:b w:val="0"/>
        </w:rPr>
        <w:t>：</w:t>
      </w:r>
    </w:p>
    <w:p>
      <w:pPr>
        <w:spacing w:before="153"/>
        <w:ind w:left="218" w:right="0" w:firstLine="0"/>
        <w:jc w:val="both"/>
        <w:rPr>
          <w:b/>
          <w:sz w:val="24"/>
        </w:rPr>
      </w:pPr>
      <w:r>
        <w:rPr>
          <w:rFonts w:ascii="Times New Roman" w:eastAsia="Times New Roman"/>
          <w:b/>
          <w:w w:val="95"/>
          <w:sz w:val="24"/>
        </w:rPr>
        <w:t>1</w:t>
      </w:r>
      <w:r>
        <w:rPr>
          <w:b/>
          <w:w w:val="95"/>
          <w:sz w:val="24"/>
        </w:rPr>
        <w:t>、地理位置</w:t>
      </w:r>
    </w:p>
    <w:p>
      <w:pPr>
        <w:pStyle w:val="BodyText"/>
        <w:spacing w:line="348" w:lineRule="auto"/>
        <w:ind w:left="218" w:right="225" w:firstLine="480"/>
        <w:jc w:val="both"/>
      </w:pPr>
      <w:r>
        <w:rPr/>
        <w:t>开江县，隶属于四川省达州市，地处四川省东部，大巴山南麓，位于渠江支流明</w:t>
      </w:r>
      <w:r>
        <w:rPr>
          <w:spacing w:val="-1"/>
        </w:rPr>
        <w:t>月江的两大源头白岩河、新宁河流经之地。开江县域介于东经 </w:t>
      </w:r>
      <w:r>
        <w:rPr>
          <w:rFonts w:ascii="Times New Roman" w:hAnsi="Times New Roman" w:eastAsia="Times New Roman"/>
        </w:rPr>
        <w:t>107°42′</w:t>
      </w:r>
      <w:r>
        <w:rPr>
          <w:spacing w:val="-5"/>
        </w:rPr>
        <w:t>至 </w:t>
      </w:r>
      <w:r>
        <w:rPr>
          <w:rFonts w:ascii="Times New Roman" w:hAnsi="Times New Roman" w:eastAsia="Times New Roman"/>
        </w:rPr>
        <w:t>108°05′</w:t>
      </w:r>
      <w:r>
        <w:rPr/>
        <w:t>、北</w:t>
      </w:r>
      <w:r>
        <w:rPr>
          <w:spacing w:val="-30"/>
        </w:rPr>
        <w:t>纬 </w:t>
      </w:r>
      <w:r>
        <w:rPr>
          <w:rFonts w:ascii="Times New Roman" w:hAnsi="Times New Roman" w:eastAsia="Times New Roman"/>
        </w:rPr>
        <w:t>30°47′</w:t>
      </w:r>
      <w:r>
        <w:rPr>
          <w:spacing w:val="-30"/>
        </w:rPr>
        <w:t>至 </w:t>
      </w:r>
      <w:r>
        <w:rPr>
          <w:rFonts w:ascii="Times New Roman" w:hAnsi="Times New Roman" w:eastAsia="Times New Roman"/>
        </w:rPr>
        <w:t>31°15′</w:t>
      </w:r>
      <w:r>
        <w:rPr>
          <w:spacing w:val="-9"/>
        </w:rPr>
        <w:t>之间。东西宽 </w:t>
      </w:r>
      <w:r>
        <w:rPr>
          <w:rFonts w:ascii="Times New Roman" w:hAnsi="Times New Roman" w:eastAsia="Times New Roman"/>
        </w:rPr>
        <w:t>36.5 </w:t>
      </w:r>
      <w:r>
        <w:rPr>
          <w:spacing w:val="-9"/>
        </w:rPr>
        <w:t>千米，南北长 </w:t>
      </w:r>
      <w:r>
        <w:rPr>
          <w:rFonts w:ascii="Times New Roman" w:hAnsi="Times New Roman" w:eastAsia="Times New Roman"/>
        </w:rPr>
        <w:t>51.5 </w:t>
      </w:r>
      <w:r>
        <w:rPr/>
        <w:t>千米。</w:t>
      </w:r>
    </w:p>
    <w:p>
      <w:pPr>
        <w:pStyle w:val="BodyText"/>
        <w:spacing w:before="16"/>
        <w:ind w:left="698"/>
      </w:pPr>
      <w:r>
        <w:rPr/>
        <w:t>本项目位于达州市开江县，见附图 </w:t>
      </w:r>
      <w:r>
        <w:rPr>
          <w:rFonts w:ascii="Times New Roman" w:eastAsia="Times New Roman"/>
        </w:rPr>
        <w:t>1</w:t>
      </w:r>
      <w:r>
        <w:rPr/>
        <w:t>。</w:t>
      </w:r>
    </w:p>
    <w:p>
      <w:pPr>
        <w:pStyle w:val="Heading2"/>
        <w:spacing w:before="135"/>
        <w:ind w:left="218"/>
        <w:jc w:val="both"/>
      </w:pPr>
      <w:r>
        <w:rPr>
          <w:rFonts w:ascii="Times New Roman" w:eastAsia="Times New Roman"/>
          <w:w w:val="95"/>
        </w:rPr>
        <w:t>2</w:t>
      </w:r>
      <w:r>
        <w:rPr>
          <w:w w:val="95"/>
        </w:rPr>
        <w:t>、地形、地貌情况</w:t>
      </w:r>
    </w:p>
    <w:p>
      <w:pPr>
        <w:pStyle w:val="BodyText"/>
        <w:spacing w:line="357" w:lineRule="auto"/>
        <w:ind w:left="218" w:right="225" w:firstLine="480"/>
        <w:jc w:val="both"/>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5"/>
        <w:ind w:left="218" w:right="225" w:firstLine="480"/>
        <w:jc w:val="both"/>
      </w:pPr>
      <w:r>
        <w:rPr/>
        <w:t>境内地貌属于川东褶皱剥蚀</w:t>
      </w:r>
      <w:r>
        <w:rPr>
          <w:rFonts w:ascii="Times New Roman" w:eastAsia="Times New Roman"/>
        </w:rPr>
        <w:t>-</w:t>
      </w:r>
      <w:r>
        <w:rPr>
          <w:spacing w:val="-4"/>
        </w:rPr>
        <w:t>浸蚀低山丘陵岭谷地貌区。背斜低山，紧密狭窄；向斜为丘，平缓开阔，中间常有平坝展开。</w:t>
      </w:r>
    </w:p>
    <w:p>
      <w:pPr>
        <w:pStyle w:val="Heading2"/>
        <w:spacing w:before="55"/>
        <w:ind w:left="218"/>
        <w:jc w:val="both"/>
      </w:pPr>
      <w:r>
        <w:rPr>
          <w:rFonts w:ascii="Times New Roman" w:eastAsia="Times New Roman"/>
        </w:rPr>
        <w:t>3</w:t>
      </w:r>
      <w:r>
        <w:rPr/>
        <w:t>、气象</w:t>
      </w:r>
    </w:p>
    <w:p>
      <w:pPr>
        <w:pStyle w:val="BodyText"/>
        <w:spacing w:line="348" w:lineRule="auto"/>
        <w:ind w:left="218" w:right="225" w:firstLine="480"/>
        <w:jc w:val="both"/>
      </w:pPr>
      <w:r>
        <w:rPr/>
        <w:t>开江县境属于中亚热带湿润季风气候区，气候温和，热量充足，四季分明，雨量</w:t>
      </w:r>
      <w:r>
        <w:rPr>
          <w:spacing w:val="-1"/>
        </w:rPr>
        <w:t>丰沛，季风气候明显，立体气候突出。开江县气候温润，雨量充沛，年均温 </w:t>
      </w:r>
      <w:r>
        <w:rPr>
          <w:rFonts w:ascii="Times New Roman" w:hAnsi="Times New Roman" w:eastAsia="Times New Roman"/>
        </w:rPr>
        <w:t>16.6℃</w:t>
      </w:r>
      <w:r>
        <w:rPr/>
        <w:t>， </w:t>
      </w:r>
      <w:r>
        <w:rPr>
          <w:spacing w:val="-15"/>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8" w:lineRule="auto" w:before="15"/>
        <w:ind w:left="218" w:right="222" w:firstLine="480"/>
        <w:jc w:val="both"/>
      </w:pPr>
      <w:r>
        <w:rPr>
          <w:spacing w:val="-6"/>
        </w:rPr>
        <w:t>新宁河域内有开江县气象站，设立于 </w:t>
      </w:r>
      <w:r>
        <w:rPr>
          <w:rFonts w:ascii="Times New Roman" w:eastAsia="Times New Roman"/>
        </w:rPr>
        <w:t>1959 </w:t>
      </w:r>
      <w:r>
        <w:rPr>
          <w:spacing w:val="-8"/>
        </w:rPr>
        <w:t>年，观测时间长，观测项目齐全，具有从建站至今完整的观测资料。该站资料可作为工区内气象条件的依据。</w:t>
      </w:r>
    </w:p>
    <w:p>
      <w:pPr>
        <w:pStyle w:val="BodyText"/>
        <w:spacing w:line="357" w:lineRule="auto" w:before="55"/>
        <w:ind w:left="218" w:right="225" w:firstLine="480"/>
        <w:jc w:val="both"/>
      </w:pPr>
      <w:r>
        <w:rPr/>
        <w:t>设计流域位于四川盆地东部，属亚热带润湿气候区，具有冬暖、春早、夏热、秋雨、多伏旱、日照适宜、无霜期长等特点。</w:t>
      </w:r>
    </w:p>
    <w:p>
      <w:pPr>
        <w:pStyle w:val="BodyText"/>
        <w:spacing w:before="36"/>
        <w:ind w:left="698"/>
      </w:pPr>
      <w:r>
        <w:rPr/>
        <w:t>据开江县气象站实测气象资料表明，其多年平均气温 </w:t>
      </w:r>
      <w:r>
        <w:rPr>
          <w:rFonts w:ascii="Times New Roman" w:hAnsi="Times New Roman" w:eastAsia="Times New Roman"/>
        </w:rPr>
        <w:t>16.7℃</w:t>
      </w:r>
      <w:r>
        <w:rPr/>
        <w:t>，极端最高气温</w:t>
      </w:r>
    </w:p>
    <w:p>
      <w:pPr>
        <w:pStyle w:val="BodyText"/>
        <w:spacing w:line="338" w:lineRule="auto"/>
        <w:ind w:left="218" w:right="222"/>
        <w:jc w:val="both"/>
      </w:pPr>
      <w:r>
        <w:rPr>
          <w:rFonts w:ascii="Times New Roman" w:hAnsi="Times New Roman" w:eastAsia="Times New Roman"/>
        </w:rPr>
        <w:t>39.8℃(1959.8.23)</w:t>
      </w:r>
      <w:r>
        <w:rPr/>
        <w:t>，极端最低气温</w:t>
      </w:r>
      <w:r>
        <w:rPr>
          <w:rFonts w:ascii="Times New Roman" w:hAnsi="Times New Roman" w:eastAsia="Times New Roman"/>
        </w:rPr>
        <w:t>-5.5℃(1963.1.15)</w:t>
      </w:r>
      <w:r>
        <w:rPr>
          <w:spacing w:val="-10"/>
        </w:rPr>
        <w:t>，多年平均降雨量 </w:t>
      </w:r>
      <w:r>
        <w:rPr>
          <w:rFonts w:ascii="Times New Roman" w:hAnsi="Times New Roman" w:eastAsia="Times New Roman"/>
        </w:rPr>
        <w:t>1230.1mm</w:t>
      </w:r>
      <w:r>
        <w:rPr/>
        <w:t>，多年</w:t>
      </w:r>
      <w:r>
        <w:rPr>
          <w:spacing w:val="-10"/>
        </w:rPr>
        <w:t>平均蒸发量 </w:t>
      </w:r>
      <w:r>
        <w:rPr>
          <w:rFonts w:ascii="Times New Roman" w:hAnsi="Times New Roman" w:eastAsia="Times New Roman"/>
          <w:spacing w:val="-3"/>
        </w:rPr>
        <w:t>1155.8mm</w:t>
      </w:r>
      <w:r>
        <w:rPr>
          <w:spacing w:val="-8"/>
        </w:rPr>
        <w:t>，多年平均日照时数 </w:t>
      </w:r>
      <w:r>
        <w:rPr>
          <w:rFonts w:ascii="Times New Roman" w:hAnsi="Times New Roman" w:eastAsia="Times New Roman"/>
          <w:spacing w:val="-3"/>
        </w:rPr>
        <w:t>1466h</w:t>
      </w:r>
      <w:r>
        <w:rPr>
          <w:spacing w:val="-8"/>
        </w:rPr>
        <w:t>，多年平均相对湿度 </w:t>
      </w:r>
      <w:r>
        <w:rPr>
          <w:rFonts w:ascii="Times New Roman" w:hAnsi="Times New Roman" w:eastAsia="Times New Roman"/>
          <w:spacing w:val="-5"/>
        </w:rPr>
        <w:t>80%</w:t>
      </w:r>
      <w:r>
        <w:rPr>
          <w:spacing w:val="-2"/>
        </w:rPr>
        <w:t>，多年平均</w:t>
      </w:r>
      <w:r>
        <w:rPr>
          <w:spacing w:val="-17"/>
        </w:rPr>
        <w:t>无霜期 </w:t>
      </w:r>
      <w:r>
        <w:rPr>
          <w:rFonts w:ascii="Times New Roman" w:hAnsi="Times New Roman" w:eastAsia="Times New Roman"/>
        </w:rPr>
        <w:t>285d</w:t>
      </w:r>
      <w:r>
        <w:rPr>
          <w:spacing w:val="-8"/>
        </w:rPr>
        <w:t>，多年平均风速 </w:t>
      </w:r>
      <w:r>
        <w:rPr>
          <w:rFonts w:ascii="Times New Roman" w:hAnsi="Times New Roman" w:eastAsia="Times New Roman"/>
        </w:rPr>
        <w:t>1.1m/s</w:t>
      </w:r>
      <w:r>
        <w:rPr>
          <w:spacing w:val="-8"/>
        </w:rPr>
        <w:t>，实测最大风速 </w:t>
      </w:r>
      <w:r>
        <w:rPr>
          <w:rFonts w:ascii="Times New Roman" w:hAnsi="Times New Roman" w:eastAsia="Times New Roman"/>
        </w:rPr>
        <w:t>17.0m/s</w:t>
      </w:r>
      <w:r>
        <w:rPr/>
        <w:t>。</w:t>
      </w:r>
    </w:p>
    <w:p>
      <w:pPr>
        <w:pStyle w:val="Heading2"/>
        <w:spacing w:before="26"/>
        <w:ind w:left="218"/>
        <w:jc w:val="both"/>
      </w:pPr>
      <w:r>
        <w:rPr>
          <w:rFonts w:ascii="Times New Roman" w:eastAsia="Times New Roman"/>
          <w:w w:val="95"/>
        </w:rPr>
        <w:t>4</w:t>
      </w:r>
      <w:r>
        <w:rPr>
          <w:w w:val="95"/>
        </w:rPr>
        <w:t>、动植物资源</w:t>
      </w:r>
    </w:p>
    <w:p>
      <w:pPr>
        <w:spacing w:before="135"/>
        <w:ind w:left="700"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line="338" w:lineRule="auto"/>
        <w:ind w:left="218" w:right="146" w:firstLine="480"/>
        <w:jc w:val="both"/>
      </w:pPr>
      <w:r>
        <w:rPr>
          <w:spacing w:val="-2"/>
        </w:rPr>
        <w:t>开江县境内有乔木、灌木、藤木、草木等各种植物 </w:t>
      </w:r>
      <w:r>
        <w:rPr>
          <w:rFonts w:ascii="Times New Roman" w:eastAsia="Times New Roman"/>
        </w:rPr>
        <w:t>700 </w:t>
      </w:r>
      <w:r>
        <w:rPr/>
        <w:t>多种以及蕨苔、苔藓、地</w:t>
      </w:r>
      <w:r>
        <w:rPr>
          <w:spacing w:val="-10"/>
        </w:rPr>
        <w:t>衣等植物。竹木植物有慈竹、楠竹、白甲竹和松柏杉等 </w:t>
      </w:r>
      <w:r>
        <w:rPr>
          <w:rFonts w:ascii="Times New Roman" w:eastAsia="Times New Roman"/>
        </w:rPr>
        <w:t>50 </w:t>
      </w:r>
      <w:r>
        <w:rPr>
          <w:spacing w:val="-4"/>
        </w:rPr>
        <w:t>多个品种。观赏植物有君子</w:t>
      </w:r>
      <w:r>
        <w:rPr>
          <w:spacing w:val="-10"/>
        </w:rPr>
        <w:t>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spacing w:after="0" w:line="338" w:lineRule="auto"/>
        <w:jc w:val="both"/>
        <w:sectPr>
          <w:pgSz w:w="11910" w:h="16840"/>
          <w:pgMar w:header="0" w:footer="1246" w:top="1200" w:bottom="1440" w:left="1200" w:right="1340"/>
        </w:sectPr>
      </w:pPr>
    </w:p>
    <w:p>
      <w:pPr>
        <w:pStyle w:val="Heading2"/>
        <w:spacing w:before="45"/>
        <w:ind w:left="700"/>
      </w:pPr>
      <w:r>
        <w:rPr/>
        <w:pict>
          <v:group style="position:absolute;margin-left:65.2705pt;margin-top:56.448982pt;width:457.4pt;height:703.5pt;mso-position-horizontal-relative:page;mso-position-vertical-relative:page;z-index:-84088" coordorigin="1305,1129" coordsize="9148,14070">
            <v:shape style="position:absolute;left:1310;top:1134;width:9134;height:14060" coordorigin="1310,1134" coordsize="9134,14060" path="m1315,1139l10444,1139m1310,1134l1310,15193e" filled="false" stroked="true" strokeweight=".481pt" strokecolor="#000000">
              <v:path arrowok="t"/>
              <v:stroke dashstyle="solid"/>
            </v:shape>
            <v:line style="position:absolute" from="1315,15188" to="10444,15188" stroked="true" strokeweight=".48pt" strokecolor="#000000">
              <v:stroke dashstyle="solid"/>
            </v:line>
            <v:line style="position:absolute" from="10448,1134" to="10448,15193" stroked="true" strokeweight=".48pt" strokecolor="#000000">
              <v:stroke dashstyle="solid"/>
            </v:line>
            <w10:wrap type="none"/>
          </v:group>
        </w:pict>
      </w:r>
      <w:r>
        <w:rPr>
          <w:w w:val="95"/>
        </w:rPr>
        <w:t>项目沿线除人工栽植的树木外，无珍惜、濒危植物。</w:t>
      </w:r>
    </w:p>
    <w:p>
      <w:pPr>
        <w:spacing w:before="153"/>
        <w:ind w:left="700"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ind w:left="218" w:firstLine="480"/>
      </w:pPr>
      <w:r>
        <w:rPr>
          <w:spacing w:val="-8"/>
        </w:rPr>
        <w:t>境内兽类只有黄羊、獐子、麂、狐狸、野兔等 </w:t>
      </w:r>
      <w:r>
        <w:rPr>
          <w:rFonts w:ascii="Times New Roman" w:eastAsia="Times New Roman"/>
        </w:rPr>
        <w:t>20 </w:t>
      </w:r>
      <w:r>
        <w:rPr>
          <w:spacing w:val="-5"/>
        </w:rPr>
        <w:t>余种。鸟类有野鸡、野鸭、画眉</w:t>
      </w:r>
      <w:r>
        <w:rPr>
          <w:spacing w:val="-33"/>
        </w:rPr>
        <w:t>等 </w:t>
      </w:r>
      <w:r>
        <w:rPr>
          <w:rFonts w:ascii="Times New Roman" w:eastAsia="Times New Roman"/>
        </w:rPr>
        <w:t>30 </w:t>
      </w:r>
      <w:r>
        <w:rPr>
          <w:spacing w:val="-9"/>
        </w:rPr>
        <w:t>余种。蛇虫类有乌梢蛇、菜花蛇。还有密蜂 、蜻蜒等。水生动物有鱼、虾、蚌、鳖、蟹、龟、蛙、螺等。</w:t>
      </w:r>
    </w:p>
    <w:p>
      <w:pPr>
        <w:pStyle w:val="Heading2"/>
        <w:spacing w:before="55"/>
        <w:ind w:left="218"/>
        <w:jc w:val="both"/>
      </w:pPr>
      <w:r>
        <w:rPr>
          <w:rFonts w:ascii="Times New Roman" w:eastAsia="Times New Roman"/>
          <w:w w:val="95"/>
        </w:rPr>
        <w:t>5</w:t>
      </w:r>
      <w:r>
        <w:rPr>
          <w:w w:val="95"/>
        </w:rPr>
        <w:t>、水文特征</w:t>
      </w:r>
    </w:p>
    <w:p>
      <w:pPr>
        <w:pStyle w:val="BodyText"/>
        <w:ind w:left="698"/>
      </w:pPr>
      <w:r>
        <w:rPr/>
        <w:t>干流新宁河</w:t>
      </w:r>
    </w:p>
    <w:p>
      <w:pPr>
        <w:pStyle w:val="BodyText"/>
        <w:spacing w:line="345" w:lineRule="auto" w:before="153"/>
        <w:ind w:left="218" w:right="97" w:firstLine="480"/>
      </w:pPr>
      <w:r>
        <w:rPr>
          <w:spacing w:val="-8"/>
        </w:rPr>
        <w:t>新宁河发源于开江县明月坝乡境内的冠子山，由南向北流经明月乡至开江县城</w:t>
      </w:r>
      <w:r>
        <w:rPr/>
        <w:t>（新宁镇</w:t>
      </w:r>
      <w:r>
        <w:rPr>
          <w:spacing w:val="-120"/>
        </w:rPr>
        <w:t>）</w:t>
      </w:r>
      <w:r>
        <w:rPr>
          <w:spacing w:val="-9"/>
        </w:rPr>
        <w:t>，然后经普安镇、宝塔乡、回龙镇进入七里峡，经宣汉县的七里乡、柏树乡后在</w:t>
      </w:r>
      <w:r>
        <w:rPr>
          <w:spacing w:val="-12"/>
        </w:rPr>
        <w:t>达县亭子镇的高滩平汇入明月江。新宁河集雨面积 </w:t>
      </w:r>
      <w:r>
        <w:rPr>
          <w:rFonts w:ascii="Times New Roman" w:hAnsi="Times New Roman" w:eastAsia="Times New Roman"/>
        </w:rPr>
        <w:t>357.54km</w:t>
      </w:r>
      <w:r>
        <w:rPr>
          <w:rFonts w:ascii="Times New Roman" w:hAnsi="Times New Roman" w:eastAsia="Times New Roman"/>
          <w:position w:val="9"/>
          <w:sz w:val="16"/>
        </w:rPr>
        <w:t>2</w:t>
      </w:r>
      <w:r>
        <w:rPr>
          <w:spacing w:val="-10"/>
        </w:rPr>
        <w:t>，主河全长 </w:t>
      </w:r>
      <w:r>
        <w:rPr>
          <w:rFonts w:ascii="Times New Roman" w:hAnsi="Times New Roman" w:eastAsia="Times New Roman"/>
        </w:rPr>
        <w:t>42km</w:t>
      </w:r>
      <w:r>
        <w:rPr/>
        <w:t>，河道</w:t>
      </w:r>
      <w:r>
        <w:rPr>
          <w:spacing w:val="-3"/>
        </w:rPr>
        <w:t>平均比降为 </w:t>
      </w:r>
      <w:r>
        <w:rPr>
          <w:rFonts w:ascii="Times New Roman" w:hAnsi="Times New Roman" w:eastAsia="Times New Roman"/>
        </w:rPr>
        <w:t>2.20‰</w:t>
      </w:r>
      <w:r>
        <w:rPr/>
        <w:t>。新宁河左岸较大支流主要有长田河、焦溪河等，右岸较大支流主</w:t>
      </w:r>
      <w:r>
        <w:rPr>
          <w:spacing w:val="-11"/>
        </w:rPr>
        <w:t>要有天生河、天师河、永兴河等。流域形状近似扇形，海拔高程在 </w:t>
      </w:r>
      <w:r>
        <w:rPr>
          <w:rFonts w:ascii="Times New Roman" w:hAnsi="Times New Roman" w:eastAsia="Times New Roman"/>
        </w:rPr>
        <w:t>470m</w:t>
      </w:r>
      <w:r>
        <w:rPr/>
        <w:t>～</w:t>
      </w:r>
      <w:r>
        <w:rPr>
          <w:rFonts w:ascii="Times New Roman" w:hAnsi="Times New Roman" w:eastAsia="Times New Roman"/>
        </w:rPr>
        <w:t>980m </w:t>
      </w:r>
      <w:r>
        <w:rPr/>
        <w:t>之间， 河源一带植被较好，下游段多为耕地，植被较差，垦殖率较高，水土流失较重。</w:t>
      </w:r>
    </w:p>
    <w:p>
      <w:pPr>
        <w:pStyle w:val="BodyText"/>
        <w:spacing w:line="345" w:lineRule="auto" w:before="47"/>
        <w:ind w:left="218" w:right="97" w:firstLine="480"/>
      </w:pPr>
      <w:r>
        <w:rPr/>
        <w:t>新宁河上、下游为低山丘陵山间盆地地貌单元，地层岩性以第四系全新统冲洪积淤泥质粉土、砂土、粘土等，灰白色或褐色，沿河道轴线部分多为砂土，湿、稍密、</w:t>
      </w:r>
      <w:r>
        <w:rPr>
          <w:spacing w:val="-31"/>
        </w:rPr>
        <w:t>厚 </w:t>
      </w:r>
      <w:r>
        <w:rPr>
          <w:rFonts w:ascii="Times New Roman" w:hAnsi="Times New Roman" w:eastAsia="Times New Roman"/>
        </w:rPr>
        <w:t>5m</w:t>
      </w:r>
      <w:r>
        <w:rPr/>
        <w:t>～</w:t>
      </w:r>
      <w:r>
        <w:rPr>
          <w:rFonts w:ascii="Times New Roman" w:hAnsi="Times New Roman" w:eastAsia="Times New Roman"/>
        </w:rPr>
        <w:t>15m</w:t>
      </w:r>
      <w:r>
        <w:rPr>
          <w:spacing w:val="-5"/>
        </w:rPr>
        <w:t>。基岩以侏罗系上沙溪庙组紫红色砂质泥岩，夹灰白色中细粒长石石英砂岩。砂质泥岩为砂泥质结构，块状构造；砂岩为砂状结构，层状构造，其中强风化厚</w:t>
      </w:r>
      <w:r>
        <w:rPr>
          <w:spacing w:val="-33"/>
        </w:rPr>
        <w:t>度 </w:t>
      </w:r>
      <w:r>
        <w:rPr>
          <w:rFonts w:ascii="Times New Roman" w:hAnsi="Times New Roman" w:eastAsia="Times New Roman"/>
        </w:rPr>
        <w:t>0.4m</w:t>
      </w:r>
      <w:r>
        <w:rPr/>
        <w:t>～</w:t>
      </w:r>
      <w:r>
        <w:rPr>
          <w:rFonts w:ascii="Times New Roman" w:hAnsi="Times New Roman" w:eastAsia="Times New Roman"/>
        </w:rPr>
        <w:t>2.5m</w:t>
      </w:r>
      <w:r>
        <w:rPr>
          <w:spacing w:val="-5"/>
        </w:rPr>
        <w:t>。工区位于明月峡背斜北东倾伏段，大地构造处于四川沉降带川东褶皱</w:t>
      </w:r>
      <w:r>
        <w:rPr>
          <w:spacing w:val="-6"/>
        </w:rPr>
        <w:t>带西侧的北部边缘，北部为麻柳场向斜穿过，褶皱轴线为北 </w:t>
      </w:r>
      <w:r>
        <w:rPr>
          <w:rFonts w:ascii="Times New Roman" w:hAnsi="Times New Roman" w:eastAsia="Times New Roman"/>
        </w:rPr>
        <w:t>30°</w:t>
      </w:r>
      <w:r>
        <w:rPr/>
        <w:t>～</w:t>
      </w:r>
      <w:r>
        <w:rPr>
          <w:rFonts w:ascii="Times New Roman" w:hAnsi="Times New Roman" w:eastAsia="Times New Roman"/>
        </w:rPr>
        <w:t>50°</w:t>
      </w:r>
      <w:r>
        <w:rPr/>
        <w:t>东，区内断裂不</w:t>
      </w:r>
      <w:r>
        <w:rPr>
          <w:spacing w:val="-22"/>
        </w:rPr>
        <w:t>发育，地质构造简单。根据《中国地震动参数区划图》，工区地震动峰值加速度＜</w:t>
      </w:r>
      <w:r>
        <w:rPr>
          <w:rFonts w:ascii="Times New Roman" w:hAnsi="Times New Roman" w:eastAsia="Times New Roman"/>
        </w:rPr>
        <w:t>0.05g</w:t>
      </w:r>
      <w:r>
        <w:rPr/>
        <w:t>， 相应地震基本烈度小于Ⅵ</w:t>
      </w:r>
      <w:r>
        <w:rPr>
          <w:spacing w:val="-14"/>
        </w:rPr>
        <w:t>度，地震反应谱特征周期为 </w:t>
      </w:r>
      <w:r>
        <w:rPr>
          <w:rFonts w:ascii="Times New Roman" w:hAnsi="Times New Roman" w:eastAsia="Times New Roman"/>
        </w:rPr>
        <w:t>0.35s</w:t>
      </w:r>
      <w:r>
        <w:rPr>
          <w:spacing w:val="-10"/>
        </w:rPr>
        <w:t>。区内不良地质作用不发育， 无崩塌滑坡，无岩溶泥石流、无活动断裂，无地下采空区。</w:t>
      </w:r>
    </w:p>
    <w:p>
      <w:pPr>
        <w:pStyle w:val="BodyText"/>
        <w:spacing w:line="348" w:lineRule="auto" w:before="47"/>
        <w:ind w:left="218" w:right="225" w:firstLine="480"/>
        <w:jc w:val="both"/>
      </w:pPr>
      <w:r>
        <w:rPr/>
        <w:t>新宁河域内有已成明月、老河堰及石埝口等水利工程。其中澄清河上明月水库为</w:t>
      </w:r>
      <w:r>
        <w:rPr>
          <w:spacing w:val="-6"/>
        </w:rPr>
        <w:t>小㈠型水库，总库容 </w:t>
      </w:r>
      <w:r>
        <w:rPr>
          <w:rFonts w:ascii="Times New Roman" w:eastAsia="Times New Roman"/>
        </w:rPr>
        <w:t>701.53 </w:t>
      </w:r>
      <w:r>
        <w:rPr>
          <w:spacing w:val="-26"/>
        </w:rPr>
        <w:t>万 </w:t>
      </w:r>
      <w:r>
        <w:rPr>
          <w:rFonts w:ascii="Times New Roman" w:eastAsia="Times New Roman"/>
        </w:rPr>
        <w:t>m</w:t>
      </w:r>
      <w:r>
        <w:rPr>
          <w:rFonts w:ascii="Times New Roman" w:eastAsia="Times New Roman"/>
          <w:position w:val="9"/>
          <w:sz w:val="16"/>
        </w:rPr>
        <w:t>3</w:t>
      </w:r>
      <w:r>
        <w:rPr>
          <w:spacing w:val="-9"/>
        </w:rPr>
        <w:t>，有效库容 </w:t>
      </w:r>
      <w:r>
        <w:rPr>
          <w:rFonts w:ascii="Times New Roman" w:eastAsia="Times New Roman"/>
        </w:rPr>
        <w:t>498.03 </w:t>
      </w:r>
      <w:r>
        <w:rPr>
          <w:spacing w:val="-26"/>
        </w:rPr>
        <w:t>万 </w:t>
      </w:r>
      <w:r>
        <w:rPr>
          <w:rFonts w:ascii="Times New Roman" w:eastAsia="Times New Roman"/>
        </w:rPr>
        <w:t>m</w:t>
      </w:r>
      <w:r>
        <w:rPr>
          <w:rFonts w:ascii="Times New Roman" w:eastAsia="Times New Roman"/>
          <w:position w:val="9"/>
          <w:sz w:val="16"/>
        </w:rPr>
        <w:t>3</w:t>
      </w:r>
      <w:r>
        <w:rPr>
          <w:spacing w:val="-11"/>
        </w:rPr>
        <w:t>，死库容 </w:t>
      </w:r>
      <w:r>
        <w:rPr>
          <w:rFonts w:ascii="Times New Roman" w:eastAsia="Times New Roman"/>
        </w:rPr>
        <w:t>35.0 </w:t>
      </w:r>
      <w:r>
        <w:rPr>
          <w:spacing w:val="-26"/>
        </w:rPr>
        <w:t>万 </w:t>
      </w:r>
      <w:r>
        <w:rPr>
          <w:rFonts w:ascii="Times New Roman" w:eastAsia="Times New Roman"/>
        </w:rPr>
        <w:t>m</w:t>
      </w:r>
      <w:r>
        <w:rPr>
          <w:rFonts w:ascii="Times New Roman" w:eastAsia="Times New Roman"/>
          <w:position w:val="9"/>
          <w:sz w:val="16"/>
        </w:rPr>
        <w:t>3</w:t>
      </w:r>
      <w:r>
        <w:rPr/>
        <w:t>。它兼有削减水库下游河段洪水，减轻洪水灾害，提高下游河段防洪能力作用。</w:t>
      </w:r>
    </w:p>
    <w:p>
      <w:pPr>
        <w:pStyle w:val="BodyText"/>
        <w:spacing w:before="45"/>
        <w:ind w:left="698"/>
      </w:pPr>
      <w:r>
        <w:rPr/>
        <w:t>左岸澄清河</w:t>
      </w:r>
    </w:p>
    <w:p>
      <w:pPr>
        <w:pStyle w:val="BodyText"/>
        <w:spacing w:before="153"/>
        <w:ind w:left="698"/>
      </w:pPr>
      <w:r>
        <w:rPr/>
        <w:t>澄清河为新宁河中上游左岸主流，发源于开江明月坝乡境内的冠子山，海拔高程</w:t>
      </w:r>
    </w:p>
    <w:p>
      <w:pPr>
        <w:pStyle w:val="BodyText"/>
        <w:spacing w:line="338" w:lineRule="auto" w:before="153"/>
        <w:ind w:left="218" w:right="222"/>
        <w:jc w:val="both"/>
      </w:pPr>
      <w:r>
        <w:rPr>
          <w:rFonts w:ascii="Times New Roman" w:hAnsi="Times New Roman" w:eastAsia="Times New Roman"/>
        </w:rPr>
        <w:t>983.0m</w:t>
      </w:r>
      <w:r>
        <w:rPr/>
        <w:t>，由南向北流经明月坝乡，至开江县城北的双叉河口汇入蕉溪河，蕉溪河汇入</w:t>
      </w:r>
      <w:r>
        <w:rPr>
          <w:spacing w:val="-4"/>
        </w:rPr>
        <w:t>新宁河。控制流域面积 </w:t>
      </w:r>
      <w:r>
        <w:rPr>
          <w:rFonts w:ascii="Times New Roman" w:hAnsi="Times New Roman" w:eastAsia="Times New Roman"/>
        </w:rPr>
        <w:t>32.8km</w:t>
      </w:r>
      <w:r>
        <w:rPr>
          <w:rFonts w:ascii="Times New Roman" w:hAnsi="Times New Roman" w:eastAsia="Times New Roman"/>
          <w:position w:val="9"/>
          <w:sz w:val="16"/>
        </w:rPr>
        <w:t>2</w:t>
      </w:r>
      <w:r>
        <w:rPr>
          <w:spacing w:val="-10"/>
        </w:rPr>
        <w:t>，河长 </w:t>
      </w:r>
      <w:r>
        <w:rPr>
          <w:rFonts w:ascii="Times New Roman" w:hAnsi="Times New Roman" w:eastAsia="Times New Roman"/>
        </w:rPr>
        <w:t>11.4km</w:t>
      </w:r>
      <w:r>
        <w:rPr>
          <w:spacing w:val="-5"/>
        </w:rPr>
        <w:t>，河道平均坡降 </w:t>
      </w:r>
      <w:r>
        <w:rPr>
          <w:rFonts w:ascii="Times New Roman" w:hAnsi="Times New Roman" w:eastAsia="Times New Roman"/>
        </w:rPr>
        <w:t>8.15‰</w:t>
      </w:r>
      <w:r>
        <w:rPr/>
        <w:t>。流域形状近似</w:t>
      </w:r>
      <w:r>
        <w:rPr>
          <w:spacing w:val="-6"/>
        </w:rPr>
        <w:t>扇形，海拔高程在 </w:t>
      </w:r>
      <w:r>
        <w:rPr>
          <w:rFonts w:ascii="Times New Roman" w:hAnsi="Times New Roman" w:eastAsia="Times New Roman"/>
        </w:rPr>
        <w:t>470m</w:t>
      </w:r>
      <w:r>
        <w:rPr/>
        <w:t>～</w:t>
      </w:r>
      <w:r>
        <w:rPr>
          <w:rFonts w:ascii="Times New Roman" w:hAnsi="Times New Roman" w:eastAsia="Times New Roman"/>
        </w:rPr>
        <w:t>980m </w:t>
      </w:r>
      <w:r>
        <w:rPr/>
        <w:t>之间，河源一带植被较好，下游段多为耕地，植被较</w:t>
      </w:r>
    </w:p>
    <w:p>
      <w:pPr>
        <w:spacing w:after="0" w:line="338" w:lineRule="auto"/>
        <w:jc w:val="both"/>
        <w:sectPr>
          <w:pgSz w:w="11910" w:h="16840"/>
          <w:pgMar w:header="0" w:footer="1246" w:top="1120" w:bottom="1440" w:left="1200" w:right="1340"/>
        </w:sectPr>
      </w:pPr>
    </w:p>
    <w:p>
      <w:pPr>
        <w:pStyle w:val="BodyText"/>
        <w:spacing w:line="350" w:lineRule="auto" w:before="45"/>
        <w:ind w:left="218" w:right="221"/>
        <w:jc w:val="both"/>
      </w:pPr>
      <w:r>
        <w:rPr/>
        <w:pict>
          <v:group style="position:absolute;margin-left:65.2705pt;margin-top:56.448982pt;width:457.4pt;height:703.5pt;mso-position-horizontal-relative:page;mso-position-vertical-relative:page;z-index:-84064" coordorigin="1305,1129" coordsize="9148,14070">
            <v:shape style="position:absolute;left:1310;top:1134;width:9134;height:14060" coordorigin="1310,1134" coordsize="9134,14060" path="m1315,1139l10444,1139m1310,1134l1310,15193e" filled="false" stroked="true" strokeweight=".481pt" strokecolor="#000000">
              <v:path arrowok="t"/>
              <v:stroke dashstyle="solid"/>
            </v:shape>
            <v:line style="position:absolute" from="1315,15188" to="10444,15188" stroked="true" strokeweight=".48pt" strokecolor="#000000">
              <v:stroke dashstyle="solid"/>
            </v:line>
            <v:line style="position:absolute" from="10448,1134" to="10448,15193" stroked="true" strokeweight=".48pt" strokecolor="#000000">
              <v:stroke dashstyle="solid"/>
            </v:line>
            <w10:wrap type="none"/>
          </v:group>
        </w:pict>
      </w:r>
      <w:r>
        <w:rPr/>
        <w:t>差，垦殖率较高，水土流失较重。澄清河上游有已成明月水库，是一座以农业灌溉、防洪为主，兼有开江县城区供水、经果种植、旅游开发等综合利用的小㈠型骨干水利</w:t>
      </w:r>
      <w:r>
        <w:rPr>
          <w:spacing w:val="-8"/>
        </w:rPr>
        <w:t>工程，总库容 </w:t>
      </w:r>
      <w:r>
        <w:rPr>
          <w:rFonts w:ascii="Times New Roman" w:eastAsia="Times New Roman"/>
        </w:rPr>
        <w:t>701.53 </w:t>
      </w:r>
      <w:r>
        <w:rPr>
          <w:spacing w:val="-26"/>
        </w:rPr>
        <w:t>万 </w:t>
      </w:r>
      <w:r>
        <w:rPr>
          <w:rFonts w:ascii="Times New Roman" w:eastAsia="Times New Roman"/>
        </w:rPr>
        <w:t>m</w:t>
      </w:r>
      <w:r>
        <w:rPr>
          <w:rFonts w:ascii="Times New Roman" w:eastAsia="Times New Roman"/>
          <w:position w:val="9"/>
          <w:sz w:val="16"/>
        </w:rPr>
        <w:t>3</w:t>
      </w:r>
      <w:r>
        <w:rPr>
          <w:spacing w:val="-9"/>
        </w:rPr>
        <w:t>，有效库容 </w:t>
      </w:r>
      <w:r>
        <w:rPr>
          <w:rFonts w:ascii="Times New Roman" w:eastAsia="Times New Roman"/>
        </w:rPr>
        <w:t>498.03 </w:t>
      </w:r>
      <w:r>
        <w:rPr>
          <w:spacing w:val="-26"/>
        </w:rPr>
        <w:t>万 </w:t>
      </w:r>
      <w:r>
        <w:rPr>
          <w:rFonts w:ascii="Times New Roman" w:eastAsia="Times New Roman"/>
        </w:rPr>
        <w:t>m</w:t>
      </w:r>
      <w:r>
        <w:rPr>
          <w:rFonts w:ascii="Times New Roman" w:eastAsia="Times New Roman"/>
          <w:position w:val="9"/>
          <w:sz w:val="16"/>
        </w:rPr>
        <w:t>3</w:t>
      </w:r>
      <w:r>
        <w:rPr>
          <w:spacing w:val="-11"/>
        </w:rPr>
        <w:t>，死库容 </w:t>
      </w:r>
      <w:r>
        <w:rPr>
          <w:rFonts w:ascii="Times New Roman" w:eastAsia="Times New Roman"/>
        </w:rPr>
        <w:t>35.0 </w:t>
      </w:r>
      <w:r>
        <w:rPr>
          <w:spacing w:val="-26"/>
        </w:rPr>
        <w:t>万 </w:t>
      </w:r>
      <w:r>
        <w:rPr>
          <w:rFonts w:ascii="Times New Roman" w:eastAsia="Times New Roman"/>
        </w:rPr>
        <w:t>m</w:t>
      </w:r>
      <w:r>
        <w:rPr>
          <w:rFonts w:ascii="Times New Roman" w:eastAsia="Times New Roman"/>
          <w:position w:val="9"/>
          <w:sz w:val="16"/>
        </w:rPr>
        <w:t>3</w:t>
      </w:r>
      <w:r>
        <w:rPr/>
        <w:t>，对水库下游河道有一定的调蓄影响。</w:t>
      </w:r>
    </w:p>
    <w:p>
      <w:pPr>
        <w:pStyle w:val="BodyText"/>
        <w:spacing w:before="43"/>
        <w:ind w:left="698"/>
      </w:pPr>
      <w:r>
        <w:rPr/>
        <w:t>左岸支流长田河</w:t>
      </w:r>
    </w:p>
    <w:p>
      <w:pPr>
        <w:pStyle w:val="BodyText"/>
        <w:spacing w:before="153"/>
        <w:ind w:left="698"/>
      </w:pPr>
      <w:r>
        <w:rPr/>
        <w:t>长田河为新宁河中游左岸一支流，发源于达川区的观音山一带，最高海拔高为</w:t>
      </w:r>
    </w:p>
    <w:p>
      <w:pPr>
        <w:pStyle w:val="BodyText"/>
        <w:spacing w:line="348" w:lineRule="auto" w:before="153"/>
        <w:ind w:left="218" w:right="221"/>
        <w:jc w:val="both"/>
      </w:pPr>
      <w:r>
        <w:rPr>
          <w:rFonts w:ascii="Times New Roman" w:hAnsi="Times New Roman" w:eastAsia="Times New Roman"/>
          <w:spacing w:val="-3"/>
        </w:rPr>
        <w:t>1058.6m</w:t>
      </w:r>
      <w:r>
        <w:rPr>
          <w:spacing w:val="-7"/>
        </w:rPr>
        <w:t>，自西南向北流，经开江马家桥、雷家坝、杨家坝等，于何家祠堂处入开江县长田乡，继续北流，经陈家岩、罗家衙门口、大堰口、雷打石等，于杨家坡处汇入干</w:t>
      </w:r>
      <w:r>
        <w:rPr>
          <w:spacing w:val="-10"/>
        </w:rPr>
        <w:t>流新宁河左岸，控制流域面积为 </w:t>
      </w:r>
      <w:r>
        <w:rPr>
          <w:rFonts w:ascii="Times New Roman" w:hAnsi="Times New Roman" w:eastAsia="Times New Roman"/>
        </w:rPr>
        <w:t>32.1km</w:t>
      </w:r>
      <w:r>
        <w:rPr>
          <w:rFonts w:ascii="Times New Roman" w:hAnsi="Times New Roman" w:eastAsia="Times New Roman"/>
          <w:position w:val="9"/>
          <w:sz w:val="16"/>
        </w:rPr>
        <w:t>2</w:t>
      </w:r>
      <w:r>
        <w:rPr>
          <w:spacing w:val="-10"/>
        </w:rPr>
        <w:t>，河长 </w:t>
      </w:r>
      <w:r>
        <w:rPr>
          <w:rFonts w:ascii="Times New Roman" w:hAnsi="Times New Roman" w:eastAsia="Times New Roman"/>
        </w:rPr>
        <w:t>12.1km</w:t>
      </w:r>
      <w:r>
        <w:rPr>
          <w:spacing w:val="-5"/>
        </w:rPr>
        <w:t>，河道平均坡降为 </w:t>
      </w:r>
      <w:r>
        <w:rPr>
          <w:rFonts w:ascii="Times New Roman" w:hAnsi="Times New Roman" w:eastAsia="Times New Roman"/>
        </w:rPr>
        <w:t>14.3‰</w:t>
      </w:r>
      <w:r>
        <w:rPr/>
        <w:t>。主要支流有左岸观音沟、蔡家沟、青龙咀沟等。流域内有已成多处小型水利工程，对流域径流及洪水无明显的调蓄影响。</w:t>
      </w:r>
    </w:p>
    <w:p>
      <w:pPr>
        <w:pStyle w:val="BodyText"/>
        <w:spacing w:before="45"/>
        <w:ind w:left="698"/>
      </w:pPr>
      <w:r>
        <w:rPr/>
        <w:t>右岸永兴河</w:t>
      </w:r>
    </w:p>
    <w:p>
      <w:pPr>
        <w:pStyle w:val="BodyText"/>
        <w:spacing w:before="153"/>
        <w:ind w:left="698"/>
      </w:pPr>
      <w:r>
        <w:rPr/>
        <w:t>永兴河为新宁河中上游右岸主流，发源于开江县的黑天池一带，最高海拔高为</w:t>
      </w:r>
    </w:p>
    <w:p>
      <w:pPr>
        <w:pStyle w:val="BodyText"/>
        <w:spacing w:line="350" w:lineRule="auto" w:before="153"/>
        <w:ind w:left="218" w:right="91"/>
      </w:pPr>
      <w:r>
        <w:rPr>
          <w:rFonts w:ascii="Times New Roman" w:hAnsi="Times New Roman" w:eastAsia="Times New Roman"/>
          <w:spacing w:val="-7"/>
        </w:rPr>
        <w:t>1343.7m</w:t>
      </w:r>
      <w:r>
        <w:rPr>
          <w:spacing w:val="-14"/>
        </w:rPr>
        <w:t>，自北东西南流，经开江县的龙王塘、何家帮等，于凉水井处入开江县灵岩乡， 继续西南流，经李家咀、易家坝、郑家坝等，于干坝子处入开江县的新太乡，继续西南流，经李家桥、牌楼湾、姚家坝等，于狮子寨处入开江县永兴镇，继续西南流，经糖房坝、杨家坝、红岩子、西牛牌等，于天心坝处（普安镇双河口）汇入干流新宁河</w:t>
      </w:r>
      <w:r>
        <w:rPr>
          <w:spacing w:val="-17"/>
        </w:rPr>
        <w:t>右岸，控制流域面积为 </w:t>
      </w:r>
      <w:r>
        <w:rPr>
          <w:rFonts w:ascii="Times New Roman" w:hAnsi="Times New Roman" w:eastAsia="Times New Roman"/>
        </w:rPr>
        <w:t>88.3km</w:t>
      </w:r>
      <w:r>
        <w:rPr>
          <w:rFonts w:ascii="Times New Roman" w:hAnsi="Times New Roman" w:eastAsia="Times New Roman"/>
          <w:position w:val="9"/>
          <w:sz w:val="16"/>
        </w:rPr>
        <w:t>2</w:t>
      </w:r>
      <w:r>
        <w:rPr>
          <w:spacing w:val="-10"/>
        </w:rPr>
        <w:t>，河长 </w:t>
      </w:r>
      <w:r>
        <w:rPr>
          <w:rFonts w:ascii="Times New Roman" w:hAnsi="Times New Roman" w:eastAsia="Times New Roman"/>
        </w:rPr>
        <w:t>26.0km</w:t>
      </w:r>
      <w:r>
        <w:rPr>
          <w:spacing w:val="-5"/>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Heading2"/>
        <w:spacing w:before="43"/>
        <w:ind w:left="700"/>
      </w:pPr>
      <w:r>
        <w:rPr>
          <w:rFonts w:ascii="Times New Roman" w:eastAsia="Times New Roman"/>
        </w:rPr>
        <w:t>6</w:t>
      </w:r>
      <w:r>
        <w:rPr/>
        <w:t>、土壤</w:t>
      </w:r>
    </w:p>
    <w:p>
      <w:pPr>
        <w:pStyle w:val="BodyText"/>
        <w:spacing w:line="338" w:lineRule="auto" w:before="136"/>
        <w:ind w:left="218" w:right="225" w:firstLine="480"/>
        <w:jc w:val="both"/>
      </w:pPr>
      <w:r>
        <w:rPr>
          <w:spacing w:val="-7"/>
        </w:rPr>
        <w:t>开江县土壤面积有 </w:t>
      </w:r>
      <w:r>
        <w:rPr>
          <w:rFonts w:ascii="Times New Roman" w:eastAsia="Times New Roman"/>
        </w:rPr>
        <w:t>103300 </w:t>
      </w:r>
      <w:r>
        <w:rPr>
          <w:spacing w:val="-12"/>
        </w:rPr>
        <w:t>公顷，非适宜农业土壤面积 </w:t>
      </w:r>
      <w:r>
        <w:rPr>
          <w:rFonts w:ascii="Times New Roman" w:eastAsia="Times New Roman"/>
        </w:rPr>
        <w:t>56868 </w:t>
      </w:r>
      <w:r>
        <w:rPr>
          <w:spacing w:val="-7"/>
        </w:rPr>
        <w:t>公顷，占土壤总面积</w:t>
      </w:r>
      <w:r>
        <w:rPr>
          <w:spacing w:val="-16"/>
        </w:rPr>
        <w:t>的 </w:t>
      </w:r>
      <w:r>
        <w:rPr>
          <w:rFonts w:ascii="Times New Roman" w:eastAsia="Times New Roman"/>
        </w:rPr>
        <w:t>55.05%</w:t>
      </w:r>
      <w:r>
        <w:rPr>
          <w:spacing w:val="-3"/>
        </w:rPr>
        <w:t>，农业土壤面积 </w:t>
      </w:r>
      <w:r>
        <w:rPr>
          <w:rFonts w:ascii="Times New Roman" w:eastAsia="Times New Roman"/>
        </w:rPr>
        <w:t>46432 </w:t>
      </w:r>
      <w:r>
        <w:rPr>
          <w:spacing w:val="-3"/>
        </w:rPr>
        <w:t>公顷，占土壤总面积的 </w:t>
      </w:r>
      <w:r>
        <w:rPr>
          <w:rFonts w:ascii="Times New Roman" w:eastAsia="Times New Roman"/>
        </w:rPr>
        <w:t>44.95%</w:t>
      </w:r>
      <w:r>
        <w:rPr>
          <w:spacing w:val="-3"/>
        </w:rPr>
        <w:t>。农业土壤又分为 </w:t>
      </w:r>
      <w:r>
        <w:rPr>
          <w:rFonts w:ascii="Times New Roman" w:eastAsia="Times New Roman"/>
        </w:rPr>
        <w:t>2 </w:t>
      </w:r>
      <w:r>
        <w:rPr/>
        <w:t>个土类，</w:t>
      </w:r>
      <w:r>
        <w:rPr>
          <w:rFonts w:ascii="Times New Roman" w:eastAsia="Times New Roman"/>
        </w:rPr>
        <w:t>2 </w:t>
      </w:r>
      <w:r>
        <w:rPr>
          <w:spacing w:val="-6"/>
        </w:rPr>
        <w:t>个土类分别为冲积土 </w:t>
      </w:r>
      <w:r>
        <w:rPr>
          <w:rFonts w:ascii="Times New Roman" w:eastAsia="Times New Roman"/>
        </w:rPr>
        <w:t>277.78 </w:t>
      </w:r>
      <w:r>
        <w:rPr>
          <w:spacing w:val="-9"/>
        </w:rPr>
        <w:t>公顷、黄壤土 </w:t>
      </w:r>
      <w:r>
        <w:rPr>
          <w:rFonts w:ascii="Times New Roman" w:eastAsia="Times New Roman"/>
        </w:rPr>
        <w:t>769.09 </w:t>
      </w:r>
      <w:r>
        <w:rPr/>
        <w:t>公顷。</w:t>
      </w:r>
    </w:p>
    <w:p>
      <w:pPr>
        <w:spacing w:after="0" w:line="338" w:lineRule="auto"/>
        <w:jc w:val="both"/>
        <w:sectPr>
          <w:pgSz w:w="11910" w:h="16840"/>
          <w:pgMar w:header="0" w:footer="1246" w:top="1120" w:bottom="1440" w:left="1200" w:right="1340"/>
        </w:sectPr>
      </w:pPr>
    </w:p>
    <w:p>
      <w:pPr>
        <w:pStyle w:val="Heading1"/>
        <w:ind w:left="178"/>
      </w:pPr>
      <w:r>
        <w:rPr/>
        <w:pict>
          <v:group style="position:absolute;margin-left:67.190002pt;margin-top:87.649986pt;width:460.95pt;height:668.1pt;mso-position-horizontal-relative:page;mso-position-vertical-relative:page;z-index:-84040" coordorigin="1344,1753" coordsize="9219,13362">
            <v:shape style="position:absolute;left:1349;top:1758;width:9204;height:13352" coordorigin="1349,1758" coordsize="9204,13352" path="m1354,1763l10553,1763m1349,1758l1349,15109e" filled="false" stroked="true" strokeweight=".48pt" strokecolor="#000000">
              <v:path arrowok="t"/>
              <v:stroke dashstyle="solid"/>
            </v:shape>
            <v:line style="position:absolute" from="1354,15104" to="10553,15104" stroked="true" strokeweight=".48pt" strokecolor="#000000">
              <v:stroke dashstyle="solid"/>
            </v:line>
            <v:line style="position:absolute" from="10558,1758" to="10558,15109" stroked="true" strokeweight=".48pt" strokecolor="#000000">
              <v:stroke dashstyle="solid"/>
            </v:line>
            <w10:wrap type="none"/>
          </v:group>
        </w:pict>
      </w:r>
      <w:r>
        <w:rPr>
          <w:w w:val="95"/>
        </w:rPr>
        <w:t>环境质量状况</w:t>
      </w:r>
    </w:p>
    <w:p>
      <w:pPr>
        <w:pStyle w:val="Heading2"/>
        <w:spacing w:line="357" w:lineRule="auto" w:before="221"/>
        <w:ind w:right="216"/>
      </w:pPr>
      <w:r>
        <w:rPr/>
        <w:t>建设项目所在地区环境质量现状及主要环境问题（环境空气、地表水、地下水、声环</w:t>
      </w:r>
      <w:r>
        <w:rPr>
          <w:w w:val="95"/>
        </w:rPr>
        <w:t>境、生态环境等）</w:t>
      </w:r>
      <w:r>
        <w:rPr>
          <w:w w:val="99"/>
        </w:rPr>
        <w:t> </w:t>
      </w:r>
    </w:p>
    <w:p>
      <w:pPr>
        <w:pStyle w:val="BodyText"/>
        <w:spacing w:line="350" w:lineRule="auto" w:before="36"/>
        <w:ind w:left="215" w:right="211" w:firstLine="480"/>
        <w:jc w:val="both"/>
      </w:pPr>
      <w:r>
        <w:rPr/>
        <w:t>根据本项目环境评价的等级、范围、保护目标及周围环境功能和气象特征，本次</w:t>
      </w:r>
      <w:r>
        <w:rPr>
          <w:spacing w:val="-3"/>
        </w:rPr>
        <w:t>评价引用四川省工业环境监测研究院于 </w:t>
      </w:r>
      <w:r>
        <w:rPr>
          <w:rFonts w:ascii="Times New Roman" w:hAnsi="Times New Roman" w:eastAsia="Times New Roman"/>
        </w:rPr>
        <w:t>2017 </w:t>
      </w:r>
      <w:r>
        <w:rPr>
          <w:spacing w:val="-27"/>
        </w:rPr>
        <w:t>年 </w:t>
      </w:r>
      <w:r>
        <w:rPr>
          <w:rFonts w:ascii="Times New Roman" w:hAnsi="Times New Roman" w:eastAsia="Times New Roman"/>
        </w:rPr>
        <w:t>8 </w:t>
      </w:r>
      <w:r>
        <w:rPr>
          <w:spacing w:val="-27"/>
        </w:rPr>
        <w:t>月 </w:t>
      </w:r>
      <w:r>
        <w:rPr>
          <w:rFonts w:ascii="Times New Roman" w:hAnsi="Times New Roman" w:eastAsia="Times New Roman"/>
        </w:rPr>
        <w:t>7 </w:t>
      </w:r>
      <w:r>
        <w:rPr/>
        <w:t>日～</w:t>
      </w:r>
      <w:r>
        <w:rPr>
          <w:rFonts w:ascii="Times New Roman" w:hAnsi="Times New Roman" w:eastAsia="Times New Roman"/>
        </w:rPr>
        <w:t>8 </w:t>
      </w:r>
      <w:r>
        <w:rPr>
          <w:spacing w:val="-27"/>
        </w:rPr>
        <w:t>月 </w:t>
      </w:r>
      <w:r>
        <w:rPr>
          <w:rFonts w:ascii="Times New Roman" w:hAnsi="Times New Roman" w:eastAsia="Times New Roman"/>
        </w:rPr>
        <w:t>9 </w:t>
      </w:r>
      <w:r>
        <w:rPr/>
        <w:t>日对“开江县梅家乡卫生院改扩建业务用房及污水处理附属设施建设项目”大气现状监测数据。该测点位于梅家乡人民政府，本项目位于场镇，监测时间和距离具有代表性，且满足《环境影</w:t>
      </w:r>
      <w:r>
        <w:rPr>
          <w:spacing w:val="-1"/>
        </w:rPr>
        <w:t>响评价技术导则 大气环境》</w:t>
      </w:r>
      <w:r>
        <w:rPr>
          <w:rFonts w:ascii="Times New Roman" w:hAnsi="Times New Roman" w:eastAsia="Times New Roman"/>
        </w:rPr>
        <w:t>HJ2.2-2008 </w:t>
      </w:r>
      <w:r>
        <w:rPr/>
        <w:t>中的有关规定要求，因此引用该监测数据具有代表性和时效性。</w:t>
      </w:r>
    </w:p>
    <w:p>
      <w:pPr>
        <w:pStyle w:val="Heading2"/>
        <w:spacing w:before="43"/>
      </w:pPr>
      <w:r>
        <w:rPr>
          <w:w w:val="95"/>
        </w:rPr>
        <w:t>一、环境空气质量现状</w:t>
      </w:r>
    </w:p>
    <w:p>
      <w:pPr>
        <w:spacing w:before="75"/>
        <w:ind w:left="698" w:right="0" w:firstLine="0"/>
        <w:jc w:val="left"/>
        <w:rPr>
          <w:rFonts w:ascii="黑体" w:eastAsia="黑体" w:hint="eastAsia"/>
          <w:b/>
          <w:sz w:val="24"/>
        </w:rPr>
      </w:pPr>
      <w:r>
        <w:rPr>
          <w:rFonts w:ascii="Times New Roman" w:eastAsia="Times New Roman"/>
          <w:b/>
          <w:w w:val="95"/>
          <w:sz w:val="24"/>
        </w:rPr>
        <w:t>1</w:t>
      </w:r>
      <w:r>
        <w:rPr>
          <w:rFonts w:ascii="黑体" w:eastAsia="黑体" w:hint="eastAsia"/>
          <w:b/>
          <w:w w:val="95"/>
          <w:sz w:val="24"/>
        </w:rPr>
        <w:t>、监测因子</w:t>
      </w:r>
    </w:p>
    <w:p>
      <w:pPr>
        <w:spacing w:before="133"/>
        <w:ind w:left="695" w:right="0" w:firstLine="0"/>
        <w:jc w:val="left"/>
        <w:rPr>
          <w:sz w:val="24"/>
        </w:rPr>
      </w:pPr>
      <w:r>
        <w:rPr>
          <w:position w:val="1"/>
          <w:sz w:val="24"/>
        </w:rPr>
        <w:t>监测因子：</w:t>
      </w:r>
      <w:r>
        <w:rPr>
          <w:rFonts w:ascii="Times New Roman" w:eastAsia="Times New Roman"/>
          <w:position w:val="1"/>
          <w:sz w:val="24"/>
        </w:rPr>
        <w:t>SO</w:t>
      </w:r>
      <w:r>
        <w:rPr>
          <w:rFonts w:ascii="Times New Roman" w:eastAsia="Times New Roman"/>
          <w:sz w:val="16"/>
        </w:rPr>
        <w:t>2</w:t>
      </w:r>
      <w:r>
        <w:rPr>
          <w:position w:val="1"/>
          <w:sz w:val="24"/>
        </w:rPr>
        <w:t>、</w:t>
      </w:r>
      <w:r>
        <w:rPr>
          <w:rFonts w:ascii="Times New Roman" w:eastAsia="Times New Roman"/>
          <w:position w:val="1"/>
          <w:sz w:val="24"/>
        </w:rPr>
        <w:t>NO</w:t>
      </w:r>
      <w:r>
        <w:rPr>
          <w:rFonts w:ascii="Times New Roman" w:eastAsia="Times New Roman"/>
          <w:sz w:val="16"/>
        </w:rPr>
        <w:t>2</w:t>
      </w:r>
      <w:r>
        <w:rPr>
          <w:position w:val="1"/>
          <w:sz w:val="24"/>
        </w:rPr>
        <w:t>、</w:t>
      </w:r>
      <w:r>
        <w:rPr>
          <w:rFonts w:ascii="Times New Roman" w:eastAsia="Times New Roman"/>
          <w:position w:val="1"/>
          <w:sz w:val="24"/>
        </w:rPr>
        <w:t>PM</w:t>
      </w:r>
      <w:r>
        <w:rPr>
          <w:rFonts w:ascii="Times New Roman" w:eastAsia="Times New Roman"/>
          <w:sz w:val="16"/>
        </w:rPr>
        <w:t>10 </w:t>
      </w:r>
      <w:r>
        <w:rPr>
          <w:position w:val="1"/>
          <w:sz w:val="24"/>
        </w:rPr>
        <w:t>共 </w:t>
      </w:r>
      <w:r>
        <w:rPr>
          <w:rFonts w:ascii="Times New Roman" w:eastAsia="Times New Roman"/>
          <w:position w:val="1"/>
          <w:sz w:val="24"/>
        </w:rPr>
        <w:t>3 </w:t>
      </w:r>
      <w:r>
        <w:rPr>
          <w:position w:val="1"/>
          <w:sz w:val="24"/>
        </w:rPr>
        <w:t>项。</w:t>
      </w:r>
    </w:p>
    <w:p>
      <w:pPr>
        <w:pStyle w:val="Heading2"/>
        <w:spacing w:before="134"/>
        <w:ind w:left="697"/>
        <w:rPr>
          <w:rFonts w:ascii="黑体" w:eastAsia="黑体" w:hint="eastAsia"/>
        </w:rPr>
      </w:pPr>
      <w:r>
        <w:rPr>
          <w:rFonts w:ascii="Times New Roman" w:eastAsia="Times New Roman"/>
          <w:w w:val="95"/>
        </w:rPr>
        <w:t>2</w:t>
      </w:r>
      <w:r>
        <w:rPr>
          <w:rFonts w:ascii="黑体" w:eastAsia="黑体" w:hint="eastAsia"/>
          <w:w w:val="95"/>
        </w:rPr>
        <w:t>、监测点位置</w:t>
      </w:r>
    </w:p>
    <w:p>
      <w:pPr>
        <w:pStyle w:val="BodyText"/>
        <w:spacing w:before="134"/>
        <w:ind w:left="695"/>
      </w:pPr>
      <w:r>
        <w:rPr/>
        <w:t>梅家乡人民政府；</w:t>
      </w:r>
    </w:p>
    <w:p>
      <w:pPr>
        <w:pStyle w:val="Heading2"/>
        <w:spacing w:before="153"/>
        <w:ind w:left="697"/>
        <w:rPr>
          <w:rFonts w:ascii="黑体" w:eastAsia="黑体" w:hint="eastAsia"/>
        </w:rPr>
      </w:pPr>
      <w:r>
        <w:rPr>
          <w:rFonts w:ascii="Times New Roman" w:eastAsia="Times New Roman"/>
          <w:w w:val="95"/>
        </w:rPr>
        <w:t>3</w:t>
      </w:r>
      <w:r>
        <w:rPr>
          <w:rFonts w:ascii="黑体" w:eastAsia="黑体" w:hint="eastAsia"/>
          <w:w w:val="95"/>
        </w:rPr>
        <w:t>、监测时段和频率</w:t>
      </w:r>
    </w:p>
    <w:p>
      <w:pPr>
        <w:pStyle w:val="BodyText"/>
        <w:spacing w:before="134"/>
        <w:ind w:left="695"/>
      </w:pPr>
      <w:r>
        <w:rPr/>
        <w:t>监测时段：</w:t>
      </w:r>
      <w:r>
        <w:rPr>
          <w:rFonts w:ascii="Times New Roman" w:eastAsia="Times New Roman"/>
        </w:rPr>
        <w:t>2017 </w:t>
      </w:r>
      <w:r>
        <w:rPr/>
        <w:t>年 </w:t>
      </w:r>
      <w:r>
        <w:rPr>
          <w:rFonts w:ascii="Times New Roman" w:eastAsia="Times New Roman"/>
        </w:rPr>
        <w:t>8 </w:t>
      </w:r>
      <w:r>
        <w:rPr/>
        <w:t>月 </w:t>
      </w:r>
      <w:r>
        <w:rPr>
          <w:rFonts w:ascii="Times New Roman" w:eastAsia="Times New Roman"/>
        </w:rPr>
        <w:t>6 </w:t>
      </w:r>
      <w:r>
        <w:rPr/>
        <w:t>日</w:t>
      </w:r>
      <w:r>
        <w:rPr>
          <w:rFonts w:ascii="Times New Roman" w:eastAsia="Times New Roman"/>
        </w:rPr>
        <w:t>~8 </w:t>
      </w:r>
      <w:r>
        <w:rPr/>
        <w:t>月 </w:t>
      </w:r>
      <w:r>
        <w:rPr>
          <w:rFonts w:ascii="Times New Roman" w:eastAsia="Times New Roman"/>
        </w:rPr>
        <w:t>12 </w:t>
      </w:r>
      <w:r>
        <w:rPr/>
        <w:t>日，共七天；</w:t>
      </w:r>
    </w:p>
    <w:p>
      <w:pPr>
        <w:pStyle w:val="BodyText"/>
        <w:spacing w:before="212"/>
        <w:ind w:left="695"/>
        <w:rPr>
          <w:rFonts w:ascii="Times New Roman" w:eastAsia="Times New Roman"/>
        </w:rPr>
      </w:pPr>
      <w:r>
        <w:rPr>
          <w:position w:val="1"/>
        </w:rPr>
        <w:t>监测频率：</w:t>
      </w:r>
      <w:r>
        <w:rPr>
          <w:rFonts w:ascii="Times New Roman" w:eastAsia="Times New Roman"/>
          <w:position w:val="1"/>
        </w:rPr>
        <w:t>SO</w:t>
      </w:r>
      <w:r>
        <w:rPr>
          <w:rFonts w:ascii="Times New Roman" w:eastAsia="Times New Roman"/>
          <w:sz w:val="16"/>
        </w:rPr>
        <w:t>2 </w:t>
      </w:r>
      <w:r>
        <w:rPr>
          <w:spacing w:val="-11"/>
          <w:position w:val="1"/>
        </w:rPr>
        <w:t>和 </w:t>
      </w:r>
      <w:r>
        <w:rPr>
          <w:rFonts w:ascii="Times New Roman" w:eastAsia="Times New Roman"/>
          <w:position w:val="1"/>
        </w:rPr>
        <w:t>NO</w:t>
      </w:r>
      <w:r>
        <w:rPr>
          <w:rFonts w:ascii="Times New Roman" w:eastAsia="Times New Roman"/>
          <w:sz w:val="16"/>
        </w:rPr>
        <w:t>2 </w:t>
      </w:r>
      <w:r>
        <w:rPr>
          <w:spacing w:val="-11"/>
          <w:position w:val="1"/>
        </w:rPr>
        <w:t>为 </w:t>
      </w:r>
      <w:r>
        <w:rPr>
          <w:rFonts w:ascii="Times New Roman" w:eastAsia="Times New Roman"/>
          <w:position w:val="1"/>
        </w:rPr>
        <w:t>1</w:t>
      </w:r>
      <w:r>
        <w:rPr>
          <w:rFonts w:ascii="Times New Roman" w:eastAsia="Times New Roman"/>
          <w:spacing w:val="59"/>
          <w:position w:val="1"/>
        </w:rPr>
        <w:t> </w:t>
      </w:r>
      <w:r>
        <w:rPr>
          <w:spacing w:val="-2"/>
          <w:position w:val="1"/>
        </w:rPr>
        <w:t>小时平均浓度的浓度范围，每天采样 </w:t>
      </w:r>
      <w:r>
        <w:rPr>
          <w:rFonts w:ascii="Times New Roman" w:eastAsia="Times New Roman"/>
          <w:position w:val="1"/>
        </w:rPr>
        <w:t>4 </w:t>
      </w:r>
      <w:r>
        <w:rPr>
          <w:spacing w:val="-5"/>
          <w:position w:val="1"/>
        </w:rPr>
        <w:t>次，每次 </w:t>
      </w:r>
      <w:r>
        <w:rPr>
          <w:rFonts w:ascii="Times New Roman" w:eastAsia="Times New Roman"/>
          <w:position w:val="1"/>
        </w:rPr>
        <w:t>1</w:t>
      </w:r>
    </w:p>
    <w:p>
      <w:pPr>
        <w:pStyle w:val="BodyText"/>
        <w:ind w:left="215"/>
      </w:pPr>
      <w:r>
        <w:rPr>
          <w:position w:val="1"/>
        </w:rPr>
        <w:t>小时；</w:t>
      </w:r>
      <w:r>
        <w:rPr>
          <w:rFonts w:ascii="Times New Roman" w:eastAsia="Times New Roman"/>
          <w:position w:val="1"/>
        </w:rPr>
        <w:t>PM</w:t>
      </w:r>
      <w:r>
        <w:rPr>
          <w:rFonts w:ascii="Times New Roman" w:eastAsia="Times New Roman"/>
          <w:sz w:val="16"/>
        </w:rPr>
        <w:t>10 </w:t>
      </w:r>
      <w:r>
        <w:rPr>
          <w:position w:val="1"/>
        </w:rPr>
        <w:t>采用 </w:t>
      </w:r>
      <w:r>
        <w:rPr>
          <w:rFonts w:ascii="Times New Roman" w:eastAsia="Times New Roman"/>
          <w:position w:val="1"/>
        </w:rPr>
        <w:t>24 </w:t>
      </w:r>
      <w:r>
        <w:rPr>
          <w:position w:val="1"/>
        </w:rPr>
        <w:t>小时平均值，每天采样时间不少于 </w:t>
      </w:r>
      <w:r>
        <w:rPr>
          <w:rFonts w:ascii="Times New Roman" w:eastAsia="Times New Roman"/>
          <w:position w:val="1"/>
        </w:rPr>
        <w:t>20h</w:t>
      </w:r>
      <w:r>
        <w:rPr>
          <w:position w:val="1"/>
        </w:rPr>
        <w:t>。</w:t>
      </w:r>
    </w:p>
    <w:p>
      <w:pPr>
        <w:pStyle w:val="Heading2"/>
        <w:spacing w:before="135"/>
        <w:ind w:left="697"/>
        <w:rPr>
          <w:rFonts w:ascii="黑体" w:eastAsia="黑体" w:hint="eastAsia"/>
        </w:rPr>
      </w:pPr>
      <w:r>
        <w:rPr>
          <w:rFonts w:ascii="Times New Roman" w:eastAsia="Times New Roman"/>
          <w:w w:val="95"/>
        </w:rPr>
        <w:t>4</w:t>
      </w:r>
      <w:r>
        <w:rPr>
          <w:rFonts w:ascii="黑体" w:eastAsia="黑体" w:hint="eastAsia"/>
          <w:w w:val="95"/>
        </w:rPr>
        <w:t>、结果统计及评价</w:t>
      </w:r>
    </w:p>
    <w:p>
      <w:pPr>
        <w:pStyle w:val="BodyText"/>
        <w:ind w:left="695"/>
      </w:pPr>
      <w:r>
        <w:rPr/>
        <w:t>监测结果见表 </w:t>
      </w:r>
      <w:r>
        <w:rPr>
          <w:rFonts w:ascii="Times New Roman" w:eastAsia="Times New Roman"/>
        </w:rPr>
        <w:t>3-1</w:t>
      </w:r>
      <w:r>
        <w:rPr/>
        <w:t>。</w:t>
      </w:r>
    </w:p>
    <w:p>
      <w:pPr>
        <w:pStyle w:val="Heading2"/>
        <w:tabs>
          <w:tab w:pos="3214" w:val="left" w:leader="none"/>
        </w:tabs>
        <w:spacing w:before="135"/>
        <w:ind w:left="2352"/>
        <w:rPr>
          <w:rFonts w:ascii="黑体" w:eastAsia="黑体" w:hint="eastAsia"/>
        </w:rPr>
      </w:pPr>
      <w:r>
        <w:rPr>
          <w:rFonts w:ascii="黑体" w:eastAsia="黑体" w:hint="eastAsia"/>
        </w:rPr>
        <w:t>表</w:t>
      </w:r>
      <w:r>
        <w:rPr>
          <w:rFonts w:ascii="黑体" w:eastAsia="黑体" w:hint="eastAsia"/>
          <w:spacing w:val="-61"/>
        </w:rPr>
        <w:t> </w:t>
      </w:r>
      <w:r>
        <w:rPr>
          <w:rFonts w:ascii="Times New Roman" w:eastAsia="Times New Roman"/>
        </w:rPr>
        <w:t>3-1</w:t>
        <w:tab/>
      </w:r>
      <w:r>
        <w:rPr>
          <w:rFonts w:ascii="黑体" w:eastAsia="黑体" w:hint="eastAsia"/>
          <w:w w:val="95"/>
        </w:rPr>
        <w:t>项目区域环境空气质量现状评价结果</w:t>
      </w:r>
    </w:p>
    <w:p>
      <w:pPr>
        <w:pStyle w:val="BodyText"/>
        <w:spacing w:before="3"/>
        <w:rPr>
          <w:rFonts w:ascii="黑体"/>
          <w:b/>
          <w:sz w:val="7"/>
        </w:rPr>
      </w:pPr>
    </w:p>
    <w:tbl>
      <w:tblPr>
        <w:tblW w:w="0" w:type="auto"/>
        <w:jc w:val="left"/>
        <w:tblInd w:w="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96"/>
        <w:gridCol w:w="1495"/>
        <w:gridCol w:w="1679"/>
        <w:gridCol w:w="992"/>
        <w:gridCol w:w="1134"/>
        <w:gridCol w:w="1702"/>
      </w:tblGrid>
      <w:tr>
        <w:trPr>
          <w:trHeight w:val="407" w:hRule="exact"/>
        </w:trPr>
        <w:tc>
          <w:tcPr>
            <w:tcW w:w="1496" w:type="dxa"/>
          </w:tcPr>
          <w:p>
            <w:pPr>
              <w:pStyle w:val="TableParagraph"/>
              <w:spacing w:before="28"/>
              <w:ind w:left="321"/>
              <w:jc w:val="left"/>
              <w:rPr>
                <w:rFonts w:ascii="黑体" w:eastAsia="黑体" w:hint="eastAsia"/>
                <w:b/>
                <w:sz w:val="21"/>
              </w:rPr>
            </w:pPr>
            <w:r>
              <w:rPr>
                <w:rFonts w:ascii="黑体" w:eastAsia="黑体" w:hint="eastAsia"/>
                <w:b/>
                <w:sz w:val="21"/>
              </w:rPr>
              <w:t>监测点位</w:t>
            </w:r>
          </w:p>
        </w:tc>
        <w:tc>
          <w:tcPr>
            <w:tcW w:w="1495" w:type="dxa"/>
          </w:tcPr>
          <w:p>
            <w:pPr>
              <w:pStyle w:val="TableParagraph"/>
              <w:spacing w:before="28"/>
              <w:ind w:left="222" w:right="222"/>
              <w:rPr>
                <w:rFonts w:ascii="黑体" w:eastAsia="黑体" w:hint="eastAsia"/>
                <w:b/>
                <w:sz w:val="21"/>
              </w:rPr>
            </w:pPr>
            <w:r>
              <w:rPr>
                <w:rFonts w:ascii="黑体" w:eastAsia="黑体" w:hint="eastAsia"/>
                <w:b/>
                <w:w w:val="95"/>
                <w:sz w:val="21"/>
              </w:rPr>
              <w:t>污染物名称</w:t>
            </w:r>
          </w:p>
        </w:tc>
        <w:tc>
          <w:tcPr>
            <w:tcW w:w="1679" w:type="dxa"/>
          </w:tcPr>
          <w:p>
            <w:pPr>
              <w:pStyle w:val="TableParagraph"/>
              <w:spacing w:before="28"/>
              <w:ind w:left="285" w:right="284"/>
              <w:rPr>
                <w:rFonts w:ascii="黑体" w:eastAsia="黑体" w:hint="eastAsia"/>
                <w:b/>
                <w:sz w:val="21"/>
              </w:rPr>
            </w:pPr>
            <w:r>
              <w:rPr>
                <w:rFonts w:ascii="黑体" w:eastAsia="黑体" w:hint="eastAsia"/>
                <w:b/>
                <w:sz w:val="21"/>
              </w:rPr>
              <w:t>浓度范围</w:t>
            </w:r>
          </w:p>
        </w:tc>
        <w:tc>
          <w:tcPr>
            <w:tcW w:w="992" w:type="dxa"/>
          </w:tcPr>
          <w:p>
            <w:pPr>
              <w:pStyle w:val="TableParagraph"/>
              <w:spacing w:before="28"/>
              <w:ind w:left="156" w:right="153"/>
              <w:rPr>
                <w:rFonts w:ascii="黑体" w:eastAsia="黑体" w:hint="eastAsia"/>
                <w:b/>
                <w:sz w:val="21"/>
              </w:rPr>
            </w:pPr>
            <w:r>
              <w:rPr>
                <w:rFonts w:ascii="黑体" w:eastAsia="黑体" w:hint="eastAsia"/>
                <w:b/>
                <w:sz w:val="21"/>
              </w:rPr>
              <w:t>标准值</w:t>
            </w:r>
          </w:p>
        </w:tc>
        <w:tc>
          <w:tcPr>
            <w:tcW w:w="1134" w:type="dxa"/>
          </w:tcPr>
          <w:p>
            <w:pPr>
              <w:pStyle w:val="TableParagraph"/>
              <w:spacing w:before="28"/>
              <w:ind w:left="121" w:right="120"/>
              <w:rPr>
                <w:rFonts w:ascii="Times New Roman" w:eastAsia="Times New Roman"/>
                <w:b/>
                <w:sz w:val="21"/>
              </w:rPr>
            </w:pPr>
            <w:r>
              <w:rPr>
                <w:rFonts w:ascii="黑体" w:eastAsia="黑体" w:hint="eastAsia"/>
                <w:b/>
                <w:sz w:val="21"/>
              </w:rPr>
              <w:t>超标率</w:t>
            </w:r>
            <w:r>
              <w:rPr>
                <w:rFonts w:ascii="Times New Roman" w:eastAsia="Times New Roman"/>
                <w:b/>
                <w:sz w:val="21"/>
              </w:rPr>
              <w:t>%</w:t>
            </w:r>
          </w:p>
        </w:tc>
        <w:tc>
          <w:tcPr>
            <w:tcW w:w="1702" w:type="dxa"/>
          </w:tcPr>
          <w:p>
            <w:pPr>
              <w:pStyle w:val="TableParagraph"/>
              <w:spacing w:before="28"/>
              <w:ind w:left="224" w:right="225"/>
              <w:rPr>
                <w:rFonts w:ascii="黑体" w:eastAsia="黑体" w:hint="eastAsia"/>
                <w:b/>
                <w:sz w:val="21"/>
              </w:rPr>
            </w:pPr>
            <w:r>
              <w:rPr>
                <w:rFonts w:ascii="黑体" w:eastAsia="黑体" w:hint="eastAsia"/>
                <w:b/>
                <w:w w:val="95"/>
                <w:sz w:val="21"/>
              </w:rPr>
              <w:t>最大超标倍数</w:t>
            </w:r>
          </w:p>
        </w:tc>
      </w:tr>
      <w:tr>
        <w:trPr>
          <w:trHeight w:val="407" w:hRule="exact"/>
        </w:trPr>
        <w:tc>
          <w:tcPr>
            <w:tcW w:w="1496" w:type="dxa"/>
            <w:vMerge w:val="restart"/>
          </w:tcPr>
          <w:p>
            <w:pPr>
              <w:pStyle w:val="TableParagraph"/>
              <w:jc w:val="left"/>
              <w:rPr>
                <w:rFonts w:ascii="黑体"/>
                <w:b/>
                <w:sz w:val="25"/>
              </w:rPr>
            </w:pPr>
          </w:p>
          <w:p>
            <w:pPr>
              <w:pStyle w:val="TableParagraph"/>
              <w:spacing w:line="272" w:lineRule="exact"/>
              <w:ind w:left="638" w:right="94" w:hanging="526"/>
              <w:jc w:val="left"/>
              <w:rPr>
                <w:sz w:val="21"/>
              </w:rPr>
            </w:pPr>
            <w:r>
              <w:rPr>
                <w:sz w:val="21"/>
              </w:rPr>
              <w:t>梅家乡人民政府</w:t>
            </w:r>
          </w:p>
        </w:tc>
        <w:tc>
          <w:tcPr>
            <w:tcW w:w="1495" w:type="dxa"/>
          </w:tcPr>
          <w:p>
            <w:pPr>
              <w:pStyle w:val="TableParagraph"/>
              <w:spacing w:before="77"/>
              <w:ind w:left="222" w:right="222"/>
              <w:rPr>
                <w:rFonts w:ascii="Times New Roman"/>
                <w:sz w:val="14"/>
              </w:rPr>
            </w:pPr>
            <w:r>
              <w:rPr>
                <w:rFonts w:ascii="Times New Roman"/>
                <w:sz w:val="21"/>
              </w:rPr>
              <w:t>SO</w:t>
            </w:r>
            <w:r>
              <w:rPr>
                <w:rFonts w:ascii="Times New Roman"/>
                <w:position w:val="-1"/>
                <w:sz w:val="14"/>
              </w:rPr>
              <w:t>2</w:t>
            </w:r>
          </w:p>
        </w:tc>
        <w:tc>
          <w:tcPr>
            <w:tcW w:w="1679" w:type="dxa"/>
          </w:tcPr>
          <w:p>
            <w:pPr>
              <w:pStyle w:val="TableParagraph"/>
              <w:spacing w:before="77"/>
              <w:ind w:left="285" w:right="285"/>
              <w:rPr>
                <w:rFonts w:ascii="Times New Roman"/>
                <w:sz w:val="21"/>
              </w:rPr>
            </w:pPr>
            <w:r>
              <w:rPr>
                <w:rFonts w:ascii="Times New Roman"/>
                <w:sz w:val="21"/>
              </w:rPr>
              <w:t>0.009~0.021</w:t>
            </w:r>
          </w:p>
        </w:tc>
        <w:tc>
          <w:tcPr>
            <w:tcW w:w="992" w:type="dxa"/>
          </w:tcPr>
          <w:p>
            <w:pPr>
              <w:pStyle w:val="TableParagraph"/>
              <w:spacing w:before="77"/>
              <w:ind w:left="156" w:right="153"/>
              <w:rPr>
                <w:rFonts w:ascii="Times New Roman"/>
                <w:sz w:val="21"/>
              </w:rPr>
            </w:pPr>
            <w:r>
              <w:rPr>
                <w:rFonts w:ascii="Times New Roman"/>
                <w:sz w:val="21"/>
              </w:rPr>
              <w:t>0.5</w:t>
            </w:r>
          </w:p>
        </w:tc>
        <w:tc>
          <w:tcPr>
            <w:tcW w:w="1134" w:type="dxa"/>
          </w:tcPr>
          <w:p>
            <w:pPr>
              <w:pStyle w:val="TableParagraph"/>
              <w:spacing w:before="77"/>
              <w:rPr>
                <w:rFonts w:ascii="Times New Roman"/>
                <w:sz w:val="21"/>
              </w:rPr>
            </w:pPr>
            <w:r>
              <w:rPr>
                <w:rFonts w:ascii="Times New Roman"/>
                <w:sz w:val="21"/>
              </w:rPr>
              <w:t>0</w:t>
            </w:r>
          </w:p>
        </w:tc>
        <w:tc>
          <w:tcPr>
            <w:tcW w:w="1702" w:type="dxa"/>
          </w:tcPr>
          <w:p>
            <w:pPr>
              <w:pStyle w:val="TableParagraph"/>
              <w:spacing w:before="77"/>
              <w:rPr>
                <w:rFonts w:ascii="Times New Roman"/>
                <w:sz w:val="21"/>
              </w:rPr>
            </w:pPr>
            <w:r>
              <w:rPr>
                <w:rFonts w:ascii="Times New Roman"/>
                <w:sz w:val="21"/>
              </w:rPr>
              <w:t>0</w:t>
            </w:r>
          </w:p>
        </w:tc>
      </w:tr>
      <w:tr>
        <w:trPr>
          <w:trHeight w:val="407" w:hRule="exact"/>
        </w:trPr>
        <w:tc>
          <w:tcPr>
            <w:tcW w:w="1496" w:type="dxa"/>
            <w:vMerge/>
          </w:tcPr>
          <w:p>
            <w:pPr/>
          </w:p>
        </w:tc>
        <w:tc>
          <w:tcPr>
            <w:tcW w:w="1495" w:type="dxa"/>
          </w:tcPr>
          <w:p>
            <w:pPr>
              <w:pStyle w:val="TableParagraph"/>
              <w:spacing w:before="77"/>
              <w:ind w:left="222" w:right="222"/>
              <w:rPr>
                <w:rFonts w:ascii="Times New Roman"/>
                <w:sz w:val="14"/>
              </w:rPr>
            </w:pPr>
            <w:r>
              <w:rPr>
                <w:rFonts w:ascii="Times New Roman"/>
                <w:sz w:val="21"/>
              </w:rPr>
              <w:t>NO</w:t>
            </w:r>
            <w:r>
              <w:rPr>
                <w:rFonts w:ascii="Times New Roman"/>
                <w:position w:val="-1"/>
                <w:sz w:val="14"/>
              </w:rPr>
              <w:t>2</w:t>
            </w:r>
          </w:p>
        </w:tc>
        <w:tc>
          <w:tcPr>
            <w:tcW w:w="1679" w:type="dxa"/>
          </w:tcPr>
          <w:p>
            <w:pPr>
              <w:pStyle w:val="TableParagraph"/>
              <w:spacing w:before="77"/>
              <w:ind w:left="285" w:right="285"/>
              <w:rPr>
                <w:rFonts w:ascii="Times New Roman"/>
                <w:sz w:val="21"/>
              </w:rPr>
            </w:pPr>
            <w:r>
              <w:rPr>
                <w:rFonts w:ascii="Times New Roman"/>
                <w:sz w:val="21"/>
              </w:rPr>
              <w:t>0.027~0.040</w:t>
            </w:r>
          </w:p>
        </w:tc>
        <w:tc>
          <w:tcPr>
            <w:tcW w:w="992" w:type="dxa"/>
          </w:tcPr>
          <w:p>
            <w:pPr>
              <w:pStyle w:val="TableParagraph"/>
              <w:spacing w:before="77"/>
              <w:ind w:left="156" w:right="153"/>
              <w:rPr>
                <w:rFonts w:ascii="Times New Roman"/>
                <w:sz w:val="21"/>
              </w:rPr>
            </w:pPr>
            <w:r>
              <w:rPr>
                <w:rFonts w:ascii="Times New Roman"/>
                <w:sz w:val="21"/>
              </w:rPr>
              <w:t>0.2</w:t>
            </w:r>
          </w:p>
        </w:tc>
        <w:tc>
          <w:tcPr>
            <w:tcW w:w="1134" w:type="dxa"/>
          </w:tcPr>
          <w:p>
            <w:pPr>
              <w:pStyle w:val="TableParagraph"/>
              <w:spacing w:before="77"/>
              <w:rPr>
                <w:rFonts w:ascii="Times New Roman"/>
                <w:sz w:val="21"/>
              </w:rPr>
            </w:pPr>
            <w:r>
              <w:rPr>
                <w:rFonts w:ascii="Times New Roman"/>
                <w:sz w:val="21"/>
              </w:rPr>
              <w:t>0</w:t>
            </w:r>
          </w:p>
        </w:tc>
        <w:tc>
          <w:tcPr>
            <w:tcW w:w="1702" w:type="dxa"/>
          </w:tcPr>
          <w:p>
            <w:pPr>
              <w:pStyle w:val="TableParagraph"/>
              <w:spacing w:before="77"/>
              <w:rPr>
                <w:rFonts w:ascii="Times New Roman"/>
                <w:sz w:val="21"/>
              </w:rPr>
            </w:pPr>
            <w:r>
              <w:rPr>
                <w:rFonts w:ascii="Times New Roman"/>
                <w:sz w:val="21"/>
              </w:rPr>
              <w:t>0</w:t>
            </w:r>
          </w:p>
        </w:tc>
      </w:tr>
      <w:tr>
        <w:trPr>
          <w:trHeight w:val="408" w:hRule="exact"/>
        </w:trPr>
        <w:tc>
          <w:tcPr>
            <w:tcW w:w="1496" w:type="dxa"/>
            <w:vMerge/>
          </w:tcPr>
          <w:p>
            <w:pPr/>
          </w:p>
        </w:tc>
        <w:tc>
          <w:tcPr>
            <w:tcW w:w="1495" w:type="dxa"/>
          </w:tcPr>
          <w:p>
            <w:pPr>
              <w:pStyle w:val="TableParagraph"/>
              <w:spacing w:before="77"/>
              <w:ind w:left="222" w:right="221"/>
              <w:rPr>
                <w:rFonts w:ascii="Times New Roman"/>
                <w:sz w:val="14"/>
              </w:rPr>
            </w:pPr>
            <w:r>
              <w:rPr>
                <w:rFonts w:ascii="Times New Roman"/>
                <w:sz w:val="21"/>
              </w:rPr>
              <w:t>PM</w:t>
            </w:r>
            <w:r>
              <w:rPr>
                <w:rFonts w:ascii="Times New Roman"/>
                <w:position w:val="-1"/>
                <w:sz w:val="14"/>
              </w:rPr>
              <w:t>10</w:t>
            </w:r>
          </w:p>
        </w:tc>
        <w:tc>
          <w:tcPr>
            <w:tcW w:w="1679" w:type="dxa"/>
          </w:tcPr>
          <w:p>
            <w:pPr>
              <w:pStyle w:val="TableParagraph"/>
              <w:spacing w:before="77"/>
              <w:ind w:left="285" w:right="285"/>
              <w:rPr>
                <w:rFonts w:ascii="Times New Roman"/>
                <w:sz w:val="21"/>
              </w:rPr>
            </w:pPr>
            <w:r>
              <w:rPr>
                <w:rFonts w:ascii="Times New Roman"/>
                <w:sz w:val="21"/>
              </w:rPr>
              <w:t>0.070~0.084</w:t>
            </w:r>
          </w:p>
        </w:tc>
        <w:tc>
          <w:tcPr>
            <w:tcW w:w="992" w:type="dxa"/>
          </w:tcPr>
          <w:p>
            <w:pPr>
              <w:pStyle w:val="TableParagraph"/>
              <w:spacing w:before="77"/>
              <w:ind w:left="153" w:right="153"/>
              <w:rPr>
                <w:rFonts w:ascii="Times New Roman"/>
                <w:sz w:val="21"/>
              </w:rPr>
            </w:pPr>
            <w:r>
              <w:rPr>
                <w:rFonts w:ascii="Times New Roman"/>
                <w:sz w:val="21"/>
              </w:rPr>
              <w:t>0.15</w:t>
            </w:r>
          </w:p>
        </w:tc>
        <w:tc>
          <w:tcPr>
            <w:tcW w:w="1134" w:type="dxa"/>
          </w:tcPr>
          <w:p>
            <w:pPr>
              <w:pStyle w:val="TableParagraph"/>
              <w:spacing w:before="77"/>
              <w:rPr>
                <w:rFonts w:ascii="Times New Roman"/>
                <w:sz w:val="21"/>
              </w:rPr>
            </w:pPr>
            <w:r>
              <w:rPr>
                <w:rFonts w:ascii="Times New Roman"/>
                <w:sz w:val="21"/>
              </w:rPr>
              <w:t>0</w:t>
            </w:r>
          </w:p>
        </w:tc>
        <w:tc>
          <w:tcPr>
            <w:tcW w:w="1702" w:type="dxa"/>
          </w:tcPr>
          <w:p>
            <w:pPr>
              <w:pStyle w:val="TableParagraph"/>
              <w:spacing w:before="77"/>
              <w:rPr>
                <w:rFonts w:ascii="Times New Roman"/>
                <w:sz w:val="21"/>
              </w:rPr>
            </w:pPr>
            <w:r>
              <w:rPr>
                <w:rFonts w:ascii="Times New Roman"/>
                <w:sz w:val="21"/>
              </w:rPr>
              <w:t>0</w:t>
            </w:r>
          </w:p>
        </w:tc>
      </w:tr>
    </w:tbl>
    <w:p>
      <w:pPr>
        <w:spacing w:line="336" w:lineRule="auto" w:before="40"/>
        <w:ind w:left="215" w:right="216" w:firstLine="0"/>
        <w:jc w:val="left"/>
        <w:rPr>
          <w:sz w:val="24"/>
        </w:rPr>
      </w:pPr>
      <w:r>
        <w:rPr>
          <w:sz w:val="24"/>
        </w:rPr>
        <w:t>注：</w:t>
      </w:r>
      <w:r>
        <w:rPr>
          <w:rFonts w:ascii="Times New Roman" w:eastAsia="Times New Roman"/>
          <w:b/>
          <w:sz w:val="24"/>
        </w:rPr>
        <w:t>SO</w:t>
      </w:r>
      <w:r>
        <w:rPr>
          <w:rFonts w:ascii="Times New Roman" w:eastAsia="Times New Roman"/>
          <w:b/>
          <w:position w:val="-1"/>
          <w:sz w:val="16"/>
        </w:rPr>
        <w:t>2 </w:t>
      </w:r>
      <w:r>
        <w:rPr>
          <w:spacing w:val="-31"/>
          <w:sz w:val="24"/>
        </w:rPr>
        <w:t>和 </w:t>
      </w:r>
      <w:r>
        <w:rPr>
          <w:rFonts w:ascii="Times New Roman" w:eastAsia="Times New Roman"/>
          <w:b/>
          <w:sz w:val="24"/>
        </w:rPr>
        <w:t>NO</w:t>
      </w:r>
      <w:r>
        <w:rPr>
          <w:rFonts w:ascii="Times New Roman" w:eastAsia="Times New Roman"/>
          <w:b/>
          <w:position w:val="-1"/>
          <w:sz w:val="16"/>
        </w:rPr>
        <w:t>2 </w:t>
      </w:r>
      <w:r>
        <w:rPr>
          <w:spacing w:val="-31"/>
          <w:sz w:val="24"/>
        </w:rPr>
        <w:t>为 </w:t>
      </w:r>
      <w:r>
        <w:rPr>
          <w:rFonts w:ascii="Times New Roman" w:eastAsia="Times New Roman"/>
          <w:b/>
          <w:sz w:val="24"/>
        </w:rPr>
        <w:t>1</w:t>
      </w:r>
      <w:r>
        <w:rPr>
          <w:rFonts w:ascii="Times New Roman" w:eastAsia="Times New Roman"/>
          <w:b/>
          <w:spacing w:val="59"/>
          <w:sz w:val="24"/>
        </w:rPr>
        <w:t> </w:t>
      </w:r>
      <w:r>
        <w:rPr>
          <w:sz w:val="24"/>
        </w:rPr>
        <w:t>小时平均浓度的浓度范围，</w:t>
      </w:r>
      <w:r>
        <w:rPr>
          <w:rFonts w:ascii="Times New Roman" w:eastAsia="Times New Roman"/>
          <w:b/>
          <w:sz w:val="24"/>
        </w:rPr>
        <w:t>PM</w:t>
      </w:r>
      <w:r>
        <w:rPr>
          <w:rFonts w:ascii="Times New Roman" w:eastAsia="Times New Roman"/>
          <w:b/>
          <w:position w:val="-1"/>
          <w:sz w:val="16"/>
        </w:rPr>
        <w:t>10 </w:t>
      </w:r>
      <w:r>
        <w:rPr>
          <w:spacing w:val="-31"/>
          <w:sz w:val="24"/>
        </w:rPr>
        <w:t>为 </w:t>
      </w:r>
      <w:r>
        <w:rPr>
          <w:rFonts w:ascii="Times New Roman" w:eastAsia="Times New Roman"/>
          <w:b/>
          <w:sz w:val="24"/>
        </w:rPr>
        <w:t>24</w:t>
      </w:r>
      <w:r>
        <w:rPr>
          <w:rFonts w:ascii="Times New Roman" w:eastAsia="Times New Roman"/>
          <w:b/>
          <w:spacing w:val="59"/>
          <w:sz w:val="24"/>
        </w:rPr>
        <w:t> </w:t>
      </w:r>
      <w:r>
        <w:rPr>
          <w:sz w:val="24"/>
        </w:rPr>
        <w:t>小时平均浓度的浓度范围</w:t>
      </w:r>
    </w:p>
    <w:p>
      <w:pPr>
        <w:pStyle w:val="BodyText"/>
        <w:spacing w:line="338" w:lineRule="auto" w:before="57"/>
        <w:ind w:left="215" w:right="211" w:firstLine="480"/>
        <w:jc w:val="both"/>
      </w:pPr>
      <w:r>
        <w:rPr>
          <w:spacing w:val="-13"/>
          <w:position w:val="1"/>
        </w:rPr>
        <w:t>评价结果表明：项目所在区域环境空气中的 </w:t>
      </w:r>
      <w:r>
        <w:rPr>
          <w:rFonts w:ascii="Times New Roman" w:eastAsia="Times New Roman"/>
          <w:position w:val="1"/>
        </w:rPr>
        <w:t>SO</w:t>
      </w:r>
      <w:r>
        <w:rPr>
          <w:rFonts w:ascii="Times New Roman" w:eastAsia="Times New Roman"/>
          <w:sz w:val="16"/>
        </w:rPr>
        <w:t>2</w:t>
      </w:r>
      <w:r>
        <w:rPr>
          <w:spacing w:val="-87"/>
          <w:position w:val="1"/>
        </w:rPr>
        <w:t>、</w:t>
      </w:r>
      <w:r>
        <w:rPr>
          <w:rFonts w:ascii="Times New Roman" w:eastAsia="Times New Roman"/>
          <w:position w:val="1"/>
        </w:rPr>
        <w:t>NO</w:t>
      </w:r>
      <w:r>
        <w:rPr>
          <w:rFonts w:ascii="Times New Roman" w:eastAsia="Times New Roman"/>
          <w:sz w:val="16"/>
        </w:rPr>
        <w:t>2</w:t>
      </w:r>
      <w:r>
        <w:rPr>
          <w:spacing w:val="-87"/>
          <w:position w:val="1"/>
        </w:rPr>
        <w:t>、</w:t>
      </w:r>
      <w:r>
        <w:rPr>
          <w:rFonts w:ascii="Times New Roman" w:eastAsia="Times New Roman"/>
          <w:position w:val="1"/>
        </w:rPr>
        <w:t>PM</w:t>
      </w:r>
      <w:r>
        <w:rPr>
          <w:rFonts w:ascii="Times New Roman" w:eastAsia="Times New Roman"/>
          <w:sz w:val="16"/>
        </w:rPr>
        <w:t>10 </w:t>
      </w:r>
      <w:r>
        <w:rPr>
          <w:spacing w:val="-9"/>
          <w:position w:val="1"/>
        </w:rPr>
        <w:t>监测浓度均能满足《环</w:t>
      </w:r>
      <w:r>
        <w:rPr>
          <w:spacing w:val="-23"/>
        </w:rPr>
        <w:t>境空气质量标准》</w:t>
      </w:r>
      <w:r>
        <w:rPr/>
        <w:t>（</w:t>
      </w:r>
      <w:r>
        <w:rPr>
          <w:rFonts w:ascii="Times New Roman" w:eastAsia="Times New Roman"/>
        </w:rPr>
        <w:t>GB3095-2012</w:t>
      </w:r>
      <w:r>
        <w:rPr/>
        <w:t>）二级标准限值要求，监测结果表明项目所在区域大气环境质量良好。</w:t>
      </w:r>
    </w:p>
    <w:p>
      <w:pPr>
        <w:spacing w:after="0" w:line="338" w:lineRule="auto"/>
        <w:jc w:val="both"/>
        <w:sectPr>
          <w:pgSz w:w="11910" w:h="16840"/>
          <w:pgMar w:header="0" w:footer="1246" w:top="1200" w:bottom="1440" w:left="1240" w:right="1240"/>
        </w:sectPr>
      </w:pPr>
    </w:p>
    <w:p>
      <w:pPr>
        <w:pStyle w:val="Heading2"/>
        <w:spacing w:before="45"/>
        <w:ind w:left="253" w:right="7076"/>
        <w:jc w:val="center"/>
        <w:rPr>
          <w:rFonts w:ascii="黑体" w:eastAsia="黑体" w:hint="eastAsia"/>
        </w:rPr>
      </w:pPr>
      <w:r>
        <w:rPr/>
        <w:pict>
          <v:group style="position:absolute;margin-left:67.190002pt;margin-top:56.448982pt;width:460.95pt;height:695.5pt;mso-position-horizontal-relative:page;mso-position-vertical-relative:page;z-index:-84016" coordorigin="1344,1129" coordsize="9219,13910">
            <v:line style="position:absolute" from="1354,1139" to="10553,1139" stroked="true" strokeweight=".481pt" strokecolor="#000000">
              <v:stroke dashstyle="solid"/>
            </v:line>
            <v:line style="position:absolute" from="1349,1134" to="1349,15034" stroked="true" strokeweight=".48pt" strokecolor="#000000">
              <v:stroke dashstyle="solid"/>
            </v:line>
            <v:line style="position:absolute" from="1354,15029" to="10553,15029" stroked="true" strokeweight=".48pt" strokecolor="#000000">
              <v:stroke dashstyle="solid"/>
            </v:line>
            <v:line style="position:absolute" from="10558,1134" to="10558,15034" stroked="true" strokeweight=".48pt" strokecolor="#000000">
              <v:stroke dashstyle="solid"/>
            </v:line>
            <w10:wrap type="none"/>
          </v:group>
        </w:pict>
      </w:r>
      <w:r>
        <w:rPr>
          <w:rFonts w:ascii="黑体" w:eastAsia="黑体" w:hint="eastAsia"/>
          <w:w w:val="95"/>
        </w:rPr>
        <w:t>二、地表水环境现状</w:t>
      </w:r>
    </w:p>
    <w:p>
      <w:pPr>
        <w:pStyle w:val="BodyText"/>
        <w:spacing w:line="350" w:lineRule="auto" w:before="153"/>
        <w:ind w:left="215" w:right="210" w:firstLine="480"/>
        <w:jc w:val="both"/>
      </w:pPr>
      <w:r>
        <w:rPr/>
        <w:t>为了解评价区域地表水环境质量现状，本次评价引用四川省工业环境监测研究院</w:t>
      </w:r>
      <w:r>
        <w:rPr>
          <w:spacing w:val="-27"/>
        </w:rPr>
        <w:t>于 </w:t>
      </w:r>
      <w:r>
        <w:rPr>
          <w:rFonts w:ascii="Times New Roman" w:hAnsi="Times New Roman" w:eastAsia="Times New Roman"/>
        </w:rPr>
        <w:t>2017 </w:t>
      </w:r>
      <w:r>
        <w:rPr>
          <w:spacing w:val="-27"/>
        </w:rPr>
        <w:t>年 </w:t>
      </w:r>
      <w:r>
        <w:rPr>
          <w:rFonts w:ascii="Times New Roman" w:hAnsi="Times New Roman" w:eastAsia="Times New Roman"/>
        </w:rPr>
        <w:t>8 </w:t>
      </w:r>
      <w:r>
        <w:rPr>
          <w:spacing w:val="-27"/>
        </w:rPr>
        <w:t>月 </w:t>
      </w:r>
      <w:r>
        <w:rPr>
          <w:rFonts w:ascii="Times New Roman" w:hAnsi="Times New Roman" w:eastAsia="Times New Roman"/>
        </w:rPr>
        <w:t>7 </w:t>
      </w:r>
      <w:r>
        <w:rPr/>
        <w:t>日～</w:t>
      </w:r>
      <w:r>
        <w:rPr>
          <w:rFonts w:ascii="Times New Roman" w:hAnsi="Times New Roman" w:eastAsia="Times New Roman"/>
        </w:rPr>
        <w:t>8 </w:t>
      </w:r>
      <w:r>
        <w:rPr>
          <w:spacing w:val="-27"/>
        </w:rPr>
        <w:t>月 </w:t>
      </w:r>
      <w:r>
        <w:rPr>
          <w:rFonts w:ascii="Times New Roman" w:hAnsi="Times New Roman" w:eastAsia="Times New Roman"/>
        </w:rPr>
        <w:t>9 </w:t>
      </w:r>
      <w:r>
        <w:rPr/>
        <w:t>日对“开江县梅家乡卫生院改扩建业务用房及污水处理附属设施建设项目”的梅家河附近断面进行的现状监测数据；本项目所涉及的地表水为梅家河，与项目监测的断面处于项目评价范围以内，监测情况具体如下：</w:t>
      </w:r>
    </w:p>
    <w:p>
      <w:pPr>
        <w:pStyle w:val="Heading2"/>
        <w:spacing w:before="43"/>
        <w:ind w:left="698"/>
        <w:rPr>
          <w:rFonts w:ascii="黑体" w:eastAsia="黑体" w:hint="eastAsia"/>
        </w:rPr>
      </w:pPr>
      <w:r>
        <w:rPr>
          <w:rFonts w:ascii="Times New Roman" w:eastAsia="Times New Roman"/>
          <w:w w:val="95"/>
        </w:rPr>
        <w:t>1</w:t>
      </w:r>
      <w:r>
        <w:rPr>
          <w:rFonts w:ascii="黑体" w:eastAsia="黑体" w:hint="eastAsia"/>
          <w:w w:val="95"/>
        </w:rPr>
        <w:t>、监测点位</w:t>
      </w:r>
    </w:p>
    <w:p>
      <w:pPr>
        <w:pStyle w:val="BodyText"/>
        <w:spacing w:before="136"/>
        <w:ind w:left="695"/>
      </w:pPr>
      <w:r>
        <w:rPr/>
        <w:t>监测点位见表 </w:t>
      </w:r>
      <w:r>
        <w:rPr>
          <w:rFonts w:ascii="Times New Roman" w:eastAsia="Times New Roman"/>
        </w:rPr>
        <w:t>3-2</w:t>
      </w:r>
      <w:r>
        <w:rPr/>
        <w:t>。</w:t>
      </w:r>
    </w:p>
    <w:p>
      <w:pPr>
        <w:pStyle w:val="BodyText"/>
        <w:spacing w:before="10"/>
        <w:rPr>
          <w:sz w:val="7"/>
        </w:rPr>
      </w:pPr>
    </w:p>
    <w:p>
      <w:pPr>
        <w:pStyle w:val="Heading2"/>
        <w:tabs>
          <w:tab w:pos="3997" w:val="left" w:leader="none"/>
        </w:tabs>
        <w:spacing w:before="34"/>
        <w:ind w:left="3016"/>
        <w:rPr>
          <w:rFonts w:ascii="黑体" w:eastAsia="黑体" w:hint="eastAsia"/>
        </w:rPr>
      </w:pPr>
      <w:r>
        <w:rPr>
          <w:rFonts w:ascii="黑体" w:eastAsia="黑体" w:hint="eastAsia"/>
        </w:rPr>
        <w:t>表</w:t>
      </w:r>
      <w:r>
        <w:rPr>
          <w:rFonts w:ascii="黑体" w:eastAsia="黑体" w:hint="eastAsia"/>
          <w:spacing w:val="-61"/>
        </w:rPr>
        <w:t> </w:t>
      </w:r>
      <w:r>
        <w:rPr>
          <w:rFonts w:ascii="Times New Roman" w:eastAsia="Times New Roman"/>
        </w:rPr>
        <w:t>3-2</w:t>
        <w:tab/>
      </w:r>
      <w:r>
        <w:rPr>
          <w:rFonts w:ascii="黑体" w:eastAsia="黑体" w:hint="eastAsia"/>
          <w:w w:val="95"/>
        </w:rPr>
        <w:t>地表水监测断面一览表</w:t>
      </w:r>
    </w:p>
    <w:p>
      <w:pPr>
        <w:pStyle w:val="BodyText"/>
        <w:spacing w:before="3"/>
        <w:rPr>
          <w:rFonts w:ascii="黑体"/>
          <w:b/>
          <w:sz w:val="7"/>
        </w:rPr>
      </w:pPr>
    </w:p>
    <w:tbl>
      <w:tblPr>
        <w:tblW w:w="0" w:type="auto"/>
        <w:jc w:val="left"/>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38"/>
        <w:gridCol w:w="2778"/>
        <w:gridCol w:w="2375"/>
      </w:tblGrid>
      <w:tr>
        <w:trPr>
          <w:trHeight w:val="407" w:hRule="exact"/>
        </w:trPr>
        <w:tc>
          <w:tcPr>
            <w:tcW w:w="3438" w:type="dxa"/>
          </w:tcPr>
          <w:p>
            <w:pPr>
              <w:pStyle w:val="TableParagraph"/>
              <w:spacing w:before="29"/>
              <w:ind w:left="422" w:right="421"/>
              <w:rPr>
                <w:rFonts w:ascii="黑体" w:eastAsia="黑体" w:hint="eastAsia"/>
                <w:b/>
                <w:sz w:val="21"/>
              </w:rPr>
            </w:pPr>
            <w:r>
              <w:rPr>
                <w:rFonts w:ascii="黑体" w:eastAsia="黑体" w:hint="eastAsia"/>
                <w:b/>
                <w:sz w:val="21"/>
              </w:rPr>
              <w:t>断面名称</w:t>
            </w:r>
          </w:p>
        </w:tc>
        <w:tc>
          <w:tcPr>
            <w:tcW w:w="2778" w:type="dxa"/>
          </w:tcPr>
          <w:p>
            <w:pPr>
              <w:pStyle w:val="TableParagraph"/>
              <w:spacing w:before="29"/>
              <w:ind w:left="943" w:right="942"/>
              <w:rPr>
                <w:rFonts w:ascii="黑体" w:eastAsia="黑体" w:hint="eastAsia"/>
                <w:b/>
                <w:sz w:val="21"/>
              </w:rPr>
            </w:pPr>
            <w:r>
              <w:rPr>
                <w:rFonts w:ascii="黑体" w:eastAsia="黑体" w:hint="eastAsia"/>
                <w:b/>
                <w:sz w:val="21"/>
              </w:rPr>
              <w:t>监测因子</w:t>
            </w:r>
          </w:p>
        </w:tc>
        <w:tc>
          <w:tcPr>
            <w:tcW w:w="2375" w:type="dxa"/>
          </w:tcPr>
          <w:p>
            <w:pPr>
              <w:pStyle w:val="TableParagraph"/>
              <w:spacing w:before="29"/>
              <w:ind w:left="760"/>
              <w:jc w:val="left"/>
              <w:rPr>
                <w:rFonts w:ascii="黑体" w:eastAsia="黑体" w:hint="eastAsia"/>
                <w:b/>
                <w:sz w:val="21"/>
              </w:rPr>
            </w:pPr>
            <w:r>
              <w:rPr>
                <w:rFonts w:ascii="黑体" w:eastAsia="黑体" w:hint="eastAsia"/>
                <w:b/>
                <w:sz w:val="21"/>
              </w:rPr>
              <w:t>水体功能</w:t>
            </w:r>
          </w:p>
        </w:tc>
      </w:tr>
      <w:tr>
        <w:trPr>
          <w:trHeight w:val="408" w:hRule="exact"/>
        </w:trPr>
        <w:tc>
          <w:tcPr>
            <w:tcW w:w="3438" w:type="dxa"/>
          </w:tcPr>
          <w:p>
            <w:pPr>
              <w:pStyle w:val="TableParagraph"/>
              <w:spacing w:before="29"/>
              <w:ind w:left="422" w:right="422"/>
              <w:rPr>
                <w:rFonts w:ascii="Times New Roman" w:eastAsia="Times New Roman"/>
                <w:sz w:val="21"/>
              </w:rPr>
            </w:pPr>
            <w:r>
              <w:rPr>
                <w:rFonts w:ascii="Times New Roman" w:eastAsia="Times New Roman"/>
                <w:sz w:val="21"/>
              </w:rPr>
              <w:t>1</w:t>
            </w:r>
            <w:r>
              <w:rPr>
                <w:rFonts w:ascii="Times New Roman" w:eastAsia="Times New Roman"/>
                <w:position w:val="8"/>
                <w:sz w:val="14"/>
              </w:rPr>
              <w:t>#</w:t>
            </w:r>
            <w:r>
              <w:rPr>
                <w:sz w:val="21"/>
              </w:rPr>
              <w:t>项目附近水体上游 </w:t>
            </w:r>
            <w:r>
              <w:rPr>
                <w:rFonts w:ascii="Times New Roman" w:eastAsia="Times New Roman"/>
                <w:sz w:val="21"/>
              </w:rPr>
              <w:t>500m</w:t>
            </w:r>
          </w:p>
        </w:tc>
        <w:tc>
          <w:tcPr>
            <w:tcW w:w="2778" w:type="dxa"/>
            <w:vMerge w:val="restart"/>
          </w:tcPr>
          <w:p>
            <w:pPr>
              <w:pStyle w:val="TableParagraph"/>
              <w:spacing w:line="251" w:lineRule="exact"/>
              <w:ind w:left="123" w:firstLine="12"/>
              <w:jc w:val="left"/>
              <w:rPr>
                <w:sz w:val="21"/>
              </w:rPr>
            </w:pPr>
            <w:r>
              <w:rPr>
                <w:rFonts w:ascii="Times New Roman" w:eastAsia="Times New Roman"/>
                <w:sz w:val="21"/>
              </w:rPr>
              <w:t>pH</w:t>
            </w:r>
            <w:r>
              <w:rPr>
                <w:sz w:val="21"/>
              </w:rPr>
              <w:t>、</w:t>
            </w:r>
            <w:r>
              <w:rPr>
                <w:rFonts w:ascii="Times New Roman" w:eastAsia="Times New Roman"/>
                <w:sz w:val="21"/>
              </w:rPr>
              <w:t>SS</w:t>
            </w:r>
            <w:r>
              <w:rPr>
                <w:sz w:val="21"/>
              </w:rPr>
              <w:t>、</w:t>
            </w:r>
            <w:r>
              <w:rPr>
                <w:rFonts w:ascii="Times New Roman" w:eastAsia="Times New Roman"/>
                <w:sz w:val="21"/>
              </w:rPr>
              <w:t>COD</w:t>
            </w:r>
            <w:r>
              <w:rPr>
                <w:sz w:val="21"/>
              </w:rPr>
              <w:t>、</w:t>
            </w:r>
            <w:r>
              <w:rPr>
                <w:rFonts w:ascii="Times New Roman" w:eastAsia="Times New Roman"/>
                <w:sz w:val="21"/>
              </w:rPr>
              <w:t>BOD</w:t>
            </w:r>
            <w:r>
              <w:rPr>
                <w:rFonts w:ascii="Times New Roman" w:eastAsia="Times New Roman"/>
                <w:position w:val="-1"/>
                <w:sz w:val="14"/>
              </w:rPr>
              <w:t>5</w:t>
            </w:r>
            <w:r>
              <w:rPr>
                <w:sz w:val="21"/>
              </w:rPr>
              <w:t>、氨</w:t>
            </w:r>
          </w:p>
          <w:p>
            <w:pPr>
              <w:pStyle w:val="TableParagraph"/>
              <w:spacing w:line="272" w:lineRule="exact" w:before="16"/>
              <w:ind w:left="1069" w:right="105" w:hanging="946"/>
              <w:jc w:val="left"/>
              <w:rPr>
                <w:sz w:val="21"/>
              </w:rPr>
            </w:pPr>
            <w:r>
              <w:rPr>
                <w:sz w:val="21"/>
              </w:rPr>
              <w:t>氮、石油类、粪大肠菌群， 共七项</w:t>
            </w:r>
          </w:p>
        </w:tc>
        <w:tc>
          <w:tcPr>
            <w:tcW w:w="2375" w:type="dxa"/>
            <w:vMerge w:val="restart"/>
          </w:tcPr>
          <w:p>
            <w:pPr>
              <w:pStyle w:val="TableParagraph"/>
              <w:spacing w:line="241" w:lineRule="exact"/>
              <w:ind w:left="71" w:right="71"/>
              <w:rPr>
                <w:sz w:val="21"/>
              </w:rPr>
            </w:pPr>
            <w:r>
              <w:rPr>
                <w:sz w:val="21"/>
              </w:rPr>
              <w:t>《地表水环境质量标</w:t>
            </w:r>
          </w:p>
          <w:p>
            <w:pPr>
              <w:pStyle w:val="TableParagraph"/>
              <w:spacing w:line="280" w:lineRule="exact"/>
              <w:ind w:left="72" w:right="71"/>
              <w:rPr>
                <w:sz w:val="21"/>
              </w:rPr>
            </w:pPr>
            <w:r>
              <w:rPr>
                <w:sz w:val="21"/>
              </w:rPr>
              <w:t>准》</w:t>
            </w:r>
            <w:r>
              <w:rPr>
                <w:rFonts w:ascii="Times New Roman" w:hAnsi="Times New Roman" w:eastAsia="Times New Roman"/>
                <w:sz w:val="21"/>
              </w:rPr>
              <w:t>(GB3838-2002)</w:t>
            </w:r>
            <w:r>
              <w:rPr>
                <w:sz w:val="21"/>
              </w:rPr>
              <w:t>中Ⅲ</w:t>
            </w:r>
          </w:p>
          <w:p>
            <w:pPr>
              <w:pStyle w:val="TableParagraph"/>
              <w:spacing w:line="266" w:lineRule="exact"/>
              <w:ind w:left="71" w:right="71"/>
              <w:rPr>
                <w:sz w:val="21"/>
              </w:rPr>
            </w:pPr>
            <w:r>
              <w:rPr>
                <w:sz w:val="21"/>
              </w:rPr>
              <w:t>类标准</w:t>
            </w:r>
          </w:p>
        </w:tc>
      </w:tr>
      <w:tr>
        <w:trPr>
          <w:trHeight w:val="420" w:hRule="exact"/>
        </w:trPr>
        <w:tc>
          <w:tcPr>
            <w:tcW w:w="3438" w:type="dxa"/>
          </w:tcPr>
          <w:p>
            <w:pPr>
              <w:pStyle w:val="TableParagraph"/>
              <w:spacing w:before="34"/>
              <w:ind w:left="422" w:right="423"/>
              <w:rPr>
                <w:rFonts w:ascii="Times New Roman" w:eastAsia="Times New Roman"/>
                <w:sz w:val="21"/>
              </w:rPr>
            </w:pPr>
            <w:r>
              <w:rPr>
                <w:rFonts w:ascii="Times New Roman" w:eastAsia="Times New Roman"/>
                <w:sz w:val="21"/>
              </w:rPr>
              <w:t>2</w:t>
            </w:r>
            <w:r>
              <w:rPr>
                <w:rFonts w:ascii="Times New Roman" w:eastAsia="Times New Roman"/>
                <w:position w:val="8"/>
                <w:sz w:val="14"/>
              </w:rPr>
              <w:t>#</w:t>
            </w:r>
            <w:r>
              <w:rPr>
                <w:sz w:val="21"/>
              </w:rPr>
              <w:t>项目附近水体下游 </w:t>
            </w:r>
            <w:r>
              <w:rPr>
                <w:rFonts w:ascii="Times New Roman" w:eastAsia="Times New Roman"/>
                <w:sz w:val="21"/>
              </w:rPr>
              <w:t>1000m</w:t>
            </w:r>
          </w:p>
        </w:tc>
        <w:tc>
          <w:tcPr>
            <w:tcW w:w="2778" w:type="dxa"/>
            <w:vMerge/>
          </w:tcPr>
          <w:p>
            <w:pPr/>
          </w:p>
        </w:tc>
        <w:tc>
          <w:tcPr>
            <w:tcW w:w="2375" w:type="dxa"/>
            <w:vMerge/>
          </w:tcPr>
          <w:p>
            <w:pPr/>
          </w:p>
        </w:tc>
      </w:tr>
    </w:tbl>
    <w:p>
      <w:pPr>
        <w:spacing w:before="41"/>
        <w:ind w:left="698" w:right="0" w:firstLine="0"/>
        <w:jc w:val="left"/>
        <w:rPr>
          <w:rFonts w:ascii="黑体" w:eastAsia="黑体" w:hint="eastAsia"/>
          <w:b/>
          <w:sz w:val="24"/>
        </w:rPr>
      </w:pPr>
      <w:r>
        <w:rPr>
          <w:rFonts w:ascii="Times New Roman" w:eastAsia="Times New Roman"/>
          <w:b/>
          <w:w w:val="95"/>
          <w:sz w:val="24"/>
        </w:rPr>
        <w:t>2</w:t>
      </w:r>
      <w:r>
        <w:rPr>
          <w:rFonts w:ascii="黑体" w:eastAsia="黑体" w:hint="eastAsia"/>
          <w:b/>
          <w:w w:val="95"/>
          <w:sz w:val="24"/>
        </w:rPr>
        <w:t>、监测项目及监测时间</w:t>
      </w:r>
    </w:p>
    <w:p>
      <w:pPr>
        <w:pStyle w:val="BodyText"/>
        <w:spacing w:line="338" w:lineRule="auto" w:before="136"/>
        <w:ind w:left="215" w:right="216" w:firstLine="480"/>
      </w:pPr>
      <w:r>
        <w:rPr>
          <w:rFonts w:ascii="Times New Roman" w:eastAsia="Times New Roman"/>
        </w:rPr>
        <w:t>1</w:t>
      </w:r>
      <w:r>
        <w:rPr>
          <w:rFonts w:ascii="Times New Roman" w:eastAsia="Times New Roman"/>
          <w:position w:val="9"/>
          <w:sz w:val="16"/>
        </w:rPr>
        <w:t>#</w:t>
      </w:r>
      <w:r>
        <w:rPr>
          <w:spacing w:val="-12"/>
        </w:rPr>
        <w:t>、</w:t>
      </w:r>
      <w:r>
        <w:rPr>
          <w:rFonts w:ascii="Times New Roman" w:eastAsia="Times New Roman"/>
        </w:rPr>
        <w:t>2</w:t>
      </w:r>
      <w:r>
        <w:rPr>
          <w:rFonts w:ascii="Times New Roman" w:eastAsia="Times New Roman"/>
          <w:position w:val="9"/>
          <w:sz w:val="16"/>
        </w:rPr>
        <w:t>#</w:t>
      </w:r>
      <w:r>
        <w:rPr>
          <w:spacing w:val="-2"/>
        </w:rPr>
        <w:t>断面：</w:t>
      </w:r>
      <w:r>
        <w:rPr>
          <w:rFonts w:ascii="Times New Roman" w:eastAsia="Times New Roman"/>
          <w:spacing w:val="-5"/>
        </w:rPr>
        <w:t>pH</w:t>
      </w:r>
      <w:r>
        <w:rPr>
          <w:spacing w:val="-9"/>
        </w:rPr>
        <w:t>、悬浮物、化学需氧量、五日生化需氧量、氨氮、石油类、粪大肠</w:t>
      </w:r>
      <w:r>
        <w:rPr>
          <w:spacing w:val="-13"/>
        </w:rPr>
        <w:t>菌群，共七项。监测时间共 </w:t>
      </w:r>
      <w:r>
        <w:rPr>
          <w:rFonts w:ascii="Times New Roman" w:eastAsia="Times New Roman"/>
        </w:rPr>
        <w:t>3 </w:t>
      </w:r>
      <w:r>
        <w:rPr/>
        <w:t>天，</w:t>
      </w:r>
      <w:r>
        <w:rPr>
          <w:rFonts w:ascii="Times New Roman" w:eastAsia="Times New Roman"/>
        </w:rPr>
        <w:t>2017 </w:t>
      </w:r>
      <w:r>
        <w:rPr>
          <w:spacing w:val="-30"/>
        </w:rPr>
        <w:t>年 </w:t>
      </w:r>
      <w:r>
        <w:rPr>
          <w:rFonts w:ascii="Times New Roman" w:eastAsia="Times New Roman"/>
        </w:rPr>
        <w:t>8 </w:t>
      </w:r>
      <w:r>
        <w:rPr>
          <w:spacing w:val="-30"/>
        </w:rPr>
        <w:t>月 </w:t>
      </w:r>
      <w:r>
        <w:rPr>
          <w:rFonts w:ascii="Times New Roman" w:eastAsia="Times New Roman"/>
        </w:rPr>
        <w:t>7 </w:t>
      </w:r>
      <w:r>
        <w:rPr/>
        <w:t>日～</w:t>
      </w:r>
      <w:r>
        <w:rPr>
          <w:rFonts w:ascii="Times New Roman" w:eastAsia="Times New Roman"/>
        </w:rPr>
        <w:t>8 </w:t>
      </w:r>
      <w:r>
        <w:rPr>
          <w:spacing w:val="-30"/>
        </w:rPr>
        <w:t>月 </w:t>
      </w:r>
      <w:r>
        <w:rPr>
          <w:rFonts w:ascii="Times New Roman" w:eastAsia="Times New Roman"/>
        </w:rPr>
        <w:t>9 </w:t>
      </w:r>
      <w:r>
        <w:rPr/>
        <w:t>日。</w:t>
      </w:r>
    </w:p>
    <w:p>
      <w:pPr>
        <w:pStyle w:val="Heading2"/>
        <w:spacing w:before="27"/>
        <w:ind w:left="697"/>
        <w:rPr>
          <w:rFonts w:ascii="黑体" w:eastAsia="黑体" w:hint="eastAsia"/>
        </w:rPr>
      </w:pPr>
      <w:r>
        <w:rPr>
          <w:rFonts w:ascii="Times New Roman" w:eastAsia="Times New Roman"/>
          <w:w w:val="95"/>
        </w:rPr>
        <w:t>3</w:t>
      </w:r>
      <w:r>
        <w:rPr>
          <w:rFonts w:ascii="黑体" w:eastAsia="黑体" w:hint="eastAsia"/>
          <w:w w:val="95"/>
        </w:rPr>
        <w:t>、评价方法</w:t>
      </w:r>
    </w:p>
    <w:p>
      <w:pPr>
        <w:pStyle w:val="BodyText"/>
        <w:spacing w:line="338" w:lineRule="auto" w:before="136"/>
        <w:ind w:left="215" w:right="201" w:firstLine="480"/>
      </w:pPr>
      <w:r>
        <w:rPr/>
        <w:t>采用标准指数法对各单项评价因子进行评价，</w:t>
      </w:r>
      <w:r>
        <w:rPr>
          <w:rFonts w:ascii="Times New Roman" w:eastAsia="Times New Roman"/>
        </w:rPr>
        <w:t>pH </w:t>
      </w:r>
      <w:r>
        <w:rPr/>
        <w:t>值采用单项水质标准指数法。单项环境质量指数计算方法分别如下：</w:t>
      </w:r>
    </w:p>
    <w:p>
      <w:pPr>
        <w:spacing w:before="111"/>
        <w:ind w:left="253" w:right="254" w:firstLine="0"/>
        <w:jc w:val="center"/>
        <w:rPr>
          <w:rFonts w:ascii="Times New Roman"/>
          <w:sz w:val="16"/>
        </w:rPr>
      </w:pPr>
      <w:r>
        <w:rPr>
          <w:rFonts w:ascii="Times New Roman"/>
          <w:position w:val="1"/>
          <w:sz w:val="24"/>
        </w:rPr>
        <w:t>S</w:t>
      </w:r>
      <w:r>
        <w:rPr>
          <w:rFonts w:ascii="Times New Roman"/>
          <w:sz w:val="16"/>
        </w:rPr>
        <w:t>i,j</w:t>
      </w:r>
      <w:r>
        <w:rPr>
          <w:rFonts w:ascii="Times New Roman"/>
          <w:position w:val="1"/>
          <w:sz w:val="24"/>
        </w:rPr>
        <w:t>=C</w:t>
      </w:r>
      <w:r>
        <w:rPr>
          <w:rFonts w:ascii="Times New Roman"/>
          <w:sz w:val="16"/>
        </w:rPr>
        <w:t>i,j</w:t>
      </w:r>
      <w:r>
        <w:rPr>
          <w:rFonts w:ascii="Times New Roman"/>
          <w:position w:val="1"/>
          <w:sz w:val="24"/>
        </w:rPr>
        <w:t>/C</w:t>
      </w:r>
      <w:r>
        <w:rPr>
          <w:rFonts w:ascii="Times New Roman"/>
          <w:sz w:val="16"/>
        </w:rPr>
        <w:t>si</w:t>
      </w:r>
    </w:p>
    <w:p>
      <w:pPr>
        <w:spacing w:before="135"/>
        <w:ind w:left="695" w:right="0" w:firstLine="0"/>
        <w:jc w:val="left"/>
        <w:rPr>
          <w:sz w:val="24"/>
        </w:rPr>
      </w:pPr>
      <w:r>
        <w:rPr>
          <w:w w:val="95"/>
          <w:position w:val="1"/>
          <w:sz w:val="24"/>
        </w:rPr>
        <w:t>式中：</w:t>
      </w:r>
      <w:r>
        <w:rPr>
          <w:rFonts w:ascii="Times New Roman" w:hAnsi="Times New Roman" w:eastAsia="Times New Roman"/>
          <w:w w:val="95"/>
          <w:position w:val="1"/>
          <w:sz w:val="24"/>
        </w:rPr>
        <w:t>S</w:t>
      </w:r>
      <w:r>
        <w:rPr>
          <w:rFonts w:ascii="Times New Roman" w:hAnsi="Times New Roman" w:eastAsia="Times New Roman"/>
          <w:w w:val="95"/>
          <w:sz w:val="16"/>
        </w:rPr>
        <w:t>i,j</w:t>
      </w:r>
      <w:r>
        <w:rPr>
          <w:rFonts w:ascii="Times New Roman" w:hAnsi="Times New Roman" w:eastAsia="Times New Roman"/>
          <w:w w:val="95"/>
          <w:position w:val="1"/>
          <w:sz w:val="24"/>
        </w:rPr>
        <w:t>——</w:t>
      </w:r>
      <w:r>
        <w:rPr>
          <w:w w:val="95"/>
          <w:position w:val="1"/>
          <w:sz w:val="24"/>
        </w:rPr>
        <w:t>标准指数；</w:t>
      </w:r>
    </w:p>
    <w:p>
      <w:pPr>
        <w:pStyle w:val="BodyText"/>
        <w:spacing w:before="10"/>
        <w:rPr>
          <w:sz w:val="7"/>
        </w:rPr>
      </w:pPr>
    </w:p>
    <w:p>
      <w:pPr>
        <w:pStyle w:val="BodyText"/>
        <w:spacing w:before="34"/>
        <w:ind w:left="1415"/>
      </w:pPr>
      <w:r>
        <w:rPr>
          <w:rFonts w:ascii="Times New Roman" w:hAnsi="Times New Roman" w:eastAsia="Times New Roman"/>
          <w:position w:val="1"/>
        </w:rPr>
        <w:t>C</w:t>
      </w:r>
      <w:r>
        <w:rPr>
          <w:rFonts w:ascii="Times New Roman" w:hAnsi="Times New Roman" w:eastAsia="Times New Roman"/>
          <w:sz w:val="16"/>
        </w:rPr>
        <w:t>i,j</w:t>
      </w:r>
      <w:r>
        <w:rPr>
          <w:rFonts w:ascii="Times New Roman" w:hAnsi="Times New Roman" w:eastAsia="Times New Roman"/>
          <w:position w:val="1"/>
        </w:rPr>
        <w:t>——</w:t>
      </w:r>
      <w:r>
        <w:rPr>
          <w:position w:val="1"/>
        </w:rPr>
        <w:t>评价因子 </w:t>
      </w:r>
      <w:r>
        <w:rPr>
          <w:rFonts w:ascii="Times New Roman" w:hAnsi="Times New Roman" w:eastAsia="Times New Roman"/>
          <w:position w:val="1"/>
        </w:rPr>
        <w:t>i </w:t>
      </w:r>
      <w:r>
        <w:rPr>
          <w:position w:val="1"/>
        </w:rPr>
        <w:t>在 </w:t>
      </w:r>
      <w:r>
        <w:rPr>
          <w:rFonts w:ascii="Times New Roman" w:hAnsi="Times New Roman" w:eastAsia="Times New Roman"/>
          <w:position w:val="1"/>
        </w:rPr>
        <w:t>j </w:t>
      </w:r>
      <w:r>
        <w:rPr>
          <w:position w:val="1"/>
        </w:rPr>
        <w:t>点的实测浓度值，</w:t>
      </w:r>
      <w:r>
        <w:rPr>
          <w:rFonts w:ascii="Times New Roman" w:hAnsi="Times New Roman" w:eastAsia="Times New Roman"/>
          <w:position w:val="1"/>
        </w:rPr>
        <w:t>mg/L</w:t>
      </w:r>
      <w:r>
        <w:rPr>
          <w:position w:val="1"/>
        </w:rPr>
        <w:t>；</w:t>
      </w:r>
    </w:p>
    <w:p>
      <w:pPr>
        <w:pStyle w:val="BodyText"/>
        <w:spacing w:before="136"/>
        <w:ind w:left="1415"/>
      </w:pPr>
      <w:r>
        <w:rPr>
          <w:rFonts w:ascii="Times New Roman" w:hAnsi="Times New Roman" w:eastAsia="Times New Roman"/>
          <w:position w:val="1"/>
        </w:rPr>
        <w:t>C</w:t>
      </w:r>
      <w:r>
        <w:rPr>
          <w:rFonts w:ascii="Times New Roman" w:hAnsi="Times New Roman" w:eastAsia="Times New Roman"/>
          <w:sz w:val="16"/>
        </w:rPr>
        <w:t>si</w:t>
      </w:r>
      <w:r>
        <w:rPr>
          <w:rFonts w:ascii="Times New Roman" w:hAnsi="Times New Roman" w:eastAsia="Times New Roman"/>
          <w:position w:val="1"/>
        </w:rPr>
        <w:t>——</w:t>
      </w:r>
      <w:r>
        <w:rPr>
          <w:position w:val="1"/>
        </w:rPr>
        <w:t>评价因子 </w:t>
      </w:r>
      <w:r>
        <w:rPr>
          <w:rFonts w:ascii="Times New Roman" w:hAnsi="Times New Roman" w:eastAsia="Times New Roman"/>
          <w:position w:val="1"/>
        </w:rPr>
        <w:t>i </w:t>
      </w:r>
      <w:r>
        <w:rPr>
          <w:position w:val="1"/>
        </w:rPr>
        <w:t>的评价标准限值，</w:t>
      </w:r>
      <w:r>
        <w:rPr>
          <w:rFonts w:ascii="Times New Roman" w:hAnsi="Times New Roman" w:eastAsia="Times New Roman"/>
          <w:position w:val="1"/>
        </w:rPr>
        <w:t>mg/L</w:t>
      </w:r>
      <w:r>
        <w:rPr>
          <w:position w:val="1"/>
        </w:rPr>
        <w:t>。</w:t>
      </w:r>
    </w:p>
    <w:p>
      <w:pPr>
        <w:pStyle w:val="BodyText"/>
        <w:spacing w:line="338" w:lineRule="auto" w:before="136"/>
        <w:ind w:left="215" w:firstLine="480"/>
      </w:pPr>
      <w:r>
        <w:rPr/>
        <w:t>水质参数的标准指数＞</w:t>
      </w:r>
      <w:r>
        <w:rPr>
          <w:rFonts w:ascii="Times New Roman" w:eastAsia="Times New Roman"/>
        </w:rPr>
        <w:t>1</w:t>
      </w:r>
      <w:r>
        <w:rPr/>
        <w:t>，表明该水质参数超过了规定的水质标准，已经不能满足使用要求。</w:t>
      </w:r>
    </w:p>
    <w:p>
      <w:pPr>
        <w:spacing w:before="55"/>
        <w:ind w:left="695" w:right="0" w:firstLine="0"/>
        <w:jc w:val="left"/>
        <w:rPr>
          <w:sz w:val="24"/>
        </w:rPr>
      </w:pPr>
      <w:r>
        <w:rPr>
          <w:rFonts w:ascii="Times New Roman" w:eastAsia="Times New Roman"/>
          <w:position w:val="1"/>
          <w:sz w:val="24"/>
        </w:rPr>
        <w:t>pH </w:t>
      </w:r>
      <w:r>
        <w:rPr>
          <w:position w:val="1"/>
          <w:sz w:val="24"/>
        </w:rPr>
        <w:t>的标准指数 </w:t>
      </w:r>
      <w:r>
        <w:rPr>
          <w:rFonts w:ascii="Times New Roman" w:eastAsia="Times New Roman"/>
          <w:position w:val="1"/>
          <w:sz w:val="24"/>
        </w:rPr>
        <w:t>S</w:t>
      </w:r>
      <w:r>
        <w:rPr>
          <w:rFonts w:ascii="Times New Roman" w:eastAsia="Times New Roman"/>
          <w:sz w:val="16"/>
        </w:rPr>
        <w:t>pH,j </w:t>
      </w:r>
      <w:r>
        <w:rPr>
          <w:position w:val="1"/>
          <w:sz w:val="24"/>
        </w:rPr>
        <w:t>为：</w:t>
      </w:r>
    </w:p>
    <w:p>
      <w:pPr>
        <w:pStyle w:val="BodyText"/>
        <w:tabs>
          <w:tab w:pos="5461" w:val="left" w:leader="none"/>
        </w:tabs>
        <w:spacing w:before="136"/>
        <w:ind w:left="2493"/>
      </w:pPr>
      <w:r>
        <w:rPr>
          <w:rFonts w:ascii="Times New Roman" w:hAnsi="Times New Roman" w:eastAsia="Times New Roman"/>
          <w:position w:val="1"/>
        </w:rPr>
        <w:t>S</w:t>
      </w:r>
      <w:r>
        <w:rPr>
          <w:rFonts w:ascii="Times New Roman" w:hAnsi="Times New Roman" w:eastAsia="Times New Roman"/>
          <w:sz w:val="16"/>
        </w:rPr>
        <w:t>pHj</w:t>
      </w:r>
      <w:r>
        <w:rPr>
          <w:rFonts w:ascii="Times New Roman" w:hAnsi="Times New Roman" w:eastAsia="Times New Roman"/>
          <w:position w:val="1"/>
        </w:rPr>
        <w:t>=(7.0-pH</w:t>
      </w:r>
      <w:r>
        <w:rPr>
          <w:rFonts w:ascii="Times New Roman" w:hAnsi="Times New Roman" w:eastAsia="Times New Roman"/>
          <w:sz w:val="16"/>
        </w:rPr>
        <w:t>j</w:t>
      </w:r>
      <w:r>
        <w:rPr>
          <w:rFonts w:ascii="Times New Roman" w:hAnsi="Times New Roman" w:eastAsia="Times New Roman"/>
          <w:position w:val="1"/>
        </w:rPr>
        <w:t>)/</w:t>
      </w:r>
      <w:r>
        <w:rPr>
          <w:rFonts w:ascii="Times New Roman" w:hAnsi="Times New Roman" w:eastAsia="Times New Roman"/>
          <w:spacing w:val="-2"/>
          <w:position w:val="1"/>
        </w:rPr>
        <w:t> </w:t>
      </w:r>
      <w:r>
        <w:rPr>
          <w:rFonts w:ascii="Times New Roman" w:hAnsi="Times New Roman" w:eastAsia="Times New Roman"/>
          <w:position w:val="1"/>
        </w:rPr>
        <w:t>(7.0-pH</w:t>
      </w:r>
      <w:r>
        <w:rPr>
          <w:rFonts w:ascii="Times New Roman" w:hAnsi="Times New Roman" w:eastAsia="Times New Roman"/>
          <w:sz w:val="16"/>
        </w:rPr>
        <w:t>sd</w:t>
      </w:r>
      <w:r>
        <w:rPr>
          <w:rFonts w:ascii="Times New Roman" w:hAnsi="Times New Roman" w:eastAsia="Times New Roman"/>
          <w:position w:val="1"/>
        </w:rPr>
        <w:t>)</w:t>
        <w:tab/>
        <w:t>(pH</w:t>
      </w:r>
      <w:r>
        <w:rPr>
          <w:rFonts w:ascii="Times New Roman" w:hAnsi="Times New Roman" w:eastAsia="Times New Roman"/>
          <w:sz w:val="16"/>
        </w:rPr>
        <w:t>j</w:t>
      </w:r>
      <w:r>
        <w:rPr>
          <w:rFonts w:ascii="Times New Roman" w:hAnsi="Times New Roman" w:eastAsia="Times New Roman"/>
          <w:position w:val="1"/>
        </w:rPr>
        <w:t>≤7.0</w:t>
      </w:r>
      <w:r>
        <w:rPr>
          <w:rFonts w:ascii="Times New Roman" w:hAnsi="Times New Roman" w:eastAsia="Times New Roman"/>
          <w:spacing w:val="-3"/>
          <w:position w:val="1"/>
        </w:rPr>
        <w:t> </w:t>
      </w:r>
      <w:r>
        <w:rPr>
          <w:position w:val="1"/>
        </w:rPr>
        <w:t>时</w:t>
      </w:r>
      <w:r>
        <w:rPr>
          <w:rFonts w:ascii="Times New Roman" w:hAnsi="Times New Roman" w:eastAsia="Times New Roman"/>
          <w:position w:val="1"/>
        </w:rPr>
        <w:t>)</w:t>
      </w:r>
      <w:r>
        <w:rPr>
          <w:position w:val="1"/>
        </w:rPr>
        <w:t>；</w:t>
      </w:r>
    </w:p>
    <w:p>
      <w:pPr>
        <w:pStyle w:val="BodyText"/>
        <w:tabs>
          <w:tab w:pos="5489" w:val="left" w:leader="none"/>
        </w:tabs>
        <w:spacing w:line="338" w:lineRule="auto" w:before="136"/>
        <w:ind w:left="695" w:right="2461" w:firstLine="1765"/>
      </w:pPr>
      <w:r>
        <w:rPr>
          <w:rFonts w:ascii="Times New Roman" w:hAnsi="Times New Roman" w:eastAsia="Times New Roman"/>
          <w:position w:val="1"/>
        </w:rPr>
        <w:t>S</w:t>
      </w:r>
      <w:r>
        <w:rPr>
          <w:rFonts w:ascii="Times New Roman" w:hAnsi="Times New Roman" w:eastAsia="Times New Roman"/>
          <w:sz w:val="16"/>
        </w:rPr>
        <w:t>pHj</w:t>
      </w:r>
      <w:r>
        <w:rPr>
          <w:rFonts w:ascii="Times New Roman" w:hAnsi="Times New Roman" w:eastAsia="Times New Roman"/>
          <w:spacing w:val="-1"/>
          <w:position w:val="1"/>
        </w:rPr>
        <w:t>=( </w:t>
      </w:r>
      <w:r>
        <w:rPr>
          <w:rFonts w:ascii="Times New Roman" w:hAnsi="Times New Roman" w:eastAsia="Times New Roman"/>
          <w:position w:val="1"/>
        </w:rPr>
        <w:t>pH</w:t>
      </w:r>
      <w:r>
        <w:rPr>
          <w:rFonts w:ascii="Times New Roman" w:hAnsi="Times New Roman" w:eastAsia="Times New Roman"/>
          <w:sz w:val="16"/>
        </w:rPr>
        <w:t>j</w:t>
      </w:r>
      <w:r>
        <w:rPr>
          <w:rFonts w:ascii="Times New Roman" w:hAnsi="Times New Roman" w:eastAsia="Times New Roman"/>
          <w:position w:val="1"/>
        </w:rPr>
        <w:t>-7.0)/</w:t>
      </w:r>
      <w:r>
        <w:rPr>
          <w:rFonts w:ascii="Times New Roman" w:hAnsi="Times New Roman" w:eastAsia="Times New Roman"/>
          <w:spacing w:val="-1"/>
          <w:position w:val="1"/>
        </w:rPr>
        <w:t> (</w:t>
      </w:r>
      <w:r>
        <w:rPr>
          <w:rFonts w:ascii="Times New Roman" w:hAnsi="Times New Roman" w:eastAsia="Times New Roman"/>
          <w:position w:val="1"/>
        </w:rPr>
        <w:t>pH</w:t>
      </w:r>
      <w:r>
        <w:rPr>
          <w:rFonts w:ascii="Times New Roman" w:hAnsi="Times New Roman" w:eastAsia="Times New Roman"/>
          <w:sz w:val="16"/>
        </w:rPr>
        <w:t>su</w:t>
      </w:r>
      <w:r>
        <w:rPr>
          <w:rFonts w:ascii="Times New Roman" w:hAnsi="Times New Roman" w:eastAsia="Times New Roman"/>
          <w:position w:val="1"/>
        </w:rPr>
        <w:t>-7.0)</w:t>
        <w:tab/>
        <w:t>(pH</w:t>
      </w:r>
      <w:r>
        <w:rPr>
          <w:rFonts w:ascii="Times New Roman" w:hAnsi="Times New Roman" w:eastAsia="Times New Roman"/>
          <w:sz w:val="16"/>
        </w:rPr>
        <w:t>j</w:t>
      </w:r>
      <w:r>
        <w:rPr>
          <w:rFonts w:ascii="Times New Roman" w:hAnsi="Times New Roman" w:eastAsia="Times New Roman"/>
          <w:position w:val="1"/>
        </w:rPr>
        <w:t>&gt;7.0</w:t>
      </w:r>
      <w:r>
        <w:rPr>
          <w:rFonts w:ascii="Times New Roman" w:hAnsi="Times New Roman" w:eastAsia="Times New Roman"/>
          <w:spacing w:val="-2"/>
          <w:position w:val="1"/>
        </w:rPr>
        <w:t> </w:t>
      </w:r>
      <w:r>
        <w:rPr>
          <w:position w:val="1"/>
        </w:rPr>
        <w:t>时</w:t>
      </w:r>
      <w:r>
        <w:rPr>
          <w:rFonts w:ascii="Times New Roman" w:hAnsi="Times New Roman" w:eastAsia="Times New Roman"/>
          <w:position w:val="1"/>
        </w:rPr>
        <w:t>)</w:t>
      </w:r>
      <w:r>
        <w:rPr>
          <w:position w:val="1"/>
        </w:rPr>
        <w:t>；</w:t>
      </w:r>
      <w:r>
        <w:rPr>
          <w:spacing w:val="-1"/>
          <w:position w:val="1"/>
        </w:rPr>
        <w:t>式中： </w:t>
      </w:r>
      <w:r>
        <w:rPr>
          <w:rFonts w:ascii="Times New Roman" w:hAnsi="Times New Roman" w:eastAsia="Times New Roman"/>
          <w:position w:val="1"/>
        </w:rPr>
        <w:t>S</w:t>
      </w:r>
      <w:r>
        <w:rPr>
          <w:rFonts w:ascii="Times New Roman" w:hAnsi="Times New Roman" w:eastAsia="Times New Roman"/>
          <w:sz w:val="16"/>
        </w:rPr>
        <w:t>pHj</w:t>
      </w:r>
      <w:r>
        <w:rPr>
          <w:rFonts w:ascii="Times New Roman" w:hAnsi="Times New Roman" w:eastAsia="Times New Roman"/>
          <w:position w:val="1"/>
        </w:rPr>
        <w:t>——pH</w:t>
      </w:r>
      <w:r>
        <w:rPr>
          <w:rFonts w:ascii="Times New Roman" w:hAnsi="Times New Roman" w:eastAsia="Times New Roman"/>
          <w:spacing w:val="-2"/>
          <w:position w:val="1"/>
        </w:rPr>
        <w:t> </w:t>
      </w:r>
      <w:r>
        <w:rPr>
          <w:position w:val="1"/>
        </w:rPr>
        <w:t>值的标准指数；</w:t>
      </w:r>
    </w:p>
    <w:p>
      <w:pPr>
        <w:pStyle w:val="BodyText"/>
        <w:spacing w:before="27"/>
        <w:ind w:left="1535"/>
      </w:pPr>
      <w:r>
        <w:rPr>
          <w:rFonts w:ascii="Times New Roman" w:hAnsi="Times New Roman" w:eastAsia="Times New Roman"/>
          <w:position w:val="1"/>
        </w:rPr>
        <w:t>pH</w:t>
      </w:r>
      <w:r>
        <w:rPr>
          <w:rFonts w:ascii="Times New Roman" w:hAnsi="Times New Roman" w:eastAsia="Times New Roman"/>
          <w:sz w:val="16"/>
        </w:rPr>
        <w:t>j</w:t>
      </w:r>
      <w:r>
        <w:rPr>
          <w:rFonts w:ascii="Times New Roman" w:hAnsi="Times New Roman" w:eastAsia="Times New Roman"/>
          <w:position w:val="1"/>
        </w:rPr>
        <w:t>——pH </w:t>
      </w:r>
      <w:r>
        <w:rPr>
          <w:position w:val="1"/>
        </w:rPr>
        <w:t>的实测值；</w:t>
      </w:r>
    </w:p>
    <w:p>
      <w:pPr>
        <w:pStyle w:val="BodyText"/>
        <w:ind w:left="1535"/>
      </w:pPr>
      <w:r>
        <w:rPr>
          <w:rFonts w:ascii="Times New Roman" w:hAnsi="Times New Roman" w:eastAsia="Times New Roman"/>
          <w:position w:val="1"/>
        </w:rPr>
        <w:t>pH</w:t>
      </w:r>
      <w:r>
        <w:rPr>
          <w:rFonts w:ascii="Times New Roman" w:hAnsi="Times New Roman" w:eastAsia="Times New Roman"/>
          <w:sz w:val="16"/>
        </w:rPr>
        <w:t>sd</w:t>
      </w:r>
      <w:r>
        <w:rPr>
          <w:rFonts w:ascii="Times New Roman" w:hAnsi="Times New Roman" w:eastAsia="Times New Roman"/>
          <w:position w:val="1"/>
        </w:rPr>
        <w:t>——</w:t>
      </w:r>
      <w:r>
        <w:rPr>
          <w:position w:val="1"/>
        </w:rPr>
        <w:t>评价标准中 </w:t>
      </w:r>
      <w:r>
        <w:rPr>
          <w:rFonts w:ascii="Times New Roman" w:hAnsi="Times New Roman" w:eastAsia="Times New Roman"/>
          <w:position w:val="1"/>
        </w:rPr>
        <w:t>pH </w:t>
      </w:r>
      <w:r>
        <w:rPr>
          <w:position w:val="1"/>
        </w:rPr>
        <w:t>的下限值；</w:t>
      </w:r>
    </w:p>
    <w:p>
      <w:pPr>
        <w:pStyle w:val="BodyText"/>
        <w:ind w:left="1535"/>
      </w:pPr>
      <w:r>
        <w:rPr>
          <w:rFonts w:ascii="Times New Roman" w:hAnsi="Times New Roman" w:eastAsia="Times New Roman"/>
          <w:position w:val="1"/>
        </w:rPr>
        <w:t>pH</w:t>
      </w:r>
      <w:r>
        <w:rPr>
          <w:rFonts w:ascii="Times New Roman" w:hAnsi="Times New Roman" w:eastAsia="Times New Roman"/>
          <w:sz w:val="16"/>
        </w:rPr>
        <w:t>su</w:t>
      </w:r>
      <w:r>
        <w:rPr>
          <w:rFonts w:ascii="Times New Roman" w:hAnsi="Times New Roman" w:eastAsia="Times New Roman"/>
          <w:position w:val="1"/>
        </w:rPr>
        <w:t>——</w:t>
      </w:r>
      <w:r>
        <w:rPr>
          <w:position w:val="1"/>
        </w:rPr>
        <w:t>评价标准中 </w:t>
      </w:r>
      <w:r>
        <w:rPr>
          <w:rFonts w:ascii="Times New Roman" w:hAnsi="Times New Roman" w:eastAsia="Times New Roman"/>
          <w:position w:val="1"/>
        </w:rPr>
        <w:t>pH </w:t>
      </w:r>
      <w:r>
        <w:rPr>
          <w:position w:val="1"/>
        </w:rPr>
        <w:t>的上限值。</w:t>
      </w:r>
    </w:p>
    <w:p>
      <w:pPr>
        <w:spacing w:after="0"/>
        <w:sectPr>
          <w:pgSz w:w="11910" w:h="16840"/>
          <w:pgMar w:header="0" w:footer="1246" w:top="1120" w:bottom="1440" w:left="1240" w:right="1240"/>
        </w:sectPr>
      </w:pPr>
    </w:p>
    <w:p>
      <w:pPr>
        <w:pStyle w:val="Heading2"/>
        <w:spacing w:before="45"/>
        <w:ind w:left="698"/>
        <w:rPr>
          <w:rFonts w:ascii="黑体" w:eastAsia="黑体" w:hint="eastAsia"/>
        </w:rPr>
      </w:pPr>
      <w:r>
        <w:rPr/>
        <w:pict>
          <v:group style="position:absolute;margin-left:67.190002pt;margin-top:56.448982pt;width:460.95pt;height:705.1pt;mso-position-horizontal-relative:page;mso-position-vertical-relative:page;z-index:-83992" coordorigin="1344,1129" coordsize="9219,14102">
            <v:line style="position:absolute" from="1354,1139" to="10553,1139" stroked="true" strokeweight=".481pt" strokecolor="#000000">
              <v:stroke dashstyle="solid"/>
            </v:line>
            <v:line style="position:absolute" from="1349,1134" to="1349,15226" stroked="true" strokeweight=".48pt" strokecolor="#000000">
              <v:stroke dashstyle="solid"/>
            </v:line>
            <v:line style="position:absolute" from="1354,15221" to="10553,15221" stroked="true" strokeweight=".48pt" strokecolor="#000000">
              <v:stroke dashstyle="solid"/>
            </v:line>
            <v:line style="position:absolute" from="10558,1134" to="10558,15226" stroked="true" strokeweight=".48pt" strokecolor="#000000">
              <v:stroke dashstyle="solid"/>
            </v:line>
            <w10:wrap type="none"/>
          </v:group>
        </w:pict>
      </w:r>
      <w:r>
        <w:rPr>
          <w:rFonts w:ascii="Times New Roman" w:eastAsia="Times New Roman"/>
          <w:w w:val="95"/>
        </w:rPr>
        <w:t>4</w:t>
      </w:r>
      <w:r>
        <w:rPr>
          <w:rFonts w:ascii="黑体" w:eastAsia="黑体" w:hint="eastAsia"/>
          <w:w w:val="95"/>
        </w:rPr>
        <w:t>、监测结果及评价</w:t>
      </w:r>
    </w:p>
    <w:p>
      <w:pPr>
        <w:pStyle w:val="BodyText"/>
        <w:ind w:left="695"/>
      </w:pPr>
      <w:r>
        <w:rPr/>
        <w:t>地表水环境质量现状监测结果见表 </w:t>
      </w:r>
      <w:r>
        <w:rPr>
          <w:rFonts w:ascii="Times New Roman" w:eastAsia="Times New Roman"/>
        </w:rPr>
        <w:t>3-3</w:t>
      </w:r>
      <w:r>
        <w:rPr/>
        <w:t>，评价结果见表 </w:t>
      </w:r>
      <w:r>
        <w:rPr>
          <w:rFonts w:ascii="Times New Roman" w:eastAsia="Times New Roman"/>
        </w:rPr>
        <w:t>3-4</w:t>
      </w:r>
      <w:r>
        <w:rPr/>
        <w:t>。</w:t>
      </w:r>
    </w:p>
    <w:p>
      <w:pPr>
        <w:pStyle w:val="Heading2"/>
        <w:tabs>
          <w:tab w:pos="861" w:val="left" w:leader="none"/>
          <w:tab w:pos="3752" w:val="left" w:leader="none"/>
        </w:tabs>
        <w:spacing w:before="135"/>
        <w:ind w:left="0" w:right="21"/>
        <w:jc w:val="center"/>
        <w:rPr>
          <w:rFonts w:ascii="黑体" w:eastAsia="黑体" w:hint="eastAsia"/>
        </w:rPr>
      </w:pPr>
      <w:r>
        <w:rPr>
          <w:rFonts w:ascii="黑体" w:eastAsia="黑体" w:hint="eastAsia"/>
        </w:rPr>
        <w:t>表</w:t>
      </w:r>
      <w:r>
        <w:rPr>
          <w:rFonts w:ascii="黑体" w:eastAsia="黑体" w:hint="eastAsia"/>
          <w:spacing w:val="-61"/>
        </w:rPr>
        <w:t> </w:t>
      </w:r>
      <w:r>
        <w:rPr>
          <w:rFonts w:ascii="Times New Roman" w:eastAsia="Times New Roman"/>
        </w:rPr>
        <w:t>3-3</w:t>
        <w:tab/>
      </w:r>
      <w:r>
        <w:rPr>
          <w:rFonts w:ascii="黑体" w:eastAsia="黑体" w:hint="eastAsia"/>
        </w:rPr>
        <w:t>地表水环境监测结果表</w:t>
        <w:tab/>
        <w:t>单位：</w:t>
      </w:r>
      <w:r>
        <w:rPr>
          <w:rFonts w:ascii="Times New Roman" w:eastAsia="Times New Roman"/>
        </w:rPr>
        <w:t>mg/L</w:t>
      </w:r>
      <w:r>
        <w:rPr>
          <w:rFonts w:ascii="黑体" w:eastAsia="黑体" w:hint="eastAsia"/>
        </w:rPr>
        <w:t>（</w:t>
      </w:r>
      <w:r>
        <w:rPr>
          <w:rFonts w:ascii="Times New Roman" w:eastAsia="Times New Roman"/>
        </w:rPr>
        <w:t>pH</w:t>
      </w:r>
      <w:r>
        <w:rPr>
          <w:rFonts w:ascii="Times New Roman" w:eastAsia="Times New Roman"/>
          <w:spacing w:val="-4"/>
        </w:rPr>
        <w:t> </w:t>
      </w:r>
      <w:r>
        <w:rPr>
          <w:rFonts w:ascii="黑体" w:eastAsia="黑体" w:hint="eastAsia"/>
        </w:rPr>
        <w:t>除外）</w:t>
      </w:r>
    </w:p>
    <w:p>
      <w:pPr>
        <w:pStyle w:val="BodyText"/>
        <w:spacing w:before="3"/>
        <w:rPr>
          <w:rFonts w:ascii="黑体"/>
          <w:b/>
          <w:sz w:val="7"/>
        </w:rPr>
      </w:pPr>
    </w:p>
    <w:tbl>
      <w:tblPr>
        <w:tblW w:w="0" w:type="auto"/>
        <w:jc w:val="left"/>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74"/>
        <w:gridCol w:w="899"/>
        <w:gridCol w:w="995"/>
        <w:gridCol w:w="1042"/>
        <w:gridCol w:w="1192"/>
        <w:gridCol w:w="890"/>
        <w:gridCol w:w="1042"/>
        <w:gridCol w:w="994"/>
        <w:gridCol w:w="857"/>
      </w:tblGrid>
      <w:tr>
        <w:trPr>
          <w:trHeight w:val="407" w:hRule="exact"/>
        </w:trPr>
        <w:tc>
          <w:tcPr>
            <w:tcW w:w="1074" w:type="dxa"/>
            <w:vMerge w:val="restart"/>
          </w:tcPr>
          <w:p>
            <w:pPr>
              <w:pStyle w:val="TableParagraph"/>
              <w:jc w:val="left"/>
              <w:rPr>
                <w:rFonts w:ascii="黑体"/>
                <w:b/>
                <w:sz w:val="25"/>
              </w:rPr>
            </w:pPr>
          </w:p>
          <w:p>
            <w:pPr>
              <w:pStyle w:val="TableParagraph"/>
              <w:spacing w:line="272" w:lineRule="exact"/>
              <w:ind w:left="321" w:right="301"/>
              <w:jc w:val="left"/>
              <w:rPr>
                <w:rFonts w:ascii="黑体" w:eastAsia="黑体" w:hint="eastAsia"/>
                <w:b/>
                <w:sz w:val="21"/>
              </w:rPr>
            </w:pPr>
            <w:r>
              <w:rPr>
                <w:rFonts w:ascii="黑体" w:eastAsia="黑体" w:hint="eastAsia"/>
                <w:b/>
                <w:sz w:val="21"/>
              </w:rPr>
              <w:t>监测项目</w:t>
            </w:r>
          </w:p>
        </w:tc>
        <w:tc>
          <w:tcPr>
            <w:tcW w:w="899" w:type="dxa"/>
            <w:vMerge w:val="restart"/>
          </w:tcPr>
          <w:p>
            <w:pPr>
              <w:pStyle w:val="TableParagraph"/>
              <w:jc w:val="left"/>
              <w:rPr>
                <w:rFonts w:ascii="黑体"/>
                <w:b/>
                <w:sz w:val="20"/>
              </w:rPr>
            </w:pPr>
          </w:p>
          <w:p>
            <w:pPr>
              <w:pStyle w:val="TableParagraph"/>
              <w:spacing w:before="174"/>
              <w:ind w:left="232"/>
              <w:jc w:val="left"/>
              <w:rPr>
                <w:rFonts w:ascii="黑体" w:eastAsia="黑体" w:hint="eastAsia"/>
                <w:b/>
                <w:sz w:val="21"/>
              </w:rPr>
            </w:pPr>
            <w:r>
              <w:rPr>
                <w:rFonts w:ascii="黑体" w:eastAsia="黑体" w:hint="eastAsia"/>
                <w:b/>
                <w:sz w:val="21"/>
              </w:rPr>
              <w:t>单位</w:t>
            </w:r>
          </w:p>
        </w:tc>
        <w:tc>
          <w:tcPr>
            <w:tcW w:w="6154" w:type="dxa"/>
            <w:gridSpan w:val="6"/>
          </w:tcPr>
          <w:p>
            <w:pPr>
              <w:pStyle w:val="TableParagraph"/>
              <w:spacing w:before="29"/>
              <w:ind w:left="2018"/>
              <w:jc w:val="left"/>
              <w:rPr>
                <w:rFonts w:ascii="黑体" w:eastAsia="黑体" w:hint="eastAsia"/>
                <w:b/>
                <w:sz w:val="21"/>
              </w:rPr>
            </w:pPr>
            <w:r>
              <w:rPr>
                <w:rFonts w:ascii="黑体" w:eastAsia="黑体" w:hint="eastAsia"/>
                <w:b/>
                <w:w w:val="95"/>
                <w:sz w:val="21"/>
              </w:rPr>
              <w:t>监测点位、时间及结果</w:t>
            </w:r>
          </w:p>
        </w:tc>
        <w:tc>
          <w:tcPr>
            <w:tcW w:w="857" w:type="dxa"/>
            <w:vMerge w:val="restart"/>
          </w:tcPr>
          <w:p>
            <w:pPr>
              <w:pStyle w:val="TableParagraph"/>
              <w:spacing w:before="8"/>
              <w:jc w:val="left"/>
              <w:rPr>
                <w:rFonts w:ascii="黑体"/>
                <w:b/>
                <w:sz w:val="14"/>
              </w:rPr>
            </w:pPr>
          </w:p>
          <w:p>
            <w:pPr>
              <w:pStyle w:val="TableParagraph"/>
              <w:spacing w:line="272" w:lineRule="exact"/>
              <w:ind w:left="106" w:right="104"/>
              <w:jc w:val="both"/>
              <w:rPr>
                <w:rFonts w:ascii="黑体" w:hAnsi="黑体" w:eastAsia="黑体" w:hint="eastAsia"/>
                <w:b/>
                <w:sz w:val="21"/>
              </w:rPr>
            </w:pPr>
            <w:r>
              <w:rPr>
                <w:rFonts w:ascii="黑体" w:hAnsi="黑体" w:eastAsia="黑体" w:hint="eastAsia"/>
                <w:b/>
                <w:sz w:val="21"/>
              </w:rPr>
              <w:t>标准限值（</w:t>
            </w:r>
            <w:r>
              <w:rPr>
                <w:b/>
                <w:sz w:val="21"/>
              </w:rPr>
              <w:t>Ⅲ </w:t>
            </w:r>
            <w:r>
              <w:rPr>
                <w:rFonts w:ascii="黑体" w:hAnsi="黑体" w:eastAsia="黑体" w:hint="eastAsia"/>
                <w:b/>
                <w:sz w:val="21"/>
              </w:rPr>
              <w:t>类）</w:t>
            </w:r>
          </w:p>
        </w:tc>
      </w:tr>
      <w:tr>
        <w:trPr>
          <w:trHeight w:val="408" w:hRule="exact"/>
        </w:trPr>
        <w:tc>
          <w:tcPr>
            <w:tcW w:w="1074" w:type="dxa"/>
            <w:vMerge/>
          </w:tcPr>
          <w:p>
            <w:pPr/>
          </w:p>
        </w:tc>
        <w:tc>
          <w:tcPr>
            <w:tcW w:w="899" w:type="dxa"/>
            <w:vMerge/>
          </w:tcPr>
          <w:p>
            <w:pPr/>
          </w:p>
        </w:tc>
        <w:tc>
          <w:tcPr>
            <w:tcW w:w="3228" w:type="dxa"/>
            <w:gridSpan w:val="3"/>
          </w:tcPr>
          <w:p>
            <w:pPr>
              <w:pStyle w:val="TableParagraph"/>
              <w:spacing w:before="29"/>
              <w:ind w:left="1411" w:right="1200"/>
              <w:rPr>
                <w:rFonts w:ascii="黑体" w:eastAsia="黑体" w:hint="eastAsia"/>
                <w:b/>
                <w:sz w:val="21"/>
              </w:rPr>
            </w:pPr>
            <w:r>
              <w:rPr>
                <w:rFonts w:ascii="Times New Roman" w:eastAsia="Times New Roman"/>
                <w:b/>
                <w:w w:val="95"/>
                <w:sz w:val="21"/>
              </w:rPr>
              <w:t>1</w:t>
            </w:r>
            <w:r>
              <w:rPr>
                <w:rFonts w:ascii="Times New Roman" w:eastAsia="Times New Roman"/>
                <w:b/>
                <w:w w:val="95"/>
                <w:position w:val="7"/>
                <w:sz w:val="14"/>
              </w:rPr>
              <w:t>#</w:t>
            </w:r>
            <w:r>
              <w:rPr>
                <w:rFonts w:ascii="黑体" w:eastAsia="黑体" w:hint="eastAsia"/>
                <w:b/>
                <w:w w:val="95"/>
                <w:sz w:val="21"/>
              </w:rPr>
              <w:t>断面</w:t>
            </w:r>
          </w:p>
        </w:tc>
        <w:tc>
          <w:tcPr>
            <w:tcW w:w="2926" w:type="dxa"/>
            <w:gridSpan w:val="3"/>
          </w:tcPr>
          <w:p>
            <w:pPr>
              <w:pStyle w:val="TableParagraph"/>
              <w:spacing w:before="29"/>
              <w:ind w:left="1154" w:right="1154"/>
              <w:rPr>
                <w:rFonts w:ascii="黑体" w:eastAsia="黑体" w:hint="eastAsia"/>
                <w:b/>
                <w:sz w:val="21"/>
              </w:rPr>
            </w:pPr>
            <w:r>
              <w:rPr>
                <w:rFonts w:ascii="Times New Roman" w:eastAsia="Times New Roman"/>
                <w:b/>
                <w:w w:val="95"/>
                <w:sz w:val="21"/>
              </w:rPr>
              <w:t>2</w:t>
            </w:r>
            <w:r>
              <w:rPr>
                <w:rFonts w:ascii="Times New Roman" w:eastAsia="Times New Roman"/>
                <w:b/>
                <w:w w:val="95"/>
                <w:position w:val="7"/>
                <w:sz w:val="14"/>
              </w:rPr>
              <w:t>#</w:t>
            </w:r>
            <w:r>
              <w:rPr>
                <w:rFonts w:ascii="黑体" w:eastAsia="黑体" w:hint="eastAsia"/>
                <w:b/>
                <w:w w:val="95"/>
                <w:sz w:val="21"/>
              </w:rPr>
              <w:t>断面</w:t>
            </w:r>
          </w:p>
        </w:tc>
        <w:tc>
          <w:tcPr>
            <w:tcW w:w="857" w:type="dxa"/>
            <w:vMerge/>
          </w:tcPr>
          <w:p>
            <w:pPr/>
          </w:p>
        </w:tc>
      </w:tr>
      <w:tr>
        <w:trPr>
          <w:trHeight w:val="407" w:hRule="exact"/>
        </w:trPr>
        <w:tc>
          <w:tcPr>
            <w:tcW w:w="1074" w:type="dxa"/>
            <w:vMerge/>
          </w:tcPr>
          <w:p>
            <w:pPr/>
          </w:p>
        </w:tc>
        <w:tc>
          <w:tcPr>
            <w:tcW w:w="899" w:type="dxa"/>
            <w:vMerge/>
          </w:tcPr>
          <w:p>
            <w:pPr/>
          </w:p>
        </w:tc>
        <w:tc>
          <w:tcPr>
            <w:tcW w:w="995" w:type="dxa"/>
          </w:tcPr>
          <w:p>
            <w:pPr>
              <w:pStyle w:val="TableParagraph"/>
              <w:spacing w:before="77"/>
              <w:ind w:left="157" w:right="157"/>
              <w:rPr>
                <w:rFonts w:ascii="Times New Roman"/>
                <w:b/>
                <w:sz w:val="21"/>
              </w:rPr>
            </w:pPr>
            <w:r>
              <w:rPr>
                <w:rFonts w:ascii="Times New Roman"/>
                <w:b/>
                <w:sz w:val="21"/>
              </w:rPr>
              <w:t>8.7</w:t>
            </w:r>
          </w:p>
        </w:tc>
        <w:tc>
          <w:tcPr>
            <w:tcW w:w="1042" w:type="dxa"/>
          </w:tcPr>
          <w:p>
            <w:pPr>
              <w:pStyle w:val="TableParagraph"/>
              <w:spacing w:before="77"/>
              <w:ind w:left="181" w:right="181"/>
              <w:rPr>
                <w:rFonts w:ascii="Times New Roman"/>
                <w:b/>
                <w:sz w:val="21"/>
              </w:rPr>
            </w:pPr>
            <w:r>
              <w:rPr>
                <w:rFonts w:ascii="Times New Roman"/>
                <w:b/>
                <w:sz w:val="21"/>
              </w:rPr>
              <w:t>8.8</w:t>
            </w:r>
          </w:p>
        </w:tc>
        <w:tc>
          <w:tcPr>
            <w:tcW w:w="1192" w:type="dxa"/>
          </w:tcPr>
          <w:p>
            <w:pPr>
              <w:pStyle w:val="TableParagraph"/>
              <w:spacing w:before="77"/>
              <w:ind w:left="256" w:right="256"/>
              <w:rPr>
                <w:rFonts w:ascii="Times New Roman"/>
                <w:b/>
                <w:sz w:val="21"/>
              </w:rPr>
            </w:pPr>
            <w:r>
              <w:rPr>
                <w:rFonts w:ascii="Times New Roman"/>
                <w:b/>
                <w:sz w:val="21"/>
              </w:rPr>
              <w:t>8.9</w:t>
            </w:r>
          </w:p>
        </w:tc>
        <w:tc>
          <w:tcPr>
            <w:tcW w:w="890" w:type="dxa"/>
          </w:tcPr>
          <w:p>
            <w:pPr>
              <w:pStyle w:val="TableParagraph"/>
              <w:spacing w:before="77"/>
              <w:ind w:left="105" w:right="104"/>
              <w:rPr>
                <w:rFonts w:ascii="Times New Roman"/>
                <w:b/>
                <w:sz w:val="21"/>
              </w:rPr>
            </w:pPr>
            <w:r>
              <w:rPr>
                <w:rFonts w:ascii="Times New Roman"/>
                <w:b/>
                <w:sz w:val="21"/>
              </w:rPr>
              <w:t>8.7</w:t>
            </w:r>
          </w:p>
        </w:tc>
        <w:tc>
          <w:tcPr>
            <w:tcW w:w="1042" w:type="dxa"/>
          </w:tcPr>
          <w:p>
            <w:pPr>
              <w:pStyle w:val="TableParagraph"/>
              <w:spacing w:before="77"/>
              <w:ind w:left="181" w:right="181"/>
              <w:rPr>
                <w:rFonts w:ascii="Times New Roman"/>
                <w:b/>
                <w:sz w:val="21"/>
              </w:rPr>
            </w:pPr>
            <w:r>
              <w:rPr>
                <w:rFonts w:ascii="Times New Roman"/>
                <w:b/>
                <w:sz w:val="21"/>
              </w:rPr>
              <w:t>8.8</w:t>
            </w:r>
          </w:p>
        </w:tc>
        <w:tc>
          <w:tcPr>
            <w:tcW w:w="994" w:type="dxa"/>
          </w:tcPr>
          <w:p>
            <w:pPr>
              <w:pStyle w:val="TableParagraph"/>
              <w:spacing w:before="77"/>
              <w:ind w:left="157" w:right="156"/>
              <w:rPr>
                <w:rFonts w:ascii="Times New Roman"/>
                <w:b/>
                <w:sz w:val="21"/>
              </w:rPr>
            </w:pPr>
            <w:r>
              <w:rPr>
                <w:rFonts w:ascii="Times New Roman"/>
                <w:b/>
                <w:sz w:val="21"/>
              </w:rPr>
              <w:t>8.9</w:t>
            </w:r>
          </w:p>
        </w:tc>
        <w:tc>
          <w:tcPr>
            <w:tcW w:w="857" w:type="dxa"/>
            <w:vMerge/>
          </w:tcPr>
          <w:p>
            <w:pPr/>
          </w:p>
        </w:tc>
      </w:tr>
      <w:tr>
        <w:trPr>
          <w:trHeight w:val="407" w:hRule="exact"/>
        </w:trPr>
        <w:tc>
          <w:tcPr>
            <w:tcW w:w="1074" w:type="dxa"/>
          </w:tcPr>
          <w:p>
            <w:pPr>
              <w:pStyle w:val="TableParagraph"/>
              <w:spacing w:before="77"/>
              <w:ind w:left="92" w:right="92"/>
              <w:rPr>
                <w:rFonts w:ascii="Times New Roman"/>
                <w:sz w:val="21"/>
              </w:rPr>
            </w:pPr>
            <w:r>
              <w:rPr>
                <w:rFonts w:ascii="Times New Roman"/>
                <w:sz w:val="21"/>
              </w:rPr>
              <w:t>pH</w:t>
            </w:r>
          </w:p>
        </w:tc>
        <w:tc>
          <w:tcPr>
            <w:tcW w:w="899" w:type="dxa"/>
          </w:tcPr>
          <w:p>
            <w:pPr>
              <w:pStyle w:val="TableParagraph"/>
              <w:spacing w:before="28"/>
              <w:ind w:left="109" w:right="109"/>
              <w:rPr>
                <w:sz w:val="21"/>
              </w:rPr>
            </w:pPr>
            <w:r>
              <w:rPr>
                <w:sz w:val="21"/>
              </w:rPr>
              <w:t>无量纲</w:t>
            </w:r>
          </w:p>
        </w:tc>
        <w:tc>
          <w:tcPr>
            <w:tcW w:w="995" w:type="dxa"/>
          </w:tcPr>
          <w:p>
            <w:pPr>
              <w:pStyle w:val="TableParagraph"/>
              <w:spacing w:before="77"/>
              <w:ind w:left="156" w:right="157"/>
              <w:rPr>
                <w:rFonts w:ascii="Times New Roman"/>
                <w:sz w:val="21"/>
              </w:rPr>
            </w:pPr>
            <w:r>
              <w:rPr>
                <w:rFonts w:ascii="Times New Roman"/>
                <w:sz w:val="21"/>
              </w:rPr>
              <w:t>7.72</w:t>
            </w:r>
          </w:p>
        </w:tc>
        <w:tc>
          <w:tcPr>
            <w:tcW w:w="1042" w:type="dxa"/>
          </w:tcPr>
          <w:p>
            <w:pPr>
              <w:pStyle w:val="TableParagraph"/>
              <w:spacing w:before="77"/>
              <w:ind w:left="181" w:right="181"/>
              <w:rPr>
                <w:rFonts w:ascii="Times New Roman"/>
                <w:sz w:val="21"/>
              </w:rPr>
            </w:pPr>
            <w:r>
              <w:rPr>
                <w:rFonts w:ascii="Times New Roman"/>
                <w:sz w:val="21"/>
              </w:rPr>
              <w:t>7.75</w:t>
            </w:r>
          </w:p>
        </w:tc>
        <w:tc>
          <w:tcPr>
            <w:tcW w:w="1192" w:type="dxa"/>
          </w:tcPr>
          <w:p>
            <w:pPr>
              <w:pStyle w:val="TableParagraph"/>
              <w:spacing w:before="77"/>
              <w:ind w:left="255" w:right="256"/>
              <w:rPr>
                <w:rFonts w:ascii="Times New Roman"/>
                <w:sz w:val="21"/>
              </w:rPr>
            </w:pPr>
            <w:r>
              <w:rPr>
                <w:rFonts w:ascii="Times New Roman"/>
                <w:sz w:val="21"/>
              </w:rPr>
              <w:t>7.68</w:t>
            </w:r>
          </w:p>
        </w:tc>
        <w:tc>
          <w:tcPr>
            <w:tcW w:w="890" w:type="dxa"/>
          </w:tcPr>
          <w:p>
            <w:pPr>
              <w:pStyle w:val="TableParagraph"/>
              <w:spacing w:before="77"/>
              <w:ind w:left="104" w:right="104"/>
              <w:rPr>
                <w:rFonts w:ascii="Times New Roman"/>
                <w:sz w:val="21"/>
              </w:rPr>
            </w:pPr>
            <w:r>
              <w:rPr>
                <w:rFonts w:ascii="Times New Roman"/>
                <w:sz w:val="21"/>
              </w:rPr>
              <w:t>7.47</w:t>
            </w:r>
          </w:p>
        </w:tc>
        <w:tc>
          <w:tcPr>
            <w:tcW w:w="1042" w:type="dxa"/>
          </w:tcPr>
          <w:p>
            <w:pPr>
              <w:pStyle w:val="TableParagraph"/>
              <w:spacing w:before="77"/>
              <w:ind w:left="181" w:right="181"/>
              <w:rPr>
                <w:rFonts w:ascii="Times New Roman"/>
                <w:sz w:val="21"/>
              </w:rPr>
            </w:pPr>
            <w:r>
              <w:rPr>
                <w:rFonts w:ascii="Times New Roman"/>
                <w:sz w:val="21"/>
              </w:rPr>
              <w:t>7.39</w:t>
            </w:r>
          </w:p>
        </w:tc>
        <w:tc>
          <w:tcPr>
            <w:tcW w:w="994" w:type="dxa"/>
          </w:tcPr>
          <w:p>
            <w:pPr>
              <w:pStyle w:val="TableParagraph"/>
              <w:spacing w:before="77"/>
              <w:ind w:left="157" w:right="156"/>
              <w:rPr>
                <w:rFonts w:ascii="Times New Roman"/>
                <w:sz w:val="21"/>
              </w:rPr>
            </w:pPr>
            <w:r>
              <w:rPr>
                <w:rFonts w:ascii="Times New Roman"/>
                <w:sz w:val="21"/>
              </w:rPr>
              <w:t>7.41</w:t>
            </w:r>
          </w:p>
        </w:tc>
        <w:tc>
          <w:tcPr>
            <w:tcW w:w="857" w:type="dxa"/>
          </w:tcPr>
          <w:p>
            <w:pPr>
              <w:pStyle w:val="TableParagraph"/>
              <w:spacing w:before="77"/>
              <w:ind w:left="83" w:right="83"/>
              <w:rPr>
                <w:rFonts w:ascii="Times New Roman"/>
                <w:sz w:val="21"/>
              </w:rPr>
            </w:pPr>
            <w:r>
              <w:rPr>
                <w:rFonts w:ascii="Times New Roman"/>
                <w:sz w:val="21"/>
              </w:rPr>
              <w:t>6-9</w:t>
            </w:r>
          </w:p>
        </w:tc>
      </w:tr>
      <w:tr>
        <w:trPr>
          <w:trHeight w:val="407" w:hRule="exact"/>
        </w:trPr>
        <w:tc>
          <w:tcPr>
            <w:tcW w:w="1074" w:type="dxa"/>
          </w:tcPr>
          <w:p>
            <w:pPr>
              <w:pStyle w:val="TableParagraph"/>
              <w:spacing w:before="77"/>
              <w:ind w:left="91" w:right="92"/>
              <w:rPr>
                <w:rFonts w:ascii="Times New Roman"/>
                <w:sz w:val="21"/>
              </w:rPr>
            </w:pPr>
            <w:r>
              <w:rPr>
                <w:rFonts w:ascii="Times New Roman"/>
                <w:sz w:val="21"/>
              </w:rPr>
              <w:t>SS</w:t>
            </w:r>
          </w:p>
        </w:tc>
        <w:tc>
          <w:tcPr>
            <w:tcW w:w="899" w:type="dxa"/>
          </w:tcPr>
          <w:p>
            <w:pPr>
              <w:pStyle w:val="TableParagraph"/>
              <w:spacing w:before="77"/>
              <w:ind w:left="109" w:right="109"/>
              <w:rPr>
                <w:rFonts w:ascii="Times New Roman"/>
                <w:sz w:val="21"/>
              </w:rPr>
            </w:pPr>
            <w:r>
              <w:rPr>
                <w:rFonts w:ascii="Times New Roman"/>
                <w:sz w:val="21"/>
              </w:rPr>
              <w:t>mg/L</w:t>
            </w:r>
          </w:p>
        </w:tc>
        <w:tc>
          <w:tcPr>
            <w:tcW w:w="995" w:type="dxa"/>
          </w:tcPr>
          <w:p>
            <w:pPr>
              <w:pStyle w:val="TableParagraph"/>
              <w:spacing w:before="77"/>
              <w:ind w:left="157" w:right="157"/>
              <w:rPr>
                <w:rFonts w:ascii="Times New Roman"/>
                <w:sz w:val="21"/>
              </w:rPr>
            </w:pPr>
            <w:r>
              <w:rPr>
                <w:rFonts w:ascii="Times New Roman"/>
                <w:sz w:val="21"/>
              </w:rPr>
              <w:t>13</w:t>
            </w:r>
          </w:p>
        </w:tc>
        <w:tc>
          <w:tcPr>
            <w:tcW w:w="1042" w:type="dxa"/>
          </w:tcPr>
          <w:p>
            <w:pPr>
              <w:pStyle w:val="TableParagraph"/>
              <w:spacing w:before="77"/>
              <w:ind w:left="181" w:right="181"/>
              <w:rPr>
                <w:rFonts w:ascii="Times New Roman"/>
                <w:sz w:val="21"/>
              </w:rPr>
            </w:pPr>
            <w:r>
              <w:rPr>
                <w:rFonts w:ascii="Times New Roman"/>
                <w:sz w:val="21"/>
              </w:rPr>
              <w:t>15</w:t>
            </w:r>
          </w:p>
        </w:tc>
        <w:tc>
          <w:tcPr>
            <w:tcW w:w="1192" w:type="dxa"/>
          </w:tcPr>
          <w:p>
            <w:pPr>
              <w:pStyle w:val="TableParagraph"/>
              <w:spacing w:before="77"/>
              <w:ind w:left="256" w:right="255"/>
              <w:rPr>
                <w:rFonts w:ascii="Times New Roman"/>
                <w:sz w:val="21"/>
              </w:rPr>
            </w:pPr>
            <w:r>
              <w:rPr>
                <w:rFonts w:ascii="Times New Roman"/>
                <w:sz w:val="21"/>
              </w:rPr>
              <w:t>16</w:t>
            </w:r>
          </w:p>
        </w:tc>
        <w:tc>
          <w:tcPr>
            <w:tcW w:w="890" w:type="dxa"/>
          </w:tcPr>
          <w:p>
            <w:pPr>
              <w:pStyle w:val="TableParagraph"/>
              <w:spacing w:before="77"/>
              <w:ind w:left="99" w:right="104"/>
              <w:rPr>
                <w:rFonts w:ascii="Times New Roman"/>
                <w:sz w:val="21"/>
              </w:rPr>
            </w:pPr>
            <w:r>
              <w:rPr>
                <w:rFonts w:ascii="Times New Roman"/>
                <w:sz w:val="21"/>
              </w:rPr>
              <w:t>11</w:t>
            </w:r>
          </w:p>
        </w:tc>
        <w:tc>
          <w:tcPr>
            <w:tcW w:w="1042" w:type="dxa"/>
          </w:tcPr>
          <w:p>
            <w:pPr>
              <w:pStyle w:val="TableParagraph"/>
              <w:spacing w:before="77"/>
              <w:ind w:left="181" w:right="181"/>
              <w:rPr>
                <w:rFonts w:ascii="Times New Roman"/>
                <w:sz w:val="21"/>
              </w:rPr>
            </w:pPr>
            <w:r>
              <w:rPr>
                <w:rFonts w:ascii="Times New Roman"/>
                <w:sz w:val="21"/>
              </w:rPr>
              <w:t>13</w:t>
            </w:r>
          </w:p>
        </w:tc>
        <w:tc>
          <w:tcPr>
            <w:tcW w:w="994" w:type="dxa"/>
          </w:tcPr>
          <w:p>
            <w:pPr>
              <w:pStyle w:val="TableParagraph"/>
              <w:spacing w:before="77"/>
              <w:ind w:left="157" w:right="156"/>
              <w:rPr>
                <w:rFonts w:ascii="Times New Roman"/>
                <w:sz w:val="21"/>
              </w:rPr>
            </w:pPr>
            <w:r>
              <w:rPr>
                <w:rFonts w:ascii="Times New Roman"/>
                <w:sz w:val="21"/>
              </w:rPr>
              <w:t>10</w:t>
            </w:r>
          </w:p>
        </w:tc>
        <w:tc>
          <w:tcPr>
            <w:tcW w:w="857" w:type="dxa"/>
          </w:tcPr>
          <w:p>
            <w:pPr>
              <w:pStyle w:val="TableParagraph"/>
              <w:spacing w:before="77"/>
              <w:rPr>
                <w:rFonts w:ascii="Times New Roman"/>
                <w:sz w:val="21"/>
              </w:rPr>
            </w:pPr>
            <w:r>
              <w:rPr>
                <w:rFonts w:ascii="Times New Roman"/>
                <w:sz w:val="21"/>
              </w:rPr>
              <w:t>/</w:t>
            </w:r>
          </w:p>
        </w:tc>
      </w:tr>
      <w:tr>
        <w:trPr>
          <w:trHeight w:val="407" w:hRule="exact"/>
        </w:trPr>
        <w:tc>
          <w:tcPr>
            <w:tcW w:w="1074" w:type="dxa"/>
          </w:tcPr>
          <w:p>
            <w:pPr>
              <w:pStyle w:val="TableParagraph"/>
              <w:spacing w:before="77"/>
              <w:ind w:right="308"/>
              <w:jc w:val="right"/>
              <w:rPr>
                <w:rFonts w:ascii="Times New Roman"/>
                <w:sz w:val="21"/>
              </w:rPr>
            </w:pPr>
            <w:r>
              <w:rPr>
                <w:rFonts w:ascii="Times New Roman"/>
                <w:sz w:val="21"/>
              </w:rPr>
              <w:t>COD</w:t>
            </w:r>
          </w:p>
        </w:tc>
        <w:tc>
          <w:tcPr>
            <w:tcW w:w="899" w:type="dxa"/>
          </w:tcPr>
          <w:p>
            <w:pPr>
              <w:pStyle w:val="TableParagraph"/>
              <w:spacing w:before="77"/>
              <w:ind w:left="109" w:right="109"/>
              <w:rPr>
                <w:rFonts w:ascii="Times New Roman"/>
                <w:sz w:val="21"/>
              </w:rPr>
            </w:pPr>
            <w:r>
              <w:rPr>
                <w:rFonts w:ascii="Times New Roman"/>
                <w:sz w:val="21"/>
              </w:rPr>
              <w:t>mg/L</w:t>
            </w:r>
          </w:p>
        </w:tc>
        <w:tc>
          <w:tcPr>
            <w:tcW w:w="995" w:type="dxa"/>
          </w:tcPr>
          <w:p>
            <w:pPr>
              <w:pStyle w:val="TableParagraph"/>
              <w:spacing w:before="77"/>
              <w:ind w:left="157" w:right="156"/>
              <w:rPr>
                <w:rFonts w:ascii="Times New Roman"/>
                <w:sz w:val="21"/>
              </w:rPr>
            </w:pPr>
            <w:r>
              <w:rPr>
                <w:rFonts w:ascii="Times New Roman"/>
                <w:sz w:val="21"/>
              </w:rPr>
              <w:t>16</w:t>
            </w:r>
          </w:p>
        </w:tc>
        <w:tc>
          <w:tcPr>
            <w:tcW w:w="1042" w:type="dxa"/>
          </w:tcPr>
          <w:p>
            <w:pPr>
              <w:pStyle w:val="TableParagraph"/>
              <w:spacing w:before="77"/>
              <w:ind w:left="181" w:right="181"/>
              <w:rPr>
                <w:rFonts w:ascii="Times New Roman"/>
                <w:sz w:val="21"/>
              </w:rPr>
            </w:pPr>
            <w:r>
              <w:rPr>
                <w:rFonts w:ascii="Times New Roman"/>
                <w:sz w:val="21"/>
              </w:rPr>
              <w:t>15</w:t>
            </w:r>
          </w:p>
        </w:tc>
        <w:tc>
          <w:tcPr>
            <w:tcW w:w="1192" w:type="dxa"/>
          </w:tcPr>
          <w:p>
            <w:pPr>
              <w:pStyle w:val="TableParagraph"/>
              <w:spacing w:before="77"/>
              <w:ind w:left="256" w:right="255"/>
              <w:rPr>
                <w:rFonts w:ascii="Times New Roman"/>
                <w:sz w:val="21"/>
              </w:rPr>
            </w:pPr>
            <w:r>
              <w:rPr>
                <w:rFonts w:ascii="Times New Roman"/>
                <w:sz w:val="21"/>
              </w:rPr>
              <w:t>17</w:t>
            </w:r>
          </w:p>
        </w:tc>
        <w:tc>
          <w:tcPr>
            <w:tcW w:w="890" w:type="dxa"/>
          </w:tcPr>
          <w:p>
            <w:pPr>
              <w:pStyle w:val="TableParagraph"/>
              <w:spacing w:before="77"/>
              <w:ind w:left="105" w:right="103"/>
              <w:rPr>
                <w:rFonts w:ascii="Times New Roman"/>
                <w:sz w:val="21"/>
              </w:rPr>
            </w:pPr>
            <w:r>
              <w:rPr>
                <w:rFonts w:ascii="Times New Roman"/>
                <w:sz w:val="21"/>
              </w:rPr>
              <w:t>19</w:t>
            </w:r>
          </w:p>
        </w:tc>
        <w:tc>
          <w:tcPr>
            <w:tcW w:w="1042" w:type="dxa"/>
          </w:tcPr>
          <w:p>
            <w:pPr>
              <w:pStyle w:val="TableParagraph"/>
              <w:spacing w:before="77"/>
              <w:ind w:left="181" w:right="181"/>
              <w:rPr>
                <w:rFonts w:ascii="Times New Roman"/>
                <w:sz w:val="21"/>
              </w:rPr>
            </w:pPr>
            <w:r>
              <w:rPr>
                <w:rFonts w:ascii="Times New Roman"/>
                <w:sz w:val="21"/>
              </w:rPr>
              <w:t>18</w:t>
            </w:r>
          </w:p>
        </w:tc>
        <w:tc>
          <w:tcPr>
            <w:tcW w:w="994" w:type="dxa"/>
          </w:tcPr>
          <w:p>
            <w:pPr>
              <w:pStyle w:val="TableParagraph"/>
              <w:spacing w:before="77"/>
              <w:ind w:left="157" w:right="155"/>
              <w:rPr>
                <w:rFonts w:ascii="Times New Roman"/>
                <w:sz w:val="21"/>
              </w:rPr>
            </w:pPr>
            <w:r>
              <w:rPr>
                <w:rFonts w:ascii="Times New Roman"/>
                <w:sz w:val="21"/>
              </w:rPr>
              <w:t>18</w:t>
            </w:r>
          </w:p>
        </w:tc>
        <w:tc>
          <w:tcPr>
            <w:tcW w:w="857" w:type="dxa"/>
          </w:tcPr>
          <w:p>
            <w:pPr>
              <w:pStyle w:val="TableParagraph"/>
              <w:spacing w:before="77"/>
              <w:ind w:left="83" w:right="83"/>
              <w:rPr>
                <w:rFonts w:ascii="Times New Roman" w:hAnsi="Times New Roman"/>
                <w:sz w:val="21"/>
              </w:rPr>
            </w:pPr>
            <w:r>
              <w:rPr>
                <w:rFonts w:ascii="Times New Roman" w:hAnsi="Times New Roman"/>
                <w:sz w:val="21"/>
              </w:rPr>
              <w:t>≤20</w:t>
            </w:r>
          </w:p>
        </w:tc>
      </w:tr>
      <w:tr>
        <w:trPr>
          <w:trHeight w:val="407" w:hRule="exact"/>
        </w:trPr>
        <w:tc>
          <w:tcPr>
            <w:tcW w:w="1074" w:type="dxa"/>
          </w:tcPr>
          <w:p>
            <w:pPr>
              <w:pStyle w:val="TableParagraph"/>
              <w:spacing w:before="77"/>
              <w:ind w:right="274"/>
              <w:jc w:val="right"/>
              <w:rPr>
                <w:rFonts w:ascii="Times New Roman"/>
                <w:sz w:val="14"/>
              </w:rPr>
            </w:pPr>
            <w:r>
              <w:rPr>
                <w:rFonts w:ascii="Times New Roman"/>
                <w:sz w:val="21"/>
              </w:rPr>
              <w:t>BOD</w:t>
            </w:r>
            <w:r>
              <w:rPr>
                <w:rFonts w:ascii="Times New Roman"/>
                <w:position w:val="-1"/>
                <w:sz w:val="14"/>
              </w:rPr>
              <w:t>5</w:t>
            </w:r>
          </w:p>
        </w:tc>
        <w:tc>
          <w:tcPr>
            <w:tcW w:w="899" w:type="dxa"/>
          </w:tcPr>
          <w:p>
            <w:pPr>
              <w:pStyle w:val="TableParagraph"/>
              <w:spacing w:before="77"/>
              <w:ind w:left="109" w:right="109"/>
              <w:rPr>
                <w:rFonts w:ascii="Times New Roman"/>
                <w:sz w:val="21"/>
              </w:rPr>
            </w:pPr>
            <w:r>
              <w:rPr>
                <w:rFonts w:ascii="Times New Roman"/>
                <w:sz w:val="21"/>
              </w:rPr>
              <w:t>mg/L</w:t>
            </w:r>
          </w:p>
        </w:tc>
        <w:tc>
          <w:tcPr>
            <w:tcW w:w="995" w:type="dxa"/>
          </w:tcPr>
          <w:p>
            <w:pPr>
              <w:pStyle w:val="TableParagraph"/>
              <w:spacing w:before="77"/>
              <w:ind w:left="157" w:right="156"/>
              <w:rPr>
                <w:rFonts w:ascii="Times New Roman"/>
                <w:sz w:val="21"/>
              </w:rPr>
            </w:pPr>
            <w:r>
              <w:rPr>
                <w:rFonts w:ascii="Times New Roman"/>
                <w:sz w:val="21"/>
              </w:rPr>
              <w:t>3.5</w:t>
            </w:r>
          </w:p>
        </w:tc>
        <w:tc>
          <w:tcPr>
            <w:tcW w:w="1042" w:type="dxa"/>
          </w:tcPr>
          <w:p>
            <w:pPr>
              <w:pStyle w:val="TableParagraph"/>
              <w:spacing w:before="77"/>
              <w:ind w:left="181" w:right="181"/>
              <w:rPr>
                <w:rFonts w:ascii="Times New Roman"/>
                <w:sz w:val="21"/>
              </w:rPr>
            </w:pPr>
            <w:r>
              <w:rPr>
                <w:rFonts w:ascii="Times New Roman"/>
                <w:sz w:val="21"/>
              </w:rPr>
              <w:t>2.9</w:t>
            </w:r>
          </w:p>
        </w:tc>
        <w:tc>
          <w:tcPr>
            <w:tcW w:w="1192" w:type="dxa"/>
          </w:tcPr>
          <w:p>
            <w:pPr>
              <w:pStyle w:val="TableParagraph"/>
              <w:spacing w:before="77"/>
              <w:ind w:left="256" w:right="256"/>
              <w:rPr>
                <w:rFonts w:ascii="Times New Roman"/>
                <w:sz w:val="21"/>
              </w:rPr>
            </w:pPr>
            <w:r>
              <w:rPr>
                <w:rFonts w:ascii="Times New Roman"/>
                <w:sz w:val="21"/>
              </w:rPr>
              <w:t>3.5</w:t>
            </w:r>
          </w:p>
        </w:tc>
        <w:tc>
          <w:tcPr>
            <w:tcW w:w="890" w:type="dxa"/>
          </w:tcPr>
          <w:p>
            <w:pPr>
              <w:pStyle w:val="TableParagraph"/>
              <w:spacing w:before="77"/>
              <w:ind w:left="105" w:right="103"/>
              <w:rPr>
                <w:rFonts w:ascii="Times New Roman"/>
                <w:sz w:val="21"/>
              </w:rPr>
            </w:pPr>
            <w:r>
              <w:rPr>
                <w:rFonts w:ascii="Times New Roman"/>
                <w:sz w:val="21"/>
              </w:rPr>
              <w:t>3.8</w:t>
            </w:r>
          </w:p>
        </w:tc>
        <w:tc>
          <w:tcPr>
            <w:tcW w:w="1042" w:type="dxa"/>
          </w:tcPr>
          <w:p>
            <w:pPr>
              <w:pStyle w:val="TableParagraph"/>
              <w:spacing w:before="77"/>
              <w:ind w:left="181" w:right="181"/>
              <w:rPr>
                <w:rFonts w:ascii="Times New Roman"/>
                <w:sz w:val="21"/>
              </w:rPr>
            </w:pPr>
            <w:r>
              <w:rPr>
                <w:rFonts w:ascii="Times New Roman"/>
                <w:sz w:val="21"/>
              </w:rPr>
              <w:t>3.7</w:t>
            </w:r>
          </w:p>
        </w:tc>
        <w:tc>
          <w:tcPr>
            <w:tcW w:w="994" w:type="dxa"/>
          </w:tcPr>
          <w:p>
            <w:pPr>
              <w:pStyle w:val="TableParagraph"/>
              <w:spacing w:before="77"/>
              <w:ind w:left="157" w:right="156"/>
              <w:rPr>
                <w:rFonts w:ascii="Times New Roman"/>
                <w:sz w:val="21"/>
              </w:rPr>
            </w:pPr>
            <w:r>
              <w:rPr>
                <w:rFonts w:ascii="Times New Roman"/>
                <w:sz w:val="21"/>
              </w:rPr>
              <w:t>3.8</w:t>
            </w:r>
          </w:p>
        </w:tc>
        <w:tc>
          <w:tcPr>
            <w:tcW w:w="857" w:type="dxa"/>
          </w:tcPr>
          <w:p>
            <w:pPr>
              <w:pStyle w:val="TableParagraph"/>
              <w:spacing w:before="77"/>
              <w:ind w:left="82" w:right="83"/>
              <w:rPr>
                <w:rFonts w:ascii="Times New Roman" w:hAnsi="Times New Roman"/>
                <w:sz w:val="21"/>
              </w:rPr>
            </w:pPr>
            <w:r>
              <w:rPr>
                <w:rFonts w:ascii="Times New Roman" w:hAnsi="Times New Roman"/>
                <w:sz w:val="21"/>
              </w:rPr>
              <w:t>≤4</w:t>
            </w:r>
          </w:p>
        </w:tc>
      </w:tr>
      <w:tr>
        <w:trPr>
          <w:trHeight w:val="408" w:hRule="exact"/>
        </w:trPr>
        <w:tc>
          <w:tcPr>
            <w:tcW w:w="1074" w:type="dxa"/>
          </w:tcPr>
          <w:p>
            <w:pPr>
              <w:pStyle w:val="TableParagraph"/>
              <w:spacing w:before="29"/>
              <w:ind w:right="320"/>
              <w:jc w:val="right"/>
              <w:rPr>
                <w:sz w:val="21"/>
              </w:rPr>
            </w:pPr>
            <w:r>
              <w:rPr>
                <w:sz w:val="21"/>
              </w:rPr>
              <w:t>氨氮</w:t>
            </w:r>
          </w:p>
        </w:tc>
        <w:tc>
          <w:tcPr>
            <w:tcW w:w="899" w:type="dxa"/>
          </w:tcPr>
          <w:p>
            <w:pPr>
              <w:pStyle w:val="TableParagraph"/>
              <w:spacing w:before="78"/>
              <w:ind w:left="109" w:right="109"/>
              <w:rPr>
                <w:rFonts w:ascii="Times New Roman"/>
                <w:sz w:val="21"/>
              </w:rPr>
            </w:pPr>
            <w:r>
              <w:rPr>
                <w:rFonts w:ascii="Times New Roman"/>
                <w:sz w:val="21"/>
              </w:rPr>
              <w:t>mg/L</w:t>
            </w:r>
          </w:p>
        </w:tc>
        <w:tc>
          <w:tcPr>
            <w:tcW w:w="995" w:type="dxa"/>
          </w:tcPr>
          <w:p>
            <w:pPr>
              <w:pStyle w:val="TableParagraph"/>
              <w:spacing w:before="78"/>
              <w:ind w:left="157" w:right="157"/>
              <w:rPr>
                <w:rFonts w:ascii="Times New Roman"/>
                <w:sz w:val="21"/>
              </w:rPr>
            </w:pPr>
            <w:r>
              <w:rPr>
                <w:rFonts w:ascii="Times New Roman"/>
                <w:sz w:val="21"/>
              </w:rPr>
              <w:t>0.056</w:t>
            </w:r>
          </w:p>
        </w:tc>
        <w:tc>
          <w:tcPr>
            <w:tcW w:w="1042" w:type="dxa"/>
          </w:tcPr>
          <w:p>
            <w:pPr>
              <w:pStyle w:val="TableParagraph"/>
              <w:spacing w:before="78"/>
              <w:ind w:left="181" w:right="180"/>
              <w:rPr>
                <w:rFonts w:ascii="Times New Roman"/>
                <w:sz w:val="21"/>
              </w:rPr>
            </w:pPr>
            <w:r>
              <w:rPr>
                <w:rFonts w:ascii="Times New Roman"/>
                <w:sz w:val="21"/>
              </w:rPr>
              <w:t>0.091</w:t>
            </w:r>
          </w:p>
        </w:tc>
        <w:tc>
          <w:tcPr>
            <w:tcW w:w="1192" w:type="dxa"/>
          </w:tcPr>
          <w:p>
            <w:pPr>
              <w:pStyle w:val="TableParagraph"/>
              <w:spacing w:before="78"/>
              <w:ind w:left="256" w:right="256"/>
              <w:rPr>
                <w:rFonts w:ascii="Times New Roman"/>
                <w:sz w:val="21"/>
              </w:rPr>
            </w:pPr>
            <w:r>
              <w:rPr>
                <w:rFonts w:ascii="Times New Roman"/>
                <w:sz w:val="21"/>
              </w:rPr>
              <w:t>0.064</w:t>
            </w:r>
          </w:p>
        </w:tc>
        <w:tc>
          <w:tcPr>
            <w:tcW w:w="890" w:type="dxa"/>
          </w:tcPr>
          <w:p>
            <w:pPr>
              <w:pStyle w:val="TableParagraph"/>
              <w:spacing w:before="78"/>
              <w:ind w:left="104" w:right="104"/>
              <w:rPr>
                <w:rFonts w:ascii="Times New Roman"/>
                <w:sz w:val="21"/>
              </w:rPr>
            </w:pPr>
            <w:r>
              <w:rPr>
                <w:rFonts w:ascii="Times New Roman"/>
                <w:sz w:val="21"/>
              </w:rPr>
              <w:t>0.341</w:t>
            </w:r>
          </w:p>
        </w:tc>
        <w:tc>
          <w:tcPr>
            <w:tcW w:w="1042" w:type="dxa"/>
          </w:tcPr>
          <w:p>
            <w:pPr>
              <w:pStyle w:val="TableParagraph"/>
              <w:spacing w:before="78"/>
              <w:ind w:left="181" w:right="181"/>
              <w:rPr>
                <w:rFonts w:ascii="Times New Roman"/>
                <w:sz w:val="21"/>
              </w:rPr>
            </w:pPr>
            <w:r>
              <w:rPr>
                <w:rFonts w:ascii="Times New Roman"/>
                <w:sz w:val="21"/>
              </w:rPr>
              <w:t>0.332</w:t>
            </w:r>
          </w:p>
        </w:tc>
        <w:tc>
          <w:tcPr>
            <w:tcW w:w="994" w:type="dxa"/>
          </w:tcPr>
          <w:p>
            <w:pPr>
              <w:pStyle w:val="TableParagraph"/>
              <w:spacing w:before="78"/>
              <w:ind w:left="157" w:right="154"/>
              <w:rPr>
                <w:rFonts w:ascii="Times New Roman"/>
                <w:sz w:val="21"/>
              </w:rPr>
            </w:pPr>
            <w:r>
              <w:rPr>
                <w:rFonts w:ascii="Times New Roman"/>
                <w:sz w:val="21"/>
              </w:rPr>
              <w:t>0.364</w:t>
            </w:r>
          </w:p>
        </w:tc>
        <w:tc>
          <w:tcPr>
            <w:tcW w:w="857" w:type="dxa"/>
          </w:tcPr>
          <w:p>
            <w:pPr>
              <w:pStyle w:val="TableParagraph"/>
              <w:spacing w:before="78"/>
              <w:ind w:left="82" w:right="83"/>
              <w:rPr>
                <w:rFonts w:ascii="Times New Roman" w:hAnsi="Times New Roman"/>
                <w:sz w:val="21"/>
              </w:rPr>
            </w:pPr>
            <w:r>
              <w:rPr>
                <w:rFonts w:ascii="Times New Roman" w:hAnsi="Times New Roman"/>
                <w:sz w:val="21"/>
              </w:rPr>
              <w:t>≤1</w:t>
            </w:r>
          </w:p>
        </w:tc>
      </w:tr>
      <w:tr>
        <w:trPr>
          <w:trHeight w:val="407" w:hRule="exact"/>
        </w:trPr>
        <w:tc>
          <w:tcPr>
            <w:tcW w:w="1074" w:type="dxa"/>
          </w:tcPr>
          <w:p>
            <w:pPr>
              <w:pStyle w:val="TableParagraph"/>
              <w:spacing w:before="28"/>
              <w:ind w:right="215"/>
              <w:jc w:val="right"/>
              <w:rPr>
                <w:sz w:val="21"/>
              </w:rPr>
            </w:pPr>
            <w:r>
              <w:rPr>
                <w:sz w:val="21"/>
              </w:rPr>
              <w:t>石油类</w:t>
            </w:r>
          </w:p>
        </w:tc>
        <w:tc>
          <w:tcPr>
            <w:tcW w:w="899" w:type="dxa"/>
          </w:tcPr>
          <w:p>
            <w:pPr>
              <w:pStyle w:val="TableParagraph"/>
              <w:spacing w:before="77"/>
              <w:ind w:left="109" w:right="109"/>
              <w:rPr>
                <w:rFonts w:ascii="Times New Roman"/>
                <w:sz w:val="21"/>
              </w:rPr>
            </w:pPr>
            <w:r>
              <w:rPr>
                <w:rFonts w:ascii="Times New Roman"/>
                <w:sz w:val="21"/>
              </w:rPr>
              <w:t>mg/L</w:t>
            </w:r>
          </w:p>
        </w:tc>
        <w:tc>
          <w:tcPr>
            <w:tcW w:w="995" w:type="dxa"/>
          </w:tcPr>
          <w:p>
            <w:pPr>
              <w:pStyle w:val="TableParagraph"/>
              <w:spacing w:before="28"/>
              <w:ind w:left="157" w:right="157"/>
              <w:rPr>
                <w:sz w:val="21"/>
              </w:rPr>
            </w:pPr>
            <w:r>
              <w:rPr>
                <w:sz w:val="21"/>
              </w:rPr>
              <w:t>未检出</w:t>
            </w:r>
          </w:p>
        </w:tc>
        <w:tc>
          <w:tcPr>
            <w:tcW w:w="1042" w:type="dxa"/>
          </w:tcPr>
          <w:p>
            <w:pPr>
              <w:pStyle w:val="TableParagraph"/>
              <w:spacing w:before="28"/>
              <w:ind w:left="181" w:right="181"/>
              <w:rPr>
                <w:sz w:val="21"/>
              </w:rPr>
            </w:pPr>
            <w:r>
              <w:rPr>
                <w:sz w:val="21"/>
              </w:rPr>
              <w:t>未检出</w:t>
            </w:r>
          </w:p>
        </w:tc>
        <w:tc>
          <w:tcPr>
            <w:tcW w:w="1192" w:type="dxa"/>
          </w:tcPr>
          <w:p>
            <w:pPr>
              <w:pStyle w:val="TableParagraph"/>
              <w:spacing w:before="28"/>
              <w:ind w:left="256" w:right="256"/>
              <w:rPr>
                <w:sz w:val="21"/>
              </w:rPr>
            </w:pPr>
            <w:r>
              <w:rPr>
                <w:sz w:val="21"/>
              </w:rPr>
              <w:t>未检出</w:t>
            </w:r>
          </w:p>
        </w:tc>
        <w:tc>
          <w:tcPr>
            <w:tcW w:w="890" w:type="dxa"/>
          </w:tcPr>
          <w:p>
            <w:pPr>
              <w:pStyle w:val="TableParagraph"/>
              <w:spacing w:before="28"/>
              <w:ind w:left="105" w:right="104"/>
              <w:rPr>
                <w:sz w:val="21"/>
              </w:rPr>
            </w:pPr>
            <w:r>
              <w:rPr>
                <w:sz w:val="21"/>
              </w:rPr>
              <w:t>未检出</w:t>
            </w:r>
          </w:p>
        </w:tc>
        <w:tc>
          <w:tcPr>
            <w:tcW w:w="1042" w:type="dxa"/>
          </w:tcPr>
          <w:p>
            <w:pPr>
              <w:pStyle w:val="TableParagraph"/>
              <w:spacing w:before="28"/>
              <w:ind w:left="181" w:right="181"/>
              <w:rPr>
                <w:sz w:val="21"/>
              </w:rPr>
            </w:pPr>
            <w:r>
              <w:rPr>
                <w:sz w:val="21"/>
              </w:rPr>
              <w:t>未检出</w:t>
            </w:r>
          </w:p>
        </w:tc>
        <w:tc>
          <w:tcPr>
            <w:tcW w:w="994" w:type="dxa"/>
          </w:tcPr>
          <w:p>
            <w:pPr>
              <w:pStyle w:val="TableParagraph"/>
              <w:spacing w:before="28"/>
              <w:ind w:left="157" w:right="156"/>
              <w:rPr>
                <w:sz w:val="21"/>
              </w:rPr>
            </w:pPr>
            <w:r>
              <w:rPr>
                <w:sz w:val="21"/>
              </w:rPr>
              <w:t>未检出</w:t>
            </w:r>
          </w:p>
        </w:tc>
        <w:tc>
          <w:tcPr>
            <w:tcW w:w="857" w:type="dxa"/>
          </w:tcPr>
          <w:p>
            <w:pPr>
              <w:pStyle w:val="TableParagraph"/>
              <w:spacing w:before="77"/>
              <w:ind w:left="83" w:right="83"/>
              <w:rPr>
                <w:rFonts w:ascii="Times New Roman"/>
                <w:sz w:val="21"/>
              </w:rPr>
            </w:pPr>
            <w:r>
              <w:rPr>
                <w:rFonts w:ascii="Times New Roman"/>
                <w:sz w:val="21"/>
              </w:rPr>
              <w:t>0.05</w:t>
            </w:r>
          </w:p>
        </w:tc>
      </w:tr>
      <w:tr>
        <w:trPr>
          <w:trHeight w:val="554" w:hRule="exact"/>
        </w:trPr>
        <w:tc>
          <w:tcPr>
            <w:tcW w:w="1074" w:type="dxa"/>
          </w:tcPr>
          <w:p>
            <w:pPr>
              <w:pStyle w:val="TableParagraph"/>
              <w:spacing w:line="240" w:lineRule="exact"/>
              <w:ind w:left="92" w:right="92"/>
              <w:rPr>
                <w:sz w:val="21"/>
              </w:rPr>
            </w:pPr>
            <w:r>
              <w:rPr>
                <w:sz w:val="21"/>
              </w:rPr>
              <w:t>粪大肠菌</w:t>
            </w:r>
          </w:p>
          <w:p>
            <w:pPr>
              <w:pStyle w:val="TableParagraph"/>
              <w:spacing w:line="274" w:lineRule="exact"/>
              <w:ind w:left="26"/>
              <w:rPr>
                <w:sz w:val="21"/>
              </w:rPr>
            </w:pPr>
            <w:r>
              <w:rPr>
                <w:sz w:val="21"/>
              </w:rPr>
              <w:t>群</w:t>
            </w:r>
          </w:p>
        </w:tc>
        <w:tc>
          <w:tcPr>
            <w:tcW w:w="899" w:type="dxa"/>
          </w:tcPr>
          <w:p>
            <w:pPr>
              <w:pStyle w:val="TableParagraph"/>
              <w:spacing w:before="102"/>
              <w:ind w:left="109" w:right="109"/>
              <w:rPr>
                <w:rFonts w:ascii="Times New Roman" w:eastAsia="Times New Roman"/>
                <w:sz w:val="21"/>
              </w:rPr>
            </w:pPr>
            <w:r>
              <w:rPr>
                <w:sz w:val="21"/>
              </w:rPr>
              <w:t>个</w:t>
            </w:r>
            <w:r>
              <w:rPr>
                <w:rFonts w:ascii="Times New Roman" w:eastAsia="Times New Roman"/>
                <w:sz w:val="21"/>
              </w:rPr>
              <w:t>/L</w:t>
            </w:r>
          </w:p>
        </w:tc>
        <w:tc>
          <w:tcPr>
            <w:tcW w:w="995" w:type="dxa"/>
          </w:tcPr>
          <w:p>
            <w:pPr>
              <w:pStyle w:val="TableParagraph"/>
              <w:spacing w:before="150"/>
              <w:ind w:left="157" w:right="157"/>
              <w:rPr>
                <w:rFonts w:ascii="Times New Roman"/>
                <w:sz w:val="21"/>
              </w:rPr>
            </w:pPr>
            <w:r>
              <w:rPr>
                <w:rFonts w:ascii="Times New Roman"/>
                <w:sz w:val="21"/>
              </w:rPr>
              <w:t>2800</w:t>
            </w:r>
          </w:p>
        </w:tc>
        <w:tc>
          <w:tcPr>
            <w:tcW w:w="1042" w:type="dxa"/>
          </w:tcPr>
          <w:p>
            <w:pPr>
              <w:pStyle w:val="TableParagraph"/>
              <w:spacing w:before="150"/>
              <w:ind w:left="181" w:right="180"/>
              <w:rPr>
                <w:rFonts w:ascii="Times New Roman"/>
                <w:sz w:val="21"/>
              </w:rPr>
            </w:pPr>
            <w:r>
              <w:rPr>
                <w:rFonts w:ascii="Times New Roman"/>
                <w:sz w:val="21"/>
              </w:rPr>
              <w:t>2400</w:t>
            </w:r>
          </w:p>
        </w:tc>
        <w:tc>
          <w:tcPr>
            <w:tcW w:w="1192" w:type="dxa"/>
          </w:tcPr>
          <w:p>
            <w:pPr>
              <w:pStyle w:val="TableParagraph"/>
              <w:spacing w:before="150"/>
              <w:ind w:left="256" w:right="256"/>
              <w:rPr>
                <w:rFonts w:ascii="Times New Roman"/>
                <w:sz w:val="21"/>
              </w:rPr>
            </w:pPr>
            <w:r>
              <w:rPr>
                <w:rFonts w:ascii="Times New Roman"/>
                <w:sz w:val="21"/>
              </w:rPr>
              <w:t>1800</w:t>
            </w:r>
          </w:p>
        </w:tc>
        <w:tc>
          <w:tcPr>
            <w:tcW w:w="890" w:type="dxa"/>
          </w:tcPr>
          <w:p>
            <w:pPr>
              <w:pStyle w:val="TableParagraph"/>
              <w:spacing w:before="150"/>
              <w:ind w:left="104" w:right="104"/>
              <w:rPr>
                <w:rFonts w:ascii="Times New Roman"/>
                <w:sz w:val="21"/>
              </w:rPr>
            </w:pPr>
            <w:r>
              <w:rPr>
                <w:rFonts w:ascii="Times New Roman"/>
                <w:sz w:val="21"/>
              </w:rPr>
              <w:t>3500</w:t>
            </w:r>
          </w:p>
        </w:tc>
        <w:tc>
          <w:tcPr>
            <w:tcW w:w="1042" w:type="dxa"/>
          </w:tcPr>
          <w:p>
            <w:pPr>
              <w:pStyle w:val="TableParagraph"/>
              <w:spacing w:before="150"/>
              <w:ind w:left="181" w:right="181"/>
              <w:rPr>
                <w:rFonts w:ascii="Times New Roman"/>
                <w:sz w:val="21"/>
              </w:rPr>
            </w:pPr>
            <w:r>
              <w:rPr>
                <w:rFonts w:ascii="Times New Roman"/>
                <w:sz w:val="21"/>
              </w:rPr>
              <w:t>3500</w:t>
            </w:r>
          </w:p>
        </w:tc>
        <w:tc>
          <w:tcPr>
            <w:tcW w:w="994" w:type="dxa"/>
          </w:tcPr>
          <w:p>
            <w:pPr>
              <w:pStyle w:val="TableParagraph"/>
              <w:spacing w:before="150"/>
              <w:ind w:left="157" w:right="154"/>
              <w:rPr>
                <w:rFonts w:ascii="Times New Roman"/>
                <w:sz w:val="21"/>
              </w:rPr>
            </w:pPr>
            <w:r>
              <w:rPr>
                <w:rFonts w:ascii="Times New Roman"/>
                <w:sz w:val="21"/>
              </w:rPr>
              <w:t>2800</w:t>
            </w:r>
          </w:p>
        </w:tc>
        <w:tc>
          <w:tcPr>
            <w:tcW w:w="857" w:type="dxa"/>
          </w:tcPr>
          <w:p>
            <w:pPr>
              <w:pStyle w:val="TableParagraph"/>
              <w:spacing w:before="150"/>
              <w:ind w:left="83" w:right="83"/>
              <w:rPr>
                <w:rFonts w:ascii="Times New Roman" w:hAnsi="Times New Roman"/>
                <w:sz w:val="21"/>
              </w:rPr>
            </w:pPr>
            <w:r>
              <w:rPr>
                <w:rFonts w:ascii="Times New Roman" w:hAnsi="Times New Roman"/>
                <w:sz w:val="21"/>
              </w:rPr>
              <w:t>≤10000</w:t>
            </w:r>
          </w:p>
        </w:tc>
      </w:tr>
    </w:tbl>
    <w:p>
      <w:pPr>
        <w:tabs>
          <w:tab w:pos="981" w:val="left" w:leader="none"/>
        </w:tabs>
        <w:spacing w:before="41"/>
        <w:ind w:left="0" w:right="19" w:firstLine="0"/>
        <w:jc w:val="center"/>
        <w:rPr>
          <w:rFonts w:ascii="黑体" w:eastAsia="黑体" w:hint="eastAsia"/>
          <w:b/>
          <w:sz w:val="24"/>
        </w:rPr>
      </w:pPr>
      <w:r>
        <w:rPr>
          <w:rFonts w:ascii="黑体" w:eastAsia="黑体" w:hint="eastAsia"/>
          <w:b/>
          <w:sz w:val="24"/>
        </w:rPr>
        <w:t>表</w:t>
      </w:r>
      <w:r>
        <w:rPr>
          <w:rFonts w:ascii="黑体" w:eastAsia="黑体" w:hint="eastAsia"/>
          <w:b/>
          <w:spacing w:val="-61"/>
          <w:sz w:val="24"/>
        </w:rPr>
        <w:t> </w:t>
      </w:r>
      <w:r>
        <w:rPr>
          <w:rFonts w:ascii="Times New Roman" w:eastAsia="Times New Roman"/>
          <w:b/>
          <w:sz w:val="24"/>
        </w:rPr>
        <w:t>3-4</w:t>
        <w:tab/>
      </w:r>
      <w:r>
        <w:rPr>
          <w:rFonts w:ascii="黑体" w:eastAsia="黑体" w:hint="eastAsia"/>
          <w:b/>
          <w:w w:val="95"/>
          <w:sz w:val="24"/>
        </w:rPr>
        <w:t>地表水环境评价结果表</w:t>
      </w:r>
    </w:p>
    <w:p>
      <w:pPr>
        <w:pStyle w:val="BodyText"/>
        <w:spacing w:before="4"/>
        <w:rPr>
          <w:rFonts w:ascii="黑体"/>
          <w:b/>
          <w:sz w:val="7"/>
        </w:rPr>
      </w:pPr>
    </w:p>
    <w:tbl>
      <w:tblPr>
        <w:tblW w:w="0" w:type="auto"/>
        <w:jc w:val="left"/>
        <w:tblInd w:w="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1"/>
        <w:gridCol w:w="1171"/>
        <w:gridCol w:w="896"/>
        <w:gridCol w:w="1494"/>
        <w:gridCol w:w="1348"/>
        <w:gridCol w:w="1117"/>
        <w:gridCol w:w="1261"/>
      </w:tblGrid>
      <w:tr>
        <w:trPr>
          <w:trHeight w:val="408" w:hRule="exact"/>
        </w:trPr>
        <w:tc>
          <w:tcPr>
            <w:tcW w:w="1211" w:type="dxa"/>
            <w:vMerge w:val="restart"/>
          </w:tcPr>
          <w:p>
            <w:pPr>
              <w:pStyle w:val="TableParagraph"/>
              <w:jc w:val="left"/>
              <w:rPr>
                <w:rFonts w:ascii="黑体"/>
                <w:b/>
                <w:sz w:val="20"/>
              </w:rPr>
            </w:pPr>
          </w:p>
          <w:p>
            <w:pPr>
              <w:pStyle w:val="TableParagraph"/>
              <w:spacing w:before="174"/>
              <w:ind w:left="178"/>
              <w:jc w:val="left"/>
              <w:rPr>
                <w:rFonts w:ascii="黑体" w:eastAsia="黑体" w:hint="eastAsia"/>
                <w:b/>
                <w:sz w:val="21"/>
              </w:rPr>
            </w:pPr>
            <w:r>
              <w:rPr>
                <w:rFonts w:ascii="黑体" w:eastAsia="黑体" w:hint="eastAsia"/>
                <w:b/>
                <w:sz w:val="21"/>
              </w:rPr>
              <w:t>监测项目</w:t>
            </w:r>
          </w:p>
        </w:tc>
        <w:tc>
          <w:tcPr>
            <w:tcW w:w="7288" w:type="dxa"/>
            <w:gridSpan w:val="6"/>
          </w:tcPr>
          <w:p>
            <w:pPr>
              <w:pStyle w:val="TableParagraph"/>
              <w:spacing w:before="29"/>
              <w:ind w:left="3197" w:right="3196"/>
              <w:rPr>
                <w:rFonts w:ascii="黑体" w:eastAsia="黑体" w:hint="eastAsia"/>
                <w:b/>
                <w:sz w:val="21"/>
              </w:rPr>
            </w:pPr>
            <w:r>
              <w:rPr>
                <w:rFonts w:ascii="黑体" w:eastAsia="黑体" w:hint="eastAsia"/>
                <w:b/>
                <w:sz w:val="21"/>
              </w:rPr>
              <w:t>污染指数</w:t>
            </w:r>
          </w:p>
        </w:tc>
      </w:tr>
      <w:tr>
        <w:trPr>
          <w:trHeight w:val="407" w:hRule="exact"/>
        </w:trPr>
        <w:tc>
          <w:tcPr>
            <w:tcW w:w="1211" w:type="dxa"/>
            <w:vMerge/>
          </w:tcPr>
          <w:p>
            <w:pPr/>
          </w:p>
        </w:tc>
        <w:tc>
          <w:tcPr>
            <w:tcW w:w="3562" w:type="dxa"/>
            <w:gridSpan w:val="3"/>
          </w:tcPr>
          <w:p>
            <w:pPr>
              <w:pStyle w:val="TableParagraph"/>
              <w:spacing w:before="28"/>
              <w:ind w:left="1578" w:right="1367"/>
              <w:rPr>
                <w:rFonts w:ascii="黑体" w:eastAsia="黑体" w:hint="eastAsia"/>
                <w:b/>
                <w:sz w:val="21"/>
              </w:rPr>
            </w:pPr>
            <w:r>
              <w:rPr>
                <w:rFonts w:ascii="Times New Roman" w:eastAsia="Times New Roman"/>
                <w:b/>
                <w:w w:val="95"/>
                <w:sz w:val="21"/>
              </w:rPr>
              <w:t>1</w:t>
            </w:r>
            <w:r>
              <w:rPr>
                <w:rFonts w:ascii="Times New Roman" w:eastAsia="Times New Roman"/>
                <w:b/>
                <w:w w:val="95"/>
                <w:position w:val="7"/>
                <w:sz w:val="14"/>
              </w:rPr>
              <w:t>#</w:t>
            </w:r>
            <w:r>
              <w:rPr>
                <w:rFonts w:ascii="黑体" w:eastAsia="黑体" w:hint="eastAsia"/>
                <w:b/>
                <w:w w:val="95"/>
                <w:sz w:val="21"/>
              </w:rPr>
              <w:t>断面</w:t>
            </w:r>
          </w:p>
        </w:tc>
        <w:tc>
          <w:tcPr>
            <w:tcW w:w="3726" w:type="dxa"/>
            <w:gridSpan w:val="3"/>
          </w:tcPr>
          <w:p>
            <w:pPr>
              <w:pStyle w:val="TableParagraph"/>
              <w:spacing w:before="28"/>
              <w:ind w:left="1555" w:right="1554"/>
              <w:rPr>
                <w:rFonts w:ascii="黑体" w:eastAsia="黑体" w:hint="eastAsia"/>
                <w:b/>
                <w:sz w:val="21"/>
              </w:rPr>
            </w:pPr>
            <w:r>
              <w:rPr>
                <w:rFonts w:ascii="Times New Roman" w:eastAsia="Times New Roman"/>
                <w:b/>
                <w:w w:val="95"/>
                <w:sz w:val="21"/>
              </w:rPr>
              <w:t>2</w:t>
            </w:r>
            <w:r>
              <w:rPr>
                <w:rFonts w:ascii="Times New Roman" w:eastAsia="Times New Roman"/>
                <w:b/>
                <w:w w:val="95"/>
                <w:position w:val="7"/>
                <w:sz w:val="14"/>
              </w:rPr>
              <w:t>#</w:t>
            </w:r>
            <w:r>
              <w:rPr>
                <w:rFonts w:ascii="黑体" w:eastAsia="黑体" w:hint="eastAsia"/>
                <w:b/>
                <w:w w:val="95"/>
                <w:sz w:val="21"/>
              </w:rPr>
              <w:t>断面</w:t>
            </w:r>
          </w:p>
        </w:tc>
      </w:tr>
      <w:tr>
        <w:trPr>
          <w:trHeight w:val="407" w:hRule="exact"/>
        </w:trPr>
        <w:tc>
          <w:tcPr>
            <w:tcW w:w="1211" w:type="dxa"/>
            <w:vMerge/>
          </w:tcPr>
          <w:p>
            <w:pPr/>
          </w:p>
        </w:tc>
        <w:tc>
          <w:tcPr>
            <w:tcW w:w="1171" w:type="dxa"/>
          </w:tcPr>
          <w:p>
            <w:pPr>
              <w:pStyle w:val="TableParagraph"/>
              <w:spacing w:before="28"/>
              <w:ind w:left="244" w:right="244"/>
              <w:rPr>
                <w:rFonts w:ascii="黑体" w:eastAsia="黑体" w:hint="eastAsia"/>
                <w:b/>
                <w:sz w:val="21"/>
              </w:rPr>
            </w:pPr>
            <w:r>
              <w:rPr>
                <w:rFonts w:ascii="黑体" w:eastAsia="黑体" w:hint="eastAsia"/>
                <w:b/>
                <w:sz w:val="21"/>
              </w:rPr>
              <w:t>平均值</w:t>
            </w:r>
          </w:p>
        </w:tc>
        <w:tc>
          <w:tcPr>
            <w:tcW w:w="896" w:type="dxa"/>
          </w:tcPr>
          <w:p>
            <w:pPr>
              <w:pStyle w:val="TableParagraph"/>
              <w:spacing w:before="77"/>
              <w:ind w:left="345" w:right="346"/>
              <w:rPr>
                <w:rFonts w:ascii="Times New Roman"/>
                <w:b/>
                <w:sz w:val="14"/>
              </w:rPr>
            </w:pPr>
            <w:r>
              <w:rPr>
                <w:rFonts w:ascii="Times New Roman"/>
                <w:b/>
                <w:sz w:val="21"/>
              </w:rPr>
              <w:t>S</w:t>
            </w:r>
            <w:r>
              <w:rPr>
                <w:rFonts w:ascii="Times New Roman"/>
                <w:b/>
                <w:position w:val="-1"/>
                <w:sz w:val="14"/>
              </w:rPr>
              <w:t>i</w:t>
            </w:r>
          </w:p>
        </w:tc>
        <w:tc>
          <w:tcPr>
            <w:tcW w:w="1494" w:type="dxa"/>
          </w:tcPr>
          <w:p>
            <w:pPr>
              <w:pStyle w:val="TableParagraph"/>
              <w:spacing w:before="28"/>
              <w:ind w:left="301" w:right="300"/>
              <w:rPr>
                <w:rFonts w:ascii="黑体" w:eastAsia="黑体" w:hint="eastAsia"/>
                <w:b/>
                <w:sz w:val="21"/>
              </w:rPr>
            </w:pPr>
            <w:r>
              <w:rPr>
                <w:rFonts w:ascii="黑体" w:eastAsia="黑体" w:hint="eastAsia"/>
                <w:b/>
                <w:sz w:val="21"/>
              </w:rPr>
              <w:t>超标倍数</w:t>
            </w:r>
          </w:p>
        </w:tc>
        <w:tc>
          <w:tcPr>
            <w:tcW w:w="1348" w:type="dxa"/>
          </w:tcPr>
          <w:p>
            <w:pPr>
              <w:pStyle w:val="TableParagraph"/>
              <w:spacing w:before="28"/>
              <w:ind w:left="333" w:right="332"/>
              <w:rPr>
                <w:rFonts w:ascii="黑体" w:eastAsia="黑体" w:hint="eastAsia"/>
                <w:b/>
                <w:sz w:val="21"/>
              </w:rPr>
            </w:pPr>
            <w:r>
              <w:rPr>
                <w:rFonts w:ascii="黑体" w:eastAsia="黑体" w:hint="eastAsia"/>
                <w:b/>
                <w:sz w:val="21"/>
              </w:rPr>
              <w:t>平均值</w:t>
            </w:r>
          </w:p>
        </w:tc>
        <w:tc>
          <w:tcPr>
            <w:tcW w:w="1117" w:type="dxa"/>
          </w:tcPr>
          <w:p>
            <w:pPr>
              <w:pStyle w:val="TableParagraph"/>
              <w:spacing w:before="77"/>
              <w:ind w:left="349" w:right="350"/>
              <w:rPr>
                <w:rFonts w:ascii="Times New Roman"/>
                <w:b/>
                <w:sz w:val="14"/>
              </w:rPr>
            </w:pPr>
            <w:r>
              <w:rPr>
                <w:rFonts w:ascii="Times New Roman"/>
                <w:b/>
                <w:sz w:val="21"/>
              </w:rPr>
              <w:t>S</w:t>
            </w:r>
            <w:r>
              <w:rPr>
                <w:rFonts w:ascii="Times New Roman"/>
                <w:b/>
                <w:position w:val="-1"/>
                <w:sz w:val="14"/>
              </w:rPr>
              <w:t>i</w:t>
            </w:r>
          </w:p>
        </w:tc>
        <w:tc>
          <w:tcPr>
            <w:tcW w:w="1261" w:type="dxa"/>
          </w:tcPr>
          <w:p>
            <w:pPr>
              <w:pStyle w:val="TableParagraph"/>
              <w:spacing w:before="28"/>
              <w:ind w:left="184" w:right="183"/>
              <w:rPr>
                <w:rFonts w:ascii="黑体" w:eastAsia="黑体" w:hint="eastAsia"/>
                <w:b/>
                <w:sz w:val="21"/>
              </w:rPr>
            </w:pPr>
            <w:r>
              <w:rPr>
                <w:rFonts w:ascii="黑体" w:eastAsia="黑体" w:hint="eastAsia"/>
                <w:b/>
                <w:sz w:val="21"/>
              </w:rPr>
              <w:t>超标倍数</w:t>
            </w:r>
          </w:p>
        </w:tc>
      </w:tr>
      <w:tr>
        <w:trPr>
          <w:trHeight w:val="407" w:hRule="exact"/>
        </w:trPr>
        <w:tc>
          <w:tcPr>
            <w:tcW w:w="1211" w:type="dxa"/>
          </w:tcPr>
          <w:p>
            <w:pPr>
              <w:pStyle w:val="TableParagraph"/>
              <w:spacing w:before="77"/>
              <w:ind w:left="160" w:right="160"/>
              <w:rPr>
                <w:rFonts w:ascii="Times New Roman"/>
                <w:sz w:val="21"/>
              </w:rPr>
            </w:pPr>
            <w:r>
              <w:rPr>
                <w:rFonts w:ascii="Times New Roman"/>
                <w:sz w:val="21"/>
              </w:rPr>
              <w:t>pH</w:t>
            </w:r>
          </w:p>
        </w:tc>
        <w:tc>
          <w:tcPr>
            <w:tcW w:w="1171" w:type="dxa"/>
          </w:tcPr>
          <w:p>
            <w:pPr>
              <w:pStyle w:val="TableParagraph"/>
              <w:spacing w:before="77"/>
              <w:ind w:left="244" w:right="244"/>
              <w:rPr>
                <w:rFonts w:ascii="Times New Roman"/>
                <w:sz w:val="21"/>
              </w:rPr>
            </w:pPr>
            <w:r>
              <w:rPr>
                <w:rFonts w:ascii="Times New Roman"/>
                <w:sz w:val="21"/>
              </w:rPr>
              <w:t>7.71</w:t>
            </w:r>
          </w:p>
        </w:tc>
        <w:tc>
          <w:tcPr>
            <w:tcW w:w="896" w:type="dxa"/>
          </w:tcPr>
          <w:p>
            <w:pPr>
              <w:pStyle w:val="TableParagraph"/>
              <w:spacing w:before="77"/>
              <w:ind w:right="258"/>
              <w:jc w:val="right"/>
              <w:rPr>
                <w:rFonts w:ascii="Times New Roman"/>
                <w:sz w:val="21"/>
              </w:rPr>
            </w:pPr>
            <w:r>
              <w:rPr>
                <w:rFonts w:ascii="Times New Roman"/>
                <w:sz w:val="21"/>
              </w:rPr>
              <w:t>0.36</w:t>
            </w:r>
          </w:p>
        </w:tc>
        <w:tc>
          <w:tcPr>
            <w:tcW w:w="1494" w:type="dxa"/>
          </w:tcPr>
          <w:p>
            <w:pPr>
              <w:pStyle w:val="TableParagraph"/>
              <w:spacing w:before="77"/>
              <w:rPr>
                <w:rFonts w:ascii="Times New Roman"/>
                <w:sz w:val="21"/>
              </w:rPr>
            </w:pPr>
            <w:r>
              <w:rPr>
                <w:rFonts w:ascii="Times New Roman"/>
                <w:sz w:val="21"/>
              </w:rPr>
              <w:t>/</w:t>
            </w:r>
          </w:p>
        </w:tc>
        <w:tc>
          <w:tcPr>
            <w:tcW w:w="1348" w:type="dxa"/>
          </w:tcPr>
          <w:p>
            <w:pPr>
              <w:pStyle w:val="TableParagraph"/>
              <w:spacing w:before="77"/>
              <w:ind w:left="332" w:right="332"/>
              <w:rPr>
                <w:rFonts w:ascii="Times New Roman"/>
                <w:sz w:val="21"/>
              </w:rPr>
            </w:pPr>
            <w:r>
              <w:rPr>
                <w:rFonts w:ascii="Times New Roman"/>
                <w:sz w:val="21"/>
              </w:rPr>
              <w:t>7.42</w:t>
            </w:r>
          </w:p>
        </w:tc>
        <w:tc>
          <w:tcPr>
            <w:tcW w:w="1117" w:type="dxa"/>
          </w:tcPr>
          <w:p>
            <w:pPr>
              <w:pStyle w:val="TableParagraph"/>
              <w:spacing w:before="77"/>
              <w:ind w:left="349" w:right="349"/>
              <w:rPr>
                <w:rFonts w:ascii="Times New Roman"/>
                <w:sz w:val="21"/>
              </w:rPr>
            </w:pPr>
            <w:r>
              <w:rPr>
                <w:rFonts w:ascii="Times New Roman"/>
                <w:sz w:val="21"/>
              </w:rPr>
              <w:t>0.21</w:t>
            </w:r>
          </w:p>
        </w:tc>
        <w:tc>
          <w:tcPr>
            <w:tcW w:w="1261" w:type="dxa"/>
          </w:tcPr>
          <w:p>
            <w:pPr>
              <w:pStyle w:val="TableParagraph"/>
              <w:spacing w:before="77"/>
              <w:rPr>
                <w:rFonts w:ascii="Times New Roman"/>
                <w:sz w:val="21"/>
              </w:rPr>
            </w:pPr>
            <w:r>
              <w:rPr>
                <w:rFonts w:ascii="Times New Roman"/>
                <w:sz w:val="21"/>
              </w:rPr>
              <w:t>/</w:t>
            </w:r>
          </w:p>
        </w:tc>
      </w:tr>
      <w:tr>
        <w:trPr>
          <w:trHeight w:val="407" w:hRule="exact"/>
        </w:trPr>
        <w:tc>
          <w:tcPr>
            <w:tcW w:w="1211" w:type="dxa"/>
          </w:tcPr>
          <w:p>
            <w:pPr>
              <w:pStyle w:val="TableParagraph"/>
              <w:spacing w:before="77"/>
              <w:ind w:left="160" w:right="161"/>
              <w:rPr>
                <w:rFonts w:ascii="Times New Roman"/>
                <w:sz w:val="21"/>
              </w:rPr>
            </w:pPr>
            <w:r>
              <w:rPr>
                <w:rFonts w:ascii="Times New Roman"/>
                <w:sz w:val="21"/>
              </w:rPr>
              <w:t>SS</w:t>
            </w:r>
          </w:p>
        </w:tc>
        <w:tc>
          <w:tcPr>
            <w:tcW w:w="1171" w:type="dxa"/>
          </w:tcPr>
          <w:p>
            <w:pPr>
              <w:pStyle w:val="TableParagraph"/>
              <w:spacing w:before="77"/>
              <w:ind w:left="244" w:right="244"/>
              <w:rPr>
                <w:rFonts w:ascii="Times New Roman"/>
                <w:sz w:val="21"/>
              </w:rPr>
            </w:pPr>
            <w:r>
              <w:rPr>
                <w:rFonts w:ascii="Times New Roman"/>
                <w:sz w:val="21"/>
              </w:rPr>
              <w:t>15</w:t>
            </w:r>
          </w:p>
        </w:tc>
        <w:tc>
          <w:tcPr>
            <w:tcW w:w="896" w:type="dxa"/>
          </w:tcPr>
          <w:p>
            <w:pPr>
              <w:pStyle w:val="TableParagraph"/>
              <w:spacing w:before="77"/>
              <w:rPr>
                <w:rFonts w:ascii="Times New Roman"/>
                <w:sz w:val="21"/>
              </w:rPr>
            </w:pPr>
            <w:r>
              <w:rPr>
                <w:rFonts w:ascii="Times New Roman"/>
                <w:sz w:val="21"/>
              </w:rPr>
              <w:t>/</w:t>
            </w:r>
          </w:p>
        </w:tc>
        <w:tc>
          <w:tcPr>
            <w:tcW w:w="1494" w:type="dxa"/>
          </w:tcPr>
          <w:p>
            <w:pPr>
              <w:pStyle w:val="TableParagraph"/>
              <w:spacing w:before="77"/>
              <w:rPr>
                <w:rFonts w:ascii="Times New Roman"/>
                <w:sz w:val="21"/>
              </w:rPr>
            </w:pPr>
            <w:r>
              <w:rPr>
                <w:rFonts w:ascii="Times New Roman"/>
                <w:sz w:val="21"/>
              </w:rPr>
              <w:t>/</w:t>
            </w:r>
          </w:p>
        </w:tc>
        <w:tc>
          <w:tcPr>
            <w:tcW w:w="1348" w:type="dxa"/>
          </w:tcPr>
          <w:p>
            <w:pPr>
              <w:pStyle w:val="TableParagraph"/>
              <w:spacing w:before="77"/>
              <w:ind w:left="333" w:right="332"/>
              <w:rPr>
                <w:rFonts w:ascii="Times New Roman"/>
                <w:sz w:val="21"/>
              </w:rPr>
            </w:pPr>
            <w:r>
              <w:rPr>
                <w:rFonts w:ascii="Times New Roman"/>
                <w:sz w:val="21"/>
              </w:rPr>
              <w:t>11</w:t>
            </w:r>
          </w:p>
        </w:tc>
        <w:tc>
          <w:tcPr>
            <w:tcW w:w="1117" w:type="dxa"/>
          </w:tcPr>
          <w:p>
            <w:pPr>
              <w:pStyle w:val="TableParagraph"/>
              <w:spacing w:before="77"/>
              <w:rPr>
                <w:rFonts w:ascii="Times New Roman"/>
                <w:sz w:val="21"/>
              </w:rPr>
            </w:pPr>
            <w:r>
              <w:rPr>
                <w:rFonts w:ascii="Times New Roman"/>
                <w:sz w:val="21"/>
              </w:rPr>
              <w:t>/</w:t>
            </w:r>
          </w:p>
        </w:tc>
        <w:tc>
          <w:tcPr>
            <w:tcW w:w="1261" w:type="dxa"/>
          </w:tcPr>
          <w:p>
            <w:pPr>
              <w:pStyle w:val="TableParagraph"/>
              <w:spacing w:before="77"/>
              <w:rPr>
                <w:rFonts w:ascii="Times New Roman"/>
                <w:sz w:val="21"/>
              </w:rPr>
            </w:pPr>
            <w:r>
              <w:rPr>
                <w:rFonts w:ascii="Times New Roman"/>
                <w:sz w:val="21"/>
              </w:rPr>
              <w:t>/</w:t>
            </w:r>
          </w:p>
        </w:tc>
      </w:tr>
      <w:tr>
        <w:trPr>
          <w:trHeight w:val="407" w:hRule="exact"/>
        </w:trPr>
        <w:tc>
          <w:tcPr>
            <w:tcW w:w="1211" w:type="dxa"/>
          </w:tcPr>
          <w:p>
            <w:pPr>
              <w:pStyle w:val="TableParagraph"/>
              <w:spacing w:before="77"/>
              <w:ind w:left="160" w:right="160"/>
              <w:rPr>
                <w:rFonts w:ascii="Times New Roman"/>
                <w:sz w:val="21"/>
              </w:rPr>
            </w:pPr>
            <w:r>
              <w:rPr>
                <w:rFonts w:ascii="Times New Roman"/>
                <w:sz w:val="21"/>
              </w:rPr>
              <w:t>COD</w:t>
            </w:r>
          </w:p>
        </w:tc>
        <w:tc>
          <w:tcPr>
            <w:tcW w:w="1171" w:type="dxa"/>
          </w:tcPr>
          <w:p>
            <w:pPr>
              <w:pStyle w:val="TableParagraph"/>
              <w:spacing w:before="77"/>
              <w:ind w:left="244" w:right="244"/>
              <w:rPr>
                <w:rFonts w:ascii="Times New Roman"/>
                <w:sz w:val="21"/>
              </w:rPr>
            </w:pPr>
            <w:r>
              <w:rPr>
                <w:rFonts w:ascii="Times New Roman"/>
                <w:sz w:val="21"/>
              </w:rPr>
              <w:t>16</w:t>
            </w:r>
          </w:p>
        </w:tc>
        <w:tc>
          <w:tcPr>
            <w:tcW w:w="896" w:type="dxa"/>
          </w:tcPr>
          <w:p>
            <w:pPr>
              <w:pStyle w:val="TableParagraph"/>
              <w:spacing w:before="77"/>
              <w:ind w:right="309"/>
              <w:jc w:val="right"/>
              <w:rPr>
                <w:rFonts w:ascii="Times New Roman"/>
                <w:sz w:val="21"/>
              </w:rPr>
            </w:pPr>
            <w:r>
              <w:rPr>
                <w:rFonts w:ascii="Times New Roman"/>
                <w:sz w:val="21"/>
              </w:rPr>
              <w:t>0.8</w:t>
            </w:r>
          </w:p>
        </w:tc>
        <w:tc>
          <w:tcPr>
            <w:tcW w:w="1494" w:type="dxa"/>
          </w:tcPr>
          <w:p>
            <w:pPr>
              <w:pStyle w:val="TableParagraph"/>
              <w:spacing w:before="77"/>
              <w:rPr>
                <w:rFonts w:ascii="Times New Roman"/>
                <w:sz w:val="21"/>
              </w:rPr>
            </w:pPr>
            <w:r>
              <w:rPr>
                <w:rFonts w:ascii="Times New Roman"/>
                <w:sz w:val="21"/>
              </w:rPr>
              <w:t>/</w:t>
            </w:r>
          </w:p>
        </w:tc>
        <w:tc>
          <w:tcPr>
            <w:tcW w:w="1348" w:type="dxa"/>
          </w:tcPr>
          <w:p>
            <w:pPr>
              <w:pStyle w:val="TableParagraph"/>
              <w:spacing w:before="77"/>
              <w:ind w:left="333" w:right="332"/>
              <w:rPr>
                <w:rFonts w:ascii="Times New Roman"/>
                <w:sz w:val="21"/>
              </w:rPr>
            </w:pPr>
            <w:r>
              <w:rPr>
                <w:rFonts w:ascii="Times New Roman"/>
                <w:sz w:val="21"/>
              </w:rPr>
              <w:t>18</w:t>
            </w:r>
          </w:p>
        </w:tc>
        <w:tc>
          <w:tcPr>
            <w:tcW w:w="1117" w:type="dxa"/>
          </w:tcPr>
          <w:p>
            <w:pPr>
              <w:pStyle w:val="TableParagraph"/>
              <w:spacing w:before="77"/>
              <w:ind w:left="349" w:right="349"/>
              <w:rPr>
                <w:rFonts w:ascii="Times New Roman"/>
                <w:sz w:val="21"/>
              </w:rPr>
            </w:pPr>
            <w:r>
              <w:rPr>
                <w:rFonts w:ascii="Times New Roman"/>
                <w:sz w:val="21"/>
              </w:rPr>
              <w:t>0.9</w:t>
            </w:r>
          </w:p>
        </w:tc>
        <w:tc>
          <w:tcPr>
            <w:tcW w:w="1261" w:type="dxa"/>
          </w:tcPr>
          <w:p>
            <w:pPr>
              <w:pStyle w:val="TableParagraph"/>
              <w:spacing w:before="77"/>
              <w:rPr>
                <w:rFonts w:ascii="Times New Roman"/>
                <w:sz w:val="21"/>
              </w:rPr>
            </w:pPr>
            <w:r>
              <w:rPr>
                <w:rFonts w:ascii="Times New Roman"/>
                <w:sz w:val="21"/>
              </w:rPr>
              <w:t>/</w:t>
            </w:r>
          </w:p>
        </w:tc>
      </w:tr>
      <w:tr>
        <w:trPr>
          <w:trHeight w:val="408" w:hRule="exact"/>
        </w:trPr>
        <w:tc>
          <w:tcPr>
            <w:tcW w:w="1211" w:type="dxa"/>
          </w:tcPr>
          <w:p>
            <w:pPr>
              <w:pStyle w:val="TableParagraph"/>
              <w:spacing w:before="78"/>
              <w:ind w:left="160" w:right="161"/>
              <w:rPr>
                <w:rFonts w:ascii="Times New Roman"/>
                <w:sz w:val="14"/>
              </w:rPr>
            </w:pPr>
            <w:r>
              <w:rPr>
                <w:rFonts w:ascii="Times New Roman"/>
                <w:sz w:val="21"/>
              </w:rPr>
              <w:t>BOD</w:t>
            </w:r>
            <w:r>
              <w:rPr>
                <w:rFonts w:ascii="Times New Roman"/>
                <w:position w:val="-1"/>
                <w:sz w:val="14"/>
              </w:rPr>
              <w:t>5</w:t>
            </w:r>
          </w:p>
        </w:tc>
        <w:tc>
          <w:tcPr>
            <w:tcW w:w="1171" w:type="dxa"/>
          </w:tcPr>
          <w:p>
            <w:pPr>
              <w:pStyle w:val="TableParagraph"/>
              <w:spacing w:before="78"/>
              <w:ind w:left="244" w:right="244"/>
              <w:rPr>
                <w:rFonts w:ascii="Times New Roman"/>
                <w:sz w:val="21"/>
              </w:rPr>
            </w:pPr>
            <w:r>
              <w:rPr>
                <w:rFonts w:ascii="Times New Roman"/>
                <w:sz w:val="21"/>
              </w:rPr>
              <w:t>3.3</w:t>
            </w:r>
          </w:p>
        </w:tc>
        <w:tc>
          <w:tcPr>
            <w:tcW w:w="896" w:type="dxa"/>
          </w:tcPr>
          <w:p>
            <w:pPr>
              <w:pStyle w:val="TableParagraph"/>
              <w:spacing w:before="78"/>
              <w:ind w:right="258"/>
              <w:jc w:val="right"/>
              <w:rPr>
                <w:rFonts w:ascii="Times New Roman"/>
                <w:sz w:val="21"/>
              </w:rPr>
            </w:pPr>
            <w:r>
              <w:rPr>
                <w:rFonts w:ascii="Times New Roman"/>
                <w:sz w:val="21"/>
              </w:rPr>
              <w:t>0.83</w:t>
            </w:r>
          </w:p>
        </w:tc>
        <w:tc>
          <w:tcPr>
            <w:tcW w:w="1494" w:type="dxa"/>
          </w:tcPr>
          <w:p>
            <w:pPr>
              <w:pStyle w:val="TableParagraph"/>
              <w:spacing w:before="78"/>
              <w:rPr>
                <w:rFonts w:ascii="Times New Roman"/>
                <w:sz w:val="21"/>
              </w:rPr>
            </w:pPr>
            <w:r>
              <w:rPr>
                <w:rFonts w:ascii="Times New Roman"/>
                <w:sz w:val="21"/>
              </w:rPr>
              <w:t>/</w:t>
            </w:r>
          </w:p>
        </w:tc>
        <w:tc>
          <w:tcPr>
            <w:tcW w:w="1348" w:type="dxa"/>
          </w:tcPr>
          <w:p>
            <w:pPr>
              <w:pStyle w:val="TableParagraph"/>
              <w:spacing w:before="78"/>
              <w:ind w:left="332" w:right="332"/>
              <w:rPr>
                <w:rFonts w:ascii="Times New Roman"/>
                <w:sz w:val="21"/>
              </w:rPr>
            </w:pPr>
            <w:r>
              <w:rPr>
                <w:rFonts w:ascii="Times New Roman"/>
                <w:sz w:val="21"/>
              </w:rPr>
              <w:t>3.8</w:t>
            </w:r>
          </w:p>
        </w:tc>
        <w:tc>
          <w:tcPr>
            <w:tcW w:w="1117" w:type="dxa"/>
          </w:tcPr>
          <w:p>
            <w:pPr>
              <w:pStyle w:val="TableParagraph"/>
              <w:spacing w:before="78"/>
              <w:ind w:left="349" w:right="350"/>
              <w:rPr>
                <w:rFonts w:ascii="Times New Roman"/>
                <w:sz w:val="21"/>
              </w:rPr>
            </w:pPr>
            <w:r>
              <w:rPr>
                <w:rFonts w:ascii="Times New Roman"/>
                <w:sz w:val="21"/>
              </w:rPr>
              <w:t>0.95</w:t>
            </w:r>
          </w:p>
        </w:tc>
        <w:tc>
          <w:tcPr>
            <w:tcW w:w="1261" w:type="dxa"/>
          </w:tcPr>
          <w:p>
            <w:pPr>
              <w:pStyle w:val="TableParagraph"/>
              <w:spacing w:before="78"/>
              <w:rPr>
                <w:rFonts w:ascii="Times New Roman"/>
                <w:sz w:val="21"/>
              </w:rPr>
            </w:pPr>
            <w:r>
              <w:rPr>
                <w:rFonts w:ascii="Times New Roman"/>
                <w:sz w:val="21"/>
              </w:rPr>
              <w:t>/</w:t>
            </w:r>
          </w:p>
        </w:tc>
      </w:tr>
      <w:tr>
        <w:trPr>
          <w:trHeight w:val="407" w:hRule="exact"/>
        </w:trPr>
        <w:tc>
          <w:tcPr>
            <w:tcW w:w="1211" w:type="dxa"/>
          </w:tcPr>
          <w:p>
            <w:pPr>
              <w:pStyle w:val="TableParagraph"/>
              <w:spacing w:before="28"/>
              <w:ind w:left="160" w:right="161"/>
              <w:rPr>
                <w:sz w:val="21"/>
              </w:rPr>
            </w:pPr>
            <w:r>
              <w:rPr>
                <w:sz w:val="21"/>
              </w:rPr>
              <w:t>氨氮</w:t>
            </w:r>
          </w:p>
        </w:tc>
        <w:tc>
          <w:tcPr>
            <w:tcW w:w="1171" w:type="dxa"/>
          </w:tcPr>
          <w:p>
            <w:pPr>
              <w:pStyle w:val="TableParagraph"/>
              <w:spacing w:before="77"/>
              <w:ind w:left="244" w:right="244"/>
              <w:rPr>
                <w:rFonts w:ascii="Times New Roman"/>
                <w:sz w:val="21"/>
              </w:rPr>
            </w:pPr>
            <w:r>
              <w:rPr>
                <w:rFonts w:ascii="Times New Roman"/>
                <w:sz w:val="21"/>
              </w:rPr>
              <w:t>0.070</w:t>
            </w:r>
          </w:p>
        </w:tc>
        <w:tc>
          <w:tcPr>
            <w:tcW w:w="896" w:type="dxa"/>
          </w:tcPr>
          <w:p>
            <w:pPr>
              <w:pStyle w:val="TableParagraph"/>
              <w:spacing w:before="77"/>
              <w:ind w:right="258"/>
              <w:jc w:val="right"/>
              <w:rPr>
                <w:rFonts w:ascii="Times New Roman"/>
                <w:sz w:val="21"/>
              </w:rPr>
            </w:pPr>
            <w:r>
              <w:rPr>
                <w:rFonts w:ascii="Times New Roman"/>
                <w:sz w:val="21"/>
              </w:rPr>
              <w:t>0.07</w:t>
            </w:r>
          </w:p>
        </w:tc>
        <w:tc>
          <w:tcPr>
            <w:tcW w:w="1494" w:type="dxa"/>
          </w:tcPr>
          <w:p>
            <w:pPr>
              <w:pStyle w:val="TableParagraph"/>
              <w:spacing w:before="77"/>
              <w:rPr>
                <w:rFonts w:ascii="Times New Roman"/>
                <w:sz w:val="21"/>
              </w:rPr>
            </w:pPr>
            <w:r>
              <w:rPr>
                <w:rFonts w:ascii="Times New Roman"/>
                <w:sz w:val="21"/>
              </w:rPr>
              <w:t>/</w:t>
            </w:r>
          </w:p>
        </w:tc>
        <w:tc>
          <w:tcPr>
            <w:tcW w:w="1348" w:type="dxa"/>
          </w:tcPr>
          <w:p>
            <w:pPr>
              <w:pStyle w:val="TableParagraph"/>
              <w:spacing w:before="77"/>
              <w:ind w:left="332" w:right="332"/>
              <w:rPr>
                <w:rFonts w:ascii="Times New Roman"/>
                <w:sz w:val="21"/>
              </w:rPr>
            </w:pPr>
            <w:r>
              <w:rPr>
                <w:rFonts w:ascii="Times New Roman"/>
                <w:sz w:val="21"/>
              </w:rPr>
              <w:t>0.346</w:t>
            </w:r>
          </w:p>
        </w:tc>
        <w:tc>
          <w:tcPr>
            <w:tcW w:w="1117" w:type="dxa"/>
          </w:tcPr>
          <w:p>
            <w:pPr>
              <w:pStyle w:val="TableParagraph"/>
              <w:spacing w:before="77"/>
              <w:ind w:left="349" w:right="350"/>
              <w:rPr>
                <w:rFonts w:ascii="Times New Roman"/>
                <w:sz w:val="21"/>
              </w:rPr>
            </w:pPr>
            <w:r>
              <w:rPr>
                <w:rFonts w:ascii="Times New Roman"/>
                <w:sz w:val="21"/>
              </w:rPr>
              <w:t>0.35</w:t>
            </w:r>
          </w:p>
        </w:tc>
        <w:tc>
          <w:tcPr>
            <w:tcW w:w="1261" w:type="dxa"/>
          </w:tcPr>
          <w:p>
            <w:pPr>
              <w:pStyle w:val="TableParagraph"/>
              <w:spacing w:before="77"/>
              <w:rPr>
                <w:rFonts w:ascii="Times New Roman"/>
                <w:sz w:val="21"/>
              </w:rPr>
            </w:pPr>
            <w:r>
              <w:rPr>
                <w:rFonts w:ascii="Times New Roman"/>
                <w:sz w:val="21"/>
              </w:rPr>
              <w:t>/</w:t>
            </w:r>
          </w:p>
        </w:tc>
      </w:tr>
      <w:tr>
        <w:trPr>
          <w:trHeight w:val="407" w:hRule="exact"/>
        </w:trPr>
        <w:tc>
          <w:tcPr>
            <w:tcW w:w="1211" w:type="dxa"/>
          </w:tcPr>
          <w:p>
            <w:pPr>
              <w:pStyle w:val="TableParagraph"/>
              <w:spacing w:before="28"/>
              <w:ind w:left="160" w:right="160"/>
              <w:rPr>
                <w:sz w:val="21"/>
              </w:rPr>
            </w:pPr>
            <w:r>
              <w:rPr>
                <w:sz w:val="21"/>
              </w:rPr>
              <w:t>石油类</w:t>
            </w:r>
          </w:p>
        </w:tc>
        <w:tc>
          <w:tcPr>
            <w:tcW w:w="1171" w:type="dxa"/>
          </w:tcPr>
          <w:p>
            <w:pPr>
              <w:pStyle w:val="TableParagraph"/>
              <w:spacing w:before="77"/>
              <w:rPr>
                <w:rFonts w:ascii="Times New Roman"/>
                <w:sz w:val="21"/>
              </w:rPr>
            </w:pPr>
            <w:r>
              <w:rPr>
                <w:rFonts w:ascii="Times New Roman"/>
                <w:sz w:val="21"/>
              </w:rPr>
              <w:t>0</w:t>
            </w:r>
          </w:p>
        </w:tc>
        <w:tc>
          <w:tcPr>
            <w:tcW w:w="896" w:type="dxa"/>
          </w:tcPr>
          <w:p>
            <w:pPr>
              <w:pStyle w:val="TableParagraph"/>
              <w:spacing w:before="77"/>
              <w:rPr>
                <w:rFonts w:ascii="Times New Roman"/>
                <w:sz w:val="21"/>
              </w:rPr>
            </w:pPr>
            <w:r>
              <w:rPr>
                <w:rFonts w:ascii="Times New Roman"/>
                <w:sz w:val="21"/>
              </w:rPr>
              <w:t>/</w:t>
            </w:r>
          </w:p>
        </w:tc>
        <w:tc>
          <w:tcPr>
            <w:tcW w:w="1494" w:type="dxa"/>
          </w:tcPr>
          <w:p>
            <w:pPr>
              <w:pStyle w:val="TableParagraph"/>
              <w:spacing w:before="77"/>
              <w:rPr>
                <w:rFonts w:ascii="Times New Roman"/>
                <w:sz w:val="21"/>
              </w:rPr>
            </w:pPr>
            <w:r>
              <w:rPr>
                <w:rFonts w:ascii="Times New Roman"/>
                <w:sz w:val="21"/>
              </w:rPr>
              <w:t>/</w:t>
            </w:r>
          </w:p>
        </w:tc>
        <w:tc>
          <w:tcPr>
            <w:tcW w:w="1348" w:type="dxa"/>
          </w:tcPr>
          <w:p>
            <w:pPr>
              <w:pStyle w:val="TableParagraph"/>
              <w:spacing w:before="77"/>
              <w:rPr>
                <w:rFonts w:ascii="Times New Roman"/>
                <w:sz w:val="21"/>
              </w:rPr>
            </w:pPr>
            <w:r>
              <w:rPr>
                <w:rFonts w:ascii="Times New Roman"/>
                <w:sz w:val="21"/>
              </w:rPr>
              <w:t>0</w:t>
            </w:r>
          </w:p>
        </w:tc>
        <w:tc>
          <w:tcPr>
            <w:tcW w:w="1117" w:type="dxa"/>
          </w:tcPr>
          <w:p>
            <w:pPr>
              <w:pStyle w:val="TableParagraph"/>
              <w:spacing w:before="77"/>
              <w:rPr>
                <w:rFonts w:ascii="Times New Roman"/>
                <w:sz w:val="21"/>
              </w:rPr>
            </w:pPr>
            <w:r>
              <w:rPr>
                <w:rFonts w:ascii="Times New Roman"/>
                <w:sz w:val="21"/>
              </w:rPr>
              <w:t>/</w:t>
            </w:r>
          </w:p>
        </w:tc>
        <w:tc>
          <w:tcPr>
            <w:tcW w:w="1261" w:type="dxa"/>
          </w:tcPr>
          <w:p>
            <w:pPr>
              <w:pStyle w:val="TableParagraph"/>
              <w:spacing w:before="77"/>
              <w:rPr>
                <w:rFonts w:ascii="Times New Roman"/>
                <w:sz w:val="21"/>
              </w:rPr>
            </w:pPr>
            <w:r>
              <w:rPr>
                <w:rFonts w:ascii="Times New Roman"/>
                <w:sz w:val="21"/>
              </w:rPr>
              <w:t>/</w:t>
            </w:r>
          </w:p>
        </w:tc>
      </w:tr>
      <w:tr>
        <w:trPr>
          <w:trHeight w:val="554" w:hRule="exact"/>
        </w:trPr>
        <w:tc>
          <w:tcPr>
            <w:tcW w:w="1211" w:type="dxa"/>
          </w:tcPr>
          <w:p>
            <w:pPr>
              <w:pStyle w:val="TableParagraph"/>
              <w:spacing w:line="240" w:lineRule="exact"/>
              <w:ind w:left="160" w:right="161"/>
              <w:rPr>
                <w:sz w:val="21"/>
              </w:rPr>
            </w:pPr>
            <w:r>
              <w:rPr>
                <w:sz w:val="21"/>
              </w:rPr>
              <w:t>粪大肠菌</w:t>
            </w:r>
          </w:p>
          <w:p>
            <w:pPr>
              <w:pStyle w:val="TableParagraph"/>
              <w:spacing w:line="274" w:lineRule="exact"/>
              <w:rPr>
                <w:sz w:val="21"/>
              </w:rPr>
            </w:pPr>
            <w:r>
              <w:rPr>
                <w:sz w:val="21"/>
              </w:rPr>
              <w:t>群</w:t>
            </w:r>
          </w:p>
        </w:tc>
        <w:tc>
          <w:tcPr>
            <w:tcW w:w="1171" w:type="dxa"/>
          </w:tcPr>
          <w:p>
            <w:pPr>
              <w:pStyle w:val="TableParagraph"/>
              <w:spacing w:before="152"/>
              <w:ind w:left="244" w:right="243"/>
              <w:rPr>
                <w:rFonts w:ascii="Times New Roman"/>
                <w:sz w:val="21"/>
              </w:rPr>
            </w:pPr>
            <w:r>
              <w:rPr>
                <w:rFonts w:ascii="Times New Roman"/>
                <w:sz w:val="21"/>
              </w:rPr>
              <w:t>2333</w:t>
            </w:r>
          </w:p>
        </w:tc>
        <w:tc>
          <w:tcPr>
            <w:tcW w:w="896" w:type="dxa"/>
          </w:tcPr>
          <w:p>
            <w:pPr>
              <w:pStyle w:val="TableParagraph"/>
              <w:spacing w:before="152"/>
              <w:ind w:right="258"/>
              <w:jc w:val="right"/>
              <w:rPr>
                <w:rFonts w:ascii="Times New Roman"/>
                <w:sz w:val="21"/>
              </w:rPr>
            </w:pPr>
            <w:r>
              <w:rPr>
                <w:rFonts w:ascii="Times New Roman"/>
                <w:sz w:val="21"/>
              </w:rPr>
              <w:t>0.23</w:t>
            </w:r>
          </w:p>
        </w:tc>
        <w:tc>
          <w:tcPr>
            <w:tcW w:w="1494" w:type="dxa"/>
          </w:tcPr>
          <w:p>
            <w:pPr>
              <w:pStyle w:val="TableParagraph"/>
              <w:spacing w:before="152"/>
              <w:rPr>
                <w:rFonts w:ascii="Times New Roman"/>
                <w:sz w:val="21"/>
              </w:rPr>
            </w:pPr>
            <w:r>
              <w:rPr>
                <w:rFonts w:ascii="Times New Roman"/>
                <w:sz w:val="21"/>
              </w:rPr>
              <w:t>/</w:t>
            </w:r>
          </w:p>
        </w:tc>
        <w:tc>
          <w:tcPr>
            <w:tcW w:w="1348" w:type="dxa"/>
          </w:tcPr>
          <w:p>
            <w:pPr>
              <w:pStyle w:val="TableParagraph"/>
              <w:spacing w:before="152"/>
              <w:ind w:left="332" w:right="332"/>
              <w:rPr>
                <w:rFonts w:ascii="Times New Roman"/>
                <w:sz w:val="21"/>
              </w:rPr>
            </w:pPr>
            <w:r>
              <w:rPr>
                <w:rFonts w:ascii="Times New Roman"/>
                <w:sz w:val="21"/>
              </w:rPr>
              <w:t>3267</w:t>
            </w:r>
          </w:p>
        </w:tc>
        <w:tc>
          <w:tcPr>
            <w:tcW w:w="1117" w:type="dxa"/>
          </w:tcPr>
          <w:p>
            <w:pPr>
              <w:pStyle w:val="TableParagraph"/>
              <w:spacing w:before="152"/>
              <w:ind w:left="349" w:right="350"/>
              <w:rPr>
                <w:rFonts w:ascii="Times New Roman"/>
                <w:sz w:val="21"/>
              </w:rPr>
            </w:pPr>
            <w:r>
              <w:rPr>
                <w:rFonts w:ascii="Times New Roman"/>
                <w:sz w:val="21"/>
              </w:rPr>
              <w:t>0.33</w:t>
            </w:r>
          </w:p>
        </w:tc>
        <w:tc>
          <w:tcPr>
            <w:tcW w:w="1261" w:type="dxa"/>
          </w:tcPr>
          <w:p>
            <w:pPr>
              <w:pStyle w:val="TableParagraph"/>
              <w:spacing w:before="152"/>
              <w:rPr>
                <w:rFonts w:ascii="Times New Roman"/>
                <w:sz w:val="21"/>
              </w:rPr>
            </w:pPr>
            <w:r>
              <w:rPr>
                <w:rFonts w:ascii="Times New Roman"/>
                <w:sz w:val="21"/>
              </w:rPr>
              <w:t>/</w:t>
            </w:r>
          </w:p>
        </w:tc>
      </w:tr>
    </w:tbl>
    <w:p>
      <w:pPr>
        <w:pStyle w:val="BodyText"/>
        <w:spacing w:before="40"/>
        <w:ind w:left="695"/>
      </w:pPr>
      <w:r>
        <w:rPr>
          <w:spacing w:val="-20"/>
        </w:rPr>
        <w:t>由表 </w:t>
      </w:r>
      <w:r>
        <w:rPr>
          <w:rFonts w:ascii="Times New Roman" w:eastAsia="Times New Roman"/>
        </w:rPr>
        <w:t>3-4 </w:t>
      </w:r>
      <w:r>
        <w:rPr>
          <w:spacing w:val="-16"/>
        </w:rPr>
        <w:t>评价结果可知，监测断面中各项监测指标均能达到《地表水环境质量标准》</w:t>
      </w:r>
    </w:p>
    <w:p>
      <w:pPr>
        <w:pStyle w:val="BodyText"/>
        <w:spacing w:line="338" w:lineRule="auto"/>
        <w:ind w:left="215" w:right="161"/>
      </w:pPr>
      <w:r>
        <w:rPr/>
        <w:t>（</w:t>
      </w:r>
      <w:r>
        <w:rPr>
          <w:rFonts w:ascii="Times New Roman" w:hAnsi="Times New Roman" w:eastAsia="Times New Roman"/>
        </w:rPr>
        <w:t>GB3838-2002</w:t>
      </w:r>
      <w:r>
        <w:rPr/>
        <w:t>）规定的Ⅲ类水域标准要求。监测结果说明项目所在区域地表水环境质量良好。</w:t>
      </w:r>
    </w:p>
    <w:p>
      <w:pPr>
        <w:pStyle w:val="Heading2"/>
        <w:spacing w:before="55"/>
      </w:pPr>
      <w:r>
        <w:rPr>
          <w:w w:val="95"/>
        </w:rPr>
        <w:t>三、声环境质量</w:t>
      </w:r>
    </w:p>
    <w:p>
      <w:pPr>
        <w:spacing w:before="154"/>
        <w:ind w:left="697" w:right="0" w:firstLine="0"/>
        <w:jc w:val="left"/>
        <w:rPr>
          <w:b/>
          <w:sz w:val="24"/>
        </w:rPr>
      </w:pPr>
      <w:r>
        <w:rPr>
          <w:rFonts w:ascii="Times New Roman" w:eastAsia="Times New Roman"/>
          <w:b/>
          <w:w w:val="95"/>
          <w:sz w:val="24"/>
        </w:rPr>
        <w:t>1</w:t>
      </w:r>
      <w:r>
        <w:rPr>
          <w:b/>
          <w:w w:val="95"/>
          <w:sz w:val="24"/>
        </w:rPr>
        <w:t>、监测点设置</w:t>
      </w:r>
    </w:p>
    <w:p>
      <w:pPr>
        <w:pStyle w:val="BodyText"/>
        <w:spacing w:before="136"/>
        <w:ind w:left="695"/>
      </w:pPr>
      <w:r>
        <w:rPr/>
        <w:t>本项目共设置 </w:t>
      </w:r>
      <w:r>
        <w:rPr>
          <w:rFonts w:ascii="Times New Roman" w:eastAsia="Times New Roman"/>
        </w:rPr>
        <w:t>6 </w:t>
      </w:r>
      <w:r>
        <w:rPr/>
        <w:t>个监测点位，监测等效声级 </w:t>
      </w:r>
      <w:r>
        <w:rPr>
          <w:rFonts w:ascii="Times New Roman" w:eastAsia="Times New Roman"/>
        </w:rPr>
        <w:t>LeqdB(A)</w:t>
      </w:r>
      <w:r>
        <w:rPr/>
        <w:t>。具体位置见表 </w:t>
      </w:r>
      <w:r>
        <w:rPr>
          <w:rFonts w:ascii="Times New Roman" w:eastAsia="Times New Roman"/>
        </w:rPr>
        <w:t>3-3</w:t>
      </w:r>
      <w:r>
        <w:rPr/>
        <w:t>。</w:t>
      </w:r>
    </w:p>
    <w:p>
      <w:pPr>
        <w:spacing w:after="0"/>
        <w:sectPr>
          <w:pgSz w:w="11910" w:h="16840"/>
          <w:pgMar w:header="0" w:footer="1246" w:top="1120" w:bottom="1440" w:left="1240" w:right="1220"/>
        </w:sectPr>
      </w:pPr>
    </w:p>
    <w:p>
      <w:pPr>
        <w:pStyle w:val="Heading2"/>
        <w:tabs>
          <w:tab w:pos="861" w:val="left" w:leader="none"/>
        </w:tabs>
        <w:spacing w:before="45"/>
        <w:ind w:left="0" w:right="20"/>
        <w:jc w:val="center"/>
      </w:pPr>
      <w:r>
        <w:rPr/>
        <w:pict>
          <v:group style="position:absolute;margin-left:67.190002pt;margin-top:56.448982pt;width:460.95pt;height:713pt;mso-position-horizontal-relative:page;mso-position-vertical-relative:page;z-index:-83968" coordorigin="1344,1129" coordsize="9219,14260">
            <v:line style="position:absolute" from="1354,1139" to="10553,1139" stroked="true" strokeweight=".481pt" strokecolor="#000000">
              <v:stroke dashstyle="solid"/>
            </v:line>
            <v:line style="position:absolute" from="1349,1134" to="1349,15384" stroked="true" strokeweight=".48pt" strokecolor="#000000">
              <v:stroke dashstyle="solid"/>
            </v:line>
            <v:line style="position:absolute" from="1354,15379" to="10553,15379" stroked="true" strokeweight=".48pt" strokecolor="#000000">
              <v:stroke dashstyle="solid"/>
            </v:line>
            <v:line style="position:absolute" from="10558,1134" to="10558,15384" stroked="true" strokeweight=".48pt" strokecolor="#000000">
              <v:stroke dashstyle="solid"/>
            </v:line>
            <w10:wrap type="none"/>
          </v:group>
        </w:pict>
      </w:r>
      <w:r>
        <w:rPr/>
        <w:t>表</w:t>
      </w:r>
      <w:r>
        <w:rPr>
          <w:spacing w:val="-61"/>
        </w:rPr>
        <w:t> </w:t>
      </w:r>
      <w:r>
        <w:rPr>
          <w:rFonts w:ascii="Times New Roman" w:eastAsia="Times New Roman"/>
        </w:rPr>
        <w:t>3-3</w:t>
        <w:tab/>
      </w:r>
      <w:r>
        <w:rPr>
          <w:w w:val="95"/>
        </w:rPr>
        <w:t>声环境质量监测布点</w:t>
      </w:r>
    </w:p>
    <w:p>
      <w:pPr>
        <w:pStyle w:val="BodyText"/>
        <w:spacing w:before="3"/>
        <w:rPr>
          <w:b/>
          <w:sz w:val="7"/>
        </w:rPr>
      </w:pPr>
    </w:p>
    <w:tbl>
      <w:tblPr>
        <w:tblW w:w="0" w:type="auto"/>
        <w:jc w:val="left"/>
        <w:tblInd w:w="65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526"/>
        <w:gridCol w:w="4796"/>
        <w:gridCol w:w="1768"/>
      </w:tblGrid>
      <w:tr>
        <w:trPr>
          <w:trHeight w:val="433" w:hRule="exact"/>
        </w:trPr>
        <w:tc>
          <w:tcPr>
            <w:tcW w:w="1526" w:type="dxa"/>
            <w:tcBorders>
              <w:bottom w:val="single" w:sz="6" w:space="0" w:color="000000"/>
              <w:right w:val="single" w:sz="6" w:space="0" w:color="000000"/>
            </w:tcBorders>
          </w:tcPr>
          <w:p>
            <w:pPr>
              <w:pStyle w:val="TableParagraph"/>
              <w:spacing w:before="36"/>
              <w:ind w:left="309" w:right="314"/>
              <w:rPr>
                <w:sz w:val="21"/>
              </w:rPr>
            </w:pPr>
            <w:r>
              <w:rPr>
                <w:sz w:val="21"/>
              </w:rPr>
              <w:t>监测点位</w:t>
            </w:r>
          </w:p>
        </w:tc>
        <w:tc>
          <w:tcPr>
            <w:tcW w:w="4796" w:type="dxa"/>
            <w:tcBorders>
              <w:left w:val="single" w:sz="6" w:space="0" w:color="000000"/>
              <w:bottom w:val="single" w:sz="6" w:space="0" w:color="000000"/>
              <w:right w:val="single" w:sz="6" w:space="0" w:color="000000"/>
            </w:tcBorders>
          </w:tcPr>
          <w:p>
            <w:pPr>
              <w:pStyle w:val="TableParagraph"/>
              <w:spacing w:before="36"/>
              <w:ind w:left="1636" w:right="1635"/>
              <w:rPr>
                <w:sz w:val="21"/>
              </w:rPr>
            </w:pPr>
            <w:r>
              <w:rPr>
                <w:sz w:val="21"/>
              </w:rPr>
              <w:t>位置</w:t>
            </w:r>
          </w:p>
        </w:tc>
        <w:tc>
          <w:tcPr>
            <w:tcW w:w="1768" w:type="dxa"/>
            <w:tcBorders>
              <w:left w:val="single" w:sz="6" w:space="0" w:color="000000"/>
              <w:bottom w:val="single" w:sz="6" w:space="0" w:color="000000"/>
            </w:tcBorders>
          </w:tcPr>
          <w:p>
            <w:pPr>
              <w:pStyle w:val="TableParagraph"/>
              <w:spacing w:before="36"/>
              <w:ind w:left="435" w:right="429"/>
              <w:rPr>
                <w:sz w:val="21"/>
              </w:rPr>
            </w:pPr>
            <w:r>
              <w:rPr>
                <w:sz w:val="21"/>
              </w:rPr>
              <w:t>备注</w:t>
            </w:r>
          </w:p>
        </w:tc>
      </w:tr>
      <w:tr>
        <w:trPr>
          <w:trHeight w:val="425" w:hRule="exact"/>
        </w:trPr>
        <w:tc>
          <w:tcPr>
            <w:tcW w:w="1526" w:type="dxa"/>
            <w:tcBorders>
              <w:top w:val="single" w:sz="6" w:space="0" w:color="000000"/>
              <w:bottom w:val="single" w:sz="6" w:space="0" w:color="000000"/>
              <w:right w:val="single" w:sz="6" w:space="0" w:color="000000"/>
            </w:tcBorders>
          </w:tcPr>
          <w:p>
            <w:pPr>
              <w:pStyle w:val="TableParagraph"/>
              <w:spacing w:before="84"/>
              <w:ind w:left="309" w:right="314"/>
              <w:rPr>
                <w:rFonts w:ascii="Times New Roman"/>
                <w:sz w:val="21"/>
              </w:rPr>
            </w:pPr>
            <w:r>
              <w:rPr>
                <w:rFonts w:ascii="Times New Roman"/>
                <w:sz w:val="21"/>
              </w:rPr>
              <w:t>1#</w:t>
            </w:r>
          </w:p>
        </w:tc>
        <w:tc>
          <w:tcPr>
            <w:tcW w:w="4796" w:type="dxa"/>
            <w:tcBorders>
              <w:top w:val="single" w:sz="6" w:space="0" w:color="000000"/>
              <w:left w:val="single" w:sz="6" w:space="0" w:color="000000"/>
              <w:bottom w:val="single" w:sz="6" w:space="0" w:color="000000"/>
              <w:right w:val="single" w:sz="6" w:space="0" w:color="000000"/>
            </w:tcBorders>
          </w:tcPr>
          <w:p>
            <w:pPr>
              <w:pStyle w:val="TableParagraph"/>
              <w:spacing w:before="35"/>
              <w:ind w:left="1636" w:right="1636"/>
              <w:rPr>
                <w:sz w:val="21"/>
              </w:rPr>
            </w:pPr>
            <w:r>
              <w:rPr>
                <w:sz w:val="21"/>
              </w:rPr>
              <w:t>仁德桥</w:t>
            </w:r>
          </w:p>
        </w:tc>
        <w:tc>
          <w:tcPr>
            <w:tcW w:w="1768" w:type="dxa"/>
            <w:tcBorders>
              <w:top w:val="single" w:sz="6" w:space="0" w:color="000000"/>
              <w:left w:val="single" w:sz="6" w:space="0" w:color="000000"/>
              <w:bottom w:val="single" w:sz="6" w:space="0" w:color="000000"/>
            </w:tcBorders>
          </w:tcPr>
          <w:p>
            <w:pPr>
              <w:pStyle w:val="TableParagraph"/>
              <w:spacing w:before="35"/>
              <w:ind w:left="435" w:right="429"/>
              <w:rPr>
                <w:sz w:val="21"/>
              </w:rPr>
            </w:pPr>
            <w:r>
              <w:rPr>
                <w:sz w:val="21"/>
              </w:rPr>
              <w:t>环境噪声</w:t>
            </w:r>
          </w:p>
        </w:tc>
      </w:tr>
      <w:tr>
        <w:trPr>
          <w:trHeight w:val="425" w:hRule="exact"/>
        </w:trPr>
        <w:tc>
          <w:tcPr>
            <w:tcW w:w="1526" w:type="dxa"/>
            <w:tcBorders>
              <w:top w:val="single" w:sz="6" w:space="0" w:color="000000"/>
              <w:bottom w:val="single" w:sz="6" w:space="0" w:color="000000"/>
              <w:right w:val="single" w:sz="6" w:space="0" w:color="000000"/>
            </w:tcBorders>
          </w:tcPr>
          <w:p>
            <w:pPr>
              <w:pStyle w:val="TableParagraph"/>
              <w:spacing w:before="84"/>
              <w:ind w:left="309" w:right="314"/>
              <w:rPr>
                <w:rFonts w:ascii="Times New Roman"/>
                <w:sz w:val="21"/>
              </w:rPr>
            </w:pPr>
            <w:r>
              <w:rPr>
                <w:rFonts w:ascii="Times New Roman"/>
                <w:sz w:val="21"/>
              </w:rPr>
              <w:t>2#</w:t>
            </w:r>
          </w:p>
        </w:tc>
        <w:tc>
          <w:tcPr>
            <w:tcW w:w="4796" w:type="dxa"/>
            <w:tcBorders>
              <w:top w:val="single" w:sz="6" w:space="0" w:color="000000"/>
              <w:left w:val="single" w:sz="6" w:space="0" w:color="000000"/>
              <w:bottom w:val="single" w:sz="6" w:space="0" w:color="000000"/>
              <w:right w:val="single" w:sz="6" w:space="0" w:color="000000"/>
            </w:tcBorders>
          </w:tcPr>
          <w:p>
            <w:pPr>
              <w:pStyle w:val="TableParagraph"/>
              <w:spacing w:before="35"/>
              <w:ind w:left="1636" w:right="1636"/>
              <w:rPr>
                <w:sz w:val="21"/>
              </w:rPr>
            </w:pPr>
            <w:r>
              <w:rPr>
                <w:sz w:val="21"/>
              </w:rPr>
              <w:t>梅家乡人民政府</w:t>
            </w:r>
          </w:p>
        </w:tc>
        <w:tc>
          <w:tcPr>
            <w:tcW w:w="1768" w:type="dxa"/>
            <w:tcBorders>
              <w:top w:val="single" w:sz="6" w:space="0" w:color="000000"/>
              <w:left w:val="single" w:sz="6" w:space="0" w:color="000000"/>
              <w:bottom w:val="single" w:sz="6" w:space="0" w:color="000000"/>
            </w:tcBorders>
          </w:tcPr>
          <w:p>
            <w:pPr>
              <w:pStyle w:val="TableParagraph"/>
              <w:spacing w:before="35"/>
              <w:ind w:left="435" w:right="429"/>
              <w:rPr>
                <w:sz w:val="21"/>
              </w:rPr>
            </w:pPr>
            <w:r>
              <w:rPr>
                <w:sz w:val="21"/>
              </w:rPr>
              <w:t>环境噪声</w:t>
            </w:r>
          </w:p>
        </w:tc>
      </w:tr>
      <w:tr>
        <w:trPr>
          <w:trHeight w:val="425" w:hRule="exact"/>
        </w:trPr>
        <w:tc>
          <w:tcPr>
            <w:tcW w:w="1526" w:type="dxa"/>
            <w:tcBorders>
              <w:top w:val="single" w:sz="6" w:space="0" w:color="000000"/>
              <w:bottom w:val="single" w:sz="6" w:space="0" w:color="000000"/>
              <w:right w:val="single" w:sz="6" w:space="0" w:color="000000"/>
            </w:tcBorders>
          </w:tcPr>
          <w:p>
            <w:pPr>
              <w:pStyle w:val="TableParagraph"/>
              <w:spacing w:before="86"/>
              <w:ind w:left="309" w:right="314"/>
              <w:rPr>
                <w:rFonts w:ascii="Times New Roman"/>
                <w:sz w:val="21"/>
              </w:rPr>
            </w:pPr>
            <w:r>
              <w:rPr>
                <w:rFonts w:ascii="Times New Roman"/>
                <w:sz w:val="21"/>
              </w:rPr>
              <w:t>3#</w:t>
            </w:r>
          </w:p>
        </w:tc>
        <w:tc>
          <w:tcPr>
            <w:tcW w:w="4796" w:type="dxa"/>
            <w:tcBorders>
              <w:top w:val="single" w:sz="6" w:space="0" w:color="000000"/>
              <w:left w:val="single" w:sz="6" w:space="0" w:color="000000"/>
              <w:bottom w:val="single" w:sz="6" w:space="0" w:color="000000"/>
              <w:right w:val="single" w:sz="6" w:space="0" w:color="000000"/>
            </w:tcBorders>
          </w:tcPr>
          <w:p>
            <w:pPr>
              <w:pStyle w:val="TableParagraph"/>
              <w:spacing w:before="36"/>
              <w:ind w:left="1636" w:right="1636"/>
              <w:rPr>
                <w:sz w:val="21"/>
              </w:rPr>
            </w:pPr>
            <w:r>
              <w:rPr>
                <w:sz w:val="21"/>
              </w:rPr>
              <w:t>管网 </w:t>
            </w:r>
            <w:r>
              <w:rPr>
                <w:rFonts w:ascii="Times New Roman" w:eastAsia="Times New Roman"/>
                <w:sz w:val="21"/>
              </w:rPr>
              <w:t>1#</w:t>
            </w:r>
            <w:r>
              <w:rPr>
                <w:sz w:val="21"/>
              </w:rPr>
              <w:t>起点</w:t>
            </w:r>
          </w:p>
        </w:tc>
        <w:tc>
          <w:tcPr>
            <w:tcW w:w="1768" w:type="dxa"/>
            <w:tcBorders>
              <w:top w:val="single" w:sz="6" w:space="0" w:color="000000"/>
              <w:left w:val="single" w:sz="6" w:space="0" w:color="000000"/>
              <w:bottom w:val="single" w:sz="6" w:space="0" w:color="000000"/>
            </w:tcBorders>
          </w:tcPr>
          <w:p>
            <w:pPr>
              <w:pStyle w:val="TableParagraph"/>
              <w:spacing w:before="36"/>
              <w:ind w:left="435" w:right="430"/>
              <w:rPr>
                <w:sz w:val="21"/>
              </w:rPr>
            </w:pPr>
            <w:r>
              <w:rPr>
                <w:sz w:val="21"/>
              </w:rPr>
              <w:t>环境噪声</w:t>
            </w:r>
          </w:p>
        </w:tc>
      </w:tr>
      <w:tr>
        <w:trPr>
          <w:trHeight w:val="426" w:hRule="exact"/>
        </w:trPr>
        <w:tc>
          <w:tcPr>
            <w:tcW w:w="1526" w:type="dxa"/>
            <w:tcBorders>
              <w:top w:val="single" w:sz="6" w:space="0" w:color="000000"/>
              <w:bottom w:val="single" w:sz="6" w:space="0" w:color="000000"/>
              <w:right w:val="single" w:sz="6" w:space="0" w:color="000000"/>
            </w:tcBorders>
          </w:tcPr>
          <w:p>
            <w:pPr>
              <w:pStyle w:val="TableParagraph"/>
              <w:spacing w:before="86"/>
              <w:ind w:left="309" w:right="314"/>
              <w:rPr>
                <w:rFonts w:ascii="Times New Roman"/>
                <w:sz w:val="21"/>
              </w:rPr>
            </w:pPr>
            <w:r>
              <w:rPr>
                <w:rFonts w:ascii="Times New Roman"/>
                <w:sz w:val="21"/>
              </w:rPr>
              <w:t>4#</w:t>
            </w:r>
          </w:p>
        </w:tc>
        <w:tc>
          <w:tcPr>
            <w:tcW w:w="4796" w:type="dxa"/>
            <w:tcBorders>
              <w:top w:val="single" w:sz="6" w:space="0" w:color="000000"/>
              <w:left w:val="single" w:sz="6" w:space="0" w:color="000000"/>
              <w:bottom w:val="single" w:sz="6" w:space="0" w:color="000000"/>
              <w:right w:val="single" w:sz="6" w:space="0" w:color="000000"/>
            </w:tcBorders>
          </w:tcPr>
          <w:p>
            <w:pPr>
              <w:pStyle w:val="TableParagraph"/>
              <w:spacing w:before="36"/>
              <w:ind w:left="1636" w:right="1636"/>
              <w:rPr>
                <w:sz w:val="21"/>
              </w:rPr>
            </w:pPr>
            <w:r>
              <w:rPr>
                <w:sz w:val="21"/>
              </w:rPr>
              <w:t>管网 </w:t>
            </w:r>
            <w:r>
              <w:rPr>
                <w:rFonts w:ascii="Times New Roman" w:eastAsia="Times New Roman"/>
                <w:sz w:val="21"/>
              </w:rPr>
              <w:t>2#</w:t>
            </w:r>
            <w:r>
              <w:rPr>
                <w:sz w:val="21"/>
              </w:rPr>
              <w:t>终点</w:t>
            </w:r>
          </w:p>
        </w:tc>
        <w:tc>
          <w:tcPr>
            <w:tcW w:w="1768" w:type="dxa"/>
            <w:tcBorders>
              <w:top w:val="single" w:sz="6" w:space="0" w:color="000000"/>
              <w:left w:val="single" w:sz="6" w:space="0" w:color="000000"/>
              <w:bottom w:val="single" w:sz="6" w:space="0" w:color="000000"/>
            </w:tcBorders>
          </w:tcPr>
          <w:p>
            <w:pPr>
              <w:pStyle w:val="TableParagraph"/>
              <w:spacing w:before="36"/>
              <w:ind w:left="435" w:right="430"/>
              <w:rPr>
                <w:sz w:val="21"/>
              </w:rPr>
            </w:pPr>
            <w:r>
              <w:rPr>
                <w:sz w:val="21"/>
              </w:rPr>
              <w:t>环境噪声</w:t>
            </w:r>
          </w:p>
        </w:tc>
      </w:tr>
      <w:tr>
        <w:trPr>
          <w:trHeight w:val="433" w:hRule="exact"/>
        </w:trPr>
        <w:tc>
          <w:tcPr>
            <w:tcW w:w="1526" w:type="dxa"/>
            <w:tcBorders>
              <w:top w:val="single" w:sz="6" w:space="0" w:color="000000"/>
              <w:right w:val="single" w:sz="6" w:space="0" w:color="000000"/>
            </w:tcBorders>
          </w:tcPr>
          <w:p>
            <w:pPr>
              <w:pStyle w:val="TableParagraph"/>
              <w:spacing w:before="84"/>
              <w:ind w:left="309" w:right="314"/>
              <w:rPr>
                <w:rFonts w:ascii="Times New Roman"/>
                <w:sz w:val="21"/>
              </w:rPr>
            </w:pPr>
            <w:r>
              <w:rPr>
                <w:rFonts w:ascii="Times New Roman"/>
                <w:sz w:val="21"/>
              </w:rPr>
              <w:t>5#</w:t>
            </w:r>
          </w:p>
        </w:tc>
        <w:tc>
          <w:tcPr>
            <w:tcW w:w="4796" w:type="dxa"/>
            <w:tcBorders>
              <w:top w:val="single" w:sz="6" w:space="0" w:color="000000"/>
              <w:left w:val="single" w:sz="6" w:space="0" w:color="000000"/>
              <w:right w:val="single" w:sz="6" w:space="0" w:color="000000"/>
            </w:tcBorders>
          </w:tcPr>
          <w:p>
            <w:pPr>
              <w:pStyle w:val="TableParagraph"/>
              <w:spacing w:before="35"/>
              <w:ind w:left="1636" w:right="1635"/>
              <w:rPr>
                <w:sz w:val="21"/>
              </w:rPr>
            </w:pPr>
            <w:r>
              <w:rPr>
                <w:sz w:val="21"/>
              </w:rPr>
              <w:t>管网终点</w:t>
            </w:r>
          </w:p>
        </w:tc>
        <w:tc>
          <w:tcPr>
            <w:tcW w:w="1768" w:type="dxa"/>
            <w:tcBorders>
              <w:top w:val="single" w:sz="6" w:space="0" w:color="000000"/>
              <w:left w:val="single" w:sz="6" w:space="0" w:color="000000"/>
            </w:tcBorders>
          </w:tcPr>
          <w:p>
            <w:pPr>
              <w:pStyle w:val="TableParagraph"/>
              <w:spacing w:before="35"/>
              <w:ind w:left="435" w:right="429"/>
              <w:rPr>
                <w:sz w:val="21"/>
              </w:rPr>
            </w:pPr>
            <w:r>
              <w:rPr>
                <w:sz w:val="21"/>
              </w:rPr>
              <w:t>环境噪声</w:t>
            </w:r>
          </w:p>
        </w:tc>
      </w:tr>
    </w:tbl>
    <w:p>
      <w:pPr>
        <w:spacing w:before="41"/>
        <w:ind w:left="698" w:right="0" w:firstLine="0"/>
        <w:jc w:val="left"/>
        <w:rPr>
          <w:b/>
          <w:sz w:val="24"/>
        </w:rPr>
      </w:pPr>
      <w:r>
        <w:rPr>
          <w:rFonts w:ascii="Times New Roman" w:eastAsia="Times New Roman"/>
          <w:b/>
          <w:w w:val="95"/>
          <w:sz w:val="24"/>
        </w:rPr>
        <w:t>2</w:t>
      </w:r>
      <w:r>
        <w:rPr>
          <w:b/>
          <w:w w:val="95"/>
          <w:sz w:val="24"/>
        </w:rPr>
        <w:t>、监测项目和方法</w:t>
      </w:r>
    </w:p>
    <w:p>
      <w:pPr>
        <w:pStyle w:val="BodyText"/>
        <w:spacing w:before="136"/>
        <w:ind w:left="695"/>
      </w:pPr>
      <w:r>
        <w:rPr>
          <w:w w:val="95"/>
        </w:rPr>
        <w:t>各监测点位昼间及夜间的等效连续</w:t>
      </w:r>
      <w:r>
        <w:rPr>
          <w:rFonts w:ascii="Times New Roman" w:eastAsia="Times New Roman"/>
          <w:w w:val="95"/>
        </w:rPr>
        <w:t>A</w:t>
      </w:r>
      <w:r>
        <w:rPr>
          <w:w w:val="95"/>
        </w:rPr>
        <w:t>声级。</w:t>
      </w:r>
    </w:p>
    <w:p>
      <w:pPr>
        <w:pStyle w:val="BodyText"/>
        <w:spacing w:before="136"/>
        <w:ind w:left="695"/>
      </w:pPr>
      <w:r>
        <w:rPr/>
        <w:t>根据《声环境质量标准》（</w:t>
      </w:r>
      <w:r>
        <w:rPr>
          <w:rFonts w:ascii="Times New Roman" w:hAnsi="Times New Roman" w:eastAsia="Times New Roman"/>
        </w:rPr>
        <w:t>GB3096-2008</w:t>
      </w:r>
      <w:r>
        <w:rPr/>
        <w:t>）及《环境影响评价技术导则</w:t>
      </w:r>
      <w:r>
        <w:rPr>
          <w:rFonts w:ascii="Times New Roman" w:hAnsi="Times New Roman" w:eastAsia="Times New Roman"/>
        </w:rPr>
        <w:t>—</w:t>
      </w:r>
      <w:r>
        <w:rPr/>
        <w:t>声环境》</w:t>
      </w:r>
    </w:p>
    <w:p>
      <w:pPr>
        <w:pStyle w:val="BodyText"/>
        <w:spacing w:before="136"/>
        <w:ind w:left="215"/>
      </w:pPr>
      <w:r>
        <w:rPr/>
        <w:t>（</w:t>
      </w:r>
      <w:r>
        <w:rPr>
          <w:rFonts w:ascii="Times New Roman" w:eastAsia="Times New Roman"/>
        </w:rPr>
        <w:t>HJ 2.4-2009</w:t>
      </w:r>
      <w:r>
        <w:rPr/>
        <w:t>）的规定进行测试。</w:t>
      </w:r>
    </w:p>
    <w:p>
      <w:pPr>
        <w:pStyle w:val="Heading2"/>
        <w:spacing w:before="136"/>
        <w:ind w:left="698"/>
      </w:pPr>
      <w:r>
        <w:rPr>
          <w:rFonts w:ascii="Times New Roman" w:eastAsia="Times New Roman"/>
          <w:w w:val="95"/>
        </w:rPr>
        <w:t>3</w:t>
      </w:r>
      <w:r>
        <w:rPr>
          <w:w w:val="95"/>
        </w:rPr>
        <w:t>、监测时间和频率</w:t>
      </w:r>
    </w:p>
    <w:p>
      <w:pPr>
        <w:pStyle w:val="BodyText"/>
        <w:spacing w:line="338" w:lineRule="auto" w:before="136"/>
        <w:ind w:left="215" w:right="233" w:firstLine="480"/>
      </w:pPr>
      <w:r>
        <w:rPr>
          <w:spacing w:val="-1"/>
        </w:rPr>
        <w:t>对评价区内进行声环境质量监测 </w:t>
      </w:r>
      <w:r>
        <w:rPr>
          <w:rFonts w:ascii="Times New Roman" w:eastAsia="Times New Roman"/>
        </w:rPr>
        <w:t>2</w:t>
      </w:r>
      <w:r>
        <w:rPr>
          <w:rFonts w:ascii="Times New Roman" w:eastAsia="Times New Roman"/>
          <w:spacing w:val="56"/>
        </w:rPr>
        <w:t> </w:t>
      </w:r>
      <w:r>
        <w:rPr/>
        <w:t>天。昼间和夜间各测一次。用噪声统计分析仪</w:t>
      </w:r>
      <w:r>
        <w:rPr>
          <w:spacing w:val="-11"/>
        </w:rPr>
        <w:t>测试，每次 </w:t>
      </w:r>
      <w:r>
        <w:rPr>
          <w:rFonts w:ascii="Times New Roman" w:eastAsia="Times New Roman"/>
        </w:rPr>
        <w:t>10min</w:t>
      </w:r>
      <w:r>
        <w:rPr/>
        <w:t>。</w:t>
      </w:r>
    </w:p>
    <w:p>
      <w:pPr>
        <w:pStyle w:val="Heading2"/>
        <w:spacing w:before="27"/>
        <w:ind w:left="698"/>
      </w:pPr>
      <w:r>
        <w:rPr>
          <w:rFonts w:ascii="Times New Roman" w:eastAsia="Times New Roman"/>
          <w:w w:val="95"/>
        </w:rPr>
        <w:t>4</w:t>
      </w:r>
      <w:r>
        <w:rPr>
          <w:w w:val="95"/>
        </w:rPr>
        <w:t>、评价方法</w:t>
      </w:r>
    </w:p>
    <w:p>
      <w:pPr>
        <w:pStyle w:val="BodyText"/>
        <w:ind w:left="695"/>
      </w:pPr>
      <w:r>
        <w:rPr>
          <w:w w:val="95"/>
          <w:position w:val="1"/>
        </w:rPr>
        <w:t>采用实测值（</w:t>
      </w:r>
      <w:r>
        <w:rPr>
          <w:rFonts w:ascii="Times New Roman" w:eastAsia="Times New Roman"/>
          <w:w w:val="95"/>
          <w:position w:val="1"/>
        </w:rPr>
        <w:t>L</w:t>
      </w:r>
      <w:r>
        <w:rPr>
          <w:rFonts w:ascii="Times New Roman" w:eastAsia="Times New Roman"/>
          <w:w w:val="95"/>
          <w:sz w:val="16"/>
        </w:rPr>
        <w:t>Aeq</w:t>
      </w:r>
      <w:r>
        <w:rPr>
          <w:w w:val="95"/>
          <w:position w:val="1"/>
        </w:rPr>
        <w:t>）与标准值比较的方法进行评价。</w:t>
      </w:r>
    </w:p>
    <w:p>
      <w:pPr>
        <w:pStyle w:val="Heading2"/>
        <w:spacing w:before="135"/>
        <w:ind w:left="697"/>
      </w:pPr>
      <w:r>
        <w:rPr>
          <w:rFonts w:ascii="Times New Roman" w:eastAsia="Times New Roman"/>
          <w:w w:val="95"/>
        </w:rPr>
        <w:t>5</w:t>
      </w:r>
      <w:r>
        <w:rPr>
          <w:w w:val="95"/>
        </w:rPr>
        <w:t>、监测结果及评价结果</w:t>
      </w:r>
    </w:p>
    <w:p>
      <w:pPr>
        <w:tabs>
          <w:tab w:pos="861" w:val="left" w:leader="none"/>
          <w:tab w:pos="3028" w:val="left" w:leader="none"/>
        </w:tabs>
        <w:spacing w:before="135"/>
        <w:ind w:left="0" w:right="22" w:firstLine="0"/>
        <w:jc w:val="center"/>
        <w:rPr>
          <w:sz w:val="24"/>
        </w:rPr>
      </w:pPr>
      <w:r>
        <w:rPr>
          <w:b/>
          <w:sz w:val="24"/>
        </w:rPr>
        <w:t>表</w:t>
      </w:r>
      <w:r>
        <w:rPr>
          <w:b/>
          <w:spacing w:val="-61"/>
          <w:sz w:val="24"/>
        </w:rPr>
        <w:t> </w:t>
      </w:r>
      <w:r>
        <w:rPr>
          <w:rFonts w:ascii="Times New Roman" w:eastAsia="Times New Roman"/>
          <w:b/>
          <w:sz w:val="24"/>
        </w:rPr>
        <w:t>3-4</w:t>
        <w:tab/>
      </w:r>
      <w:r>
        <w:rPr>
          <w:b/>
          <w:sz w:val="24"/>
        </w:rPr>
        <w:t>声环境监测结果</w:t>
        <w:tab/>
      </w:r>
      <w:r>
        <w:rPr>
          <w:spacing w:val="-1"/>
          <w:w w:val="95"/>
          <w:sz w:val="24"/>
        </w:rPr>
        <w:t>单</w:t>
      </w:r>
      <w:r>
        <w:rPr>
          <w:w w:val="95"/>
          <w:sz w:val="24"/>
        </w:rPr>
        <w:t>位：</w:t>
      </w:r>
      <w:r>
        <w:rPr>
          <w:rFonts w:ascii="Times New Roman" w:eastAsia="Times New Roman"/>
          <w:w w:val="95"/>
          <w:sz w:val="24"/>
        </w:rPr>
        <w:t>dB</w:t>
      </w:r>
      <w:r>
        <w:rPr>
          <w:w w:val="95"/>
          <w:sz w:val="24"/>
        </w:rPr>
        <w:t>（</w:t>
      </w:r>
      <w:r>
        <w:rPr>
          <w:rFonts w:ascii="Times New Roman" w:eastAsia="Times New Roman"/>
          <w:w w:val="95"/>
          <w:sz w:val="24"/>
        </w:rPr>
        <w:t>A</w:t>
      </w:r>
      <w:r>
        <w:rPr>
          <w:w w:val="95"/>
          <w:sz w:val="24"/>
        </w:rPr>
        <w:t>）</w:t>
      </w:r>
    </w:p>
    <w:p>
      <w:pPr>
        <w:pStyle w:val="BodyText"/>
        <w:spacing w:before="4"/>
        <w:rPr>
          <w:sz w:val="7"/>
        </w:rPr>
      </w:pPr>
    </w:p>
    <w:tbl>
      <w:tblPr>
        <w:tblW w:w="0" w:type="auto"/>
        <w:jc w:val="left"/>
        <w:tblInd w:w="62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480"/>
        <w:gridCol w:w="1664"/>
        <w:gridCol w:w="1667"/>
        <w:gridCol w:w="1666"/>
        <w:gridCol w:w="1666"/>
      </w:tblGrid>
      <w:tr>
        <w:trPr>
          <w:trHeight w:val="420" w:hRule="exact"/>
        </w:trPr>
        <w:tc>
          <w:tcPr>
            <w:tcW w:w="1480" w:type="dxa"/>
            <w:vMerge w:val="restart"/>
            <w:tcBorders>
              <w:right w:val="single" w:sz="6" w:space="0" w:color="000000"/>
            </w:tcBorders>
          </w:tcPr>
          <w:p>
            <w:pPr>
              <w:pStyle w:val="TableParagraph"/>
              <w:jc w:val="left"/>
              <w:rPr>
                <w:sz w:val="20"/>
              </w:rPr>
            </w:pPr>
          </w:p>
          <w:p>
            <w:pPr>
              <w:pStyle w:val="TableParagraph"/>
              <w:spacing w:before="10"/>
              <w:jc w:val="left"/>
              <w:rPr>
                <w:sz w:val="13"/>
              </w:rPr>
            </w:pPr>
          </w:p>
          <w:p>
            <w:pPr>
              <w:pStyle w:val="TableParagraph"/>
              <w:ind w:left="304"/>
              <w:jc w:val="left"/>
              <w:rPr>
                <w:sz w:val="21"/>
              </w:rPr>
            </w:pPr>
            <w:r>
              <w:rPr>
                <w:sz w:val="21"/>
              </w:rPr>
              <w:t>监测点位</w:t>
            </w:r>
          </w:p>
        </w:tc>
        <w:tc>
          <w:tcPr>
            <w:tcW w:w="6662" w:type="dxa"/>
            <w:gridSpan w:val="4"/>
            <w:tcBorders>
              <w:left w:val="single" w:sz="6" w:space="0" w:color="000000"/>
              <w:bottom w:val="single" w:sz="6" w:space="0" w:color="000000"/>
            </w:tcBorders>
          </w:tcPr>
          <w:p>
            <w:pPr>
              <w:pStyle w:val="TableParagraph"/>
              <w:spacing w:before="29"/>
              <w:ind w:left="2883" w:right="2876"/>
              <w:rPr>
                <w:sz w:val="21"/>
              </w:rPr>
            </w:pPr>
            <w:r>
              <w:rPr>
                <w:sz w:val="21"/>
              </w:rPr>
              <w:t>监测结果</w:t>
            </w:r>
          </w:p>
        </w:tc>
      </w:tr>
      <w:tr>
        <w:trPr>
          <w:trHeight w:val="412" w:hRule="exact"/>
        </w:trPr>
        <w:tc>
          <w:tcPr>
            <w:tcW w:w="1480" w:type="dxa"/>
            <w:vMerge/>
            <w:tcBorders>
              <w:right w:val="single" w:sz="6" w:space="0" w:color="000000"/>
            </w:tcBorders>
          </w:tcPr>
          <w:p>
            <w:pPr/>
          </w:p>
        </w:tc>
        <w:tc>
          <w:tcPr>
            <w:tcW w:w="3331" w:type="dxa"/>
            <w:gridSpan w:val="2"/>
            <w:tcBorders>
              <w:top w:val="single" w:sz="6" w:space="0" w:color="000000"/>
              <w:left w:val="single" w:sz="6" w:space="0" w:color="000000"/>
              <w:bottom w:val="single" w:sz="6" w:space="0" w:color="000000"/>
              <w:right w:val="single" w:sz="6" w:space="0" w:color="000000"/>
            </w:tcBorders>
          </w:tcPr>
          <w:p>
            <w:pPr>
              <w:pStyle w:val="TableParagraph"/>
              <w:spacing w:before="78"/>
              <w:ind w:left="1270" w:right="1270"/>
              <w:rPr>
                <w:rFonts w:ascii="Times New Roman"/>
                <w:sz w:val="21"/>
              </w:rPr>
            </w:pPr>
            <w:r>
              <w:rPr>
                <w:rFonts w:ascii="Times New Roman"/>
                <w:sz w:val="21"/>
              </w:rPr>
              <w:t>2017.8.6</w:t>
            </w:r>
          </w:p>
        </w:tc>
        <w:tc>
          <w:tcPr>
            <w:tcW w:w="3331" w:type="dxa"/>
            <w:gridSpan w:val="2"/>
            <w:tcBorders>
              <w:top w:val="single" w:sz="6" w:space="0" w:color="000000"/>
              <w:left w:val="single" w:sz="6" w:space="0" w:color="000000"/>
              <w:bottom w:val="single" w:sz="6" w:space="0" w:color="000000"/>
            </w:tcBorders>
          </w:tcPr>
          <w:p>
            <w:pPr>
              <w:pStyle w:val="TableParagraph"/>
              <w:spacing w:before="78"/>
              <w:ind w:left="1271" w:right="1263"/>
              <w:rPr>
                <w:rFonts w:ascii="Times New Roman"/>
                <w:sz w:val="21"/>
              </w:rPr>
            </w:pPr>
            <w:r>
              <w:rPr>
                <w:rFonts w:ascii="Times New Roman"/>
                <w:sz w:val="21"/>
              </w:rPr>
              <w:t>2017.8.7</w:t>
            </w:r>
          </w:p>
        </w:tc>
      </w:tr>
      <w:tr>
        <w:trPr>
          <w:trHeight w:val="412" w:hRule="exact"/>
        </w:trPr>
        <w:tc>
          <w:tcPr>
            <w:tcW w:w="1480" w:type="dxa"/>
            <w:vMerge/>
            <w:tcBorders>
              <w:bottom w:val="single" w:sz="6" w:space="0" w:color="000000"/>
              <w:right w:val="single" w:sz="6" w:space="0" w:color="000000"/>
            </w:tcBorders>
          </w:tcPr>
          <w:p>
            <w:pP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29"/>
              <w:ind w:left="594" w:right="595"/>
              <w:rPr>
                <w:sz w:val="21"/>
              </w:rPr>
            </w:pPr>
            <w:r>
              <w:rPr>
                <w:sz w:val="21"/>
              </w:rPr>
              <w:t>昼间</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29"/>
              <w:ind w:left="595" w:right="596"/>
              <w:rPr>
                <w:sz w:val="21"/>
              </w:rPr>
            </w:pPr>
            <w:r>
              <w:rPr>
                <w:sz w:val="21"/>
              </w:rPr>
              <w:t>夜间</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29"/>
              <w:ind w:left="595" w:right="595"/>
              <w:rPr>
                <w:sz w:val="21"/>
              </w:rPr>
            </w:pPr>
            <w:r>
              <w:rPr>
                <w:sz w:val="21"/>
              </w:rPr>
              <w:t>昼间</w:t>
            </w:r>
          </w:p>
        </w:tc>
        <w:tc>
          <w:tcPr>
            <w:tcW w:w="1666" w:type="dxa"/>
            <w:tcBorders>
              <w:top w:val="single" w:sz="6" w:space="0" w:color="000000"/>
              <w:left w:val="single" w:sz="6" w:space="0" w:color="000000"/>
              <w:bottom w:val="single" w:sz="6" w:space="0" w:color="000000"/>
            </w:tcBorders>
          </w:tcPr>
          <w:p>
            <w:pPr>
              <w:pStyle w:val="TableParagraph"/>
              <w:spacing w:before="29"/>
              <w:ind w:left="595" w:right="589"/>
              <w:rPr>
                <w:sz w:val="21"/>
              </w:rPr>
            </w:pPr>
            <w:r>
              <w:rPr>
                <w:sz w:val="21"/>
              </w:rPr>
              <w:t>夜间</w:t>
            </w:r>
          </w:p>
        </w:tc>
      </w:tr>
      <w:tr>
        <w:trPr>
          <w:trHeight w:val="413" w:hRule="exact"/>
        </w:trPr>
        <w:tc>
          <w:tcPr>
            <w:tcW w:w="1480" w:type="dxa"/>
            <w:tcBorders>
              <w:top w:val="single" w:sz="6" w:space="0" w:color="000000"/>
              <w:bottom w:val="single" w:sz="6" w:space="0" w:color="000000"/>
              <w:right w:val="single" w:sz="6" w:space="0" w:color="000000"/>
            </w:tcBorders>
          </w:tcPr>
          <w:p>
            <w:pPr>
              <w:pStyle w:val="TableParagraph"/>
              <w:spacing w:before="78"/>
              <w:ind w:left="311" w:right="317"/>
              <w:rPr>
                <w:rFonts w:ascii="Times New Roman"/>
                <w:sz w:val="21"/>
              </w:rPr>
            </w:pPr>
            <w:r>
              <w:rPr>
                <w:rFonts w:ascii="Times New Roman"/>
                <w:sz w:val="21"/>
              </w:rPr>
              <w:t>1#</w:t>
            </w: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49.5</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43.0</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4"/>
              <w:rPr>
                <w:rFonts w:ascii="Times New Roman"/>
                <w:sz w:val="21"/>
              </w:rPr>
            </w:pPr>
            <w:r>
              <w:rPr>
                <w:rFonts w:ascii="Times New Roman"/>
                <w:sz w:val="21"/>
              </w:rPr>
              <w:t>49.9</w:t>
            </w:r>
          </w:p>
        </w:tc>
        <w:tc>
          <w:tcPr>
            <w:tcW w:w="1666" w:type="dxa"/>
            <w:tcBorders>
              <w:top w:val="single" w:sz="6" w:space="0" w:color="000000"/>
              <w:left w:val="single" w:sz="6" w:space="0" w:color="000000"/>
              <w:bottom w:val="single" w:sz="6" w:space="0" w:color="000000"/>
            </w:tcBorders>
          </w:tcPr>
          <w:p>
            <w:pPr>
              <w:pStyle w:val="TableParagraph"/>
              <w:spacing w:before="78"/>
              <w:ind w:left="595" w:right="587"/>
              <w:rPr>
                <w:rFonts w:ascii="Times New Roman"/>
                <w:sz w:val="21"/>
              </w:rPr>
            </w:pPr>
            <w:r>
              <w:rPr>
                <w:rFonts w:ascii="Times New Roman"/>
                <w:sz w:val="21"/>
              </w:rPr>
              <w:t>43.1</w:t>
            </w:r>
          </w:p>
        </w:tc>
      </w:tr>
      <w:tr>
        <w:trPr>
          <w:trHeight w:val="412" w:hRule="exact"/>
        </w:trPr>
        <w:tc>
          <w:tcPr>
            <w:tcW w:w="1480" w:type="dxa"/>
            <w:tcBorders>
              <w:top w:val="single" w:sz="6" w:space="0" w:color="000000"/>
              <w:bottom w:val="single" w:sz="6" w:space="0" w:color="000000"/>
              <w:right w:val="single" w:sz="6" w:space="0" w:color="000000"/>
            </w:tcBorders>
          </w:tcPr>
          <w:p>
            <w:pPr>
              <w:pStyle w:val="TableParagraph"/>
              <w:spacing w:before="78"/>
              <w:ind w:left="311" w:right="317"/>
              <w:rPr>
                <w:rFonts w:ascii="Times New Roman"/>
                <w:sz w:val="21"/>
              </w:rPr>
            </w:pPr>
            <w:r>
              <w:rPr>
                <w:rFonts w:ascii="Times New Roman"/>
                <w:sz w:val="21"/>
              </w:rPr>
              <w:t>2#</w:t>
            </w: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51.7</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43.7</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4"/>
              <w:rPr>
                <w:rFonts w:ascii="Times New Roman"/>
                <w:sz w:val="21"/>
              </w:rPr>
            </w:pPr>
            <w:r>
              <w:rPr>
                <w:rFonts w:ascii="Times New Roman"/>
                <w:sz w:val="21"/>
              </w:rPr>
              <w:t>51.3</w:t>
            </w:r>
          </w:p>
        </w:tc>
        <w:tc>
          <w:tcPr>
            <w:tcW w:w="1666" w:type="dxa"/>
            <w:tcBorders>
              <w:top w:val="single" w:sz="6" w:space="0" w:color="000000"/>
              <w:left w:val="single" w:sz="6" w:space="0" w:color="000000"/>
              <w:bottom w:val="single" w:sz="6" w:space="0" w:color="000000"/>
            </w:tcBorders>
          </w:tcPr>
          <w:p>
            <w:pPr>
              <w:pStyle w:val="TableParagraph"/>
              <w:spacing w:before="78"/>
              <w:ind w:left="595" w:right="587"/>
              <w:rPr>
                <w:rFonts w:ascii="Times New Roman"/>
                <w:sz w:val="21"/>
              </w:rPr>
            </w:pPr>
            <w:r>
              <w:rPr>
                <w:rFonts w:ascii="Times New Roman"/>
                <w:sz w:val="21"/>
              </w:rPr>
              <w:t>42.4</w:t>
            </w:r>
          </w:p>
        </w:tc>
      </w:tr>
      <w:tr>
        <w:trPr>
          <w:trHeight w:val="412" w:hRule="exact"/>
        </w:trPr>
        <w:tc>
          <w:tcPr>
            <w:tcW w:w="1480" w:type="dxa"/>
            <w:tcBorders>
              <w:top w:val="single" w:sz="6" w:space="0" w:color="000000"/>
              <w:bottom w:val="single" w:sz="6" w:space="0" w:color="000000"/>
              <w:right w:val="single" w:sz="6" w:space="0" w:color="000000"/>
            </w:tcBorders>
          </w:tcPr>
          <w:p>
            <w:pPr>
              <w:pStyle w:val="TableParagraph"/>
              <w:spacing w:before="78"/>
              <w:ind w:left="311" w:right="317"/>
              <w:rPr>
                <w:rFonts w:ascii="Times New Roman"/>
                <w:sz w:val="21"/>
              </w:rPr>
            </w:pPr>
            <w:r>
              <w:rPr>
                <w:rFonts w:ascii="Times New Roman"/>
                <w:sz w:val="21"/>
              </w:rPr>
              <w:t>3#</w:t>
            </w: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51.0</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45.1</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4"/>
              <w:rPr>
                <w:rFonts w:ascii="Times New Roman"/>
                <w:sz w:val="21"/>
              </w:rPr>
            </w:pPr>
            <w:r>
              <w:rPr>
                <w:rFonts w:ascii="Times New Roman"/>
                <w:sz w:val="21"/>
              </w:rPr>
              <w:t>50.8</w:t>
            </w:r>
          </w:p>
        </w:tc>
        <w:tc>
          <w:tcPr>
            <w:tcW w:w="1666" w:type="dxa"/>
            <w:tcBorders>
              <w:top w:val="single" w:sz="6" w:space="0" w:color="000000"/>
              <w:left w:val="single" w:sz="6" w:space="0" w:color="000000"/>
              <w:bottom w:val="single" w:sz="6" w:space="0" w:color="000000"/>
            </w:tcBorders>
          </w:tcPr>
          <w:p>
            <w:pPr>
              <w:pStyle w:val="TableParagraph"/>
              <w:spacing w:before="78"/>
              <w:ind w:left="595" w:right="587"/>
              <w:rPr>
                <w:rFonts w:ascii="Times New Roman"/>
                <w:sz w:val="21"/>
              </w:rPr>
            </w:pPr>
            <w:r>
              <w:rPr>
                <w:rFonts w:ascii="Times New Roman"/>
                <w:sz w:val="21"/>
              </w:rPr>
              <w:t>44.7</w:t>
            </w:r>
          </w:p>
        </w:tc>
      </w:tr>
      <w:tr>
        <w:trPr>
          <w:trHeight w:val="413" w:hRule="exact"/>
        </w:trPr>
        <w:tc>
          <w:tcPr>
            <w:tcW w:w="1480" w:type="dxa"/>
            <w:tcBorders>
              <w:top w:val="single" w:sz="6" w:space="0" w:color="000000"/>
              <w:bottom w:val="single" w:sz="6" w:space="0" w:color="000000"/>
              <w:right w:val="single" w:sz="6" w:space="0" w:color="000000"/>
            </w:tcBorders>
          </w:tcPr>
          <w:p>
            <w:pPr>
              <w:pStyle w:val="TableParagraph"/>
              <w:spacing w:before="78"/>
              <w:ind w:left="309" w:right="317"/>
              <w:rPr>
                <w:rFonts w:ascii="Times New Roman"/>
                <w:sz w:val="21"/>
              </w:rPr>
            </w:pPr>
            <w:r>
              <w:rPr>
                <w:rFonts w:ascii="Times New Roman"/>
                <w:sz w:val="21"/>
              </w:rPr>
              <w:t>4#</w:t>
            </w: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53.2</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46.2</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4"/>
              <w:rPr>
                <w:rFonts w:ascii="Times New Roman"/>
                <w:sz w:val="21"/>
              </w:rPr>
            </w:pPr>
            <w:r>
              <w:rPr>
                <w:rFonts w:ascii="Times New Roman"/>
                <w:sz w:val="21"/>
              </w:rPr>
              <w:t>52.6</w:t>
            </w:r>
          </w:p>
        </w:tc>
        <w:tc>
          <w:tcPr>
            <w:tcW w:w="1666" w:type="dxa"/>
            <w:tcBorders>
              <w:top w:val="single" w:sz="6" w:space="0" w:color="000000"/>
              <w:left w:val="single" w:sz="6" w:space="0" w:color="000000"/>
              <w:bottom w:val="single" w:sz="6" w:space="0" w:color="000000"/>
            </w:tcBorders>
          </w:tcPr>
          <w:p>
            <w:pPr>
              <w:pStyle w:val="TableParagraph"/>
              <w:spacing w:before="78"/>
              <w:ind w:left="595" w:right="587"/>
              <w:rPr>
                <w:rFonts w:ascii="Times New Roman"/>
                <w:sz w:val="21"/>
              </w:rPr>
            </w:pPr>
            <w:r>
              <w:rPr>
                <w:rFonts w:ascii="Times New Roman"/>
                <w:sz w:val="21"/>
              </w:rPr>
              <w:t>44.5</w:t>
            </w:r>
          </w:p>
        </w:tc>
      </w:tr>
      <w:tr>
        <w:trPr>
          <w:trHeight w:val="412" w:hRule="exact"/>
        </w:trPr>
        <w:tc>
          <w:tcPr>
            <w:tcW w:w="1480" w:type="dxa"/>
            <w:tcBorders>
              <w:top w:val="single" w:sz="6" w:space="0" w:color="000000"/>
              <w:bottom w:val="single" w:sz="6" w:space="0" w:color="000000"/>
              <w:right w:val="single" w:sz="6" w:space="0" w:color="000000"/>
            </w:tcBorders>
          </w:tcPr>
          <w:p>
            <w:pPr>
              <w:pStyle w:val="TableParagraph"/>
              <w:spacing w:before="78"/>
              <w:ind w:left="309" w:right="317"/>
              <w:rPr>
                <w:rFonts w:ascii="Times New Roman"/>
                <w:sz w:val="21"/>
              </w:rPr>
            </w:pPr>
            <w:r>
              <w:rPr>
                <w:rFonts w:ascii="Times New Roman"/>
                <w:sz w:val="21"/>
              </w:rPr>
              <w:t>5#</w:t>
            </w:r>
          </w:p>
        </w:tc>
        <w:tc>
          <w:tcPr>
            <w:tcW w:w="1664" w:type="dxa"/>
            <w:tcBorders>
              <w:top w:val="single" w:sz="6" w:space="0" w:color="000000"/>
              <w:left w:val="single" w:sz="6" w:space="0" w:color="000000"/>
              <w:bottom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54.2</w:t>
            </w:r>
          </w:p>
        </w:tc>
        <w:tc>
          <w:tcPr>
            <w:tcW w:w="1667"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46.5</w:t>
            </w:r>
          </w:p>
        </w:tc>
        <w:tc>
          <w:tcPr>
            <w:tcW w:w="1666" w:type="dxa"/>
            <w:tcBorders>
              <w:top w:val="single" w:sz="6" w:space="0" w:color="000000"/>
              <w:left w:val="single" w:sz="6" w:space="0" w:color="000000"/>
              <w:bottom w:val="single" w:sz="6" w:space="0" w:color="000000"/>
              <w:right w:val="single" w:sz="6" w:space="0" w:color="000000"/>
            </w:tcBorders>
          </w:tcPr>
          <w:p>
            <w:pPr>
              <w:pStyle w:val="TableParagraph"/>
              <w:spacing w:before="78"/>
              <w:ind w:left="595" w:right="594"/>
              <w:rPr>
                <w:rFonts w:ascii="Times New Roman"/>
                <w:sz w:val="21"/>
              </w:rPr>
            </w:pPr>
            <w:r>
              <w:rPr>
                <w:rFonts w:ascii="Times New Roman"/>
                <w:sz w:val="21"/>
              </w:rPr>
              <w:t>54.0</w:t>
            </w:r>
          </w:p>
        </w:tc>
        <w:tc>
          <w:tcPr>
            <w:tcW w:w="1666" w:type="dxa"/>
            <w:tcBorders>
              <w:top w:val="single" w:sz="6" w:space="0" w:color="000000"/>
              <w:left w:val="single" w:sz="6" w:space="0" w:color="000000"/>
              <w:bottom w:val="single" w:sz="6" w:space="0" w:color="000000"/>
            </w:tcBorders>
          </w:tcPr>
          <w:p>
            <w:pPr>
              <w:pStyle w:val="TableParagraph"/>
              <w:spacing w:before="78"/>
              <w:ind w:left="595" w:right="587"/>
              <w:rPr>
                <w:rFonts w:ascii="Times New Roman"/>
                <w:sz w:val="21"/>
              </w:rPr>
            </w:pPr>
            <w:r>
              <w:rPr>
                <w:rFonts w:ascii="Times New Roman"/>
                <w:sz w:val="21"/>
              </w:rPr>
              <w:t>47.5</w:t>
            </w:r>
          </w:p>
        </w:tc>
      </w:tr>
      <w:tr>
        <w:trPr>
          <w:trHeight w:val="420" w:hRule="exact"/>
        </w:trPr>
        <w:tc>
          <w:tcPr>
            <w:tcW w:w="1480" w:type="dxa"/>
            <w:tcBorders>
              <w:top w:val="single" w:sz="6" w:space="0" w:color="000000"/>
              <w:right w:val="single" w:sz="6" w:space="0" w:color="000000"/>
            </w:tcBorders>
          </w:tcPr>
          <w:p>
            <w:pPr>
              <w:pStyle w:val="TableParagraph"/>
              <w:spacing w:before="29"/>
              <w:ind w:left="312" w:right="317"/>
              <w:rPr>
                <w:sz w:val="21"/>
              </w:rPr>
            </w:pPr>
            <w:r>
              <w:rPr>
                <w:rFonts w:ascii="Times New Roman" w:eastAsia="Times New Roman"/>
                <w:sz w:val="21"/>
              </w:rPr>
              <w:t>2 </w:t>
            </w:r>
            <w:r>
              <w:rPr>
                <w:sz w:val="21"/>
              </w:rPr>
              <w:t>类标准</w:t>
            </w:r>
          </w:p>
        </w:tc>
        <w:tc>
          <w:tcPr>
            <w:tcW w:w="1664" w:type="dxa"/>
            <w:tcBorders>
              <w:top w:val="single" w:sz="6" w:space="0" w:color="000000"/>
              <w:left w:val="single" w:sz="6" w:space="0" w:color="000000"/>
              <w:right w:val="single" w:sz="6" w:space="0" w:color="000000"/>
            </w:tcBorders>
          </w:tcPr>
          <w:p>
            <w:pPr>
              <w:pStyle w:val="TableParagraph"/>
              <w:spacing w:before="78"/>
              <w:ind w:left="594" w:right="594"/>
              <w:rPr>
                <w:rFonts w:ascii="Times New Roman"/>
                <w:sz w:val="21"/>
              </w:rPr>
            </w:pPr>
            <w:r>
              <w:rPr>
                <w:rFonts w:ascii="Times New Roman"/>
                <w:sz w:val="21"/>
              </w:rPr>
              <w:t>60</w:t>
            </w:r>
          </w:p>
        </w:tc>
        <w:tc>
          <w:tcPr>
            <w:tcW w:w="1667" w:type="dxa"/>
            <w:tcBorders>
              <w:top w:val="single" w:sz="6" w:space="0" w:color="000000"/>
              <w:left w:val="single" w:sz="6" w:space="0" w:color="000000"/>
              <w:right w:val="single" w:sz="6" w:space="0" w:color="000000"/>
            </w:tcBorders>
          </w:tcPr>
          <w:p>
            <w:pPr>
              <w:pStyle w:val="TableParagraph"/>
              <w:spacing w:before="78"/>
              <w:ind w:left="595" w:right="596"/>
              <w:rPr>
                <w:rFonts w:ascii="Times New Roman"/>
                <w:sz w:val="21"/>
              </w:rPr>
            </w:pPr>
            <w:r>
              <w:rPr>
                <w:rFonts w:ascii="Times New Roman"/>
                <w:sz w:val="21"/>
              </w:rPr>
              <w:t>50</w:t>
            </w:r>
          </w:p>
        </w:tc>
        <w:tc>
          <w:tcPr>
            <w:tcW w:w="1666" w:type="dxa"/>
            <w:tcBorders>
              <w:top w:val="single" w:sz="6" w:space="0" w:color="000000"/>
              <w:left w:val="single" w:sz="6" w:space="0" w:color="000000"/>
              <w:right w:val="single" w:sz="6" w:space="0" w:color="000000"/>
            </w:tcBorders>
          </w:tcPr>
          <w:p>
            <w:pPr>
              <w:pStyle w:val="TableParagraph"/>
              <w:spacing w:before="78"/>
              <w:ind w:left="595" w:right="595"/>
              <w:rPr>
                <w:rFonts w:ascii="Times New Roman"/>
                <w:sz w:val="21"/>
              </w:rPr>
            </w:pPr>
            <w:r>
              <w:rPr>
                <w:rFonts w:ascii="Times New Roman"/>
                <w:sz w:val="21"/>
              </w:rPr>
              <w:t>60</w:t>
            </w:r>
          </w:p>
        </w:tc>
        <w:tc>
          <w:tcPr>
            <w:tcW w:w="1666" w:type="dxa"/>
            <w:tcBorders>
              <w:top w:val="single" w:sz="6" w:space="0" w:color="000000"/>
              <w:left w:val="single" w:sz="6" w:space="0" w:color="000000"/>
            </w:tcBorders>
          </w:tcPr>
          <w:p>
            <w:pPr>
              <w:pStyle w:val="TableParagraph"/>
              <w:spacing w:before="78"/>
              <w:ind w:left="595" w:right="589"/>
              <w:rPr>
                <w:rFonts w:ascii="Times New Roman"/>
                <w:sz w:val="21"/>
              </w:rPr>
            </w:pPr>
            <w:r>
              <w:rPr>
                <w:rFonts w:ascii="Times New Roman"/>
                <w:sz w:val="21"/>
              </w:rPr>
              <w:t>50</w:t>
            </w:r>
          </w:p>
        </w:tc>
      </w:tr>
    </w:tbl>
    <w:p>
      <w:pPr>
        <w:pStyle w:val="BodyText"/>
        <w:spacing w:before="40"/>
        <w:ind w:left="695"/>
      </w:pPr>
      <w:r>
        <w:rPr/>
        <w:t>由表 </w:t>
      </w:r>
      <w:r>
        <w:rPr>
          <w:rFonts w:ascii="Times New Roman" w:eastAsia="Times New Roman"/>
        </w:rPr>
        <w:t>3-4  </w:t>
      </w:r>
      <w:r>
        <w:rPr/>
        <w:t>可知，项目所在地昼间、夜间环境噪声均未超过《声环境质量标准》</w:t>
      </w:r>
    </w:p>
    <w:p>
      <w:pPr>
        <w:spacing w:line="338" w:lineRule="auto" w:before="135"/>
        <w:ind w:left="215" w:right="5741" w:firstLine="0"/>
        <w:jc w:val="left"/>
        <w:rPr>
          <w:b/>
          <w:sz w:val="24"/>
        </w:rPr>
      </w:pPr>
      <w:r>
        <w:rPr>
          <w:sz w:val="24"/>
        </w:rPr>
        <w:t>（</w:t>
      </w:r>
      <w:r>
        <w:rPr>
          <w:rFonts w:ascii="Times New Roman" w:eastAsia="Times New Roman"/>
          <w:sz w:val="24"/>
        </w:rPr>
        <w:t>GB3096-2008</w:t>
      </w:r>
      <w:r>
        <w:rPr>
          <w:sz w:val="24"/>
        </w:rPr>
        <w:t>）</w:t>
      </w:r>
      <w:r>
        <w:rPr>
          <w:rFonts w:ascii="Times New Roman" w:eastAsia="Times New Roman"/>
          <w:sz w:val="24"/>
        </w:rPr>
        <w:t>2 </w:t>
      </w:r>
      <w:r>
        <w:rPr>
          <w:sz w:val="24"/>
        </w:rPr>
        <w:t>类标准限值。</w:t>
      </w:r>
      <w:r>
        <w:rPr>
          <w:b/>
          <w:w w:val="95"/>
          <w:sz w:val="24"/>
        </w:rPr>
        <w:t>主要环境保护目标</w:t>
      </w:r>
      <w:r>
        <w:rPr>
          <w:b/>
          <w:w w:val="99"/>
          <w:sz w:val="24"/>
        </w:rPr>
        <w:t> </w:t>
      </w:r>
    </w:p>
    <w:p>
      <w:pPr>
        <w:pStyle w:val="BodyText"/>
        <w:spacing w:before="55"/>
        <w:ind w:left="695"/>
      </w:pPr>
      <w:r>
        <w:rPr/>
        <w:t>项目主要环境保护目标见表 </w:t>
      </w:r>
      <w:r>
        <w:rPr>
          <w:rFonts w:ascii="Times New Roman" w:eastAsia="Times New Roman"/>
        </w:rPr>
        <w:t>3-5</w:t>
      </w:r>
      <w:r>
        <w:rPr/>
        <w:t>。</w:t>
      </w:r>
    </w:p>
    <w:p>
      <w:pPr>
        <w:spacing w:after="0"/>
        <w:sectPr>
          <w:footerReference w:type="default" r:id="rId6"/>
          <w:pgSz w:w="11910" w:h="16840"/>
          <w:pgMar w:footer="1545" w:header="0" w:top="1120" w:bottom="1740" w:left="1240" w:right="1220"/>
          <w:pgNumType w:start="14"/>
        </w:sectPr>
      </w:pPr>
    </w:p>
    <w:p>
      <w:pPr>
        <w:pStyle w:val="Heading2"/>
        <w:tabs>
          <w:tab w:pos="3635" w:val="left" w:leader="none"/>
        </w:tabs>
        <w:spacing w:before="45"/>
        <w:ind w:left="2654"/>
      </w:pPr>
      <w:r>
        <w:rPr/>
        <w:pict>
          <v:group style="position:absolute;margin-left:67.190002pt;margin-top:56.448982pt;width:460.95pt;height:711.5pt;mso-position-horizontal-relative:page;mso-position-vertical-relative:page;z-index:-83944" coordorigin="1344,1129" coordsize="9219,14230">
            <v:line style="position:absolute" from="1354,1139" to="10553,1139" stroked="true" strokeweight=".481pt" strokecolor="#000000">
              <v:stroke dashstyle="solid"/>
            </v:line>
            <v:line style="position:absolute" from="1349,1134" to="1349,15354" stroked="true" strokeweight=".48pt" strokecolor="#000000">
              <v:stroke dashstyle="solid"/>
            </v:line>
            <v:line style="position:absolute" from="1354,15349" to="10553,15349" stroked="true" strokeweight=".48pt" strokecolor="#000000">
              <v:stroke dashstyle="solid"/>
            </v:line>
            <v:line style="position:absolute" from="10558,1134" to="10558,15354" stroked="true" strokeweight=".48pt" strokecolor="#000000">
              <v:stroke dashstyle="solid"/>
            </v:line>
            <w10:wrap type="none"/>
          </v:group>
        </w:pict>
      </w:r>
      <w:r>
        <w:rPr/>
        <w:t>表</w:t>
      </w:r>
      <w:r>
        <w:rPr>
          <w:spacing w:val="-61"/>
        </w:rPr>
        <w:t> </w:t>
      </w:r>
      <w:r>
        <w:rPr>
          <w:rFonts w:ascii="Times New Roman" w:eastAsia="Times New Roman"/>
        </w:rPr>
        <w:t>3-5</w:t>
        <w:tab/>
      </w:r>
      <w:r>
        <w:rPr>
          <w:w w:val="95"/>
        </w:rPr>
        <w:t>项目主要环境保护目标一览表</w:t>
      </w:r>
      <w:r>
        <w:rPr>
          <w:w w:val="99"/>
        </w:rPr>
        <w:t> </w:t>
      </w:r>
    </w:p>
    <w:p>
      <w:pPr>
        <w:pStyle w:val="BodyText"/>
        <w:spacing w:before="3"/>
        <w:rPr>
          <w:b/>
          <w:sz w:val="7"/>
        </w:rPr>
      </w:pPr>
    </w:p>
    <w:tbl>
      <w:tblPr>
        <w:tblW w:w="0" w:type="auto"/>
        <w:jc w:val="left"/>
        <w:tblInd w:w="28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171"/>
        <w:gridCol w:w="1590"/>
        <w:gridCol w:w="1658"/>
        <w:gridCol w:w="1978"/>
        <w:gridCol w:w="2423"/>
      </w:tblGrid>
      <w:tr>
        <w:trPr>
          <w:trHeight w:val="448" w:hRule="exact"/>
        </w:trPr>
        <w:tc>
          <w:tcPr>
            <w:tcW w:w="1171" w:type="dxa"/>
            <w:tcBorders>
              <w:bottom w:val="single" w:sz="6" w:space="0" w:color="000000"/>
              <w:right w:val="single" w:sz="6" w:space="0" w:color="000000"/>
            </w:tcBorders>
          </w:tcPr>
          <w:p>
            <w:pPr>
              <w:pStyle w:val="TableParagraph"/>
              <w:spacing w:before="44"/>
              <w:ind w:left="236" w:right="241"/>
              <w:rPr>
                <w:sz w:val="21"/>
              </w:rPr>
            </w:pPr>
            <w:r>
              <w:rPr>
                <w:sz w:val="21"/>
              </w:rPr>
              <w:t>类别</w:t>
            </w:r>
          </w:p>
        </w:tc>
        <w:tc>
          <w:tcPr>
            <w:tcW w:w="1590" w:type="dxa"/>
            <w:tcBorders>
              <w:left w:val="single" w:sz="6" w:space="0" w:color="000000"/>
              <w:bottom w:val="single" w:sz="6" w:space="0" w:color="000000"/>
              <w:right w:val="single" w:sz="6" w:space="0" w:color="000000"/>
            </w:tcBorders>
          </w:tcPr>
          <w:p>
            <w:pPr>
              <w:pStyle w:val="TableParagraph"/>
              <w:spacing w:before="44"/>
              <w:ind w:left="348" w:right="347"/>
              <w:rPr>
                <w:sz w:val="21"/>
              </w:rPr>
            </w:pPr>
            <w:r>
              <w:rPr>
                <w:sz w:val="21"/>
              </w:rPr>
              <w:t>名称</w:t>
            </w:r>
          </w:p>
        </w:tc>
        <w:tc>
          <w:tcPr>
            <w:tcW w:w="1658" w:type="dxa"/>
            <w:tcBorders>
              <w:left w:val="single" w:sz="6" w:space="0" w:color="000000"/>
              <w:bottom w:val="single" w:sz="6" w:space="0" w:color="000000"/>
              <w:right w:val="single" w:sz="6" w:space="0" w:color="000000"/>
            </w:tcBorders>
          </w:tcPr>
          <w:p>
            <w:pPr>
              <w:pStyle w:val="TableParagraph"/>
              <w:spacing w:before="44"/>
              <w:ind w:left="403"/>
              <w:jc w:val="left"/>
              <w:rPr>
                <w:sz w:val="21"/>
              </w:rPr>
            </w:pPr>
            <w:r>
              <w:rPr>
                <w:sz w:val="21"/>
              </w:rPr>
              <w:t>方位距离</w:t>
            </w:r>
          </w:p>
        </w:tc>
        <w:tc>
          <w:tcPr>
            <w:tcW w:w="1978" w:type="dxa"/>
            <w:tcBorders>
              <w:left w:val="single" w:sz="6" w:space="0" w:color="000000"/>
              <w:bottom w:val="single" w:sz="6" w:space="0" w:color="000000"/>
              <w:right w:val="single" w:sz="6" w:space="0" w:color="000000"/>
            </w:tcBorders>
          </w:tcPr>
          <w:p>
            <w:pPr>
              <w:pStyle w:val="TableParagraph"/>
              <w:spacing w:before="44"/>
              <w:ind w:left="436" w:right="436"/>
              <w:rPr>
                <w:sz w:val="21"/>
              </w:rPr>
            </w:pPr>
            <w:r>
              <w:rPr>
                <w:sz w:val="21"/>
              </w:rPr>
              <w:t>保护目标</w:t>
            </w:r>
          </w:p>
        </w:tc>
        <w:tc>
          <w:tcPr>
            <w:tcW w:w="2423" w:type="dxa"/>
            <w:tcBorders>
              <w:left w:val="single" w:sz="6" w:space="0" w:color="000000"/>
              <w:bottom w:val="single" w:sz="6" w:space="0" w:color="000000"/>
            </w:tcBorders>
          </w:tcPr>
          <w:p>
            <w:pPr>
              <w:pStyle w:val="TableParagraph"/>
              <w:spacing w:before="44"/>
              <w:ind w:left="91" w:right="86"/>
              <w:rPr>
                <w:sz w:val="21"/>
              </w:rPr>
            </w:pPr>
            <w:r>
              <w:rPr>
                <w:sz w:val="21"/>
              </w:rPr>
              <w:t>保护级别</w:t>
            </w:r>
          </w:p>
        </w:tc>
      </w:tr>
      <w:tr>
        <w:trPr>
          <w:trHeight w:val="640" w:hRule="exact"/>
        </w:trPr>
        <w:tc>
          <w:tcPr>
            <w:tcW w:w="1171" w:type="dxa"/>
            <w:tcBorders>
              <w:top w:val="single" w:sz="6" w:space="0" w:color="000000"/>
              <w:bottom w:val="single" w:sz="6" w:space="0" w:color="000000"/>
              <w:right w:val="single" w:sz="6" w:space="0" w:color="000000"/>
            </w:tcBorders>
          </w:tcPr>
          <w:p>
            <w:pPr>
              <w:pStyle w:val="TableParagraph"/>
              <w:spacing w:line="273" w:lineRule="auto"/>
              <w:ind w:left="255" w:right="139" w:hanging="105"/>
              <w:jc w:val="left"/>
              <w:rPr>
                <w:sz w:val="21"/>
              </w:rPr>
            </w:pPr>
            <w:r>
              <w:rPr>
                <w:sz w:val="21"/>
              </w:rPr>
              <w:t>空气环境声环境</w:t>
            </w:r>
          </w:p>
        </w:tc>
        <w:tc>
          <w:tcPr>
            <w:tcW w:w="1590" w:type="dxa"/>
            <w:tcBorders>
              <w:top w:val="single" w:sz="6" w:space="0" w:color="000000"/>
              <w:left w:val="single" w:sz="6" w:space="0" w:color="000000"/>
              <w:bottom w:val="single" w:sz="6" w:space="0" w:color="000000"/>
              <w:right w:val="single" w:sz="6" w:space="0" w:color="000000"/>
            </w:tcBorders>
          </w:tcPr>
          <w:p>
            <w:pPr>
              <w:pStyle w:val="TableParagraph"/>
              <w:spacing w:before="143"/>
              <w:ind w:left="348" w:right="347"/>
              <w:rPr>
                <w:sz w:val="21"/>
              </w:rPr>
            </w:pPr>
            <w:r>
              <w:rPr>
                <w:sz w:val="21"/>
              </w:rPr>
              <w:t>沿线居民</w:t>
            </w:r>
          </w:p>
        </w:tc>
        <w:tc>
          <w:tcPr>
            <w:tcW w:w="1658" w:type="dxa"/>
            <w:tcBorders>
              <w:top w:val="single" w:sz="6" w:space="0" w:color="000000"/>
              <w:left w:val="single" w:sz="6" w:space="0" w:color="000000"/>
              <w:bottom w:val="single" w:sz="6" w:space="0" w:color="000000"/>
              <w:right w:val="single" w:sz="6" w:space="0" w:color="000000"/>
            </w:tcBorders>
          </w:tcPr>
          <w:p>
            <w:pPr>
              <w:pStyle w:val="TableParagraph"/>
              <w:spacing w:before="192"/>
              <w:ind w:left="422"/>
              <w:jc w:val="left"/>
              <w:rPr>
                <w:rFonts w:ascii="Times New Roman"/>
                <w:sz w:val="21"/>
              </w:rPr>
            </w:pPr>
            <w:r>
              <w:rPr>
                <w:rFonts w:ascii="Times New Roman"/>
                <w:sz w:val="21"/>
              </w:rPr>
              <w:t>57~183m</w:t>
            </w:r>
          </w:p>
        </w:tc>
        <w:tc>
          <w:tcPr>
            <w:tcW w:w="1978" w:type="dxa"/>
            <w:tcBorders>
              <w:top w:val="single" w:sz="6" w:space="0" w:color="000000"/>
              <w:left w:val="single" w:sz="6" w:space="0" w:color="000000"/>
              <w:bottom w:val="single" w:sz="6" w:space="0" w:color="000000"/>
              <w:right w:val="single" w:sz="6" w:space="0" w:color="000000"/>
            </w:tcBorders>
          </w:tcPr>
          <w:p>
            <w:pPr/>
          </w:p>
        </w:tc>
        <w:tc>
          <w:tcPr>
            <w:tcW w:w="2423" w:type="dxa"/>
            <w:tcBorders>
              <w:top w:val="single" w:sz="6" w:space="0" w:color="000000"/>
              <w:left w:val="single" w:sz="6" w:space="0" w:color="000000"/>
              <w:bottom w:val="single" w:sz="6" w:space="0" w:color="000000"/>
            </w:tcBorders>
          </w:tcPr>
          <w:p>
            <w:pPr>
              <w:pStyle w:val="TableParagraph"/>
              <w:spacing w:line="256" w:lineRule="auto"/>
              <w:ind w:left="314" w:right="305" w:firstLine="8"/>
              <w:jc w:val="left"/>
              <w:rPr>
                <w:sz w:val="21"/>
              </w:rPr>
            </w:pPr>
            <w:r>
              <w:rPr>
                <w:rFonts w:ascii="Times New Roman" w:eastAsia="Times New Roman"/>
                <w:sz w:val="21"/>
              </w:rPr>
              <w:t>(GB3095-2012)</w:t>
            </w:r>
            <w:r>
              <w:rPr>
                <w:sz w:val="21"/>
              </w:rPr>
              <w:t>二级</w:t>
            </w:r>
            <w:r>
              <w:rPr>
                <w:rFonts w:ascii="Times New Roman" w:eastAsia="Times New Roman"/>
                <w:sz w:val="21"/>
              </w:rPr>
              <w:t>GB3096-2008</w:t>
            </w:r>
            <w:r>
              <w:rPr>
                <w:sz w:val="21"/>
              </w:rPr>
              <w:t>）</w:t>
            </w:r>
            <w:r>
              <w:rPr>
                <w:rFonts w:ascii="Times New Roman" w:eastAsia="Times New Roman"/>
                <w:sz w:val="21"/>
              </w:rPr>
              <w:t>2 </w:t>
            </w:r>
            <w:r>
              <w:rPr>
                <w:sz w:val="21"/>
              </w:rPr>
              <w:t>类</w:t>
            </w:r>
          </w:p>
        </w:tc>
      </w:tr>
      <w:tr>
        <w:trPr>
          <w:trHeight w:val="449" w:hRule="exact"/>
        </w:trPr>
        <w:tc>
          <w:tcPr>
            <w:tcW w:w="1171" w:type="dxa"/>
            <w:tcBorders>
              <w:top w:val="single" w:sz="6" w:space="0" w:color="000000"/>
              <w:right w:val="single" w:sz="6" w:space="0" w:color="000000"/>
            </w:tcBorders>
          </w:tcPr>
          <w:p>
            <w:pPr>
              <w:pStyle w:val="TableParagraph"/>
              <w:spacing w:before="44"/>
              <w:ind w:left="236" w:right="242"/>
              <w:rPr>
                <w:sz w:val="21"/>
              </w:rPr>
            </w:pPr>
            <w:r>
              <w:rPr>
                <w:sz w:val="21"/>
              </w:rPr>
              <w:t>地表水</w:t>
            </w:r>
          </w:p>
        </w:tc>
        <w:tc>
          <w:tcPr>
            <w:tcW w:w="1590" w:type="dxa"/>
            <w:tcBorders>
              <w:top w:val="single" w:sz="6" w:space="0" w:color="000000"/>
              <w:left w:val="single" w:sz="6" w:space="0" w:color="000000"/>
              <w:right w:val="single" w:sz="6" w:space="0" w:color="000000"/>
            </w:tcBorders>
          </w:tcPr>
          <w:p>
            <w:pPr>
              <w:pStyle w:val="TableParagraph"/>
              <w:spacing w:before="44"/>
              <w:ind w:left="347" w:right="347"/>
              <w:rPr>
                <w:sz w:val="21"/>
              </w:rPr>
            </w:pPr>
            <w:r>
              <w:rPr>
                <w:sz w:val="21"/>
              </w:rPr>
              <w:t>梅家河</w:t>
            </w:r>
          </w:p>
        </w:tc>
        <w:tc>
          <w:tcPr>
            <w:tcW w:w="1658" w:type="dxa"/>
            <w:tcBorders>
              <w:top w:val="single" w:sz="6" w:space="0" w:color="000000"/>
              <w:left w:val="single" w:sz="6" w:space="0" w:color="000000"/>
              <w:right w:val="single" w:sz="6" w:space="0" w:color="000000"/>
            </w:tcBorders>
          </w:tcPr>
          <w:p>
            <w:pPr/>
          </w:p>
        </w:tc>
        <w:tc>
          <w:tcPr>
            <w:tcW w:w="1978" w:type="dxa"/>
            <w:tcBorders>
              <w:top w:val="single" w:sz="6" w:space="0" w:color="000000"/>
              <w:left w:val="single" w:sz="6" w:space="0" w:color="000000"/>
              <w:right w:val="single" w:sz="6" w:space="0" w:color="000000"/>
            </w:tcBorders>
          </w:tcPr>
          <w:p>
            <w:pPr>
              <w:pStyle w:val="TableParagraph"/>
              <w:spacing w:before="44"/>
              <w:ind w:left="436" w:right="437"/>
              <w:rPr>
                <w:sz w:val="21"/>
              </w:rPr>
            </w:pPr>
            <w:r>
              <w:rPr>
                <w:sz w:val="21"/>
              </w:rPr>
              <w:t>地表水水质</w:t>
            </w:r>
          </w:p>
        </w:tc>
        <w:tc>
          <w:tcPr>
            <w:tcW w:w="2423" w:type="dxa"/>
            <w:tcBorders>
              <w:top w:val="single" w:sz="6" w:space="0" w:color="000000"/>
              <w:left w:val="single" w:sz="6" w:space="0" w:color="000000"/>
            </w:tcBorders>
          </w:tcPr>
          <w:p>
            <w:pPr>
              <w:pStyle w:val="TableParagraph"/>
              <w:spacing w:before="44"/>
              <w:ind w:left="92" w:right="86"/>
              <w:rPr>
                <w:sz w:val="21"/>
              </w:rPr>
            </w:pPr>
            <w:r>
              <w:rPr>
                <w:rFonts w:ascii="Times New Roman" w:hAnsi="Times New Roman" w:eastAsia="Times New Roman"/>
                <w:sz w:val="21"/>
              </w:rPr>
              <w:t>(GB3838-2002)</w:t>
            </w:r>
            <w:r>
              <w:rPr>
                <w:sz w:val="21"/>
              </w:rPr>
              <w:t>Ⅲ类水域</w:t>
            </w:r>
          </w:p>
        </w:tc>
      </w:tr>
    </w:tbl>
    <w:p>
      <w:pPr>
        <w:spacing w:before="41"/>
        <w:ind w:left="698" w:right="0" w:firstLine="0"/>
        <w:jc w:val="left"/>
        <w:rPr>
          <w:b/>
          <w:sz w:val="24"/>
        </w:rPr>
      </w:pPr>
      <w:r>
        <w:rPr>
          <w:b/>
          <w:w w:val="99"/>
          <w:sz w:val="24"/>
        </w:rPr>
        <w:t> </w:t>
      </w:r>
    </w:p>
    <w:p>
      <w:pPr>
        <w:pStyle w:val="BodyText"/>
        <w:spacing w:before="154"/>
        <w:ind w:left="698"/>
      </w:pPr>
      <w:r>
        <w:rPr>
          <w:b/>
          <w:w w:val="95"/>
        </w:rPr>
        <w:t>环境空气</w:t>
      </w:r>
      <w:r>
        <w:rPr>
          <w:w w:val="95"/>
        </w:rPr>
        <w:t>：建设项目评价区内的环境空气质量应达到《环境空气质量标准》</w:t>
      </w:r>
    </w:p>
    <w:p>
      <w:pPr>
        <w:pStyle w:val="BodyText"/>
        <w:spacing w:before="154"/>
        <w:ind w:left="215"/>
      </w:pPr>
      <w:r>
        <w:rPr>
          <w:rFonts w:ascii="Times New Roman" w:eastAsia="Times New Roman"/>
        </w:rPr>
        <w:t>GB3095-2012 </w:t>
      </w:r>
      <w:r>
        <w:rPr/>
        <w:t>二级标准要求； </w:t>
      </w:r>
    </w:p>
    <w:p>
      <w:pPr>
        <w:pStyle w:val="BodyText"/>
        <w:spacing w:before="136"/>
        <w:ind w:left="698"/>
      </w:pPr>
      <w:r>
        <w:rPr>
          <w:b/>
          <w:w w:val="95"/>
        </w:rPr>
        <w:t>噪声环境</w:t>
      </w:r>
      <w:r>
        <w:rPr>
          <w:w w:val="95"/>
        </w:rPr>
        <w:t>：建设项目评价区内的声学环境质量应达到《声环境质量标准》</w:t>
      </w:r>
    </w:p>
    <w:p>
      <w:pPr>
        <w:pStyle w:val="BodyText"/>
        <w:spacing w:before="154"/>
        <w:ind w:left="215"/>
      </w:pPr>
      <w:r>
        <w:rPr/>
        <w:t>（</w:t>
      </w:r>
      <w:r>
        <w:rPr>
          <w:rFonts w:ascii="Times New Roman" w:eastAsia="Times New Roman"/>
        </w:rPr>
        <w:t>GB3096-2008</w:t>
      </w:r>
      <w:r>
        <w:rPr/>
        <w:t>）中的 </w:t>
      </w:r>
      <w:r>
        <w:rPr>
          <w:rFonts w:ascii="Times New Roman" w:eastAsia="Times New Roman"/>
        </w:rPr>
        <w:t>2 </w:t>
      </w:r>
      <w:r>
        <w:rPr/>
        <w:t>类标准要求； </w:t>
      </w:r>
    </w:p>
    <w:p>
      <w:pPr>
        <w:pStyle w:val="BodyText"/>
        <w:spacing w:line="357" w:lineRule="auto"/>
        <w:ind w:left="215" w:right="100" w:firstLine="482"/>
      </w:pPr>
      <w:r>
        <w:rPr>
          <w:b/>
        </w:rPr>
        <w:t>地表水环境</w:t>
      </w:r>
      <w:r>
        <w:rPr>
          <w:spacing w:val="-6"/>
        </w:rPr>
        <w:t>：地表水的水质和水体功能不因接纳本项目的外排废水而发生变化。应达到《地表水环境质量标准》</w:t>
      </w:r>
      <w:r>
        <w:rPr>
          <w:rFonts w:ascii="Times New Roman" w:hAnsi="Times New Roman" w:eastAsia="Times New Roman"/>
          <w:spacing w:val="-6"/>
        </w:rPr>
        <w:t>GB3838-2002 </w:t>
      </w:r>
      <w:r>
        <w:rPr/>
        <w:t>中Ⅲ类水域标准限值。</w:t>
      </w:r>
    </w:p>
    <w:p>
      <w:pPr>
        <w:pStyle w:val="Heading2"/>
        <w:spacing w:before="5"/>
      </w:pPr>
      <w:r>
        <w:rPr>
          <w:w w:val="99"/>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before="154"/>
        <w:ind w:left="215" w:right="0" w:firstLine="0"/>
        <w:jc w:val="left"/>
        <w:rPr>
          <w:b/>
          <w:sz w:val="24"/>
        </w:rPr>
      </w:pPr>
      <w:r>
        <w:rPr>
          <w:b/>
          <w:w w:val="99"/>
          <w:sz w:val="24"/>
        </w:rPr>
        <w:t> </w:t>
      </w:r>
    </w:p>
    <w:p>
      <w:pPr>
        <w:spacing w:after="0"/>
        <w:jc w:val="left"/>
        <w:rPr>
          <w:sz w:val="24"/>
        </w:rPr>
        <w:sectPr>
          <w:pgSz w:w="11910" w:h="16840"/>
          <w:pgMar w:header="0" w:footer="1545" w:top="1120" w:bottom="1840" w:left="1240" w:right="1200"/>
        </w:sectPr>
      </w:pPr>
    </w:p>
    <w:p>
      <w:pPr>
        <w:pStyle w:val="Heading1"/>
        <w:ind w:left="158"/>
      </w:pPr>
      <w:r>
        <w:rPr/>
        <w:pict>
          <v:group style="position:absolute;margin-left:68.269997pt;margin-top:87.649986pt;width:458.8pt;height:677.55pt;mso-position-horizontal-relative:page;mso-position-vertical-relative:page;z-index:-83920" coordorigin="1365,1753" coordsize="9176,13551">
            <v:shape style="position:absolute;left:1370;top:1758;width:9161;height:13541" coordorigin="1370,1758" coordsize="9161,13541" path="m1375,1763l1925,1763m1934,1763l10531,1763m1370,1758l1370,15299e" filled="false" stroked="true" strokeweight=".48pt" strokecolor="#000000">
              <v:path arrowok="t"/>
              <v:stroke dashstyle="solid"/>
            </v:shape>
            <v:shape style="position:absolute;left:1375;top:1758;width:9156;height:13541" coordorigin="1375,1758" coordsize="9156,13541" path="m1375,15294l1925,15294m1930,1758l1930,15299m1934,15294l10531,15294e" filled="false" stroked="true" strokeweight=".481pt" strokecolor="#000000">
              <v:path arrowok="t"/>
              <v:stroke dashstyle="solid"/>
            </v:shape>
            <v:line style="position:absolute" from="10536,1758" to="10536,15299" stroked="true" strokeweight=".48pt" strokecolor="#000000">
              <v:stroke dashstyle="solid"/>
            </v:line>
            <w10:wrap type="none"/>
          </v:group>
        </w:pict>
      </w:r>
      <w:r>
        <w:rPr>
          <w:w w:val="95"/>
        </w:rPr>
        <w:t>评价适用标准</w:t>
      </w:r>
      <w:r>
        <w:rPr>
          <w:w w:val="99"/>
        </w:rPr>
        <w:t> </w:t>
      </w:r>
    </w:p>
    <w:p>
      <w:pPr>
        <w:pStyle w:val="BodyText"/>
        <w:spacing w:before="4"/>
        <w:rPr>
          <w:b/>
          <w:sz w:val="14"/>
        </w:rPr>
      </w:pPr>
    </w:p>
    <w:p>
      <w:pPr>
        <w:pStyle w:val="Heading2"/>
        <w:spacing w:before="34"/>
        <w:ind w:left="776"/>
      </w:pPr>
      <w:r>
        <w:rPr>
          <w:rFonts w:ascii="Times New Roman" w:eastAsia="Times New Roman"/>
          <w:w w:val="95"/>
        </w:rPr>
        <w:t>1</w:t>
      </w:r>
      <w:r>
        <w:rPr>
          <w:w w:val="95"/>
        </w:rPr>
        <w:t>、环境空气质量</w:t>
      </w:r>
    </w:p>
    <w:p>
      <w:pPr>
        <w:tabs>
          <w:tab w:pos="3295" w:val="left" w:leader="none"/>
          <w:tab w:pos="5945" w:val="left" w:leader="none"/>
        </w:tabs>
        <w:spacing w:line="338" w:lineRule="auto" w:before="136"/>
        <w:ind w:left="2433" w:right="395" w:hanging="1178"/>
        <w:jc w:val="left"/>
        <w:rPr>
          <w:rFonts w:ascii="Times New Roman" w:eastAsia="Times New Roman"/>
          <w:b/>
          <w:sz w:val="16"/>
        </w:rPr>
      </w:pPr>
      <w:r>
        <w:rPr>
          <w:sz w:val="24"/>
        </w:rPr>
        <w:t>执行国家《环境空气质量标准</w:t>
      </w:r>
      <w:r>
        <w:rPr>
          <w:spacing w:val="-120"/>
          <w:sz w:val="24"/>
        </w:rPr>
        <w:t>》</w:t>
      </w:r>
      <w:r>
        <w:rPr>
          <w:sz w:val="24"/>
        </w:rPr>
        <w:t>（</w:t>
      </w:r>
      <w:r>
        <w:rPr>
          <w:rFonts w:ascii="Times New Roman" w:eastAsia="Times New Roman"/>
          <w:sz w:val="24"/>
        </w:rPr>
        <w:t>GB3095-2012</w:t>
      </w:r>
      <w:r>
        <w:rPr>
          <w:sz w:val="24"/>
        </w:rPr>
        <w:t>）中二级标准中限值要求。</w:t>
      </w:r>
      <w:r>
        <w:rPr>
          <w:b/>
          <w:sz w:val="24"/>
        </w:rPr>
        <w:t>表</w:t>
      </w:r>
      <w:r>
        <w:rPr>
          <w:b/>
          <w:spacing w:val="-61"/>
          <w:sz w:val="24"/>
        </w:rPr>
        <w:t> </w:t>
      </w:r>
      <w:r>
        <w:rPr>
          <w:rFonts w:ascii="Times New Roman" w:eastAsia="Times New Roman"/>
          <w:b/>
          <w:sz w:val="24"/>
        </w:rPr>
        <w:t>4-1</w:t>
        <w:tab/>
      </w:r>
      <w:r>
        <w:rPr>
          <w:b/>
          <w:sz w:val="24"/>
        </w:rPr>
        <w:t>各项污染物的浓度限值</w:t>
        <w:tab/>
      </w:r>
      <w:r>
        <w:rPr>
          <w:b/>
          <w:spacing w:val="-1"/>
          <w:w w:val="95"/>
          <w:sz w:val="24"/>
        </w:rPr>
        <w:t>单位</w:t>
      </w:r>
      <w:r>
        <w:rPr>
          <w:b/>
          <w:w w:val="95"/>
          <w:sz w:val="24"/>
        </w:rPr>
        <w:t>：</w:t>
      </w:r>
      <w:r>
        <w:rPr>
          <w:rFonts w:ascii="Times New Roman" w:eastAsia="Times New Roman"/>
          <w:b/>
          <w:w w:val="95"/>
          <w:sz w:val="24"/>
        </w:rPr>
        <w:t>mg/Nm</w:t>
      </w:r>
      <w:r>
        <w:rPr>
          <w:rFonts w:ascii="Times New Roman" w:eastAsia="Times New Roman"/>
          <w:b/>
          <w:w w:val="95"/>
          <w:position w:val="8"/>
          <w:sz w:val="16"/>
        </w:rPr>
        <w:t>3</w:t>
      </w:r>
    </w:p>
    <w:tbl>
      <w:tblPr>
        <w:tblW w:w="0" w:type="auto"/>
        <w:jc w:val="left"/>
        <w:tblInd w:w="103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633"/>
        <w:gridCol w:w="2140"/>
        <w:gridCol w:w="1358"/>
        <w:gridCol w:w="1357"/>
        <w:gridCol w:w="1358"/>
      </w:tblGrid>
      <w:tr>
        <w:trPr>
          <w:trHeight w:val="533" w:hRule="exact"/>
        </w:trPr>
        <w:tc>
          <w:tcPr>
            <w:tcW w:w="3773" w:type="dxa"/>
            <w:gridSpan w:val="2"/>
            <w:tcBorders>
              <w:bottom w:val="single" w:sz="6" w:space="0" w:color="000000"/>
              <w:right w:val="single" w:sz="6" w:space="0" w:color="000000"/>
            </w:tcBorders>
          </w:tcPr>
          <w:p>
            <w:pPr>
              <w:pStyle w:val="TableParagraph"/>
              <w:spacing w:before="70"/>
              <w:ind w:left="1352" w:right="1357"/>
              <w:rPr>
                <w:b/>
                <w:sz w:val="21"/>
              </w:rPr>
            </w:pPr>
            <w:r>
              <w:rPr>
                <w:b/>
                <w:w w:val="95"/>
                <w:sz w:val="21"/>
              </w:rPr>
              <w:t>污染物名称</w:t>
            </w:r>
          </w:p>
        </w:tc>
        <w:tc>
          <w:tcPr>
            <w:tcW w:w="1358" w:type="dxa"/>
            <w:tcBorders>
              <w:left w:val="single" w:sz="6" w:space="0" w:color="000000"/>
              <w:bottom w:val="single" w:sz="6" w:space="0" w:color="000000"/>
              <w:right w:val="single" w:sz="6" w:space="0" w:color="000000"/>
            </w:tcBorders>
          </w:tcPr>
          <w:p>
            <w:pPr>
              <w:pStyle w:val="TableParagraph"/>
              <w:spacing w:before="119"/>
              <w:ind w:left="468" w:right="468"/>
              <w:rPr>
                <w:rFonts w:ascii="Times New Roman"/>
                <w:b/>
                <w:sz w:val="14"/>
              </w:rPr>
            </w:pPr>
            <w:r>
              <w:rPr>
                <w:rFonts w:ascii="Times New Roman"/>
                <w:b/>
                <w:sz w:val="21"/>
              </w:rPr>
              <w:t>SO</w:t>
            </w:r>
            <w:r>
              <w:rPr>
                <w:rFonts w:ascii="Times New Roman"/>
                <w:b/>
                <w:position w:val="-1"/>
                <w:sz w:val="14"/>
              </w:rPr>
              <w:t>2</w:t>
            </w:r>
          </w:p>
        </w:tc>
        <w:tc>
          <w:tcPr>
            <w:tcW w:w="1357" w:type="dxa"/>
            <w:tcBorders>
              <w:left w:val="single" w:sz="6" w:space="0" w:color="000000"/>
              <w:bottom w:val="single" w:sz="6" w:space="0" w:color="000000"/>
              <w:right w:val="single" w:sz="6" w:space="0" w:color="000000"/>
            </w:tcBorders>
          </w:tcPr>
          <w:p>
            <w:pPr>
              <w:pStyle w:val="TableParagraph"/>
              <w:spacing w:before="119"/>
              <w:ind w:left="458" w:right="458"/>
              <w:rPr>
                <w:rFonts w:ascii="Times New Roman"/>
                <w:b/>
                <w:sz w:val="14"/>
              </w:rPr>
            </w:pPr>
            <w:r>
              <w:rPr>
                <w:rFonts w:ascii="Times New Roman"/>
                <w:b/>
                <w:sz w:val="21"/>
              </w:rPr>
              <w:t>NO</w:t>
            </w:r>
            <w:r>
              <w:rPr>
                <w:rFonts w:ascii="Times New Roman"/>
                <w:b/>
                <w:position w:val="-1"/>
                <w:sz w:val="14"/>
              </w:rPr>
              <w:t>2</w:t>
            </w:r>
          </w:p>
        </w:tc>
        <w:tc>
          <w:tcPr>
            <w:tcW w:w="1358" w:type="dxa"/>
            <w:tcBorders>
              <w:left w:val="single" w:sz="6" w:space="0" w:color="000000"/>
              <w:bottom w:val="single" w:sz="6" w:space="0" w:color="000000"/>
            </w:tcBorders>
          </w:tcPr>
          <w:p>
            <w:pPr>
              <w:pStyle w:val="TableParagraph"/>
              <w:spacing w:before="119"/>
              <w:ind w:left="419" w:right="410"/>
              <w:rPr>
                <w:rFonts w:ascii="Times New Roman"/>
                <w:b/>
                <w:sz w:val="14"/>
              </w:rPr>
            </w:pPr>
            <w:r>
              <w:rPr>
                <w:rFonts w:ascii="Times New Roman"/>
                <w:b/>
                <w:sz w:val="21"/>
              </w:rPr>
              <w:t>PM</w:t>
            </w:r>
            <w:r>
              <w:rPr>
                <w:rFonts w:ascii="Times New Roman"/>
                <w:b/>
                <w:position w:val="-1"/>
                <w:sz w:val="14"/>
              </w:rPr>
              <w:t>10</w:t>
            </w:r>
          </w:p>
        </w:tc>
      </w:tr>
      <w:tr>
        <w:trPr>
          <w:trHeight w:val="526" w:hRule="exact"/>
        </w:trPr>
        <w:tc>
          <w:tcPr>
            <w:tcW w:w="1633" w:type="dxa"/>
            <w:vMerge w:val="restart"/>
            <w:tcBorders>
              <w:top w:val="single" w:sz="6" w:space="0" w:color="000000"/>
              <w:right w:val="single" w:sz="6" w:space="0" w:color="000000"/>
            </w:tcBorders>
          </w:tcPr>
          <w:p>
            <w:pPr>
              <w:pStyle w:val="TableParagraph"/>
              <w:spacing w:before="10"/>
              <w:jc w:val="left"/>
              <w:rPr>
                <w:rFonts w:ascii="Times New Roman"/>
                <w:b/>
                <w:sz w:val="28"/>
              </w:rPr>
            </w:pPr>
          </w:p>
          <w:p>
            <w:pPr>
              <w:pStyle w:val="TableParagraph"/>
              <w:ind w:left="381"/>
              <w:jc w:val="left"/>
              <w:rPr>
                <w:sz w:val="21"/>
              </w:rPr>
            </w:pPr>
            <w:r>
              <w:rPr>
                <w:sz w:val="21"/>
              </w:rPr>
              <w:t>取值时间</w:t>
            </w:r>
          </w:p>
        </w:tc>
        <w:tc>
          <w:tcPr>
            <w:tcW w:w="2140" w:type="dxa"/>
            <w:tcBorders>
              <w:top w:val="single" w:sz="6" w:space="0" w:color="000000"/>
              <w:left w:val="single" w:sz="6" w:space="0" w:color="000000"/>
              <w:bottom w:val="single" w:sz="6" w:space="0" w:color="000000"/>
              <w:right w:val="single" w:sz="6" w:space="0" w:color="000000"/>
            </w:tcBorders>
          </w:tcPr>
          <w:p>
            <w:pPr>
              <w:pStyle w:val="TableParagraph"/>
              <w:spacing w:before="69"/>
              <w:ind w:left="438" w:right="438"/>
              <w:rPr>
                <w:sz w:val="21"/>
              </w:rPr>
            </w:pPr>
            <w:r>
              <w:rPr>
                <w:rFonts w:ascii="Times New Roman" w:eastAsia="Times New Roman"/>
                <w:sz w:val="21"/>
              </w:rPr>
              <w:t>1 </w:t>
            </w:r>
            <w:r>
              <w:rPr>
                <w:sz w:val="21"/>
              </w:rPr>
              <w:t>小时平均值</w:t>
            </w:r>
          </w:p>
        </w:tc>
        <w:tc>
          <w:tcPr>
            <w:tcW w:w="1358" w:type="dxa"/>
            <w:tcBorders>
              <w:top w:val="single" w:sz="6" w:space="0" w:color="000000"/>
              <w:left w:val="single" w:sz="6" w:space="0" w:color="000000"/>
              <w:bottom w:val="single" w:sz="6" w:space="0" w:color="000000"/>
              <w:right w:val="single" w:sz="6" w:space="0" w:color="000000"/>
            </w:tcBorders>
          </w:tcPr>
          <w:p>
            <w:pPr>
              <w:pStyle w:val="TableParagraph"/>
              <w:spacing w:before="118"/>
              <w:ind w:left="468" w:right="468"/>
              <w:rPr>
                <w:rFonts w:ascii="Times New Roman"/>
                <w:sz w:val="21"/>
              </w:rPr>
            </w:pPr>
            <w:r>
              <w:rPr>
                <w:rFonts w:ascii="Times New Roman"/>
                <w:sz w:val="21"/>
              </w:rPr>
              <w:t>0.50</w:t>
            </w:r>
          </w:p>
        </w:tc>
        <w:tc>
          <w:tcPr>
            <w:tcW w:w="1357" w:type="dxa"/>
            <w:tcBorders>
              <w:top w:val="single" w:sz="6" w:space="0" w:color="000000"/>
              <w:left w:val="single" w:sz="6" w:space="0" w:color="000000"/>
              <w:bottom w:val="single" w:sz="6" w:space="0" w:color="000000"/>
              <w:right w:val="single" w:sz="6" w:space="0" w:color="000000"/>
            </w:tcBorders>
          </w:tcPr>
          <w:p>
            <w:pPr>
              <w:pStyle w:val="TableParagraph"/>
              <w:spacing w:before="118"/>
              <w:ind w:left="458" w:right="457"/>
              <w:rPr>
                <w:rFonts w:ascii="Times New Roman"/>
                <w:sz w:val="21"/>
              </w:rPr>
            </w:pPr>
            <w:r>
              <w:rPr>
                <w:rFonts w:ascii="Times New Roman"/>
                <w:sz w:val="21"/>
              </w:rPr>
              <w:t>0.20</w:t>
            </w:r>
          </w:p>
        </w:tc>
        <w:tc>
          <w:tcPr>
            <w:tcW w:w="1358" w:type="dxa"/>
            <w:tcBorders>
              <w:top w:val="single" w:sz="6" w:space="0" w:color="000000"/>
              <w:left w:val="single" w:sz="6" w:space="0" w:color="000000"/>
              <w:bottom w:val="single" w:sz="6" w:space="0" w:color="000000"/>
            </w:tcBorders>
          </w:tcPr>
          <w:p>
            <w:pPr>
              <w:pStyle w:val="TableParagraph"/>
              <w:spacing w:before="118"/>
              <w:ind w:left="7"/>
              <w:rPr>
                <w:rFonts w:ascii="Times New Roman"/>
                <w:sz w:val="21"/>
              </w:rPr>
            </w:pPr>
            <w:r>
              <w:rPr>
                <w:rFonts w:ascii="Times New Roman"/>
                <w:sz w:val="21"/>
              </w:rPr>
              <w:t>/</w:t>
            </w:r>
          </w:p>
        </w:tc>
      </w:tr>
      <w:tr>
        <w:trPr>
          <w:trHeight w:val="533" w:hRule="exact"/>
        </w:trPr>
        <w:tc>
          <w:tcPr>
            <w:tcW w:w="1633" w:type="dxa"/>
            <w:vMerge/>
            <w:tcBorders>
              <w:right w:val="single" w:sz="6" w:space="0" w:color="000000"/>
            </w:tcBorders>
          </w:tcPr>
          <w:p>
            <w:pPr/>
          </w:p>
        </w:tc>
        <w:tc>
          <w:tcPr>
            <w:tcW w:w="2140" w:type="dxa"/>
            <w:tcBorders>
              <w:top w:val="single" w:sz="6" w:space="0" w:color="000000"/>
              <w:left w:val="single" w:sz="6" w:space="0" w:color="000000"/>
              <w:right w:val="single" w:sz="6" w:space="0" w:color="000000"/>
            </w:tcBorders>
          </w:tcPr>
          <w:p>
            <w:pPr>
              <w:pStyle w:val="TableParagraph"/>
              <w:spacing w:before="69"/>
              <w:ind w:left="437" w:right="438"/>
              <w:rPr>
                <w:sz w:val="21"/>
              </w:rPr>
            </w:pPr>
            <w:r>
              <w:rPr>
                <w:sz w:val="21"/>
              </w:rPr>
              <w:t>日平均值</w:t>
            </w:r>
          </w:p>
        </w:tc>
        <w:tc>
          <w:tcPr>
            <w:tcW w:w="1358" w:type="dxa"/>
            <w:tcBorders>
              <w:top w:val="single" w:sz="6" w:space="0" w:color="000000"/>
              <w:left w:val="single" w:sz="6" w:space="0" w:color="000000"/>
              <w:right w:val="single" w:sz="6" w:space="0" w:color="000000"/>
            </w:tcBorders>
          </w:tcPr>
          <w:p>
            <w:pPr>
              <w:pStyle w:val="TableParagraph"/>
              <w:spacing w:before="118"/>
              <w:ind w:left="468" w:right="468"/>
              <w:rPr>
                <w:rFonts w:ascii="Times New Roman"/>
                <w:sz w:val="21"/>
              </w:rPr>
            </w:pPr>
            <w:r>
              <w:rPr>
                <w:rFonts w:ascii="Times New Roman"/>
                <w:sz w:val="21"/>
              </w:rPr>
              <w:t>0.15</w:t>
            </w:r>
          </w:p>
        </w:tc>
        <w:tc>
          <w:tcPr>
            <w:tcW w:w="1357" w:type="dxa"/>
            <w:tcBorders>
              <w:top w:val="single" w:sz="6" w:space="0" w:color="000000"/>
              <w:left w:val="single" w:sz="6" w:space="0" w:color="000000"/>
              <w:right w:val="single" w:sz="6" w:space="0" w:color="000000"/>
            </w:tcBorders>
          </w:tcPr>
          <w:p>
            <w:pPr>
              <w:pStyle w:val="TableParagraph"/>
              <w:spacing w:before="118"/>
              <w:ind w:left="458" w:right="457"/>
              <w:rPr>
                <w:rFonts w:ascii="Times New Roman"/>
                <w:sz w:val="21"/>
              </w:rPr>
            </w:pPr>
            <w:r>
              <w:rPr>
                <w:rFonts w:ascii="Times New Roman"/>
                <w:sz w:val="21"/>
              </w:rPr>
              <w:t>0.08</w:t>
            </w:r>
          </w:p>
        </w:tc>
        <w:tc>
          <w:tcPr>
            <w:tcW w:w="1358" w:type="dxa"/>
            <w:tcBorders>
              <w:top w:val="single" w:sz="6" w:space="0" w:color="000000"/>
              <w:left w:val="single" w:sz="6" w:space="0" w:color="000000"/>
            </w:tcBorders>
          </w:tcPr>
          <w:p>
            <w:pPr>
              <w:pStyle w:val="TableParagraph"/>
              <w:spacing w:before="118"/>
              <w:ind w:left="419" w:right="410"/>
              <w:rPr>
                <w:rFonts w:ascii="Times New Roman"/>
                <w:sz w:val="21"/>
              </w:rPr>
            </w:pPr>
            <w:r>
              <w:rPr>
                <w:rFonts w:ascii="Times New Roman"/>
                <w:sz w:val="21"/>
              </w:rPr>
              <w:t>0.15</w:t>
            </w:r>
          </w:p>
        </w:tc>
      </w:tr>
    </w:tbl>
    <w:p>
      <w:pPr>
        <w:pStyle w:val="BodyText"/>
        <w:spacing w:before="0"/>
        <w:rPr>
          <w:rFonts w:ascii="Times New Roman"/>
          <w:b/>
          <w:sz w:val="20"/>
        </w:rPr>
      </w:pPr>
    </w:p>
    <w:p>
      <w:pPr>
        <w:pStyle w:val="BodyText"/>
        <w:spacing w:before="9"/>
        <w:rPr>
          <w:rFonts w:ascii="Times New Roman"/>
          <w:b/>
          <w:sz w:val="19"/>
        </w:rPr>
      </w:pPr>
    </w:p>
    <w:p>
      <w:pPr>
        <w:pStyle w:val="Heading2"/>
        <w:spacing w:before="34"/>
        <w:ind w:left="776"/>
      </w:pPr>
      <w:r>
        <w:rPr>
          <w:rFonts w:ascii="Times New Roman" w:eastAsia="Times New Roman"/>
          <w:w w:val="95"/>
        </w:rPr>
        <w:t>2</w:t>
      </w:r>
      <w:r>
        <w:rPr>
          <w:w w:val="95"/>
        </w:rPr>
        <w:t>、地表水环境质量</w:t>
      </w:r>
    </w:p>
    <w:p>
      <w:pPr>
        <w:tabs>
          <w:tab w:pos="3441" w:val="left" w:leader="none"/>
          <w:tab w:pos="6694" w:val="left" w:leader="none"/>
        </w:tabs>
        <w:spacing w:line="338" w:lineRule="auto" w:before="136"/>
        <w:ind w:left="2580" w:right="875" w:hanging="1324"/>
        <w:jc w:val="left"/>
        <w:rPr>
          <w:rFonts w:ascii="Times New Roman" w:hAnsi="Times New Roman" w:eastAsia="Times New Roman"/>
          <w:b/>
          <w:sz w:val="24"/>
        </w:rPr>
      </w:pPr>
      <w:r>
        <w:rPr/>
        <w:pict>
          <v:shape style="position:absolute;margin-left:112.980003pt;margin-top:51.594643pt;width:397.9pt;height:49.1pt;mso-position-horizontal-relative:page;mso-position-vertical-relative:paragraph;z-index:1384" type="#_x0000_t202" filled="false" stroked="false">
            <v:textbox inset="0,0,0,0">
              <w:txbxContent>
                <w:tbl>
                  <w:tblPr>
                    <w:tblW w:w="0" w:type="auto"/>
                    <w:jc w:val="lef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230"/>
                    <w:gridCol w:w="1115"/>
                    <w:gridCol w:w="1114"/>
                    <w:gridCol w:w="1114"/>
                    <w:gridCol w:w="1115"/>
                    <w:gridCol w:w="1114"/>
                    <w:gridCol w:w="1114"/>
                  </w:tblGrid>
                  <w:tr>
                    <w:trPr>
                      <w:trHeight w:val="476" w:hRule="exact"/>
                    </w:trPr>
                    <w:tc>
                      <w:tcPr>
                        <w:tcW w:w="1230" w:type="dxa"/>
                        <w:tcBorders>
                          <w:bottom w:val="single" w:sz="6" w:space="0" w:color="000000"/>
                          <w:right w:val="single" w:sz="6" w:space="0" w:color="000000"/>
                        </w:tcBorders>
                      </w:tcPr>
                      <w:p>
                        <w:pPr>
                          <w:pStyle w:val="TableParagraph"/>
                          <w:spacing w:before="58"/>
                          <w:ind w:left="266" w:right="269"/>
                          <w:rPr>
                            <w:b/>
                            <w:sz w:val="21"/>
                          </w:rPr>
                        </w:pPr>
                        <w:r>
                          <w:rPr>
                            <w:b/>
                            <w:sz w:val="21"/>
                          </w:rPr>
                          <w:t>项目</w:t>
                        </w:r>
                      </w:p>
                    </w:tc>
                    <w:tc>
                      <w:tcPr>
                        <w:tcW w:w="1115" w:type="dxa"/>
                        <w:tcBorders>
                          <w:left w:val="single" w:sz="6" w:space="0" w:color="000000"/>
                          <w:bottom w:val="single" w:sz="6" w:space="0" w:color="000000"/>
                          <w:right w:val="single" w:sz="6" w:space="0" w:color="000000"/>
                        </w:tcBorders>
                      </w:tcPr>
                      <w:p>
                        <w:pPr>
                          <w:pStyle w:val="TableParagraph"/>
                          <w:spacing w:before="107"/>
                          <w:ind w:right="408"/>
                          <w:jc w:val="right"/>
                          <w:rPr>
                            <w:rFonts w:ascii="Times New Roman"/>
                            <w:b/>
                            <w:sz w:val="21"/>
                          </w:rPr>
                        </w:pPr>
                        <w:r>
                          <w:rPr>
                            <w:rFonts w:ascii="Times New Roman"/>
                            <w:b/>
                            <w:sz w:val="21"/>
                          </w:rPr>
                          <w:t>pH</w:t>
                        </w:r>
                      </w:p>
                    </w:tc>
                    <w:tc>
                      <w:tcPr>
                        <w:tcW w:w="1114" w:type="dxa"/>
                        <w:tcBorders>
                          <w:left w:val="single" w:sz="6" w:space="0" w:color="000000"/>
                          <w:bottom w:val="single" w:sz="6" w:space="0" w:color="000000"/>
                          <w:right w:val="single" w:sz="6" w:space="0" w:color="000000"/>
                        </w:tcBorders>
                      </w:tcPr>
                      <w:p>
                        <w:pPr>
                          <w:pStyle w:val="TableParagraph"/>
                          <w:spacing w:before="107"/>
                          <w:ind w:left="267" w:right="267"/>
                          <w:rPr>
                            <w:rFonts w:ascii="Times New Roman"/>
                            <w:b/>
                            <w:sz w:val="21"/>
                          </w:rPr>
                        </w:pPr>
                        <w:r>
                          <w:rPr>
                            <w:rFonts w:ascii="Times New Roman"/>
                            <w:b/>
                            <w:sz w:val="21"/>
                          </w:rPr>
                          <w:t>SS</w:t>
                        </w:r>
                      </w:p>
                    </w:tc>
                    <w:tc>
                      <w:tcPr>
                        <w:tcW w:w="1114" w:type="dxa"/>
                        <w:tcBorders>
                          <w:left w:val="single" w:sz="6" w:space="0" w:color="000000"/>
                          <w:bottom w:val="single" w:sz="6" w:space="0" w:color="000000"/>
                          <w:right w:val="single" w:sz="6" w:space="0" w:color="000000"/>
                        </w:tcBorders>
                      </w:tcPr>
                      <w:p>
                        <w:pPr>
                          <w:pStyle w:val="TableParagraph"/>
                          <w:spacing w:before="58"/>
                          <w:ind w:left="233"/>
                          <w:jc w:val="left"/>
                          <w:rPr>
                            <w:b/>
                            <w:sz w:val="21"/>
                          </w:rPr>
                        </w:pPr>
                        <w:r>
                          <w:rPr>
                            <w:b/>
                            <w:w w:val="95"/>
                            <w:sz w:val="21"/>
                          </w:rPr>
                          <w:t>石油类</w:t>
                        </w:r>
                        <w:r>
                          <w:rPr>
                            <w:b/>
                            <w:w w:val="99"/>
                            <w:sz w:val="21"/>
                          </w:rPr>
                          <w:t> </w:t>
                        </w:r>
                      </w:p>
                    </w:tc>
                    <w:tc>
                      <w:tcPr>
                        <w:tcW w:w="1115" w:type="dxa"/>
                        <w:tcBorders>
                          <w:left w:val="single" w:sz="6" w:space="0" w:color="000000"/>
                          <w:bottom w:val="single" w:sz="6" w:space="0" w:color="000000"/>
                          <w:right w:val="single" w:sz="6" w:space="0" w:color="000000"/>
                        </w:tcBorders>
                      </w:tcPr>
                      <w:p>
                        <w:pPr>
                          <w:pStyle w:val="TableParagraph"/>
                          <w:spacing w:before="107"/>
                          <w:ind w:left="316"/>
                          <w:jc w:val="left"/>
                          <w:rPr>
                            <w:rFonts w:ascii="Times New Roman"/>
                            <w:b/>
                            <w:sz w:val="21"/>
                          </w:rPr>
                        </w:pPr>
                        <w:r>
                          <w:rPr>
                            <w:rFonts w:ascii="Times New Roman"/>
                            <w:b/>
                            <w:sz w:val="21"/>
                          </w:rPr>
                          <w:t>COD</w:t>
                        </w:r>
                      </w:p>
                    </w:tc>
                    <w:tc>
                      <w:tcPr>
                        <w:tcW w:w="1114" w:type="dxa"/>
                        <w:tcBorders>
                          <w:left w:val="single" w:sz="6" w:space="0" w:color="000000"/>
                          <w:bottom w:val="single" w:sz="6" w:space="0" w:color="000000"/>
                          <w:right w:val="single" w:sz="6" w:space="0" w:color="000000"/>
                        </w:tcBorders>
                      </w:tcPr>
                      <w:p>
                        <w:pPr>
                          <w:pStyle w:val="TableParagraph"/>
                          <w:spacing w:before="107"/>
                          <w:ind w:left="267" w:right="267"/>
                          <w:rPr>
                            <w:rFonts w:ascii="Times New Roman"/>
                            <w:b/>
                            <w:sz w:val="14"/>
                          </w:rPr>
                        </w:pPr>
                        <w:r>
                          <w:rPr>
                            <w:rFonts w:ascii="Times New Roman"/>
                            <w:b/>
                            <w:sz w:val="21"/>
                          </w:rPr>
                          <w:t>BOD</w:t>
                        </w:r>
                        <w:r>
                          <w:rPr>
                            <w:rFonts w:ascii="Times New Roman"/>
                            <w:b/>
                            <w:position w:val="-1"/>
                            <w:sz w:val="14"/>
                          </w:rPr>
                          <w:t>5</w:t>
                        </w:r>
                      </w:p>
                    </w:tc>
                    <w:tc>
                      <w:tcPr>
                        <w:tcW w:w="1114" w:type="dxa"/>
                        <w:tcBorders>
                          <w:left w:val="single" w:sz="6" w:space="0" w:color="000000"/>
                          <w:bottom w:val="single" w:sz="6" w:space="0" w:color="000000"/>
                        </w:tcBorders>
                      </w:tcPr>
                      <w:p>
                        <w:pPr>
                          <w:pStyle w:val="TableParagraph"/>
                          <w:spacing w:before="107"/>
                          <w:ind w:left="246"/>
                          <w:jc w:val="left"/>
                          <w:rPr>
                            <w:rFonts w:ascii="Times New Roman"/>
                            <w:b/>
                            <w:sz w:val="21"/>
                          </w:rPr>
                        </w:pPr>
                        <w:r>
                          <w:rPr>
                            <w:rFonts w:ascii="Times New Roman"/>
                            <w:b/>
                            <w:sz w:val="21"/>
                          </w:rPr>
                          <w:t>NH</w:t>
                        </w:r>
                        <w:r>
                          <w:rPr>
                            <w:rFonts w:ascii="Times New Roman"/>
                            <w:b/>
                            <w:position w:val="-1"/>
                            <w:sz w:val="14"/>
                          </w:rPr>
                          <w:t>3</w:t>
                        </w:r>
                        <w:r>
                          <w:rPr>
                            <w:rFonts w:ascii="Times New Roman"/>
                            <w:b/>
                            <w:sz w:val="21"/>
                          </w:rPr>
                          <w:t>-N</w:t>
                        </w:r>
                      </w:p>
                    </w:tc>
                  </w:tr>
                  <w:tr>
                    <w:trPr>
                      <w:trHeight w:val="476" w:hRule="exact"/>
                    </w:trPr>
                    <w:tc>
                      <w:tcPr>
                        <w:tcW w:w="1230" w:type="dxa"/>
                        <w:tcBorders>
                          <w:top w:val="single" w:sz="6" w:space="0" w:color="000000"/>
                          <w:right w:val="single" w:sz="6" w:space="0" w:color="000000"/>
                        </w:tcBorders>
                      </w:tcPr>
                      <w:p>
                        <w:pPr>
                          <w:pStyle w:val="TableParagraph"/>
                          <w:spacing w:before="57"/>
                          <w:ind w:left="266" w:right="271"/>
                          <w:rPr>
                            <w:sz w:val="21"/>
                          </w:rPr>
                        </w:pPr>
                        <w:r>
                          <w:rPr>
                            <w:sz w:val="21"/>
                          </w:rPr>
                          <w:t>标准值</w:t>
                        </w:r>
                      </w:p>
                    </w:tc>
                    <w:tc>
                      <w:tcPr>
                        <w:tcW w:w="1115" w:type="dxa"/>
                        <w:tcBorders>
                          <w:top w:val="single" w:sz="6" w:space="0" w:color="000000"/>
                          <w:left w:val="single" w:sz="6" w:space="0" w:color="000000"/>
                          <w:right w:val="single" w:sz="6" w:space="0" w:color="000000"/>
                        </w:tcBorders>
                      </w:tcPr>
                      <w:p>
                        <w:pPr>
                          <w:pStyle w:val="TableParagraph"/>
                          <w:spacing w:before="57"/>
                          <w:ind w:right="338"/>
                          <w:jc w:val="right"/>
                          <w:rPr>
                            <w:rFonts w:ascii="Times New Roman" w:eastAsia="Times New Roman"/>
                            <w:sz w:val="21"/>
                          </w:rPr>
                        </w:pPr>
                        <w:r>
                          <w:rPr>
                            <w:rFonts w:ascii="Times New Roman" w:eastAsia="Times New Roman"/>
                            <w:sz w:val="21"/>
                          </w:rPr>
                          <w:t>6</w:t>
                        </w:r>
                        <w:r>
                          <w:rPr>
                            <w:sz w:val="21"/>
                          </w:rPr>
                          <w:t>～</w:t>
                        </w:r>
                        <w:r>
                          <w:rPr>
                            <w:rFonts w:ascii="Times New Roman" w:eastAsia="Times New Roman"/>
                            <w:sz w:val="21"/>
                          </w:rPr>
                          <w:t>9</w:t>
                        </w:r>
                      </w:p>
                    </w:tc>
                    <w:tc>
                      <w:tcPr>
                        <w:tcW w:w="1114" w:type="dxa"/>
                        <w:tcBorders>
                          <w:top w:val="single" w:sz="6" w:space="0" w:color="000000"/>
                          <w:left w:val="single" w:sz="6" w:space="0" w:color="000000"/>
                          <w:right w:val="single" w:sz="6" w:space="0" w:color="000000"/>
                        </w:tcBorders>
                      </w:tcPr>
                      <w:p>
                        <w:pPr>
                          <w:pStyle w:val="TableParagraph"/>
                          <w:spacing w:before="106"/>
                          <w:ind w:right="1"/>
                          <w:rPr>
                            <w:rFonts w:ascii="Times New Roman"/>
                            <w:sz w:val="21"/>
                          </w:rPr>
                        </w:pPr>
                        <w:r>
                          <w:rPr>
                            <w:rFonts w:ascii="Times New Roman"/>
                            <w:sz w:val="21"/>
                          </w:rPr>
                          <w:t>/</w:t>
                        </w:r>
                      </w:p>
                    </w:tc>
                    <w:tc>
                      <w:tcPr>
                        <w:tcW w:w="1114" w:type="dxa"/>
                        <w:tcBorders>
                          <w:top w:val="single" w:sz="6" w:space="0" w:color="000000"/>
                          <w:left w:val="single" w:sz="6" w:space="0" w:color="000000"/>
                          <w:right w:val="single" w:sz="6" w:space="0" w:color="000000"/>
                        </w:tcBorders>
                      </w:tcPr>
                      <w:p>
                        <w:pPr>
                          <w:pStyle w:val="TableParagraph"/>
                          <w:spacing w:before="57"/>
                          <w:ind w:left="261"/>
                          <w:jc w:val="left"/>
                          <w:rPr>
                            <w:rFonts w:ascii="Times New Roman" w:hAnsi="Times New Roman"/>
                            <w:sz w:val="21"/>
                          </w:rPr>
                        </w:pPr>
                        <w:r>
                          <w:rPr>
                            <w:sz w:val="21"/>
                          </w:rPr>
                          <w:t>≤</w:t>
                        </w:r>
                        <w:r>
                          <w:rPr>
                            <w:rFonts w:ascii="Times New Roman" w:hAnsi="Times New Roman"/>
                            <w:sz w:val="21"/>
                          </w:rPr>
                          <w:t>0.05</w:t>
                        </w:r>
                      </w:p>
                    </w:tc>
                    <w:tc>
                      <w:tcPr>
                        <w:tcW w:w="1115" w:type="dxa"/>
                        <w:tcBorders>
                          <w:top w:val="single" w:sz="6" w:space="0" w:color="000000"/>
                          <w:left w:val="single" w:sz="6" w:space="0" w:color="000000"/>
                          <w:right w:val="single" w:sz="6" w:space="0" w:color="000000"/>
                        </w:tcBorders>
                      </w:tcPr>
                      <w:p>
                        <w:pPr>
                          <w:pStyle w:val="TableParagraph"/>
                          <w:spacing w:before="57"/>
                          <w:ind w:left="340"/>
                          <w:jc w:val="left"/>
                          <w:rPr>
                            <w:rFonts w:ascii="Times New Roman" w:hAnsi="Times New Roman"/>
                            <w:sz w:val="21"/>
                          </w:rPr>
                        </w:pPr>
                        <w:r>
                          <w:rPr>
                            <w:sz w:val="21"/>
                          </w:rPr>
                          <w:t>≤</w:t>
                        </w:r>
                        <w:r>
                          <w:rPr>
                            <w:rFonts w:ascii="Times New Roman" w:hAnsi="Times New Roman"/>
                            <w:sz w:val="21"/>
                          </w:rPr>
                          <w:t>20</w:t>
                        </w:r>
                      </w:p>
                    </w:tc>
                    <w:tc>
                      <w:tcPr>
                        <w:tcW w:w="1114" w:type="dxa"/>
                        <w:tcBorders>
                          <w:top w:val="single" w:sz="6" w:space="0" w:color="000000"/>
                          <w:left w:val="single" w:sz="6" w:space="0" w:color="000000"/>
                          <w:right w:val="single" w:sz="6" w:space="0" w:color="000000"/>
                        </w:tcBorders>
                      </w:tcPr>
                      <w:p>
                        <w:pPr>
                          <w:pStyle w:val="TableParagraph"/>
                          <w:spacing w:before="57"/>
                          <w:ind w:left="267" w:right="267"/>
                          <w:rPr>
                            <w:rFonts w:ascii="Times New Roman" w:hAnsi="Times New Roman"/>
                            <w:sz w:val="21"/>
                          </w:rPr>
                        </w:pPr>
                        <w:r>
                          <w:rPr>
                            <w:sz w:val="21"/>
                          </w:rPr>
                          <w:t>≤</w:t>
                        </w:r>
                        <w:r>
                          <w:rPr>
                            <w:rFonts w:ascii="Times New Roman" w:hAnsi="Times New Roman"/>
                            <w:sz w:val="21"/>
                          </w:rPr>
                          <w:t>4</w:t>
                        </w:r>
                      </w:p>
                    </w:tc>
                    <w:tc>
                      <w:tcPr>
                        <w:tcW w:w="1114" w:type="dxa"/>
                        <w:tcBorders>
                          <w:top w:val="single" w:sz="6" w:space="0" w:color="000000"/>
                          <w:left w:val="single" w:sz="6" w:space="0" w:color="000000"/>
                        </w:tcBorders>
                      </w:tcPr>
                      <w:p>
                        <w:pPr>
                          <w:pStyle w:val="TableParagraph"/>
                          <w:spacing w:before="57"/>
                          <w:ind w:left="312"/>
                          <w:jc w:val="left"/>
                          <w:rPr>
                            <w:rFonts w:ascii="Times New Roman" w:hAnsi="Times New Roman"/>
                            <w:sz w:val="21"/>
                          </w:rPr>
                        </w:pPr>
                        <w:r>
                          <w:rPr>
                            <w:sz w:val="21"/>
                          </w:rPr>
                          <w:t>≤</w:t>
                        </w:r>
                        <w:r>
                          <w:rPr>
                            <w:rFonts w:ascii="Times New Roman" w:hAnsi="Times New Roman"/>
                            <w:sz w:val="21"/>
                          </w:rPr>
                          <w:t>1.0</w:t>
                        </w:r>
                      </w:p>
                    </w:tc>
                  </w:tr>
                </w:tbl>
                <w:p>
                  <w:pPr>
                    <w:pStyle w:val="BodyText"/>
                    <w:spacing w:before="0"/>
                  </w:pPr>
                </w:p>
              </w:txbxContent>
            </v:textbox>
            <w10:wrap type="none"/>
          </v:shape>
        </w:pict>
      </w:r>
      <w:r>
        <w:rPr>
          <w:sz w:val="24"/>
        </w:rPr>
        <w:t>执行国家《地表水环境质量标准</w:t>
      </w:r>
      <w:r>
        <w:rPr>
          <w:spacing w:val="-120"/>
          <w:sz w:val="24"/>
        </w:rPr>
        <w:t>》</w:t>
      </w:r>
      <w:r>
        <w:rPr>
          <w:sz w:val="24"/>
        </w:rPr>
        <w:t>（</w:t>
      </w:r>
      <w:r>
        <w:rPr>
          <w:rFonts w:ascii="Times New Roman" w:hAnsi="Times New Roman" w:eastAsia="Times New Roman"/>
          <w:sz w:val="24"/>
        </w:rPr>
        <w:t>GB3838-2002</w:t>
      </w:r>
      <w:r>
        <w:rPr>
          <w:sz w:val="24"/>
        </w:rPr>
        <w:t>）中Ⅲ类水域标准。</w:t>
      </w:r>
      <w:r>
        <w:rPr>
          <w:b/>
          <w:sz w:val="24"/>
        </w:rPr>
        <w:t>表</w:t>
      </w:r>
      <w:r>
        <w:rPr>
          <w:b/>
          <w:spacing w:val="-61"/>
          <w:sz w:val="24"/>
        </w:rPr>
        <w:t> </w:t>
      </w:r>
      <w:r>
        <w:rPr>
          <w:rFonts w:ascii="Times New Roman" w:hAnsi="Times New Roman" w:eastAsia="Times New Roman"/>
          <w:b/>
          <w:sz w:val="24"/>
        </w:rPr>
        <w:t>4-2</w:t>
        <w:tab/>
      </w:r>
      <w:r>
        <w:rPr>
          <w:b/>
          <w:sz w:val="24"/>
        </w:rPr>
        <w:t>地表水环境质量标准值表</w:t>
        <w:tab/>
      </w:r>
      <w:r>
        <w:rPr>
          <w:b/>
          <w:spacing w:val="-1"/>
          <w:w w:val="95"/>
          <w:sz w:val="24"/>
        </w:rPr>
        <w:t>单</w:t>
      </w:r>
      <w:r>
        <w:rPr>
          <w:b/>
          <w:w w:val="95"/>
          <w:sz w:val="24"/>
        </w:rPr>
        <w:t>位：</w:t>
      </w:r>
      <w:r>
        <w:rPr>
          <w:rFonts w:ascii="Times New Roman" w:hAnsi="Times New Roman" w:eastAsia="Times New Roman"/>
          <w:b/>
          <w:w w:val="95"/>
          <w:sz w:val="24"/>
        </w:rPr>
        <w:t>mg/L</w:t>
      </w:r>
    </w:p>
    <w:p>
      <w:pPr>
        <w:pStyle w:val="Heading1"/>
        <w:spacing w:line="408" w:lineRule="auto" w:before="65"/>
        <w:ind w:left="249" w:right="8839"/>
        <w:rPr>
          <w:rFonts w:ascii="仿宋_GB2312" w:eastAsia="仿宋_GB2312" w:hint="eastAsia"/>
        </w:rPr>
      </w:pPr>
      <w:r>
        <w:rPr>
          <w:rFonts w:ascii="仿宋_GB2312" w:eastAsia="仿宋_GB2312" w:hint="eastAsia"/>
        </w:rPr>
        <w:t>环境</w:t>
      </w:r>
    </w:p>
    <w:p>
      <w:pPr>
        <w:pStyle w:val="Heading2"/>
        <w:tabs>
          <w:tab w:pos="776" w:val="left" w:leader="none"/>
        </w:tabs>
        <w:spacing w:before="57"/>
        <w:ind w:left="249"/>
      </w:pPr>
      <w:r>
        <w:rPr>
          <w:rFonts w:ascii="仿宋_GB2312" w:eastAsia="仿宋_GB2312" w:hint="eastAsia"/>
          <w:position w:val="12"/>
          <w:sz w:val="28"/>
        </w:rPr>
        <w:t>质</w:t>
        <w:tab/>
      </w:r>
      <w:r>
        <w:rPr>
          <w:rFonts w:ascii="Times New Roman" w:eastAsia="Times New Roman"/>
          <w:w w:val="95"/>
        </w:rPr>
        <w:t>3</w:t>
      </w:r>
      <w:r>
        <w:rPr>
          <w:w w:val="95"/>
        </w:rPr>
        <w:t>、噪声环境质量</w:t>
      </w:r>
    </w:p>
    <w:p>
      <w:pPr>
        <w:pStyle w:val="BodyText"/>
        <w:tabs>
          <w:tab w:pos="1256" w:val="left" w:leader="none"/>
        </w:tabs>
        <w:spacing w:before="128"/>
        <w:ind w:left="249"/>
      </w:pPr>
      <w:r>
        <w:rPr>
          <w:rFonts w:ascii="仿宋_GB2312" w:eastAsia="仿宋_GB2312" w:hint="eastAsia"/>
          <w:b/>
          <w:position w:val="-3"/>
          <w:sz w:val="28"/>
        </w:rPr>
        <w:t>量</w:t>
        <w:tab/>
      </w:r>
      <w:r>
        <w:rPr/>
        <w:t>执行《声环境质量标准</w:t>
      </w:r>
      <w:r>
        <w:rPr>
          <w:spacing w:val="-120"/>
        </w:rPr>
        <w:t>》</w:t>
      </w:r>
      <w:r>
        <w:rPr/>
        <w:t>（</w:t>
      </w:r>
      <w:r>
        <w:rPr>
          <w:rFonts w:ascii="Times New Roman" w:eastAsia="Times New Roman"/>
        </w:rPr>
        <w:t>GB3096-2008</w:t>
      </w:r>
      <w:r>
        <w:rPr/>
        <w:t>）中</w:t>
      </w:r>
      <w:r>
        <w:rPr>
          <w:spacing w:val="-61"/>
        </w:rPr>
        <w:t> </w:t>
      </w:r>
      <w:r>
        <w:rPr>
          <w:rFonts w:ascii="Times New Roman" w:eastAsia="Times New Roman"/>
        </w:rPr>
        <w:t>2</w:t>
      </w:r>
      <w:r>
        <w:rPr>
          <w:rFonts w:ascii="Times New Roman" w:eastAsia="Times New Roman"/>
          <w:spacing w:val="-1"/>
        </w:rPr>
        <w:t> </w:t>
      </w:r>
      <w:r>
        <w:rPr/>
        <w:t>类区标准。</w:t>
      </w:r>
    </w:p>
    <w:p>
      <w:pPr>
        <w:pStyle w:val="Heading2"/>
        <w:tabs>
          <w:tab w:pos="2329" w:val="left" w:leader="none"/>
          <w:tab w:pos="3190" w:val="left" w:leader="none"/>
          <w:tab w:pos="5720" w:val="left" w:leader="none"/>
        </w:tabs>
        <w:spacing w:before="108"/>
        <w:ind w:left="249"/>
        <w:rPr>
          <w:rFonts w:ascii="Times New Roman" w:eastAsia="Times New Roman"/>
        </w:rPr>
      </w:pPr>
      <w:r>
        <w:rPr/>
        <w:pict>
          <v:shape style="position:absolute;margin-left:128.639999pt;margin-top:26.795628pt;width:366.65pt;height:46.8pt;mso-position-horizontal-relative:page;mso-position-vertical-relative:paragraph;z-index:1408" type="#_x0000_t202" filled="false" stroked="false">
            <v:textbox inset="0,0,0,0">
              <w:txbxContent>
                <w:tbl>
                  <w:tblPr>
                    <w:tblW w:w="0" w:type="auto"/>
                    <w:jc w:val="lef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625"/>
                    <w:gridCol w:w="2832"/>
                    <w:gridCol w:w="2832"/>
                  </w:tblGrid>
                  <w:tr>
                    <w:trPr>
                      <w:trHeight w:val="445" w:hRule="exact"/>
                    </w:trPr>
                    <w:tc>
                      <w:tcPr>
                        <w:tcW w:w="1625" w:type="dxa"/>
                        <w:tcBorders>
                          <w:bottom w:val="single" w:sz="6" w:space="0" w:color="000000"/>
                          <w:right w:val="single" w:sz="6" w:space="0" w:color="000000"/>
                        </w:tcBorders>
                      </w:tcPr>
                      <w:p>
                        <w:pPr>
                          <w:pStyle w:val="TableParagraph"/>
                          <w:spacing w:before="42"/>
                          <w:ind w:left="360" w:right="362"/>
                          <w:rPr>
                            <w:sz w:val="21"/>
                          </w:rPr>
                        </w:pPr>
                        <w:r>
                          <w:rPr>
                            <w:sz w:val="21"/>
                          </w:rPr>
                          <w:t>环境噪声</w:t>
                        </w:r>
                      </w:p>
                    </w:tc>
                    <w:tc>
                      <w:tcPr>
                        <w:tcW w:w="2832" w:type="dxa"/>
                        <w:tcBorders>
                          <w:left w:val="single" w:sz="6" w:space="0" w:color="000000"/>
                          <w:bottom w:val="single" w:sz="6" w:space="0" w:color="000000"/>
                          <w:right w:val="single" w:sz="6" w:space="0" w:color="000000"/>
                        </w:tcBorders>
                      </w:tcPr>
                      <w:p>
                        <w:pPr>
                          <w:pStyle w:val="TableParagraph"/>
                          <w:spacing w:before="42"/>
                          <w:ind w:left="1179" w:right="1177"/>
                          <w:rPr>
                            <w:sz w:val="21"/>
                          </w:rPr>
                        </w:pPr>
                        <w:r>
                          <w:rPr>
                            <w:sz w:val="21"/>
                          </w:rPr>
                          <w:t>昼间</w:t>
                        </w:r>
                      </w:p>
                    </w:tc>
                    <w:tc>
                      <w:tcPr>
                        <w:tcW w:w="2832" w:type="dxa"/>
                        <w:tcBorders>
                          <w:left w:val="single" w:sz="6" w:space="0" w:color="000000"/>
                          <w:bottom w:val="single" w:sz="6" w:space="0" w:color="000000"/>
                        </w:tcBorders>
                      </w:tcPr>
                      <w:p>
                        <w:pPr>
                          <w:pStyle w:val="TableParagraph"/>
                          <w:spacing w:before="42"/>
                          <w:ind w:left="1178" w:right="1171"/>
                          <w:rPr>
                            <w:sz w:val="21"/>
                          </w:rPr>
                        </w:pPr>
                        <w:r>
                          <w:rPr>
                            <w:sz w:val="21"/>
                          </w:rPr>
                          <w:t>夜间</w:t>
                        </w:r>
                      </w:p>
                    </w:tc>
                  </w:tr>
                  <w:tr>
                    <w:trPr>
                      <w:trHeight w:val="462" w:hRule="exact"/>
                    </w:trPr>
                    <w:tc>
                      <w:tcPr>
                        <w:tcW w:w="1625" w:type="dxa"/>
                        <w:tcBorders>
                          <w:top w:val="single" w:sz="6" w:space="0" w:color="000000"/>
                          <w:right w:val="single" w:sz="6" w:space="0" w:color="000000"/>
                        </w:tcBorders>
                      </w:tcPr>
                      <w:p>
                        <w:pPr>
                          <w:pStyle w:val="TableParagraph"/>
                          <w:spacing w:before="50"/>
                          <w:ind w:left="360" w:right="361"/>
                          <w:rPr>
                            <w:sz w:val="21"/>
                          </w:rPr>
                        </w:pPr>
                        <w:r>
                          <w:rPr>
                            <w:rFonts w:ascii="Times New Roman" w:eastAsia="Times New Roman"/>
                            <w:sz w:val="21"/>
                          </w:rPr>
                          <w:t>2 </w:t>
                        </w:r>
                        <w:r>
                          <w:rPr>
                            <w:sz w:val="21"/>
                          </w:rPr>
                          <w:t>类</w:t>
                        </w:r>
                      </w:p>
                    </w:tc>
                    <w:tc>
                      <w:tcPr>
                        <w:tcW w:w="2832" w:type="dxa"/>
                        <w:tcBorders>
                          <w:top w:val="single" w:sz="6" w:space="0" w:color="000000"/>
                          <w:left w:val="single" w:sz="6" w:space="0" w:color="000000"/>
                          <w:right w:val="single" w:sz="6" w:space="0" w:color="000000"/>
                        </w:tcBorders>
                      </w:tcPr>
                      <w:p>
                        <w:pPr>
                          <w:pStyle w:val="TableParagraph"/>
                          <w:spacing w:before="99"/>
                          <w:ind w:left="1179" w:right="1177"/>
                          <w:rPr>
                            <w:rFonts w:ascii="Times New Roman"/>
                            <w:sz w:val="21"/>
                          </w:rPr>
                        </w:pPr>
                        <w:r>
                          <w:rPr>
                            <w:rFonts w:ascii="Times New Roman"/>
                            <w:sz w:val="21"/>
                          </w:rPr>
                          <w:t>60</w:t>
                        </w:r>
                      </w:p>
                    </w:tc>
                    <w:tc>
                      <w:tcPr>
                        <w:tcW w:w="2832" w:type="dxa"/>
                        <w:tcBorders>
                          <w:top w:val="single" w:sz="6" w:space="0" w:color="000000"/>
                          <w:left w:val="single" w:sz="6" w:space="0" w:color="000000"/>
                        </w:tcBorders>
                      </w:tcPr>
                      <w:p>
                        <w:pPr>
                          <w:pStyle w:val="TableParagraph"/>
                          <w:spacing w:before="99"/>
                          <w:ind w:left="1178" w:right="1169"/>
                          <w:rPr>
                            <w:rFonts w:ascii="Times New Roman"/>
                            <w:sz w:val="21"/>
                          </w:rPr>
                        </w:pPr>
                        <w:r>
                          <w:rPr>
                            <w:rFonts w:ascii="Times New Roman"/>
                            <w:sz w:val="21"/>
                          </w:rPr>
                          <w:t>50</w:t>
                        </w:r>
                      </w:p>
                    </w:tc>
                  </w:tr>
                </w:tbl>
                <w:p>
                  <w:pPr>
                    <w:pStyle w:val="BodyText"/>
                    <w:spacing w:before="0"/>
                  </w:pPr>
                </w:p>
              </w:txbxContent>
            </v:textbox>
            <w10:wrap type="none"/>
          </v:shape>
        </w:pict>
      </w:r>
      <w:r>
        <w:rPr>
          <w:rFonts w:ascii="仿宋_GB2312" w:eastAsia="仿宋_GB2312" w:hint="eastAsia"/>
          <w:position w:val="-19"/>
          <w:sz w:val="28"/>
        </w:rPr>
        <w:t>标</w:t>
        <w:tab/>
      </w:r>
      <w:r>
        <w:rPr/>
        <w:t>表</w:t>
      </w:r>
      <w:r>
        <w:rPr>
          <w:spacing w:val="-61"/>
        </w:rPr>
        <w:t> </w:t>
      </w:r>
      <w:r>
        <w:rPr>
          <w:rFonts w:ascii="Times New Roman" w:eastAsia="Times New Roman"/>
        </w:rPr>
        <w:t>4-3</w:t>
        <w:tab/>
      </w:r>
      <w:r>
        <w:rPr/>
        <w:t>环境噪声标准值表</w:t>
        <w:tab/>
        <w:t>等效声级</w:t>
      </w:r>
      <w:r>
        <w:rPr>
          <w:spacing w:val="-66"/>
        </w:rPr>
        <w:t> </w:t>
      </w:r>
      <w:r>
        <w:rPr>
          <w:rFonts w:ascii="Times New Roman" w:eastAsia="Times New Roman"/>
        </w:rPr>
        <w:t>LAeq</w:t>
      </w:r>
      <w:r>
        <w:rPr/>
        <w:t>：</w:t>
      </w:r>
      <w:r>
        <w:rPr>
          <w:rFonts w:ascii="Times New Roman" w:eastAsia="Times New Roman"/>
        </w:rPr>
        <w:t>dB</w:t>
      </w:r>
    </w:p>
    <w:p>
      <w:pPr>
        <w:spacing w:before="253"/>
        <w:ind w:left="249" w:right="0" w:firstLine="0"/>
        <w:jc w:val="left"/>
        <w:rPr>
          <w:rFonts w:ascii="仿宋_GB2312" w:eastAsia="仿宋_GB2312" w:hint="eastAsia"/>
          <w:b/>
          <w:sz w:val="28"/>
        </w:rPr>
      </w:pPr>
      <w:r>
        <w:rPr>
          <w:rFonts w:ascii="仿宋_GB2312" w:eastAsia="仿宋_GB2312" w:hint="eastAsia"/>
          <w:b/>
          <w:w w:val="99"/>
          <w:sz w:val="28"/>
        </w:rPr>
        <w:t>准</w:t>
      </w: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0"/>
        <w:rPr>
          <w:rFonts w:ascii="仿宋_GB2312"/>
          <w:b/>
          <w:sz w:val="28"/>
        </w:rPr>
      </w:pPr>
    </w:p>
    <w:p>
      <w:pPr>
        <w:pStyle w:val="BodyText"/>
        <w:spacing w:before="6"/>
        <w:rPr>
          <w:rFonts w:ascii="仿宋_GB2312"/>
          <w:b/>
          <w:sz w:val="30"/>
        </w:rPr>
      </w:pPr>
    </w:p>
    <w:p>
      <w:pPr>
        <w:pStyle w:val="BodyText"/>
        <w:spacing w:before="0"/>
        <w:ind w:left="776"/>
      </w:pPr>
      <w:r>
        <w:rPr/>
        <w:t> </w:t>
      </w:r>
    </w:p>
    <w:p>
      <w:pPr>
        <w:pStyle w:val="BodyText"/>
        <w:spacing w:before="154"/>
        <w:ind w:left="776"/>
      </w:pPr>
      <w:r>
        <w:rPr/>
        <w:t> </w:t>
      </w:r>
    </w:p>
    <w:p>
      <w:pPr>
        <w:pStyle w:val="BodyText"/>
        <w:spacing w:before="154"/>
        <w:ind w:left="776"/>
      </w:pPr>
      <w:r>
        <w:rPr/>
        <w:t> </w:t>
      </w:r>
    </w:p>
    <w:p>
      <w:pPr>
        <w:spacing w:after="0"/>
        <w:sectPr>
          <w:footerReference w:type="default" r:id="rId7"/>
          <w:pgSz w:w="11910" w:h="16840"/>
          <w:pgMar w:footer="1186" w:header="0" w:top="1200" w:bottom="1380" w:left="1260" w:right="1260"/>
          <w:pgNumType w:start="16"/>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9"/>
        <w:gridCol w:w="8606"/>
      </w:tblGrid>
      <w:tr>
        <w:trPr>
          <w:trHeight w:val="8434" w:hRule="exact"/>
        </w:trPr>
        <w:tc>
          <w:tcPr>
            <w:tcW w:w="559" w:type="dxa"/>
          </w:tcPr>
          <w:p>
            <w:pPr>
              <w:pStyle w:val="TableParagraph"/>
              <w:jc w:val="left"/>
              <w:rPr>
                <w:sz w:val="28"/>
              </w:rPr>
            </w:pPr>
          </w:p>
          <w:p>
            <w:pPr>
              <w:pStyle w:val="TableParagraph"/>
              <w:jc w:val="left"/>
              <w:rPr>
                <w:sz w:val="28"/>
              </w:rPr>
            </w:pPr>
          </w:p>
          <w:p>
            <w:pPr>
              <w:pStyle w:val="TableParagraph"/>
              <w:jc w:val="left"/>
              <w:rPr>
                <w:sz w:val="28"/>
              </w:rPr>
            </w:pPr>
          </w:p>
          <w:p>
            <w:pPr>
              <w:pStyle w:val="TableParagraph"/>
              <w:jc w:val="left"/>
              <w:rPr>
                <w:sz w:val="28"/>
              </w:rPr>
            </w:pPr>
          </w:p>
          <w:p>
            <w:pPr>
              <w:pStyle w:val="TableParagraph"/>
              <w:jc w:val="left"/>
              <w:rPr>
                <w:sz w:val="28"/>
              </w:rPr>
            </w:pPr>
          </w:p>
          <w:p>
            <w:pPr>
              <w:pStyle w:val="TableParagraph"/>
              <w:spacing w:before="2"/>
              <w:jc w:val="left"/>
              <w:rPr>
                <w:sz w:val="21"/>
              </w:rPr>
            </w:pPr>
          </w:p>
          <w:p>
            <w:pPr>
              <w:pStyle w:val="TableParagraph"/>
              <w:spacing w:line="408" w:lineRule="auto"/>
              <w:ind w:left="134" w:right="133"/>
              <w:jc w:val="both"/>
              <w:rPr>
                <w:rFonts w:ascii="仿宋_GB2312" w:eastAsia="仿宋_GB2312" w:hint="eastAsia"/>
                <w:b/>
                <w:sz w:val="28"/>
              </w:rPr>
            </w:pPr>
            <w:r>
              <w:rPr>
                <w:rFonts w:ascii="仿宋_GB2312" w:eastAsia="仿宋_GB2312" w:hint="eastAsia"/>
                <w:b/>
                <w:sz w:val="28"/>
              </w:rPr>
              <w:t>污染物排放标准</w:t>
            </w:r>
          </w:p>
        </w:tc>
        <w:tc>
          <w:tcPr>
            <w:tcW w:w="8606" w:type="dxa"/>
          </w:tcPr>
          <w:p>
            <w:pPr>
              <w:pStyle w:val="TableParagraph"/>
              <w:spacing w:before="35"/>
              <w:ind w:left="101"/>
              <w:jc w:val="left"/>
              <w:rPr>
                <w:b/>
                <w:sz w:val="24"/>
              </w:rPr>
            </w:pPr>
            <w:r>
              <w:rPr>
                <w:rFonts w:ascii="Times New Roman" w:eastAsia="Times New Roman"/>
                <w:b/>
                <w:sz w:val="24"/>
              </w:rPr>
              <w:t>1</w:t>
            </w:r>
            <w:r>
              <w:rPr>
                <w:b/>
                <w:sz w:val="24"/>
              </w:rPr>
              <w:t>、废水</w:t>
            </w:r>
          </w:p>
          <w:p>
            <w:pPr>
              <w:pStyle w:val="TableParagraph"/>
              <w:spacing w:before="135"/>
              <w:ind w:left="581"/>
              <w:jc w:val="left"/>
              <w:rPr>
                <w:sz w:val="24"/>
              </w:rPr>
            </w:pPr>
            <w:r>
              <w:rPr>
                <w:spacing w:val="-8"/>
                <w:sz w:val="24"/>
              </w:rPr>
              <w:t>污水不执行《污水综合排放标准》</w:t>
            </w:r>
            <w:r>
              <w:rPr>
                <w:sz w:val="24"/>
              </w:rPr>
              <w:t>（</w:t>
            </w:r>
            <w:r>
              <w:rPr>
                <w:rFonts w:ascii="Times New Roman" w:eastAsia="Times New Roman"/>
                <w:sz w:val="24"/>
              </w:rPr>
              <w:t>GB8978-1996</w:t>
            </w:r>
            <w:r>
              <w:rPr>
                <w:sz w:val="24"/>
              </w:rPr>
              <w:t>）</w:t>
            </w:r>
            <w:r>
              <w:rPr>
                <w:spacing w:val="-31"/>
                <w:sz w:val="24"/>
              </w:rPr>
              <w:t>表 </w:t>
            </w:r>
            <w:r>
              <w:rPr>
                <w:rFonts w:ascii="Times New Roman" w:eastAsia="Times New Roman"/>
                <w:sz w:val="24"/>
              </w:rPr>
              <w:t>4</w:t>
            </w:r>
            <w:r>
              <w:rPr>
                <w:rFonts w:ascii="Times New Roman" w:eastAsia="Times New Roman"/>
                <w:spacing w:val="58"/>
                <w:sz w:val="24"/>
              </w:rPr>
              <w:t> </w:t>
            </w:r>
            <w:r>
              <w:rPr>
                <w:sz w:val="24"/>
              </w:rPr>
              <w:t>一级标准。</w:t>
            </w:r>
          </w:p>
          <w:p>
            <w:pPr>
              <w:pStyle w:val="TableParagraph"/>
              <w:jc w:val="left"/>
              <w:rPr>
                <w:sz w:val="26"/>
              </w:rPr>
            </w:pPr>
          </w:p>
          <w:p>
            <w:pPr>
              <w:pStyle w:val="TableParagraph"/>
              <w:spacing w:before="1"/>
              <w:jc w:val="left"/>
              <w:rPr>
                <w:sz w:val="20"/>
              </w:rPr>
            </w:pPr>
          </w:p>
          <w:p>
            <w:pPr>
              <w:pStyle w:val="TableParagraph"/>
              <w:ind w:left="101"/>
              <w:jc w:val="left"/>
              <w:rPr>
                <w:b/>
                <w:sz w:val="24"/>
              </w:rPr>
            </w:pPr>
            <w:r>
              <w:rPr>
                <w:rFonts w:ascii="Times New Roman" w:eastAsia="Times New Roman"/>
                <w:b/>
                <w:sz w:val="24"/>
              </w:rPr>
              <w:t>2</w:t>
            </w:r>
            <w:r>
              <w:rPr>
                <w:b/>
                <w:sz w:val="24"/>
              </w:rPr>
              <w:t>、噪声</w:t>
            </w:r>
          </w:p>
          <w:p>
            <w:pPr>
              <w:pStyle w:val="TableParagraph"/>
              <w:spacing w:before="135"/>
              <w:ind w:left="581"/>
              <w:jc w:val="left"/>
              <w:rPr>
                <w:sz w:val="24"/>
              </w:rPr>
            </w:pPr>
            <w:r>
              <w:rPr>
                <w:sz w:val="24"/>
              </w:rPr>
              <w:t>施工期：执行《建筑施工场界环境噪声限值》（</w:t>
            </w:r>
            <w:r>
              <w:rPr>
                <w:rFonts w:ascii="Times New Roman" w:eastAsia="Times New Roman"/>
                <w:sz w:val="24"/>
              </w:rPr>
              <w:t>GB12523-2011</w:t>
            </w:r>
            <w:r>
              <w:rPr>
                <w:sz w:val="24"/>
              </w:rPr>
              <w:t>）标准限值；</w:t>
            </w:r>
          </w:p>
          <w:p>
            <w:pPr>
              <w:pStyle w:val="TableParagraph"/>
              <w:jc w:val="left"/>
              <w:rPr>
                <w:sz w:val="26"/>
              </w:rPr>
            </w:pPr>
          </w:p>
          <w:p>
            <w:pPr>
              <w:pStyle w:val="TableParagraph"/>
              <w:jc w:val="left"/>
              <w:rPr>
                <w:sz w:val="26"/>
              </w:rPr>
            </w:pPr>
          </w:p>
          <w:p>
            <w:pPr>
              <w:pStyle w:val="TableParagraph"/>
              <w:spacing w:before="11"/>
              <w:jc w:val="left"/>
              <w:rPr>
                <w:sz w:val="29"/>
              </w:rPr>
            </w:pPr>
          </w:p>
          <w:p>
            <w:pPr>
              <w:pStyle w:val="TableParagraph"/>
              <w:ind w:left="101"/>
              <w:jc w:val="left"/>
              <w:rPr>
                <w:b/>
                <w:sz w:val="24"/>
              </w:rPr>
            </w:pPr>
            <w:r>
              <w:rPr>
                <w:rFonts w:ascii="Times New Roman" w:eastAsia="Times New Roman"/>
                <w:b/>
                <w:sz w:val="24"/>
              </w:rPr>
              <w:t>3</w:t>
            </w:r>
            <w:r>
              <w:rPr>
                <w:b/>
                <w:sz w:val="24"/>
              </w:rPr>
              <w:t>、废气</w:t>
            </w:r>
          </w:p>
          <w:p>
            <w:pPr>
              <w:pStyle w:val="TableParagraph"/>
              <w:spacing w:before="135"/>
              <w:ind w:left="581"/>
              <w:jc w:val="left"/>
              <w:rPr>
                <w:sz w:val="24"/>
              </w:rPr>
            </w:pPr>
            <w:r>
              <w:rPr>
                <w:spacing w:val="-8"/>
                <w:sz w:val="24"/>
              </w:rPr>
              <w:t>废气执行《大气污染物综合排放标准》</w:t>
            </w:r>
            <w:r>
              <w:rPr>
                <w:sz w:val="24"/>
              </w:rPr>
              <w:t>（</w:t>
            </w:r>
            <w:r>
              <w:rPr>
                <w:rFonts w:ascii="Times New Roman" w:eastAsia="Times New Roman"/>
                <w:sz w:val="24"/>
              </w:rPr>
              <w:t>GB16297-1996</w:t>
            </w:r>
            <w:r>
              <w:rPr>
                <w:sz w:val="24"/>
              </w:rPr>
              <w:t>）</w:t>
            </w:r>
            <w:r>
              <w:rPr>
                <w:spacing w:val="-21"/>
                <w:sz w:val="24"/>
              </w:rPr>
              <w:t>中表 </w:t>
            </w:r>
            <w:r>
              <w:rPr>
                <w:rFonts w:ascii="Times New Roman" w:eastAsia="Times New Roman"/>
                <w:sz w:val="24"/>
              </w:rPr>
              <w:t>2 </w:t>
            </w:r>
            <w:r>
              <w:rPr>
                <w:sz w:val="24"/>
              </w:rPr>
              <w:t>二级标准。</w:t>
            </w:r>
          </w:p>
          <w:p>
            <w:pPr>
              <w:pStyle w:val="TableParagraph"/>
              <w:jc w:val="left"/>
              <w:rPr>
                <w:sz w:val="26"/>
              </w:rPr>
            </w:pPr>
          </w:p>
          <w:p>
            <w:pPr>
              <w:pStyle w:val="TableParagraph"/>
              <w:spacing w:before="1"/>
              <w:jc w:val="left"/>
              <w:rPr>
                <w:sz w:val="20"/>
              </w:rPr>
            </w:pPr>
          </w:p>
          <w:p>
            <w:pPr>
              <w:pStyle w:val="TableParagraph"/>
              <w:spacing w:before="1"/>
              <w:ind w:left="101"/>
              <w:jc w:val="left"/>
              <w:rPr>
                <w:b/>
                <w:sz w:val="24"/>
              </w:rPr>
            </w:pPr>
            <w:r>
              <w:rPr>
                <w:rFonts w:ascii="Times New Roman" w:eastAsia="Times New Roman"/>
                <w:b/>
                <w:w w:val="95"/>
                <w:sz w:val="24"/>
              </w:rPr>
              <w:t>4</w:t>
            </w:r>
            <w:r>
              <w:rPr>
                <w:b/>
                <w:w w:val="95"/>
                <w:sz w:val="24"/>
              </w:rPr>
              <w:t>、固体废弃物</w:t>
            </w:r>
          </w:p>
          <w:p>
            <w:pPr>
              <w:pStyle w:val="TableParagraph"/>
              <w:spacing w:line="338" w:lineRule="auto" w:before="136"/>
              <w:ind w:left="101" w:right="22" w:firstLine="480"/>
              <w:jc w:val="left"/>
              <w:rPr>
                <w:sz w:val="24"/>
              </w:rPr>
            </w:pPr>
            <w:r>
              <w:rPr>
                <w:sz w:val="24"/>
              </w:rPr>
              <w:t>执行《一般工业固体废物贮存、处置场污染控制标准》（</w:t>
            </w:r>
            <w:r>
              <w:rPr>
                <w:rFonts w:ascii="Times New Roman" w:eastAsia="Times New Roman"/>
                <w:sz w:val="24"/>
              </w:rPr>
              <w:t>GB18599-2001</w:t>
            </w:r>
            <w:r>
              <w:rPr>
                <w:sz w:val="24"/>
              </w:rPr>
              <w:t>）及其修改单的相关规定。</w:t>
            </w:r>
          </w:p>
          <w:p>
            <w:pPr>
              <w:pStyle w:val="TableParagraph"/>
              <w:jc w:val="left"/>
              <w:rPr>
                <w:sz w:val="24"/>
              </w:rPr>
            </w:pPr>
          </w:p>
          <w:p>
            <w:pPr>
              <w:pStyle w:val="TableParagraph"/>
              <w:jc w:val="left"/>
              <w:rPr>
                <w:sz w:val="24"/>
              </w:rPr>
            </w:pPr>
          </w:p>
          <w:p>
            <w:pPr>
              <w:pStyle w:val="TableParagraph"/>
              <w:jc w:val="left"/>
              <w:rPr>
                <w:sz w:val="24"/>
              </w:rPr>
            </w:pPr>
          </w:p>
          <w:p>
            <w:pPr>
              <w:pStyle w:val="TableParagraph"/>
              <w:jc w:val="left"/>
              <w:rPr>
                <w:sz w:val="24"/>
              </w:rPr>
            </w:pPr>
          </w:p>
          <w:p>
            <w:pPr>
              <w:pStyle w:val="TableParagraph"/>
              <w:spacing w:before="203"/>
              <w:ind w:left="101"/>
              <w:jc w:val="left"/>
              <w:rPr>
                <w:sz w:val="24"/>
              </w:rPr>
            </w:pPr>
            <w:r>
              <w:rPr>
                <w:sz w:val="24"/>
              </w:rPr>
              <w:t> </w:t>
            </w:r>
          </w:p>
        </w:tc>
      </w:tr>
      <w:tr>
        <w:trPr>
          <w:trHeight w:val="5627" w:hRule="exact"/>
        </w:trPr>
        <w:tc>
          <w:tcPr>
            <w:tcW w:w="559" w:type="dxa"/>
          </w:tcPr>
          <w:p>
            <w:pPr>
              <w:pStyle w:val="TableParagraph"/>
              <w:jc w:val="left"/>
              <w:rPr>
                <w:sz w:val="28"/>
              </w:rPr>
            </w:pPr>
          </w:p>
          <w:p>
            <w:pPr>
              <w:pStyle w:val="TableParagraph"/>
              <w:jc w:val="left"/>
              <w:rPr>
                <w:sz w:val="28"/>
              </w:rPr>
            </w:pPr>
          </w:p>
          <w:p>
            <w:pPr>
              <w:pStyle w:val="TableParagraph"/>
              <w:spacing w:before="10"/>
              <w:jc w:val="left"/>
              <w:rPr>
                <w:sz w:val="21"/>
              </w:rPr>
            </w:pPr>
          </w:p>
          <w:p>
            <w:pPr>
              <w:pStyle w:val="TableParagraph"/>
              <w:spacing w:line="408" w:lineRule="auto" w:before="1"/>
              <w:ind w:left="134" w:right="133"/>
              <w:jc w:val="both"/>
              <w:rPr>
                <w:rFonts w:ascii="仿宋_GB2312" w:eastAsia="仿宋_GB2312" w:hint="eastAsia"/>
                <w:b/>
                <w:sz w:val="28"/>
              </w:rPr>
            </w:pPr>
            <w:r>
              <w:rPr>
                <w:rFonts w:ascii="仿宋_GB2312" w:eastAsia="仿宋_GB2312" w:hint="eastAsia"/>
                <w:b/>
                <w:sz w:val="28"/>
              </w:rPr>
              <w:t>总量控制指标</w:t>
            </w:r>
          </w:p>
        </w:tc>
        <w:tc>
          <w:tcPr>
            <w:tcW w:w="8606" w:type="dxa"/>
          </w:tcPr>
          <w:p>
            <w:pPr>
              <w:pStyle w:val="TableParagraph"/>
              <w:spacing w:before="37"/>
              <w:ind w:left="581" w:right="-16"/>
              <w:jc w:val="left"/>
              <w:rPr>
                <w:sz w:val="24"/>
              </w:rPr>
            </w:pPr>
            <w:r>
              <w:rPr>
                <w:spacing w:val="-9"/>
                <w:sz w:val="24"/>
              </w:rPr>
              <w:t>本项目为管网建设项目，属于非污染生态型建设项目，不涉及总量控制指标。</w:t>
            </w:r>
          </w:p>
          <w:p>
            <w:pPr>
              <w:pStyle w:val="TableParagraph"/>
              <w:jc w:val="left"/>
              <w:rPr>
                <w:sz w:val="24"/>
              </w:rPr>
            </w:pPr>
          </w:p>
          <w:p>
            <w:pPr>
              <w:pStyle w:val="TableParagraph"/>
              <w:spacing w:before="7"/>
              <w:jc w:val="left"/>
              <w:rPr>
                <w:sz w:val="23"/>
              </w:rPr>
            </w:pPr>
          </w:p>
          <w:p>
            <w:pPr>
              <w:pStyle w:val="TableParagraph"/>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p>
            <w:pPr>
              <w:pStyle w:val="TableParagraph"/>
              <w:spacing w:before="154"/>
              <w:ind w:left="101"/>
              <w:jc w:val="left"/>
              <w:rPr>
                <w:sz w:val="24"/>
              </w:rPr>
            </w:pPr>
            <w:r>
              <w:rPr>
                <w:sz w:val="24"/>
              </w:rPr>
              <w:t> </w:t>
            </w:r>
          </w:p>
        </w:tc>
      </w:tr>
    </w:tbl>
    <w:p>
      <w:pPr>
        <w:spacing w:after="0"/>
        <w:jc w:val="left"/>
        <w:rPr>
          <w:sz w:val="24"/>
        </w:rPr>
        <w:sectPr>
          <w:pgSz w:w="11910" w:h="16840"/>
          <w:pgMar w:header="0" w:footer="1186" w:top="1120" w:bottom="1380" w:left="1260" w:right="1260"/>
        </w:sectPr>
      </w:pPr>
    </w:p>
    <w:p>
      <w:pPr>
        <w:pStyle w:val="Heading1"/>
        <w:ind w:left="178"/>
        <w:jc w:val="both"/>
      </w:pPr>
      <w:r>
        <w:rPr>
          <w:w w:val="95"/>
        </w:rPr>
        <w:t>建设项目工程分析</w:t>
      </w:r>
    </w:p>
    <w:p>
      <w:pPr>
        <w:pStyle w:val="Heading2"/>
        <w:spacing w:before="221"/>
        <w:ind w:left="224"/>
        <w:jc w:val="both"/>
      </w:pPr>
      <w:r>
        <w:rPr>
          <w:w w:val="95"/>
        </w:rPr>
        <w:t>工艺流程简述</w:t>
      </w:r>
      <w:r>
        <w:rPr>
          <w:rFonts w:ascii="Times New Roman" w:eastAsia="Times New Roman"/>
          <w:w w:val="95"/>
        </w:rPr>
        <w:t>(</w:t>
      </w:r>
      <w:r>
        <w:rPr>
          <w:w w:val="95"/>
        </w:rPr>
        <w:t>图示</w:t>
      </w:r>
      <w:r>
        <w:rPr>
          <w:rFonts w:ascii="Times New Roman" w:eastAsia="Times New Roman"/>
          <w:w w:val="95"/>
        </w:rPr>
        <w:t>)</w:t>
      </w:r>
      <w:r>
        <w:rPr>
          <w:w w:val="95"/>
        </w:rPr>
        <w:t>：</w:t>
      </w:r>
    </w:p>
    <w:p>
      <w:pPr>
        <w:pStyle w:val="BodyText"/>
        <w:spacing w:line="357" w:lineRule="auto"/>
        <w:ind w:left="223" w:right="127" w:firstLine="480"/>
      </w:pPr>
      <w:r>
        <w:rPr/>
        <w:t>本项目为管网建设项目，主要建设内容包括土石方工程开挖、管网铺设、土方回填等，根据项目特点，污染物产生主要在施工期，根据现场调查，本项目已于 </w:t>
      </w:r>
      <w:r>
        <w:rPr>
          <w:rFonts w:ascii="Times New Roman" w:eastAsia="Times New Roman"/>
        </w:rPr>
        <w:t>2011 </w:t>
      </w:r>
      <w:r>
        <w:rPr/>
        <w:t>年</w:t>
      </w:r>
    </w:p>
    <w:p>
      <w:pPr>
        <w:pStyle w:val="BodyText"/>
        <w:spacing w:line="348" w:lineRule="auto" w:before="5"/>
        <w:ind w:left="223" w:right="220"/>
        <w:jc w:val="both"/>
      </w:pPr>
      <w:r>
        <w:rPr>
          <w:rFonts w:ascii="Times New Roman" w:eastAsia="Times New Roman"/>
        </w:rPr>
        <w:t>9 </w:t>
      </w:r>
      <w:r>
        <w:rPr>
          <w:spacing w:val="-1"/>
        </w:rPr>
        <w:t>月开工建设，</w:t>
      </w:r>
      <w:r>
        <w:rPr>
          <w:rFonts w:ascii="Times New Roman" w:eastAsia="Times New Roman"/>
          <w:spacing w:val="-3"/>
        </w:rPr>
        <w:t>2011 </w:t>
      </w:r>
      <w:r>
        <w:rPr>
          <w:spacing w:val="-31"/>
        </w:rPr>
        <w:t>年 </w:t>
      </w:r>
      <w:r>
        <w:rPr>
          <w:rFonts w:ascii="Times New Roman" w:eastAsia="Times New Roman"/>
          <w:spacing w:val="-5"/>
        </w:rPr>
        <w:t>11 </w:t>
      </w:r>
      <w:r>
        <w:rPr>
          <w:spacing w:val="-5"/>
        </w:rPr>
        <w:t>月竣工投入使用，建设工期 </w:t>
      </w:r>
      <w:r>
        <w:rPr>
          <w:rFonts w:ascii="Times New Roman" w:eastAsia="Times New Roman"/>
        </w:rPr>
        <w:t>3 </w:t>
      </w:r>
      <w:r>
        <w:rPr/>
        <w:t>个月。施工期已经结束。根据现场调查，本项目施工期间未收到附近居民及住户等对本项目的反对意见。施工期无环境遗留问题。本环评仅对施工期做回顾性分析。</w:t>
      </w:r>
    </w:p>
    <w:p>
      <w:pPr>
        <w:pStyle w:val="Heading2"/>
        <w:spacing w:before="46"/>
        <w:ind w:left="224"/>
        <w:jc w:val="both"/>
      </w:pPr>
      <w:r>
        <w:rPr/>
        <w:t>一、施工期</w:t>
      </w:r>
    </w:p>
    <w:p>
      <w:pPr>
        <w:spacing w:line="338" w:lineRule="auto" w:before="154"/>
        <w:ind w:left="706" w:right="4729" w:firstLine="0"/>
        <w:jc w:val="left"/>
        <w:rPr>
          <w:sz w:val="24"/>
        </w:rPr>
      </w:pPr>
      <w:r>
        <w:rPr>
          <w:rFonts w:ascii="Times New Roman" w:eastAsia="Times New Roman"/>
          <w:b/>
          <w:sz w:val="24"/>
        </w:rPr>
        <w:t>1</w:t>
      </w:r>
      <w:r>
        <w:rPr>
          <w:b/>
          <w:sz w:val="24"/>
        </w:rPr>
        <w:t>、施工期工艺流程图及产污位置分析</w:t>
      </w:r>
      <w:r>
        <w:rPr>
          <w:sz w:val="24"/>
        </w:rPr>
        <w:t>工程施工工艺流程见图 </w:t>
      </w:r>
      <w:r>
        <w:rPr>
          <w:rFonts w:ascii="Times New Roman" w:eastAsia="Times New Roman"/>
          <w:sz w:val="24"/>
        </w:rPr>
        <w:t>5-1</w:t>
      </w:r>
      <w:r>
        <w:rPr>
          <w:sz w:val="24"/>
        </w:rPr>
        <w:t>。</w:t>
      </w:r>
    </w:p>
    <w:p>
      <w:pPr>
        <w:pStyle w:val="BodyText"/>
        <w:spacing w:before="4"/>
        <w:rPr>
          <w:sz w:val="29"/>
        </w:rPr>
      </w:pPr>
    </w:p>
    <w:p>
      <w:pPr>
        <w:tabs>
          <w:tab w:pos="5860" w:val="left" w:leader="none"/>
          <w:tab w:pos="7570" w:val="left" w:leader="none"/>
        </w:tabs>
        <w:spacing w:before="36"/>
        <w:ind w:left="2514" w:right="0" w:firstLine="0"/>
        <w:jc w:val="left"/>
        <w:rPr>
          <w:sz w:val="21"/>
        </w:rPr>
      </w:pPr>
      <w:r>
        <w:rPr>
          <w:position w:val="3"/>
          <w:sz w:val="21"/>
        </w:rPr>
        <w:t>扬尘</w:t>
        <w:tab/>
      </w:r>
      <w:r>
        <w:rPr>
          <w:position w:val="1"/>
          <w:sz w:val="21"/>
        </w:rPr>
        <w:t>扬尘</w:t>
        <w:tab/>
      </w:r>
      <w:r>
        <w:rPr>
          <w:sz w:val="21"/>
        </w:rPr>
        <w:t>扬尘</w:t>
      </w:r>
    </w:p>
    <w:p>
      <w:pPr>
        <w:spacing w:before="147"/>
        <w:ind w:left="1300" w:right="0" w:firstLine="0"/>
        <w:jc w:val="left"/>
        <w:rPr>
          <w:sz w:val="21"/>
        </w:rPr>
      </w:pPr>
      <w:r>
        <w:rPr/>
        <w:pict>
          <v:shape style="position:absolute;margin-left:171.925003pt;margin-top:4.013685pt;width:77.150pt;height:42.1pt;mso-position-horizontal-relative:page;mso-position-vertical-relative:paragraph;z-index:1480"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38"/>
                    <w:gridCol w:w="722"/>
                    <w:gridCol w:w="260"/>
                  </w:tblGrid>
                  <w:tr>
                    <w:trPr>
                      <w:trHeight w:val="366" w:hRule="exact"/>
                    </w:trPr>
                    <w:tc>
                      <w:tcPr>
                        <w:tcW w:w="538" w:type="dxa"/>
                        <w:tcBorders>
                          <w:top w:val="nil"/>
                          <w:left w:val="nil"/>
                          <w:right w:val="dashSmallGap" w:sz="8" w:space="0" w:color="000000"/>
                        </w:tcBorders>
                      </w:tcPr>
                      <w:p>
                        <w:pPr/>
                      </w:p>
                    </w:tc>
                    <w:tc>
                      <w:tcPr>
                        <w:tcW w:w="982" w:type="dxa"/>
                        <w:gridSpan w:val="2"/>
                        <w:tcBorders>
                          <w:top w:val="nil"/>
                          <w:left w:val="dashSmallGap" w:sz="8" w:space="0" w:color="000000"/>
                          <w:bottom w:val="nil"/>
                          <w:right w:val="nil"/>
                        </w:tcBorders>
                      </w:tcPr>
                      <w:p>
                        <w:pPr>
                          <w:pStyle w:val="TableParagraph"/>
                          <w:spacing w:before="52"/>
                          <w:ind w:left="106"/>
                          <w:jc w:val="left"/>
                          <w:rPr>
                            <w:sz w:val="21"/>
                          </w:rPr>
                        </w:pPr>
                        <w:r>
                          <w:rPr>
                            <w:sz w:val="21"/>
                          </w:rPr>
                          <w:t>噪声</w:t>
                        </w:r>
                      </w:p>
                    </w:tc>
                  </w:tr>
                  <w:tr>
                    <w:trPr>
                      <w:trHeight w:val="216" w:hRule="exact"/>
                    </w:trPr>
                    <w:tc>
                      <w:tcPr>
                        <w:tcW w:w="1260" w:type="dxa"/>
                        <w:gridSpan w:val="2"/>
                        <w:vMerge w:val="restart"/>
                      </w:tcPr>
                      <w:p>
                        <w:pPr>
                          <w:pStyle w:val="TableParagraph"/>
                          <w:spacing w:before="59"/>
                          <w:ind w:left="144"/>
                          <w:jc w:val="left"/>
                          <w:rPr>
                            <w:sz w:val="21"/>
                          </w:rPr>
                        </w:pPr>
                        <w:r>
                          <w:rPr>
                            <w:sz w:val="21"/>
                          </w:rPr>
                          <w:t>沟槽开挖</w:t>
                        </w:r>
                      </w:p>
                    </w:tc>
                    <w:tc>
                      <w:tcPr>
                        <w:tcW w:w="260" w:type="dxa"/>
                        <w:tcBorders>
                          <w:top w:val="nil"/>
                          <w:bottom w:val="single" w:sz="8" w:space="0" w:color="000000"/>
                          <w:right w:val="nil"/>
                        </w:tcBorders>
                      </w:tcPr>
                      <w:p>
                        <w:pPr/>
                      </w:p>
                    </w:tc>
                  </w:tr>
                  <w:tr>
                    <w:trPr>
                      <w:trHeight w:val="252" w:hRule="exact"/>
                    </w:trPr>
                    <w:tc>
                      <w:tcPr>
                        <w:tcW w:w="1260" w:type="dxa"/>
                        <w:gridSpan w:val="2"/>
                        <w:vMerge/>
                      </w:tcPr>
                      <w:p>
                        <w:pPr/>
                      </w:p>
                    </w:tc>
                    <w:tc>
                      <w:tcPr>
                        <w:tcW w:w="260" w:type="dxa"/>
                        <w:tcBorders>
                          <w:top w:val="single" w:sz="8" w:space="0" w:color="000000"/>
                          <w:bottom w:val="nil"/>
                          <w:right w:val="nil"/>
                        </w:tcBorders>
                      </w:tcPr>
                      <w:p>
                        <w:pPr/>
                      </w:p>
                    </w:tc>
                  </w:tr>
                </w:tbl>
                <w:p>
                  <w:pPr>
                    <w:pStyle w:val="BodyText"/>
                    <w:spacing w:before="0"/>
                  </w:pPr>
                </w:p>
              </w:txbxContent>
            </v:textbox>
            <w10:wrap type="none"/>
          </v:shape>
        </w:pict>
      </w:r>
      <w:r>
        <w:rPr>
          <w:sz w:val="21"/>
        </w:rPr>
        <w:t>噪声</w:t>
      </w:r>
    </w:p>
    <w:p>
      <w:pPr>
        <w:spacing w:after="0"/>
        <w:jc w:val="left"/>
        <w:rPr>
          <w:sz w:val="21"/>
        </w:rPr>
        <w:sectPr>
          <w:pgSz w:w="11910" w:h="16840"/>
          <w:pgMar w:header="0" w:footer="1186" w:top="1200" w:bottom="1380" w:left="1240" w:right="1240"/>
        </w:sectPr>
      </w:pPr>
    </w:p>
    <w:p>
      <w:pPr>
        <w:spacing w:before="90"/>
        <w:ind w:left="737" w:right="0" w:firstLine="0"/>
        <w:jc w:val="left"/>
        <w:rPr>
          <w:sz w:val="21"/>
        </w:rPr>
      </w:pPr>
      <w:r>
        <w:rPr>
          <w:sz w:val="21"/>
        </w:rPr>
        <w:t>道路切割</w:t>
      </w:r>
    </w:p>
    <w:p>
      <w:pPr>
        <w:tabs>
          <w:tab w:pos="2359" w:val="left" w:leader="none"/>
          <w:tab w:pos="4156" w:val="left" w:leader="none"/>
        </w:tabs>
        <w:spacing w:line="681" w:lineRule="auto" w:before="92"/>
        <w:ind w:left="4156" w:right="1188" w:hanging="3419"/>
        <w:jc w:val="right"/>
        <w:rPr>
          <w:sz w:val="21"/>
        </w:rPr>
      </w:pPr>
      <w:r>
        <w:rPr/>
        <w:br w:type="column"/>
      </w:r>
      <w:r>
        <w:rPr>
          <w:sz w:val="21"/>
        </w:rPr>
        <w:t>管道安装</w:t>
        <w:tab/>
        <w:t>下管入沟</w:t>
        <w:tab/>
        <w:t>回填土方路面恢复</w:t>
      </w:r>
    </w:p>
    <w:p>
      <w:pPr>
        <w:spacing w:after="0" w:line="681" w:lineRule="auto"/>
        <w:jc w:val="right"/>
        <w:rPr>
          <w:sz w:val="21"/>
        </w:rPr>
        <w:sectPr>
          <w:type w:val="continuous"/>
          <w:pgSz w:w="11910" w:h="16840"/>
          <w:pgMar w:top="1580" w:bottom="280" w:left="1240" w:right="1240"/>
          <w:cols w:num="2" w:equalWidth="0">
            <w:col w:w="1578" w:space="1662"/>
            <w:col w:w="6190"/>
          </w:cols>
        </w:sectPr>
      </w:pPr>
    </w:p>
    <w:p>
      <w:pPr>
        <w:pStyle w:val="BodyText"/>
        <w:spacing w:before="5"/>
        <w:rPr>
          <w:sz w:val="3"/>
        </w:rPr>
      </w:pPr>
      <w:r>
        <w:rPr/>
        <w:pict>
          <v:group style="position:absolute;margin-left:67.550003pt;margin-top:87.649986pt;width:460.2pt;height:676.7pt;mso-position-horizontal-relative:page;mso-position-vertical-relative:page;z-index:-83824" coordorigin="1351,1753" coordsize="9204,13534">
            <v:shape style="position:absolute;left:1356;top:1758;width:9189;height:13524" coordorigin="1356,1758" coordsize="9189,13524" path="m1361,1763l10544,1763m1356,1758l1356,15282e" filled="false" stroked="true" strokeweight=".48pt" strokecolor="#000000">
              <v:path arrowok="t"/>
              <v:stroke dashstyle="solid"/>
            </v:shape>
            <v:line style="position:absolute" from="1361,15277" to="10544,15277" stroked="true" strokeweight=".48pt" strokecolor="#000000">
              <v:stroke dashstyle="solid"/>
            </v:line>
            <v:line style="position:absolute" from="10549,1758" to="10549,15282" stroked="true" strokeweight=".48pt" strokecolor="#000000">
              <v:stroke dashstyle="solid"/>
            </v:line>
            <v:shape style="position:absolute;left:1826;top:7162;width:7918;height:1252" coordorigin="1826,7162" coordsize="7918,1252" path="m1826,7634l3084,7634,3084,7164,1826,7164,1826,7634xm5066,7632l6326,7632,6326,7164,5066,7164,5066,7632xm6688,7632l7946,7632,7946,7162,6688,7162,6688,7632xm8484,7634l9744,7634,9744,7166,8484,7166,8484,7634xm8484,8414l9744,8414,9744,7946,8484,7946,8484,8414xe" filled="false" stroked="true" strokeweight=".75pt" strokecolor="#000000">
              <v:path arrowok="t"/>
              <v:stroke dashstyle="solid"/>
            </v:shape>
            <v:shape style="position:absolute;left:4946;top:7320;width:120;height:120" coordorigin="4946,7320" coordsize="120,120" path="m4946,7320l4946,7440,5066,7380,4946,7320xe" filled="true" fillcolor="#000000" stroked="false">
              <v:path arrowok="t"/>
              <v:fill type="solid"/>
            </v:shape>
            <v:line style="position:absolute" from="3088,7348" to="3348,7348" stroked="true" strokeweight="1pt" strokecolor="#000000">
              <v:stroke dashstyle="solid"/>
            </v:line>
            <v:shape style="position:absolute;left:3328;top:7288;width:120;height:120" coordorigin="3328,7288" coordsize="120,120" path="m3328,7288l3328,7408,3448,7348,3328,7288xe" filled="true" fillcolor="#000000" stroked="false">
              <v:path arrowok="t"/>
              <v:fill type="solid"/>
            </v:shape>
            <v:line style="position:absolute" from="6328,7363" to="6588,7363" stroked="true" strokeweight="1pt" strokecolor="#000000">
              <v:stroke dashstyle="solid"/>
            </v:line>
            <v:shape style="position:absolute;left:6568;top:7303;width:120;height:120" coordorigin="6568,7303" coordsize="120,120" path="m6568,7303l6568,7423,6688,7363,6568,7303xe" filled="true" fillcolor="#000000" stroked="false">
              <v:path arrowok="t"/>
              <v:fill type="solid"/>
            </v:shape>
            <v:line style="position:absolute" from="7948,7393" to="8386,7393" stroked="true" strokeweight="1pt" strokecolor="#000000">
              <v:stroke dashstyle="solid"/>
            </v:line>
            <v:shape style="position:absolute;left:8366;top:7333;width:120;height:120" coordorigin="8366,7333" coordsize="120,120" path="m8366,7333l8366,7453,8486,7393,8366,7333xe" filled="true" fillcolor="#000000" stroked="false">
              <v:path arrowok="t"/>
              <v:fill type="solid"/>
            </v:shape>
            <v:line style="position:absolute" from="9026,8412" to="9026,8624" stroked="true" strokeweight="1pt" strokecolor="#000000">
              <v:stroke dashstyle="solid"/>
            </v:line>
            <v:shape style="position:absolute;left:8966;top:8604;width:120;height:120" coordorigin="8966,8604" coordsize="120,120" path="m9086,8604l8966,8604,9026,8724,9086,8604xe" filled="true" fillcolor="#000000" stroked="false">
              <v:path arrowok="t"/>
              <v:fill type="solid"/>
            </v:shape>
            <v:line style="position:absolute" from="9026,7632" to="9026,7844" stroked="true" strokeweight="1pt" strokecolor="#000000">
              <v:stroke dashstyle="solid"/>
            </v:line>
            <v:shape style="position:absolute;left:8966;top:7824;width:120;height:120" coordorigin="8966,7824" coordsize="120,120" path="m9086,7824l8966,7824,9026,7944,9086,7824xe" filled="true" fillcolor="#000000" stroked="false">
              <v:path arrowok="t"/>
              <v:fill type="solid"/>
            </v:shape>
            <v:shape style="position:absolute;left:3924;top:6698;width:120;height:120" coordorigin="3924,6698" coordsize="120,120" path="m3984,6698l3924,6818,4044,6818,3984,6698xe" filled="true" fillcolor="#000000" stroked="false">
              <v:path arrowok="t"/>
              <v:fill type="solid"/>
            </v:shape>
            <v:line style="position:absolute" from="7316,7164" to="7316,6796" stroked="true" strokeweight="1pt" strokecolor="#000000">
              <v:stroke dashstyle="shortdash"/>
            </v:line>
            <v:shape style="position:absolute;left:7256;top:6696;width:120;height:120" coordorigin="7256,6696" coordsize="120,120" path="m7316,6696l7256,6816,7376,6816,7316,6696xe" filled="true" fillcolor="#000000" stroked="false">
              <v:path arrowok="t"/>
              <v:fill type="solid"/>
            </v:shape>
            <v:line style="position:absolute" from="9026,7179" to="9026,6811" stroked="true" strokeweight="1pt" strokecolor="#000000">
              <v:stroke dashstyle="shortdash"/>
            </v:line>
            <v:shape style="position:absolute;left:8966;top:6711;width:120;height:120" coordorigin="8966,6711" coordsize="120,120" path="m9026,6711l8966,6831,9086,6831,9026,6711xe" filled="true" fillcolor="#000000" stroked="false">
              <v:path arrowok="t"/>
              <v:fill type="solid"/>
            </v:shape>
            <w10:wrap type="none"/>
          </v:group>
        </w:pict>
      </w:r>
    </w:p>
    <w:p>
      <w:pPr>
        <w:spacing w:line="240" w:lineRule="auto"/>
        <w:ind w:left="7236" w:right="0" w:firstLine="0"/>
        <w:rPr>
          <w:sz w:val="20"/>
        </w:rPr>
      </w:pPr>
      <w:r>
        <w:rPr>
          <w:rFonts w:ascii="Times New Roman"/>
          <w:spacing w:val="-49"/>
          <w:sz w:val="20"/>
        </w:rPr>
        <w:t> </w:t>
      </w:r>
      <w:r>
        <w:rPr>
          <w:spacing w:val="-49"/>
          <w:sz w:val="20"/>
        </w:rPr>
        <w:pict>
          <v:shape style="width:63pt;height:23.4pt;mso-position-horizontal-relative:char;mso-position-vertical-relative:line" type="#_x0000_t202" filled="false" stroked="true" strokeweight=".75pt" strokecolor="#000000">
            <w10:anchorlock/>
            <v:textbox inset="0,0,0,0">
              <w:txbxContent>
                <w:p>
                  <w:pPr>
                    <w:spacing w:before="58"/>
                    <w:ind w:left="144" w:right="0" w:firstLine="0"/>
                    <w:jc w:val="left"/>
                    <w:rPr>
                      <w:sz w:val="21"/>
                    </w:rPr>
                  </w:pPr>
                  <w:r>
                    <w:rPr>
                      <w:sz w:val="21"/>
                    </w:rPr>
                    <w:t>试压生产</w:t>
                  </w:r>
                </w:p>
              </w:txbxContent>
            </v:textbox>
            <v:stroke dashstyle="solid"/>
          </v:shape>
        </w:pict>
      </w:r>
      <w:r>
        <w:rPr>
          <w:spacing w:val="-49"/>
          <w:sz w:val="20"/>
        </w:rPr>
      </w:r>
    </w:p>
    <w:p>
      <w:pPr>
        <w:pStyle w:val="BodyText"/>
        <w:spacing w:before="0"/>
        <w:rPr>
          <w:sz w:val="20"/>
        </w:rPr>
      </w:pPr>
    </w:p>
    <w:p>
      <w:pPr>
        <w:pStyle w:val="Heading2"/>
        <w:tabs>
          <w:tab w:pos="3877" w:val="left" w:leader="none"/>
        </w:tabs>
        <w:spacing w:before="202"/>
        <w:ind w:left="2896"/>
      </w:pPr>
      <w:r>
        <w:rPr/>
        <w:t>图</w:t>
      </w:r>
      <w:r>
        <w:rPr>
          <w:spacing w:val="-61"/>
        </w:rPr>
        <w:t> </w:t>
      </w:r>
      <w:r>
        <w:rPr>
          <w:rFonts w:ascii="Times New Roman" w:eastAsia="Times New Roman"/>
        </w:rPr>
        <w:t>5-1</w:t>
        <w:tab/>
      </w:r>
      <w:r>
        <w:rPr>
          <w:w w:val="95"/>
        </w:rPr>
        <w:t>基础设施建设工艺流程图</w:t>
      </w:r>
    </w:p>
    <w:p>
      <w:pPr>
        <w:spacing w:before="135"/>
        <w:ind w:left="706" w:right="0" w:firstLine="0"/>
        <w:jc w:val="left"/>
        <w:rPr>
          <w:b/>
          <w:sz w:val="24"/>
        </w:rPr>
      </w:pPr>
      <w:r>
        <w:rPr>
          <w:rFonts w:ascii="Times New Roman" w:eastAsia="Times New Roman"/>
          <w:b/>
          <w:w w:val="95"/>
          <w:sz w:val="24"/>
        </w:rPr>
        <w:t>2</w:t>
      </w:r>
      <w:r>
        <w:rPr>
          <w:b/>
          <w:w w:val="95"/>
          <w:sz w:val="24"/>
        </w:rPr>
        <w:t>、施工组织及施工工艺</w:t>
      </w:r>
    </w:p>
    <w:p>
      <w:pPr>
        <w:pStyle w:val="BodyText"/>
        <w:ind w:left="704"/>
      </w:pPr>
      <w:r>
        <w:rPr/>
        <w:t>（</w:t>
      </w:r>
      <w:r>
        <w:rPr>
          <w:rFonts w:ascii="Times New Roman" w:eastAsia="Times New Roman"/>
        </w:rPr>
        <w:t>1</w:t>
      </w:r>
      <w:r>
        <w:rPr/>
        <w:t>）施工组织</w:t>
      </w:r>
    </w:p>
    <w:p>
      <w:pPr>
        <w:pStyle w:val="BodyText"/>
        <w:spacing w:line="338" w:lineRule="auto"/>
        <w:ind w:left="224" w:right="216" w:firstLine="480"/>
      </w:pPr>
      <w:r>
        <w:rPr>
          <w:spacing w:val="-5"/>
        </w:rPr>
        <w:t>根据现场调查，本项目已于 </w:t>
      </w:r>
      <w:r>
        <w:rPr>
          <w:rFonts w:ascii="Times New Roman" w:eastAsia="Times New Roman"/>
          <w:spacing w:val="-3"/>
        </w:rPr>
        <w:t>2011 </w:t>
      </w:r>
      <w:r>
        <w:rPr>
          <w:spacing w:val="-27"/>
        </w:rPr>
        <w:t>年 </w:t>
      </w:r>
      <w:r>
        <w:rPr>
          <w:rFonts w:ascii="Times New Roman" w:eastAsia="Times New Roman"/>
        </w:rPr>
        <w:t>9 </w:t>
      </w:r>
      <w:r>
        <w:rPr/>
        <w:t>月开工建设，</w:t>
      </w:r>
      <w:r>
        <w:rPr>
          <w:rFonts w:ascii="Times New Roman" w:eastAsia="Times New Roman"/>
        </w:rPr>
        <w:t>2011 </w:t>
      </w:r>
      <w:r>
        <w:rPr>
          <w:spacing w:val="-27"/>
        </w:rPr>
        <w:t>年 </w:t>
      </w:r>
      <w:r>
        <w:rPr>
          <w:rFonts w:ascii="Times New Roman" w:eastAsia="Times New Roman"/>
          <w:spacing w:val="-5"/>
        </w:rPr>
        <w:t>11 </w:t>
      </w:r>
      <w:r>
        <w:rPr/>
        <w:t>月竣工投入使用， </w:t>
      </w:r>
      <w:r>
        <w:rPr>
          <w:spacing w:val="-12"/>
        </w:rPr>
        <w:t>建设工期 </w:t>
      </w:r>
      <w:r>
        <w:rPr>
          <w:rFonts w:ascii="Times New Roman" w:eastAsia="Times New Roman"/>
        </w:rPr>
        <w:t>3 </w:t>
      </w:r>
      <w:r>
        <w:rPr/>
        <w:t>个月。本项目施工无涉水施工，因此对区域水环境影响较小。</w:t>
      </w:r>
    </w:p>
    <w:p>
      <w:pPr>
        <w:pStyle w:val="BodyText"/>
        <w:spacing w:before="26"/>
        <w:ind w:left="704"/>
      </w:pPr>
      <w:r>
        <w:rPr/>
        <w:t>（</w:t>
      </w:r>
      <w:r>
        <w:rPr>
          <w:rFonts w:ascii="Times New Roman" w:eastAsia="Times New Roman"/>
        </w:rPr>
        <w:t>2</w:t>
      </w:r>
      <w:r>
        <w:rPr/>
        <w:t>）施工工艺</w:t>
      </w:r>
    </w:p>
    <w:p>
      <w:pPr>
        <w:pStyle w:val="BodyText"/>
        <w:ind w:left="704"/>
      </w:pPr>
      <w:r>
        <w:rPr>
          <w:rFonts w:ascii="Times New Roman" w:eastAsia="Times New Roman"/>
        </w:rPr>
        <w:t>1</w:t>
      </w:r>
      <w:r>
        <w:rPr/>
        <w:t>、土石方工程</w:t>
      </w:r>
    </w:p>
    <w:p>
      <w:pPr>
        <w:pStyle w:val="BodyText"/>
        <w:spacing w:line="357" w:lineRule="auto"/>
        <w:ind w:left="224" w:right="216" w:firstLine="480"/>
      </w:pPr>
      <w:r>
        <w:rPr/>
        <w:t>施工前须在施工区域设置安全隔离带，设置安全标识与拉线电灯，避免交通安全事故。</w:t>
      </w:r>
    </w:p>
    <w:p>
      <w:pPr>
        <w:pStyle w:val="BodyText"/>
        <w:spacing w:line="357" w:lineRule="auto" w:before="35"/>
        <w:ind w:left="224" w:right="216" w:firstLine="480"/>
      </w:pPr>
      <w:r>
        <w:rPr/>
        <w:t>管道开挖主要采用机械开挖为主，辅以人工开挖。填方段则以装载机械或推土机伴以人工施工，压路机碾压密实。</w:t>
      </w:r>
    </w:p>
    <w:p>
      <w:pPr>
        <w:pStyle w:val="BodyText"/>
        <w:spacing w:before="35"/>
        <w:ind w:left="704"/>
      </w:pPr>
      <w:r>
        <w:rPr>
          <w:rFonts w:ascii="Times New Roman" w:eastAsia="Times New Roman"/>
        </w:rPr>
        <w:t>2</w:t>
      </w:r>
      <w:r>
        <w:rPr/>
        <w:t>、下管与管道安装</w:t>
      </w:r>
    </w:p>
    <w:p>
      <w:pPr>
        <w:spacing w:after="0"/>
        <w:sectPr>
          <w:type w:val="continuous"/>
          <w:pgSz w:w="11910" w:h="16840"/>
          <w:pgMar w:top="1580" w:bottom="280" w:left="1240" w:right="1240"/>
        </w:sectPr>
      </w:pPr>
    </w:p>
    <w:p>
      <w:pPr>
        <w:pStyle w:val="BodyText"/>
        <w:spacing w:line="338" w:lineRule="auto" w:before="45"/>
        <w:ind w:left="223" w:right="222" w:firstLine="480"/>
        <w:jc w:val="both"/>
      </w:pPr>
      <w:r>
        <w:rPr/>
        <w:pict>
          <v:group style="position:absolute;margin-left:67.550003pt;margin-top:56.448982pt;width:460.2pt;height:703.5pt;mso-position-horizontal-relative:page;mso-position-vertical-relative:page;z-index:-83776" coordorigin="1351,1129" coordsize="9204,14070">
            <v:line style="position:absolute" from="1361,1139" to="10544,1139" stroked="true" strokeweight=".481pt" strokecolor="#000000">
              <v:stroke dashstyle="solid"/>
            </v:line>
            <v:line style="position:absolute" from="1356,1134" to="1356,15193" stroked="true" strokeweight=".48pt" strokecolor="#000000">
              <v:stroke dashstyle="solid"/>
            </v:line>
            <v:line style="position:absolute" from="1361,15188" to="10544,15188" stroked="true" strokeweight=".48pt" strokecolor="#000000">
              <v:stroke dashstyle="solid"/>
            </v:line>
            <v:line style="position:absolute" from="10549,1134" to="10549,15193" stroked="true" strokeweight=".48pt" strokecolor="#000000">
              <v:stroke dashstyle="solid"/>
            </v:line>
            <w10:wrap type="none"/>
          </v:group>
        </w:pict>
      </w:r>
      <w:r>
        <w:rPr>
          <w:spacing w:val="-5"/>
        </w:rPr>
        <w:t>人工开挖的沟槽深度超过 </w:t>
      </w:r>
      <w:r>
        <w:rPr>
          <w:rFonts w:ascii="Times New Roman" w:eastAsia="Times New Roman"/>
        </w:rPr>
        <w:t>3m </w:t>
      </w:r>
      <w:r>
        <w:rPr>
          <w:spacing w:val="-4"/>
        </w:rPr>
        <w:t>时应分层开挖，每层的深度不宜超过 </w:t>
      </w:r>
      <w:r>
        <w:rPr>
          <w:rFonts w:ascii="Times New Roman" w:eastAsia="Times New Roman"/>
        </w:rPr>
        <w:t>2m</w:t>
      </w:r>
      <w:r>
        <w:rPr/>
        <w:t>；人工开挖</w:t>
      </w:r>
      <w:r>
        <w:rPr>
          <w:spacing w:val="-4"/>
        </w:rPr>
        <w:t>多层沟槽的层间留台宽度，放坡开槽时不应小于 </w:t>
      </w:r>
      <w:r>
        <w:rPr>
          <w:rFonts w:ascii="Times New Roman" w:eastAsia="Times New Roman"/>
          <w:spacing w:val="-3"/>
        </w:rPr>
        <w:t>0.8m</w:t>
      </w:r>
      <w:r>
        <w:rPr>
          <w:spacing w:val="-9"/>
        </w:rPr>
        <w:t>，直槽时不应小于 </w:t>
      </w:r>
      <w:r>
        <w:rPr>
          <w:rFonts w:ascii="Times New Roman" w:eastAsia="Times New Roman"/>
          <w:spacing w:val="-3"/>
        </w:rPr>
        <w:t>0.5m</w:t>
      </w:r>
      <w:r>
        <w:rPr>
          <w:spacing w:val="-2"/>
        </w:rPr>
        <w:t>，安装井</w:t>
      </w:r>
      <w:r>
        <w:rPr>
          <w:spacing w:val="-9"/>
        </w:rPr>
        <w:t>点设备时不应小于 </w:t>
      </w:r>
      <w:r>
        <w:rPr>
          <w:rFonts w:ascii="Times New Roman" w:eastAsia="Times New Roman"/>
        </w:rPr>
        <w:t>1.5m</w:t>
      </w:r>
      <w:r>
        <w:rPr/>
        <w:t>。</w:t>
      </w:r>
    </w:p>
    <w:p>
      <w:pPr>
        <w:pStyle w:val="BodyText"/>
        <w:spacing w:line="357" w:lineRule="auto" w:before="26"/>
        <w:ind w:left="224" w:right="221" w:firstLine="480"/>
        <w:jc w:val="both"/>
      </w:pPr>
      <w:r>
        <w:rPr/>
        <w:t>采用机械挖槽时，沟槽分层的深度应按机械性能确定，沟槽每侧临时堆土或施加其它负荷时，不得影响建筑物、各种管线和其它设施的安全；不得掩埋消防栓、管道闸门、雨水口、测量标志以及各种地下管道的井盖，且不得妨碍其正常使用；人工挖槽时，堆土高度不宜超过 </w:t>
      </w:r>
      <w:r>
        <w:rPr>
          <w:rFonts w:ascii="Times New Roman" w:eastAsia="Times New Roman"/>
        </w:rPr>
        <w:t>1.5m</w:t>
      </w:r>
      <w:r>
        <w:rPr/>
        <w:t>，且距槽口边缘不宜少于 </w:t>
      </w:r>
      <w:r>
        <w:rPr>
          <w:rFonts w:ascii="Times New Roman" w:eastAsia="Times New Roman"/>
        </w:rPr>
        <w:t>0.8m</w:t>
      </w:r>
      <w:r>
        <w:rPr/>
        <w:t>。</w:t>
      </w:r>
    </w:p>
    <w:p>
      <w:pPr>
        <w:pStyle w:val="BodyText"/>
        <w:spacing w:before="5"/>
        <w:ind w:left="704"/>
      </w:pPr>
      <w:r>
        <w:rPr/>
        <w:t>沟槽的开挖质量应满足下列规定：</w:t>
      </w:r>
    </w:p>
    <w:p>
      <w:pPr>
        <w:pStyle w:val="BodyText"/>
        <w:spacing w:before="154"/>
        <w:ind w:left="704"/>
      </w:pPr>
      <w:r>
        <w:rPr/>
        <w:t>（</w:t>
      </w:r>
      <w:r>
        <w:rPr>
          <w:rFonts w:ascii="Times New Roman" w:eastAsia="Times New Roman"/>
        </w:rPr>
        <w:t>1</w:t>
      </w:r>
      <w:r>
        <w:rPr/>
        <w:t>）不扰动天然地基或地基处理符合设计要求；</w:t>
      </w:r>
    </w:p>
    <w:p>
      <w:pPr>
        <w:pStyle w:val="BodyText"/>
        <w:spacing w:before="136"/>
        <w:ind w:left="704"/>
      </w:pPr>
      <w:r>
        <w:rPr/>
        <w:t>（</w:t>
      </w:r>
      <w:r>
        <w:rPr>
          <w:rFonts w:ascii="Times New Roman" w:eastAsia="Times New Roman"/>
        </w:rPr>
        <w:t>2</w:t>
      </w:r>
      <w:r>
        <w:rPr/>
        <w:t>）槽壁平整，边坡坡度符合施工设计的规定；</w:t>
      </w:r>
    </w:p>
    <w:p>
      <w:pPr>
        <w:pStyle w:val="BodyText"/>
        <w:spacing w:before="136"/>
        <w:ind w:left="704"/>
      </w:pPr>
      <w:r>
        <w:rPr/>
        <w:t>（</w:t>
      </w:r>
      <w:r>
        <w:rPr>
          <w:rFonts w:ascii="Times New Roman" w:eastAsia="Times New Roman"/>
        </w:rPr>
        <w:t>3</w:t>
      </w:r>
      <w:r>
        <w:rPr/>
        <w:t>）沟槽中心线每侧的净宽度不应小于管道沟槽底部开挖宽度的一半；</w:t>
      </w:r>
    </w:p>
    <w:p>
      <w:pPr>
        <w:pStyle w:val="BodyText"/>
        <w:spacing w:before="136"/>
        <w:ind w:left="704"/>
      </w:pPr>
      <w:r>
        <w:rPr/>
        <w:t>（</w:t>
      </w:r>
      <w:r>
        <w:rPr>
          <w:rFonts w:ascii="Times New Roman" w:hAnsi="Times New Roman" w:eastAsia="Times New Roman"/>
        </w:rPr>
        <w:t>4</w:t>
      </w:r>
      <w:r>
        <w:rPr/>
        <w:t>）槽底高程的允许偏差：开挖土方时允许偏差为</w:t>
      </w:r>
      <w:r>
        <w:rPr>
          <w:rFonts w:ascii="Times New Roman" w:hAnsi="Times New Roman" w:eastAsia="Times New Roman"/>
        </w:rPr>
        <w:t>±20mm</w:t>
      </w:r>
      <w:r>
        <w:rPr/>
        <w:t>；开挖石方时应为</w:t>
      </w:r>
    </w:p>
    <w:p>
      <w:pPr>
        <w:pStyle w:val="BodyText"/>
        <w:spacing w:before="136"/>
        <w:ind w:left="224"/>
      </w:pPr>
      <w:r>
        <w:rPr>
          <w:rFonts w:ascii="Times New Roman" w:eastAsia="Times New Roman"/>
        </w:rPr>
        <w:t>+20mm</w:t>
      </w:r>
      <w:r>
        <w:rPr/>
        <w:t>、</w:t>
      </w:r>
      <w:r>
        <w:rPr>
          <w:rFonts w:ascii="Times New Roman" w:eastAsia="Times New Roman"/>
        </w:rPr>
        <w:t>-200mm</w:t>
      </w:r>
      <w:r>
        <w:rPr/>
        <w:t>。</w:t>
      </w:r>
    </w:p>
    <w:p>
      <w:pPr>
        <w:pStyle w:val="BodyText"/>
        <w:spacing w:before="136"/>
        <w:ind w:left="704"/>
      </w:pPr>
      <w:r>
        <w:rPr/>
        <w:t>经闭水实验检验合格后，即可回填。</w:t>
      </w:r>
    </w:p>
    <w:p>
      <w:pPr>
        <w:pStyle w:val="BodyText"/>
        <w:spacing w:before="154"/>
        <w:ind w:left="704"/>
      </w:pPr>
      <w:r>
        <w:rPr>
          <w:rFonts w:ascii="Times New Roman" w:eastAsia="Times New Roman"/>
        </w:rPr>
        <w:t>3</w:t>
      </w:r>
      <w:r>
        <w:rPr/>
        <w:t>、闭水实验</w:t>
      </w:r>
    </w:p>
    <w:p>
      <w:pPr>
        <w:pStyle w:val="BodyText"/>
        <w:spacing w:line="357" w:lineRule="auto"/>
        <w:ind w:left="224" w:right="216" w:firstLine="480"/>
      </w:pPr>
      <w:r>
        <w:rPr/>
        <w:t>本项目为污水管道建设，按照市政施工规程要求，必须在回填前做闭水试验。闭水试验前，施工现场应具备以下条件：</w:t>
      </w:r>
    </w:p>
    <w:p>
      <w:pPr>
        <w:pStyle w:val="BodyText"/>
        <w:spacing w:before="35"/>
        <w:ind w:left="704"/>
      </w:pPr>
      <w:r>
        <w:rPr/>
        <w:t>（</w:t>
      </w:r>
      <w:r>
        <w:rPr>
          <w:rFonts w:ascii="Times New Roman" w:hAnsi="Times New Roman" w:eastAsia="Times New Roman"/>
        </w:rPr>
        <w:t>1</w:t>
      </w:r>
      <w:r>
        <w:rPr/>
        <w:t>）管道及检查井的外观质量及</w:t>
      </w:r>
      <w:r>
        <w:rPr>
          <w:rFonts w:ascii="Times New Roman" w:hAnsi="Times New Roman" w:eastAsia="Times New Roman"/>
        </w:rPr>
        <w:t>“</w:t>
      </w:r>
      <w:r>
        <w:rPr/>
        <w:t>量测</w:t>
      </w:r>
      <w:r>
        <w:rPr>
          <w:rFonts w:ascii="Times New Roman" w:hAnsi="Times New Roman" w:eastAsia="Times New Roman"/>
        </w:rPr>
        <w:t>”</w:t>
      </w:r>
      <w:r>
        <w:rPr/>
        <w:t>检验均已合格；</w:t>
      </w:r>
    </w:p>
    <w:p>
      <w:pPr>
        <w:pStyle w:val="BodyText"/>
        <w:spacing w:line="338" w:lineRule="auto"/>
        <w:ind w:left="224" w:right="127" w:firstLine="480"/>
      </w:pPr>
      <w:r>
        <w:rPr>
          <w:spacing w:val="-10"/>
        </w:rPr>
        <w:t>（</w:t>
      </w:r>
      <w:r>
        <w:rPr>
          <w:rFonts w:ascii="Times New Roman" w:eastAsia="Times New Roman"/>
          <w:spacing w:val="-10"/>
        </w:rPr>
        <w:t>2</w:t>
      </w:r>
      <w:r>
        <w:rPr>
          <w:spacing w:val="-10"/>
        </w:rPr>
        <w:t>）</w:t>
      </w:r>
      <w:r>
        <w:rPr>
          <w:spacing w:val="-5"/>
        </w:rPr>
        <w:t>管道两端的管堵</w:t>
      </w:r>
      <w:r>
        <w:rPr/>
        <w:t>（砖砌筑</w:t>
      </w:r>
      <w:r>
        <w:rPr>
          <w:spacing w:val="-29"/>
        </w:rPr>
        <w:t>）</w:t>
      </w:r>
      <w:r>
        <w:rPr>
          <w:spacing w:val="-8"/>
        </w:rPr>
        <w:t>应封堵严密、牢固，下有管堵设置放水管和截门， 管堵经核算可以承受压力；</w:t>
      </w:r>
    </w:p>
    <w:p>
      <w:pPr>
        <w:pStyle w:val="BodyText"/>
        <w:spacing w:before="55"/>
        <w:ind w:left="703"/>
      </w:pPr>
      <w:r>
        <w:rPr/>
        <w:t>（</w:t>
      </w:r>
      <w:r>
        <w:rPr>
          <w:rFonts w:ascii="Times New Roman" w:eastAsia="Times New Roman"/>
        </w:rPr>
        <w:t>3</w:t>
      </w:r>
      <w:r>
        <w:rPr/>
        <w:t>）现场的水源满足闭水需要，不影响其它用水；</w:t>
      </w:r>
    </w:p>
    <w:p>
      <w:pPr>
        <w:pStyle w:val="BodyText"/>
        <w:ind w:left="703"/>
      </w:pPr>
      <w:r>
        <w:rPr/>
        <w:t>（</w:t>
      </w:r>
      <w:r>
        <w:rPr>
          <w:rFonts w:ascii="Times New Roman" w:eastAsia="Times New Roman"/>
        </w:rPr>
        <w:t>4</w:t>
      </w:r>
      <w:r>
        <w:rPr/>
        <w:t>）选好排放水的位置，不得影响周围环境。</w:t>
      </w:r>
    </w:p>
    <w:p>
      <w:pPr>
        <w:pStyle w:val="BodyText"/>
        <w:spacing w:line="357" w:lineRule="auto"/>
        <w:ind w:left="223" w:right="216" w:firstLine="480"/>
      </w:pPr>
      <w:r>
        <w:rPr/>
        <w:t>在具备了闭水条件后，即可进行管道闭水试验。试验从上游往下游分段进行，上游实验完毕后，可往下游充水，倒段试验以节约用水。试验各阶段说明如下：</w:t>
      </w:r>
    </w:p>
    <w:p>
      <w:pPr>
        <w:pStyle w:val="BodyText"/>
        <w:spacing w:line="348" w:lineRule="auto" w:before="36"/>
        <w:ind w:left="223" w:right="222" w:firstLine="480"/>
        <w:jc w:val="both"/>
      </w:pPr>
      <w:r>
        <w:rPr/>
        <w:t>（</w:t>
      </w:r>
      <w:r>
        <w:rPr>
          <w:rFonts w:ascii="Times New Roman" w:eastAsia="Times New Roman"/>
        </w:rPr>
        <w:t>1</w:t>
      </w:r>
      <w:r>
        <w:rPr/>
        <w:t>）注水浸泡：闭水试验的水位，应为试验段上游管内顶以上 </w:t>
      </w:r>
      <w:r>
        <w:rPr>
          <w:rFonts w:ascii="Times New Roman" w:eastAsia="Times New Roman"/>
        </w:rPr>
        <w:t>2m</w:t>
      </w:r>
      <w:r>
        <w:rPr/>
        <w:t>，将水灌至接近上游井口高度。注水过程应检查管堵、管道、井身，无漏水和严重渗水，在浸泡管和井 </w:t>
      </w:r>
      <w:r>
        <w:rPr>
          <w:rFonts w:ascii="Times New Roman" w:eastAsia="Times New Roman"/>
        </w:rPr>
        <w:t>1</w:t>
      </w:r>
      <w:r>
        <w:rPr/>
        <w:t>～</w:t>
      </w:r>
      <w:r>
        <w:rPr>
          <w:rFonts w:ascii="Times New Roman" w:eastAsia="Times New Roman"/>
        </w:rPr>
        <w:t>2 </w:t>
      </w:r>
      <w:r>
        <w:rPr/>
        <w:t>天进行闭水试验；</w:t>
      </w:r>
    </w:p>
    <w:p>
      <w:pPr>
        <w:pStyle w:val="BodyText"/>
        <w:spacing w:before="16"/>
        <w:ind w:left="703"/>
      </w:pPr>
      <w:r>
        <w:rPr/>
        <w:t>（</w:t>
      </w:r>
      <w:r>
        <w:rPr>
          <w:rFonts w:ascii="Times New Roman" w:eastAsia="Times New Roman"/>
        </w:rPr>
        <w:t>2</w:t>
      </w:r>
      <w:r>
        <w:rPr/>
        <w:t>）闭水试验：将水灌至规定的水位，开始记录，对渗水量的测定时间，不少于</w:t>
      </w:r>
    </w:p>
    <w:p>
      <w:pPr>
        <w:pStyle w:val="BodyText"/>
        <w:spacing w:line="338" w:lineRule="auto"/>
        <w:ind w:left="223" w:right="216"/>
      </w:pPr>
      <w:r>
        <w:rPr>
          <w:rFonts w:ascii="Times New Roman" w:eastAsia="Times New Roman"/>
        </w:rPr>
        <w:t>30 </w:t>
      </w:r>
      <w:r>
        <w:rPr/>
        <w:t>分钟，根据井内水面的下降值计算渗水量，渗水量不超过规定的允许渗水量即为合格。</w:t>
      </w:r>
    </w:p>
    <w:p>
      <w:pPr>
        <w:spacing w:after="0" w:line="338" w:lineRule="auto"/>
        <w:sectPr>
          <w:pgSz w:w="11910" w:h="16840"/>
          <w:pgMar w:header="0" w:footer="1186" w:top="1120" w:bottom="1440" w:left="1240" w:right="1240"/>
        </w:sectPr>
      </w:pPr>
    </w:p>
    <w:p>
      <w:pPr>
        <w:pStyle w:val="BodyText"/>
        <w:spacing w:before="45"/>
        <w:ind w:left="704"/>
      </w:pPr>
      <w:r>
        <w:rPr/>
        <w:pict>
          <v:group style="position:absolute;margin-left:67.550003pt;margin-top:56.448982pt;width:460.2pt;height:705.95pt;mso-position-horizontal-relative:page;mso-position-vertical-relative:page;z-index:-83752" coordorigin="1351,1129" coordsize="9204,14119">
            <v:line style="position:absolute" from="1361,1139" to="10544,1139" stroked="true" strokeweight=".481pt" strokecolor="#000000">
              <v:stroke dashstyle="solid"/>
            </v:line>
            <v:line style="position:absolute" from="1356,1134" to="1356,15242" stroked="true" strokeweight=".48pt" strokecolor="#000000">
              <v:stroke dashstyle="solid"/>
            </v:line>
            <v:line style="position:absolute" from="1361,15238" to="10544,15238" stroked="true" strokeweight=".48pt" strokecolor="#000000">
              <v:stroke dashstyle="solid"/>
            </v:line>
            <v:line style="position:absolute" from="10549,1134" to="10549,15242" stroked="true" strokeweight=".48pt" strokecolor="#000000">
              <v:stroke dashstyle="solid"/>
            </v:line>
            <w10:wrap type="none"/>
          </v:group>
        </w:pict>
      </w:r>
      <w:r>
        <w:rPr/>
        <w:t>（</w:t>
      </w:r>
      <w:r>
        <w:rPr>
          <w:rFonts w:ascii="Times New Roman" w:eastAsia="Times New Roman"/>
        </w:rPr>
        <w:t>3</w:t>
      </w:r>
      <w:r>
        <w:rPr/>
        <w:t>）试验渗水量计算：渗水量试验时间 </w:t>
      </w:r>
      <w:r>
        <w:rPr>
          <w:rFonts w:ascii="Times New Roman" w:eastAsia="Times New Roman"/>
        </w:rPr>
        <w:t>30 </w:t>
      </w:r>
      <w:r>
        <w:rPr/>
        <w:t>分钟时，每 </w:t>
      </w:r>
      <w:r>
        <w:rPr>
          <w:rFonts w:ascii="Times New Roman" w:eastAsia="Times New Roman"/>
        </w:rPr>
        <w:t>km </w:t>
      </w:r>
      <w:r>
        <w:rPr/>
        <w:t>管道每昼夜渗水量为</w:t>
      </w:r>
    </w:p>
    <w:p>
      <w:pPr>
        <w:pStyle w:val="BodyText"/>
        <w:spacing w:line="338" w:lineRule="auto"/>
        <w:ind w:left="704" w:right="6734" w:hanging="480"/>
      </w:pPr>
      <w:r>
        <w:rPr>
          <w:rFonts w:ascii="Times New Roman" w:hAnsi="Times New Roman" w:eastAsia="Times New Roman"/>
          <w:spacing w:val="-1"/>
          <w:w w:val="99"/>
        </w:rPr>
        <w:t>Q</w:t>
      </w:r>
      <w:r>
        <w:rPr>
          <w:rFonts w:ascii="Times New Roman" w:hAnsi="Times New Roman" w:eastAsia="Times New Roman"/>
          <w:w w:val="99"/>
        </w:rPr>
        <w:t>=</w:t>
      </w:r>
      <w:r>
        <w:rPr/>
        <w:t>（</w:t>
      </w:r>
      <w:r>
        <w:rPr>
          <w:rFonts w:ascii="Times New Roman" w:hAnsi="Times New Roman" w:eastAsia="Times New Roman"/>
        </w:rPr>
        <w:t>48q</w:t>
      </w:r>
      <w:r>
        <w:rPr/>
        <w:t>）</w:t>
      </w:r>
      <w:r>
        <w:rPr>
          <w:rFonts w:ascii="Times New Roman" w:hAnsi="Times New Roman" w:eastAsia="Times New Roman"/>
        </w:rPr>
        <w:t>×</w:t>
      </w:r>
      <w:r>
        <w:rPr/>
        <w:t>（</w:t>
      </w:r>
      <w:r>
        <w:rPr>
          <w:rFonts w:ascii="Times New Roman" w:hAnsi="Times New Roman" w:eastAsia="Times New Roman"/>
        </w:rPr>
        <w:t>1000/</w:t>
      </w:r>
      <w:r>
        <w:rPr>
          <w:rFonts w:ascii="Times New Roman" w:hAnsi="Times New Roman" w:eastAsia="Times New Roman"/>
          <w:spacing w:val="-1"/>
        </w:rPr>
        <w:t>L</w:t>
      </w:r>
      <w:r>
        <w:rPr>
          <w:spacing w:val="-122"/>
        </w:rPr>
        <w:t>）。</w:t>
      </w:r>
      <w:r>
        <w:rPr/>
        <w:t>式中：</w:t>
      </w:r>
    </w:p>
    <w:p>
      <w:pPr>
        <w:pStyle w:val="BodyText"/>
        <w:spacing w:before="55"/>
        <w:ind w:left="704"/>
      </w:pPr>
      <w:r>
        <w:rPr>
          <w:rFonts w:ascii="Times New Roman" w:hAnsi="Times New Roman" w:eastAsia="Times New Roman"/>
        </w:rPr>
        <w:t>Q—</w:t>
      </w:r>
      <w:r>
        <w:rPr/>
        <w:t>每 </w:t>
      </w:r>
      <w:r>
        <w:rPr>
          <w:rFonts w:ascii="Times New Roman" w:hAnsi="Times New Roman" w:eastAsia="Times New Roman"/>
        </w:rPr>
        <w:t>km </w:t>
      </w:r>
      <w:r>
        <w:rPr/>
        <w:t>管道每 </w:t>
      </w:r>
      <w:r>
        <w:rPr>
          <w:rFonts w:ascii="Times New Roman" w:hAnsi="Times New Roman" w:eastAsia="Times New Roman"/>
        </w:rPr>
        <w:t>d </w:t>
      </w:r>
      <w:r>
        <w:rPr/>
        <w:t>的渗水量</w:t>
      </w:r>
    </w:p>
    <w:p>
      <w:pPr>
        <w:pStyle w:val="BodyText"/>
        <w:ind w:left="704"/>
      </w:pPr>
      <w:r>
        <w:rPr>
          <w:rFonts w:ascii="Times New Roman" w:hAnsi="Times New Roman" w:eastAsia="Times New Roman"/>
        </w:rPr>
        <w:t>q—</w:t>
      </w:r>
      <w:r>
        <w:rPr/>
        <w:t>闭水管道 </w:t>
      </w:r>
      <w:r>
        <w:rPr>
          <w:rFonts w:ascii="Times New Roman" w:hAnsi="Times New Roman" w:eastAsia="Times New Roman"/>
        </w:rPr>
        <w:t>30 </w:t>
      </w:r>
      <w:r>
        <w:rPr/>
        <w:t>分钟的渗水量</w:t>
      </w:r>
    </w:p>
    <w:p>
      <w:pPr>
        <w:pStyle w:val="BodyText"/>
        <w:ind w:left="704"/>
      </w:pPr>
      <w:r>
        <w:rPr>
          <w:rFonts w:ascii="Times New Roman" w:hAnsi="Times New Roman" w:eastAsia="Times New Roman"/>
        </w:rPr>
        <w:t>L—</w:t>
      </w:r>
      <w:r>
        <w:rPr/>
        <w:t>闭水管段长度</w:t>
      </w:r>
    </w:p>
    <w:p>
      <w:pPr>
        <w:pStyle w:val="BodyText"/>
        <w:ind w:left="704"/>
      </w:pPr>
      <w:r>
        <w:rPr/>
        <w:t>当 </w:t>
      </w:r>
      <w:r>
        <w:rPr>
          <w:rFonts w:ascii="Times New Roman" w:hAnsi="Times New Roman" w:eastAsia="Times New Roman"/>
        </w:rPr>
        <w:t>Q≤</w:t>
      </w:r>
      <w:r>
        <w:rPr/>
        <w:t>允许渗水量时，试验即为合格。 </w:t>
      </w:r>
    </w:p>
    <w:p>
      <w:pPr>
        <w:pStyle w:val="Heading2"/>
        <w:tabs>
          <w:tab w:pos="3335" w:val="left" w:leader="none"/>
        </w:tabs>
        <w:spacing w:before="135"/>
        <w:ind w:left="2473"/>
      </w:pPr>
      <w:r>
        <w:rPr/>
        <w:t>表</w:t>
      </w:r>
      <w:r>
        <w:rPr>
          <w:spacing w:val="-61"/>
        </w:rPr>
        <w:t> </w:t>
      </w:r>
      <w:r>
        <w:rPr>
          <w:rFonts w:ascii="Times New Roman" w:eastAsia="Times New Roman"/>
        </w:rPr>
        <w:t>5-1</w:t>
        <w:tab/>
      </w:r>
      <w:r>
        <w:rPr>
          <w:w w:val="95"/>
        </w:rPr>
        <w:t>无压力管道严密性试验允许渗水量</w:t>
      </w:r>
    </w:p>
    <w:p>
      <w:pPr>
        <w:pStyle w:val="BodyText"/>
        <w:spacing w:before="4"/>
        <w:rPr>
          <w:b/>
          <w:sz w:val="7"/>
        </w:rPr>
      </w:pPr>
    </w:p>
    <w:tbl>
      <w:tblPr>
        <w:tblW w:w="0" w:type="auto"/>
        <w:jc w:val="left"/>
        <w:tblInd w:w="74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975"/>
        <w:gridCol w:w="2610"/>
        <w:gridCol w:w="3328"/>
      </w:tblGrid>
      <w:tr>
        <w:trPr>
          <w:trHeight w:val="478" w:hRule="exact"/>
        </w:trPr>
        <w:tc>
          <w:tcPr>
            <w:tcW w:w="1975" w:type="dxa"/>
            <w:tcBorders>
              <w:bottom w:val="single" w:sz="6" w:space="0" w:color="000000"/>
              <w:right w:val="single" w:sz="6" w:space="0" w:color="000000"/>
            </w:tcBorders>
          </w:tcPr>
          <w:p>
            <w:pPr>
              <w:pStyle w:val="TableParagraph"/>
              <w:spacing w:before="58"/>
              <w:ind w:left="744" w:right="749"/>
              <w:rPr>
                <w:sz w:val="21"/>
              </w:rPr>
            </w:pPr>
            <w:r>
              <w:rPr>
                <w:sz w:val="21"/>
              </w:rPr>
              <w:t>管材</w:t>
            </w:r>
          </w:p>
        </w:tc>
        <w:tc>
          <w:tcPr>
            <w:tcW w:w="2610" w:type="dxa"/>
            <w:tcBorders>
              <w:left w:val="single" w:sz="6" w:space="0" w:color="000000"/>
              <w:bottom w:val="single" w:sz="6" w:space="0" w:color="000000"/>
              <w:right w:val="single" w:sz="6" w:space="0" w:color="000000"/>
            </w:tcBorders>
          </w:tcPr>
          <w:p>
            <w:pPr>
              <w:pStyle w:val="TableParagraph"/>
              <w:spacing w:before="58"/>
              <w:ind w:left="624" w:right="625"/>
              <w:rPr>
                <w:rFonts w:ascii="Times New Roman" w:eastAsia="Times New Roman"/>
                <w:sz w:val="21"/>
              </w:rPr>
            </w:pPr>
            <w:r>
              <w:rPr>
                <w:sz w:val="21"/>
              </w:rPr>
              <w:t>管道内径</w:t>
            </w:r>
            <w:r>
              <w:rPr>
                <w:rFonts w:ascii="Times New Roman" w:eastAsia="Times New Roman"/>
                <w:sz w:val="21"/>
              </w:rPr>
              <w:t>(mm)</w:t>
            </w:r>
          </w:p>
        </w:tc>
        <w:tc>
          <w:tcPr>
            <w:tcW w:w="3328" w:type="dxa"/>
            <w:tcBorders>
              <w:left w:val="single" w:sz="6" w:space="0" w:color="000000"/>
              <w:bottom w:val="single" w:sz="6" w:space="0" w:color="000000"/>
            </w:tcBorders>
          </w:tcPr>
          <w:p>
            <w:pPr>
              <w:pStyle w:val="TableParagraph"/>
              <w:spacing w:before="58"/>
              <w:ind w:left="222" w:right="215"/>
              <w:rPr>
                <w:sz w:val="21"/>
              </w:rPr>
            </w:pPr>
            <w:r>
              <w:rPr>
                <w:sz w:val="21"/>
              </w:rPr>
              <w:t>允许渗水量（</w:t>
            </w:r>
            <w:r>
              <w:rPr>
                <w:rFonts w:ascii="Times New Roman" w:hAnsi="Times New Roman" w:eastAsia="Times New Roman"/>
                <w:sz w:val="21"/>
              </w:rPr>
              <w:t>L/ (10m·30min)</w:t>
            </w:r>
            <w:r>
              <w:rPr>
                <w:sz w:val="21"/>
              </w:rPr>
              <w:t>）</w:t>
            </w:r>
          </w:p>
        </w:tc>
      </w:tr>
      <w:tr>
        <w:trPr>
          <w:trHeight w:val="468" w:hRule="exact"/>
        </w:trPr>
        <w:tc>
          <w:tcPr>
            <w:tcW w:w="1975" w:type="dxa"/>
            <w:vMerge w:val="restart"/>
            <w:tcBorders>
              <w:top w:val="single" w:sz="6" w:space="0" w:color="000000"/>
              <w:right w:val="single" w:sz="6" w:space="0" w:color="000000"/>
            </w:tcBorders>
          </w:tcPr>
          <w:p>
            <w:pPr>
              <w:pStyle w:val="TableParagraph"/>
              <w:spacing w:before="3"/>
              <w:jc w:val="left"/>
              <w:rPr>
                <w:b/>
                <w:sz w:val="28"/>
              </w:rPr>
            </w:pPr>
          </w:p>
          <w:p>
            <w:pPr>
              <w:pStyle w:val="TableParagraph"/>
              <w:spacing w:line="273" w:lineRule="auto" w:before="1"/>
              <w:ind w:left="278" w:right="121" w:hanging="146"/>
              <w:jc w:val="left"/>
              <w:rPr>
                <w:sz w:val="21"/>
              </w:rPr>
            </w:pPr>
            <w:r>
              <w:rPr>
                <w:sz w:val="21"/>
              </w:rPr>
              <w:t>聚乙烯塑钢缠绕排</w:t>
            </w:r>
            <w:r>
              <w:rPr>
                <w:w w:val="95"/>
                <w:sz w:val="21"/>
              </w:rPr>
              <w:t>水管（</w:t>
            </w:r>
            <w:r>
              <w:rPr>
                <w:rFonts w:ascii="Times New Roman" w:eastAsia="Times New Roman"/>
                <w:w w:val="95"/>
                <w:sz w:val="21"/>
              </w:rPr>
              <w:t>HDPE</w:t>
            </w:r>
            <w:r>
              <w:rPr>
                <w:w w:val="95"/>
                <w:sz w:val="21"/>
              </w:rPr>
              <w:t>）</w:t>
            </w:r>
          </w:p>
        </w:tc>
        <w:tc>
          <w:tcPr>
            <w:tcW w:w="2610" w:type="dxa"/>
            <w:tcBorders>
              <w:top w:val="single" w:sz="6" w:space="0" w:color="000000"/>
              <w:left w:val="single" w:sz="6" w:space="0" w:color="000000"/>
              <w:bottom w:val="single" w:sz="6" w:space="0" w:color="000000"/>
              <w:right w:val="single" w:sz="6" w:space="0" w:color="000000"/>
            </w:tcBorders>
          </w:tcPr>
          <w:p>
            <w:pPr>
              <w:pStyle w:val="TableParagraph"/>
              <w:spacing w:before="106"/>
              <w:ind w:left="624" w:right="625"/>
              <w:rPr>
                <w:rFonts w:ascii="Times New Roman"/>
                <w:sz w:val="21"/>
              </w:rPr>
            </w:pPr>
            <w:r>
              <w:rPr>
                <w:rFonts w:ascii="Times New Roman"/>
                <w:sz w:val="21"/>
              </w:rPr>
              <w:t>200</w:t>
            </w:r>
          </w:p>
        </w:tc>
        <w:tc>
          <w:tcPr>
            <w:tcW w:w="3328" w:type="dxa"/>
            <w:tcBorders>
              <w:top w:val="single" w:sz="6" w:space="0" w:color="000000"/>
              <w:left w:val="single" w:sz="6" w:space="0" w:color="000000"/>
              <w:bottom w:val="single" w:sz="6" w:space="0" w:color="000000"/>
            </w:tcBorders>
          </w:tcPr>
          <w:p>
            <w:pPr>
              <w:pStyle w:val="TableParagraph"/>
              <w:spacing w:before="106"/>
              <w:ind w:left="220" w:right="215"/>
              <w:rPr>
                <w:rFonts w:ascii="Times New Roman"/>
                <w:sz w:val="21"/>
              </w:rPr>
            </w:pPr>
            <w:r>
              <w:rPr>
                <w:rFonts w:ascii="Times New Roman"/>
                <w:sz w:val="21"/>
              </w:rPr>
              <w:t>3.68</w:t>
            </w:r>
          </w:p>
        </w:tc>
      </w:tr>
      <w:tr>
        <w:trPr>
          <w:trHeight w:val="469" w:hRule="exact"/>
        </w:trPr>
        <w:tc>
          <w:tcPr>
            <w:tcW w:w="1975" w:type="dxa"/>
            <w:vMerge/>
            <w:tcBorders>
              <w:right w:val="single" w:sz="6" w:space="0" w:color="000000"/>
            </w:tcBorders>
          </w:tcPr>
          <w:p>
            <w:pPr/>
          </w:p>
        </w:tc>
        <w:tc>
          <w:tcPr>
            <w:tcW w:w="2610" w:type="dxa"/>
            <w:tcBorders>
              <w:top w:val="single" w:sz="6" w:space="0" w:color="000000"/>
              <w:left w:val="single" w:sz="6" w:space="0" w:color="000000"/>
              <w:bottom w:val="single" w:sz="6" w:space="0" w:color="000000"/>
              <w:right w:val="single" w:sz="6" w:space="0" w:color="000000"/>
            </w:tcBorders>
          </w:tcPr>
          <w:p>
            <w:pPr>
              <w:pStyle w:val="TableParagraph"/>
              <w:spacing w:before="107"/>
              <w:ind w:left="624" w:right="625"/>
              <w:rPr>
                <w:rFonts w:ascii="Times New Roman"/>
                <w:sz w:val="21"/>
              </w:rPr>
            </w:pPr>
            <w:r>
              <w:rPr>
                <w:rFonts w:ascii="Times New Roman"/>
                <w:sz w:val="21"/>
              </w:rPr>
              <w:t>300</w:t>
            </w:r>
          </w:p>
        </w:tc>
        <w:tc>
          <w:tcPr>
            <w:tcW w:w="3328" w:type="dxa"/>
            <w:tcBorders>
              <w:top w:val="single" w:sz="6" w:space="0" w:color="000000"/>
              <w:left w:val="single" w:sz="6" w:space="0" w:color="000000"/>
              <w:bottom w:val="single" w:sz="6" w:space="0" w:color="000000"/>
            </w:tcBorders>
          </w:tcPr>
          <w:p>
            <w:pPr>
              <w:pStyle w:val="TableParagraph"/>
              <w:spacing w:before="107"/>
              <w:ind w:left="220" w:right="215"/>
              <w:rPr>
                <w:rFonts w:ascii="Times New Roman"/>
                <w:sz w:val="21"/>
              </w:rPr>
            </w:pPr>
            <w:r>
              <w:rPr>
                <w:rFonts w:ascii="Times New Roman"/>
                <w:sz w:val="21"/>
              </w:rPr>
              <w:t>4.50</w:t>
            </w:r>
          </w:p>
        </w:tc>
      </w:tr>
      <w:tr>
        <w:trPr>
          <w:trHeight w:val="478" w:hRule="exact"/>
        </w:trPr>
        <w:tc>
          <w:tcPr>
            <w:tcW w:w="1975" w:type="dxa"/>
            <w:vMerge/>
            <w:tcBorders>
              <w:right w:val="single" w:sz="6" w:space="0" w:color="000000"/>
            </w:tcBorders>
          </w:tcPr>
          <w:p>
            <w:pPr/>
          </w:p>
        </w:tc>
        <w:tc>
          <w:tcPr>
            <w:tcW w:w="2610" w:type="dxa"/>
            <w:tcBorders>
              <w:top w:val="single" w:sz="6" w:space="0" w:color="000000"/>
              <w:left w:val="single" w:sz="6" w:space="0" w:color="000000"/>
              <w:right w:val="single" w:sz="6" w:space="0" w:color="000000"/>
            </w:tcBorders>
          </w:tcPr>
          <w:p>
            <w:pPr>
              <w:pStyle w:val="TableParagraph"/>
              <w:spacing w:before="107"/>
              <w:ind w:left="624" w:right="625"/>
              <w:rPr>
                <w:rFonts w:ascii="Times New Roman"/>
                <w:sz w:val="21"/>
              </w:rPr>
            </w:pPr>
            <w:r>
              <w:rPr>
                <w:rFonts w:ascii="Times New Roman"/>
                <w:sz w:val="21"/>
              </w:rPr>
              <w:t>400</w:t>
            </w:r>
          </w:p>
        </w:tc>
        <w:tc>
          <w:tcPr>
            <w:tcW w:w="3328" w:type="dxa"/>
            <w:tcBorders>
              <w:top w:val="single" w:sz="6" w:space="0" w:color="000000"/>
              <w:left w:val="single" w:sz="6" w:space="0" w:color="000000"/>
            </w:tcBorders>
          </w:tcPr>
          <w:p>
            <w:pPr>
              <w:pStyle w:val="TableParagraph"/>
              <w:spacing w:before="107"/>
              <w:ind w:left="220" w:right="215"/>
              <w:rPr>
                <w:rFonts w:ascii="Times New Roman"/>
                <w:sz w:val="21"/>
              </w:rPr>
            </w:pPr>
            <w:r>
              <w:rPr>
                <w:rFonts w:ascii="Times New Roman"/>
                <w:sz w:val="21"/>
              </w:rPr>
              <w:t>5.20</w:t>
            </w:r>
          </w:p>
        </w:tc>
      </w:tr>
    </w:tbl>
    <w:p>
      <w:pPr>
        <w:pStyle w:val="BodyText"/>
        <w:spacing w:before="40"/>
        <w:ind w:left="704"/>
      </w:pPr>
      <w:r>
        <w:rPr>
          <w:rFonts w:ascii="Times New Roman" w:eastAsia="Times New Roman"/>
        </w:rPr>
        <w:t>3</w:t>
      </w:r>
      <w:r>
        <w:rPr/>
        <w:t>、人行道施工</w:t>
      </w:r>
    </w:p>
    <w:p>
      <w:pPr>
        <w:pStyle w:val="BodyText"/>
        <w:spacing w:line="350" w:lineRule="auto"/>
        <w:ind w:left="224" w:right="221" w:firstLine="480"/>
        <w:jc w:val="both"/>
      </w:pPr>
      <w:r>
        <w:rPr/>
        <w:t>对局部破损路缘石及人行道进行修补更换，调整并完善盲道及无障碍设施。对彩</w:t>
      </w:r>
      <w:r>
        <w:rPr>
          <w:spacing w:val="-1"/>
        </w:rPr>
        <w:t>色砼砖路段统一铺装为压印混凝土</w:t>
      </w:r>
      <w:r>
        <w:rPr/>
        <w:t>（保留原基层</w:t>
      </w:r>
      <w:r>
        <w:rPr>
          <w:spacing w:val="-120"/>
        </w:rPr>
        <w:t>）</w:t>
      </w:r>
      <w:r>
        <w:rPr>
          <w:spacing w:val="-4"/>
        </w:rPr>
        <w:t>，总体保留原路缘石，对外露高度不</w:t>
      </w:r>
      <w:r>
        <w:rPr>
          <w:spacing w:val="-32"/>
        </w:rPr>
        <w:t>足 </w:t>
      </w:r>
      <w:r>
        <w:rPr>
          <w:rFonts w:ascii="Times New Roman" w:eastAsia="Times New Roman"/>
        </w:rPr>
        <w:t>10cm </w:t>
      </w:r>
      <w:r>
        <w:rPr>
          <w:spacing w:val="-5"/>
        </w:rPr>
        <w:t>的局部开口位置路缘石进行更换，调整并完善盲道及无障碍设施，对局部损坏</w:t>
      </w:r>
      <w:r>
        <w:rPr>
          <w:spacing w:val="-9"/>
        </w:rPr>
        <w:t>的基层进行修补。面层结构采用 </w:t>
      </w:r>
      <w:r>
        <w:rPr>
          <w:rFonts w:ascii="Times New Roman" w:eastAsia="Times New Roman"/>
        </w:rPr>
        <w:t>5~10cm </w:t>
      </w:r>
      <w:r>
        <w:rPr/>
        <w:t>压印混凝土。</w:t>
      </w:r>
    </w:p>
    <w:p>
      <w:pPr>
        <w:pStyle w:val="Heading2"/>
        <w:spacing w:before="13"/>
        <w:ind w:left="706"/>
      </w:pPr>
      <w:r>
        <w:rPr>
          <w:rFonts w:ascii="Times New Roman" w:eastAsia="Times New Roman"/>
          <w:w w:val="95"/>
        </w:rPr>
        <w:t>3</w:t>
      </w:r>
      <w:r>
        <w:rPr>
          <w:w w:val="95"/>
        </w:rPr>
        <w:t>、施工期污染物排放及治理措施分析</w:t>
      </w:r>
    </w:p>
    <w:p>
      <w:pPr>
        <w:pStyle w:val="BodyText"/>
        <w:spacing w:line="338" w:lineRule="auto" w:before="136"/>
        <w:ind w:left="223" w:right="91" w:firstLine="482"/>
      </w:pPr>
      <w:r>
        <w:rPr>
          <w:b/>
          <w:spacing w:val="1"/>
          <w:w w:val="99"/>
        </w:rPr>
        <w:t>（</w:t>
      </w:r>
      <w:r>
        <w:rPr>
          <w:rFonts w:ascii="Times New Roman" w:eastAsia="Times New Roman"/>
          <w:b/>
        </w:rPr>
        <w:t>1</w:t>
      </w:r>
      <w:r>
        <w:rPr>
          <w:b/>
          <w:spacing w:val="-120"/>
          <w:w w:val="99"/>
        </w:rPr>
        <w:t>）</w:t>
      </w:r>
      <w:r>
        <w:rPr>
          <w:b/>
          <w:spacing w:val="-3"/>
          <w:w w:val="99"/>
        </w:rPr>
        <w:t>、废水：</w:t>
      </w:r>
      <w:r>
        <w:rPr>
          <w:spacing w:val="-3"/>
        </w:rPr>
        <w:t>施工建设项目中，水污染源主要来自施工机械含油废水、洗车废水、</w:t>
      </w:r>
      <w:r>
        <w:rPr>
          <w:spacing w:val="-6"/>
        </w:rPr>
        <w:t>施工人员生活污水及基坑开挖渗出的地下水。生产废水污染物以 </w:t>
      </w:r>
      <w:r>
        <w:rPr>
          <w:rFonts w:ascii="Times New Roman" w:eastAsia="Times New Roman"/>
        </w:rPr>
        <w:t>SS</w:t>
      </w:r>
      <w:r>
        <w:rPr>
          <w:spacing w:val="-6"/>
        </w:rPr>
        <w:t>、</w:t>
      </w:r>
      <w:r>
        <w:rPr>
          <w:rFonts w:ascii="Times New Roman" w:eastAsia="Times New Roman"/>
        </w:rPr>
        <w:t>COD</w:t>
      </w:r>
      <w:r>
        <w:rPr>
          <w:spacing w:val="-2"/>
        </w:rPr>
        <w:t>、石油类为</w:t>
      </w:r>
      <w:r>
        <w:rPr>
          <w:spacing w:val="-8"/>
          <w:position w:val="1"/>
        </w:rPr>
        <w:t>主，生活污水污染物以 </w:t>
      </w:r>
      <w:r>
        <w:rPr>
          <w:rFonts w:ascii="Times New Roman" w:eastAsia="Times New Roman"/>
          <w:position w:val="1"/>
        </w:rPr>
        <w:t>BOD</w:t>
      </w:r>
      <w:r>
        <w:rPr>
          <w:rFonts w:ascii="Times New Roman" w:eastAsia="Times New Roman"/>
          <w:sz w:val="16"/>
        </w:rPr>
        <w:t>5</w:t>
      </w:r>
      <w:r>
        <w:rPr>
          <w:position w:val="1"/>
        </w:rPr>
        <w:t>、</w:t>
      </w:r>
      <w:r>
        <w:rPr>
          <w:rFonts w:ascii="Times New Roman" w:eastAsia="Times New Roman"/>
          <w:position w:val="1"/>
        </w:rPr>
        <w:t>COD </w:t>
      </w:r>
      <w:r>
        <w:rPr>
          <w:position w:val="1"/>
        </w:rPr>
        <w:t>为主。</w:t>
      </w:r>
    </w:p>
    <w:p>
      <w:pPr>
        <w:pStyle w:val="BodyText"/>
        <w:spacing w:line="352" w:lineRule="auto" w:before="27"/>
        <w:ind w:left="224" w:right="220" w:firstLine="482"/>
        <w:jc w:val="both"/>
      </w:pPr>
      <w:r>
        <w:rPr>
          <w:b/>
          <w:spacing w:val="3"/>
          <w:w w:val="99"/>
        </w:rPr>
        <w:t>（</w:t>
      </w:r>
      <w:r>
        <w:rPr>
          <w:rFonts w:ascii="Times New Roman" w:hAnsi="Times New Roman" w:eastAsia="Times New Roman"/>
          <w:b/>
          <w:spacing w:val="2"/>
        </w:rPr>
        <w:t>2</w:t>
      </w:r>
      <w:r>
        <w:rPr>
          <w:b/>
          <w:spacing w:val="-117"/>
          <w:w w:val="99"/>
        </w:rPr>
        <w:t>）</w:t>
      </w:r>
      <w:r>
        <w:rPr>
          <w:b/>
          <w:spacing w:val="2"/>
          <w:w w:val="99"/>
        </w:rPr>
        <w:t>、扬尘：</w:t>
      </w:r>
      <w:r>
        <w:rPr>
          <w:spacing w:val="2"/>
        </w:rPr>
        <w:t>施工期采用商品砼和沥青全部为外购，在施工过程中要开挖地基，</w:t>
      </w:r>
      <w:r>
        <w:rPr/>
        <w:t>平整土地，施工过程中扬尘对环境产生的一些不良影响是不可避免的，尤以施工扬尘影响最大。施工现场扬尘在风力较大和干燥气候条件下较为严重。施工扬尘主要产生在以下环节：①施工机械挖土时的扬尘；②施工弃土堆放时产生的扬尘；③运输过程中的扬尘；④场地的扬尘。</w:t>
      </w:r>
    </w:p>
    <w:p>
      <w:pPr>
        <w:pStyle w:val="BodyText"/>
        <w:spacing w:line="338" w:lineRule="auto" w:before="41"/>
        <w:ind w:left="224" w:right="216" w:firstLine="482"/>
      </w:pPr>
      <w:r>
        <w:rPr>
          <w:b/>
          <w:spacing w:val="3"/>
          <w:w w:val="99"/>
        </w:rPr>
        <w:t>（</w:t>
      </w:r>
      <w:r>
        <w:rPr>
          <w:rFonts w:ascii="Times New Roman" w:eastAsia="Times New Roman"/>
          <w:b/>
          <w:spacing w:val="2"/>
        </w:rPr>
        <w:t>3</w:t>
      </w:r>
      <w:r>
        <w:rPr>
          <w:b/>
          <w:spacing w:val="-117"/>
          <w:w w:val="99"/>
        </w:rPr>
        <w:t>）</w:t>
      </w:r>
      <w:r>
        <w:rPr>
          <w:b/>
          <w:spacing w:val="2"/>
          <w:w w:val="99"/>
        </w:rPr>
        <w:t>、废气：</w:t>
      </w:r>
      <w:r>
        <w:rPr>
          <w:spacing w:val="2"/>
        </w:rPr>
        <w:t>施工期间废气主要来源于运输车辆、燃油机械的尾气排放产生的废</w:t>
      </w:r>
      <w:r>
        <w:rPr>
          <w:spacing w:val="-7"/>
          <w:position w:val="1"/>
        </w:rPr>
        <w:t>气，主要污染物有 </w:t>
      </w:r>
      <w:r>
        <w:rPr>
          <w:rFonts w:ascii="Times New Roman" w:eastAsia="Times New Roman"/>
          <w:position w:val="1"/>
        </w:rPr>
        <w:t>NO</w:t>
      </w:r>
      <w:r>
        <w:rPr>
          <w:rFonts w:ascii="Times New Roman" w:eastAsia="Times New Roman"/>
          <w:sz w:val="16"/>
        </w:rPr>
        <w:t>2</w:t>
      </w:r>
      <w:r>
        <w:rPr>
          <w:position w:val="1"/>
        </w:rPr>
        <w:t>、</w:t>
      </w:r>
      <w:r>
        <w:rPr>
          <w:rFonts w:ascii="Times New Roman" w:eastAsia="Times New Roman"/>
          <w:position w:val="1"/>
        </w:rPr>
        <w:t>CO</w:t>
      </w:r>
      <w:r>
        <w:rPr>
          <w:position w:val="1"/>
        </w:rPr>
        <w:t>、</w:t>
      </w:r>
      <w:r>
        <w:rPr>
          <w:rFonts w:ascii="Times New Roman" w:eastAsia="Times New Roman"/>
          <w:position w:val="1"/>
        </w:rPr>
        <w:t>SO</w:t>
      </w:r>
      <w:r>
        <w:rPr>
          <w:rFonts w:ascii="Times New Roman" w:eastAsia="Times New Roman"/>
          <w:sz w:val="16"/>
        </w:rPr>
        <w:t>2 </w:t>
      </w:r>
      <w:r>
        <w:rPr>
          <w:spacing w:val="-32"/>
          <w:position w:val="1"/>
        </w:rPr>
        <w:t>和 </w:t>
      </w:r>
      <w:r>
        <w:rPr>
          <w:rFonts w:ascii="Times New Roman" w:eastAsia="Times New Roman"/>
          <w:position w:val="1"/>
        </w:rPr>
        <w:t>C</w:t>
      </w:r>
      <w:r>
        <w:rPr>
          <w:rFonts w:ascii="Times New Roman" w:eastAsia="Times New Roman"/>
          <w:sz w:val="16"/>
        </w:rPr>
        <w:t>m</w:t>
      </w:r>
      <w:r>
        <w:rPr>
          <w:rFonts w:ascii="Times New Roman" w:eastAsia="Times New Roman"/>
          <w:position w:val="1"/>
        </w:rPr>
        <w:t>H</w:t>
      </w:r>
      <w:r>
        <w:rPr>
          <w:rFonts w:ascii="Times New Roman" w:eastAsia="Times New Roman"/>
          <w:sz w:val="16"/>
        </w:rPr>
        <w:t>n </w:t>
      </w:r>
      <w:r>
        <w:rPr>
          <w:position w:val="1"/>
        </w:rPr>
        <w:t>等。</w:t>
      </w:r>
    </w:p>
    <w:p>
      <w:pPr>
        <w:pStyle w:val="BodyText"/>
        <w:spacing w:line="338" w:lineRule="auto" w:before="27"/>
        <w:ind w:left="703" w:right="303" w:firstLine="2"/>
      </w:pPr>
      <w:r>
        <w:rPr>
          <w:b/>
          <w:spacing w:val="1"/>
          <w:w w:val="99"/>
        </w:rPr>
        <w:t>（</w:t>
      </w:r>
      <w:r>
        <w:rPr>
          <w:rFonts w:ascii="Times New Roman" w:eastAsia="Times New Roman"/>
          <w:b/>
        </w:rPr>
        <w:t>4</w:t>
      </w:r>
      <w:r>
        <w:rPr>
          <w:b/>
          <w:spacing w:val="-119"/>
          <w:w w:val="99"/>
        </w:rPr>
        <w:t>）</w:t>
      </w:r>
      <w:r>
        <w:rPr>
          <w:b/>
          <w:w w:val="99"/>
        </w:rPr>
        <w:t>、固废：</w:t>
      </w:r>
      <w:r>
        <w:rPr/>
        <w:t>施工期固废主要为施工过程中挖填方弃土、施工人员生活垃圾。</w:t>
      </w:r>
      <w:r>
        <w:rPr>
          <w:spacing w:val="2"/>
        </w:rPr>
        <w:t> </w:t>
      </w:r>
      <w:r>
        <w:rPr/>
        <w:t>本项目中开挖土石方绝大部分在管道敷设完毕后就地回填，故弃土产生量小。本</w:t>
      </w:r>
    </w:p>
    <w:p>
      <w:pPr>
        <w:spacing w:after="0" w:line="338" w:lineRule="auto"/>
        <w:sectPr>
          <w:pgSz w:w="11910" w:h="16840"/>
          <w:pgMar w:header="0" w:footer="1186" w:top="1120" w:bottom="1440" w:left="1240" w:right="1240"/>
        </w:sectPr>
      </w:pPr>
    </w:p>
    <w:p>
      <w:pPr>
        <w:pStyle w:val="BodyText"/>
        <w:spacing w:line="338" w:lineRule="auto" w:before="45"/>
        <w:ind w:left="224" w:right="213"/>
      </w:pPr>
      <w:r>
        <w:rPr/>
        <w:pict>
          <v:group style="position:absolute;margin-left:67.550003pt;margin-top:56.448982pt;width:460.2pt;height:713pt;mso-position-horizontal-relative:page;mso-position-vertical-relative:page;z-index:-83728" coordorigin="1351,1129" coordsize="9204,14260">
            <v:line style="position:absolute" from="1361,1139" to="10544,1139" stroked="true" strokeweight=".481pt" strokecolor="#000000">
              <v:stroke dashstyle="solid"/>
            </v:line>
            <v:line style="position:absolute" from="1356,1134" to="1356,15384" stroked="true" strokeweight=".48pt" strokecolor="#000000">
              <v:stroke dashstyle="solid"/>
            </v:line>
            <v:line style="position:absolute" from="1361,15379" to="10544,15379" stroked="true" strokeweight=".48pt" strokecolor="#000000">
              <v:stroke dashstyle="solid"/>
            </v:line>
            <v:line style="position:absolute" from="10549,1134" to="10549,15384" stroked="true" strokeweight=".48pt" strokecolor="#000000">
              <v:stroke dashstyle="solid"/>
            </v:line>
            <w10:wrap type="none"/>
          </v:group>
        </w:pict>
      </w:r>
      <w:r>
        <w:rPr>
          <w:spacing w:val="-4"/>
        </w:rPr>
        <w:t>项目建设总挖方量 </w:t>
      </w:r>
      <w:r>
        <w:rPr>
          <w:rFonts w:ascii="Times New Roman" w:eastAsia="Times New Roman"/>
        </w:rPr>
        <w:t>17448m</w:t>
      </w:r>
      <w:r>
        <w:rPr>
          <w:rFonts w:ascii="Times New Roman" w:eastAsia="Times New Roman"/>
          <w:position w:val="9"/>
          <w:sz w:val="16"/>
        </w:rPr>
        <w:t>3</w:t>
      </w:r>
      <w:r>
        <w:rPr>
          <w:spacing w:val="-6"/>
        </w:rPr>
        <w:t>，总填方量 </w:t>
      </w:r>
      <w:r>
        <w:rPr>
          <w:rFonts w:ascii="Times New Roman" w:eastAsia="Times New Roman"/>
        </w:rPr>
        <w:t>950.6m</w:t>
      </w:r>
      <w:r>
        <w:rPr>
          <w:rFonts w:ascii="Times New Roman" w:eastAsia="Times New Roman"/>
          <w:position w:val="9"/>
          <w:sz w:val="16"/>
        </w:rPr>
        <w:t>3</w:t>
      </w:r>
      <w:r>
        <w:rPr>
          <w:spacing w:val="-6"/>
        </w:rPr>
        <w:t>，总弃方量 </w:t>
      </w:r>
      <w:r>
        <w:rPr>
          <w:rFonts w:ascii="Times New Roman" w:eastAsia="Times New Roman"/>
        </w:rPr>
        <w:t>16497.4m</w:t>
      </w:r>
      <w:r>
        <w:rPr>
          <w:rFonts w:ascii="Times New Roman" w:eastAsia="Times New Roman"/>
          <w:position w:val="9"/>
          <w:sz w:val="16"/>
        </w:rPr>
        <w:t>3</w:t>
      </w:r>
      <w:r>
        <w:rPr/>
        <w:t>，定期运往政府指定的堆渣场。</w:t>
      </w:r>
    </w:p>
    <w:p>
      <w:pPr>
        <w:pStyle w:val="BodyText"/>
        <w:spacing w:line="338" w:lineRule="auto" w:before="55"/>
        <w:ind w:left="224" w:right="216" w:firstLine="480"/>
      </w:pPr>
      <w:r>
        <w:rPr>
          <w:spacing w:val="-4"/>
        </w:rPr>
        <w:t>高峰时施工人员及工地管理人员约 </w:t>
      </w:r>
      <w:r>
        <w:rPr>
          <w:rFonts w:ascii="Times New Roman" w:eastAsia="Times New Roman"/>
        </w:rPr>
        <w:t>80 </w:t>
      </w:r>
      <w:r>
        <w:rPr>
          <w:spacing w:val="-6"/>
        </w:rPr>
        <w:t>人，工地生活垃圾按 </w:t>
      </w:r>
      <w:r>
        <w:rPr>
          <w:rFonts w:ascii="Times New Roman" w:eastAsia="Times New Roman"/>
        </w:rPr>
        <w:t>0.2kg/</w:t>
      </w:r>
      <w:r>
        <w:rPr/>
        <w:t>人</w:t>
      </w:r>
      <w:r>
        <w:rPr>
          <w:rFonts w:ascii="Times New Roman" w:eastAsia="Times New Roman"/>
        </w:rPr>
        <w:t>.d </w:t>
      </w:r>
      <w:r>
        <w:rPr/>
        <w:t>计，产生量</w:t>
      </w:r>
      <w:r>
        <w:rPr>
          <w:spacing w:val="-30"/>
        </w:rPr>
        <w:t>为 </w:t>
      </w:r>
      <w:r>
        <w:rPr>
          <w:rFonts w:ascii="Times New Roman" w:eastAsia="Times New Roman"/>
        </w:rPr>
        <w:t>16kg/d</w:t>
      </w:r>
      <w:r>
        <w:rPr/>
        <w:t>。日产日清，由环卫车运至城市垃圾处理场。</w:t>
      </w:r>
    </w:p>
    <w:p>
      <w:pPr>
        <w:pStyle w:val="BodyText"/>
        <w:spacing w:before="26"/>
        <w:ind w:left="704"/>
      </w:pPr>
      <w:r>
        <w:rPr/>
        <w:t>固体废物产生及治理措施见表 </w:t>
      </w:r>
      <w:r>
        <w:rPr>
          <w:rFonts w:ascii="Times New Roman" w:eastAsia="Times New Roman"/>
        </w:rPr>
        <w:t>5-2</w:t>
      </w:r>
      <w:r>
        <w:rPr/>
        <w:t>。</w:t>
      </w:r>
    </w:p>
    <w:p>
      <w:pPr>
        <w:pStyle w:val="Heading2"/>
        <w:tabs>
          <w:tab w:pos="3817" w:val="left" w:leader="none"/>
        </w:tabs>
        <w:spacing w:before="135"/>
        <w:ind w:left="2956"/>
      </w:pPr>
      <w:r>
        <w:rPr/>
        <w:t>表</w:t>
      </w:r>
      <w:r>
        <w:rPr>
          <w:spacing w:val="-61"/>
        </w:rPr>
        <w:t> </w:t>
      </w:r>
      <w:r>
        <w:rPr>
          <w:rFonts w:ascii="Times New Roman" w:eastAsia="Times New Roman"/>
        </w:rPr>
        <w:t>5-2</w:t>
        <w:tab/>
      </w:r>
      <w:r>
        <w:rPr>
          <w:w w:val="95"/>
        </w:rPr>
        <w:t>固体废物产生及治理措施</w:t>
      </w:r>
    </w:p>
    <w:p>
      <w:pPr>
        <w:pStyle w:val="BodyText"/>
        <w:spacing w:before="3"/>
        <w:rPr>
          <w:b/>
          <w:sz w:val="7"/>
        </w:rPr>
      </w:pPr>
    </w:p>
    <w:tbl>
      <w:tblPr>
        <w:tblW w:w="0" w:type="auto"/>
        <w:jc w:val="left"/>
        <w:tblInd w:w="466"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614"/>
        <w:gridCol w:w="1561"/>
        <w:gridCol w:w="1452"/>
        <w:gridCol w:w="1327"/>
        <w:gridCol w:w="3509"/>
      </w:tblGrid>
      <w:tr>
        <w:trPr>
          <w:trHeight w:val="488" w:hRule="exact"/>
        </w:trPr>
        <w:tc>
          <w:tcPr>
            <w:tcW w:w="614" w:type="dxa"/>
            <w:tcBorders>
              <w:bottom w:val="single" w:sz="4" w:space="0" w:color="000000"/>
              <w:right w:val="single" w:sz="4" w:space="0" w:color="000000"/>
            </w:tcBorders>
          </w:tcPr>
          <w:p>
            <w:pPr>
              <w:pStyle w:val="TableParagraph"/>
              <w:spacing w:before="65"/>
              <w:ind w:left="64" w:right="71"/>
              <w:rPr>
                <w:sz w:val="21"/>
              </w:rPr>
            </w:pPr>
            <w:r>
              <w:rPr>
                <w:sz w:val="21"/>
              </w:rPr>
              <w:t>序号</w:t>
            </w:r>
          </w:p>
        </w:tc>
        <w:tc>
          <w:tcPr>
            <w:tcW w:w="1561" w:type="dxa"/>
            <w:tcBorders>
              <w:left w:val="single" w:sz="4" w:space="0" w:color="000000"/>
              <w:bottom w:val="single" w:sz="4" w:space="0" w:color="000000"/>
              <w:right w:val="single" w:sz="4" w:space="0" w:color="000000"/>
            </w:tcBorders>
          </w:tcPr>
          <w:p>
            <w:pPr>
              <w:pStyle w:val="TableParagraph"/>
              <w:spacing w:before="65"/>
              <w:ind w:left="178" w:right="178"/>
              <w:rPr>
                <w:sz w:val="21"/>
              </w:rPr>
            </w:pPr>
            <w:r>
              <w:rPr>
                <w:sz w:val="21"/>
              </w:rPr>
              <w:t>废 渣 名 称</w:t>
            </w:r>
          </w:p>
        </w:tc>
        <w:tc>
          <w:tcPr>
            <w:tcW w:w="1452" w:type="dxa"/>
            <w:tcBorders>
              <w:left w:val="single" w:sz="4" w:space="0" w:color="000000"/>
              <w:bottom w:val="single" w:sz="4" w:space="0" w:color="000000"/>
              <w:right w:val="single" w:sz="4" w:space="0" w:color="000000"/>
            </w:tcBorders>
          </w:tcPr>
          <w:p>
            <w:pPr>
              <w:pStyle w:val="TableParagraph"/>
              <w:spacing w:before="65"/>
              <w:ind w:left="281" w:right="281"/>
              <w:rPr>
                <w:sz w:val="21"/>
              </w:rPr>
            </w:pPr>
            <w:r>
              <w:rPr>
                <w:sz w:val="21"/>
              </w:rPr>
              <w:t>主要成份</w:t>
            </w:r>
          </w:p>
        </w:tc>
        <w:tc>
          <w:tcPr>
            <w:tcW w:w="1327" w:type="dxa"/>
            <w:tcBorders>
              <w:left w:val="single" w:sz="4" w:space="0" w:color="000000"/>
              <w:bottom w:val="single" w:sz="4" w:space="0" w:color="000000"/>
              <w:right w:val="single" w:sz="4" w:space="0" w:color="000000"/>
            </w:tcBorders>
          </w:tcPr>
          <w:p>
            <w:pPr>
              <w:pStyle w:val="TableParagraph"/>
              <w:spacing w:before="65"/>
              <w:ind w:left="180" w:right="179"/>
              <w:rPr>
                <w:sz w:val="21"/>
              </w:rPr>
            </w:pPr>
            <w:r>
              <w:rPr>
                <w:sz w:val="21"/>
              </w:rPr>
              <w:t>产生量</w:t>
            </w:r>
          </w:p>
        </w:tc>
        <w:tc>
          <w:tcPr>
            <w:tcW w:w="3509" w:type="dxa"/>
            <w:tcBorders>
              <w:left w:val="single" w:sz="4" w:space="0" w:color="000000"/>
              <w:bottom w:val="single" w:sz="4" w:space="0" w:color="000000"/>
            </w:tcBorders>
          </w:tcPr>
          <w:p>
            <w:pPr>
              <w:pStyle w:val="TableParagraph"/>
              <w:tabs>
                <w:tab w:pos="432" w:val="left" w:leader="none"/>
                <w:tab w:pos="852" w:val="left" w:leader="none"/>
                <w:tab w:pos="1270" w:val="left" w:leader="none"/>
              </w:tabs>
              <w:spacing w:before="65"/>
              <w:ind w:left="10"/>
              <w:rPr>
                <w:sz w:val="21"/>
              </w:rPr>
            </w:pPr>
            <w:r>
              <w:rPr>
                <w:sz w:val="21"/>
              </w:rPr>
              <w:t>处</w:t>
              <w:tab/>
              <w:t>置</w:t>
              <w:tab/>
              <w:t>措</w:t>
              <w:tab/>
              <w:t>施</w:t>
            </w:r>
          </w:p>
        </w:tc>
      </w:tr>
      <w:tr>
        <w:trPr>
          <w:trHeight w:val="479" w:hRule="exact"/>
        </w:trPr>
        <w:tc>
          <w:tcPr>
            <w:tcW w:w="614" w:type="dxa"/>
            <w:tcBorders>
              <w:top w:val="single" w:sz="4" w:space="0" w:color="000000"/>
              <w:bottom w:val="single" w:sz="4" w:space="0" w:color="000000"/>
              <w:right w:val="single" w:sz="4" w:space="0" w:color="000000"/>
            </w:tcBorders>
          </w:tcPr>
          <w:p>
            <w:pPr>
              <w:pStyle w:val="TableParagraph"/>
              <w:spacing w:before="114"/>
              <w:ind w:right="8"/>
              <w:rPr>
                <w:rFonts w:ascii="Times New Roman"/>
                <w:sz w:val="21"/>
              </w:rPr>
            </w:pPr>
            <w:r>
              <w:rPr>
                <w:rFonts w:ascii="Times New Roman"/>
                <w:sz w:val="21"/>
              </w:rPr>
              <w:t>1</w:t>
            </w:r>
          </w:p>
        </w:tc>
        <w:tc>
          <w:tcPr>
            <w:tcW w:w="1561" w:type="dxa"/>
            <w:tcBorders>
              <w:top w:val="single" w:sz="4" w:space="0" w:color="000000"/>
              <w:left w:val="single" w:sz="4" w:space="0" w:color="000000"/>
              <w:bottom w:val="single" w:sz="4" w:space="0" w:color="000000"/>
              <w:right w:val="single" w:sz="4" w:space="0" w:color="000000"/>
            </w:tcBorders>
          </w:tcPr>
          <w:p>
            <w:pPr>
              <w:pStyle w:val="TableParagraph"/>
              <w:spacing w:before="65"/>
              <w:ind w:left="177" w:right="178"/>
              <w:rPr>
                <w:sz w:val="21"/>
              </w:rPr>
            </w:pPr>
            <w:r>
              <w:rPr>
                <w:sz w:val="21"/>
              </w:rPr>
              <w:t>弃土</w:t>
            </w:r>
          </w:p>
        </w:tc>
        <w:tc>
          <w:tcPr>
            <w:tcW w:w="1452" w:type="dxa"/>
            <w:tcBorders>
              <w:top w:val="single" w:sz="4" w:space="0" w:color="000000"/>
              <w:left w:val="single" w:sz="4" w:space="0" w:color="000000"/>
              <w:bottom w:val="single" w:sz="4" w:space="0" w:color="000000"/>
              <w:right w:val="single" w:sz="4" w:space="0" w:color="000000"/>
            </w:tcBorders>
          </w:tcPr>
          <w:p>
            <w:pPr>
              <w:pStyle w:val="TableParagraph"/>
              <w:spacing w:before="114"/>
              <w:ind w:left="62"/>
              <w:rPr>
                <w:rFonts w:ascii="Times New Roman"/>
                <w:sz w:val="21"/>
              </w:rPr>
            </w:pPr>
            <w:r>
              <w:rPr>
                <w:rFonts w:ascii="Times New Roman"/>
                <w:w w:val="99"/>
                <w:sz w:val="21"/>
              </w:rPr>
              <w:t>-</w:t>
            </w:r>
          </w:p>
        </w:tc>
        <w:tc>
          <w:tcPr>
            <w:tcW w:w="1327" w:type="dxa"/>
            <w:tcBorders>
              <w:top w:val="single" w:sz="4" w:space="0" w:color="000000"/>
              <w:left w:val="single" w:sz="4" w:space="0" w:color="000000"/>
              <w:bottom w:val="single" w:sz="4" w:space="0" w:color="000000"/>
              <w:right w:val="single" w:sz="4" w:space="0" w:color="000000"/>
            </w:tcBorders>
          </w:tcPr>
          <w:p>
            <w:pPr>
              <w:pStyle w:val="TableParagraph"/>
              <w:spacing w:before="100"/>
              <w:ind w:left="180" w:right="180"/>
              <w:rPr>
                <w:rFonts w:ascii="Times New Roman"/>
                <w:sz w:val="14"/>
              </w:rPr>
            </w:pPr>
            <w:r>
              <w:rPr>
                <w:rFonts w:ascii="Times New Roman"/>
                <w:sz w:val="21"/>
              </w:rPr>
              <w:t>16497.4m</w:t>
            </w:r>
            <w:r>
              <w:rPr>
                <w:rFonts w:ascii="Times New Roman"/>
                <w:position w:val="8"/>
                <w:sz w:val="14"/>
              </w:rPr>
              <w:t>3</w:t>
            </w:r>
          </w:p>
        </w:tc>
        <w:tc>
          <w:tcPr>
            <w:tcW w:w="3509" w:type="dxa"/>
            <w:tcBorders>
              <w:top w:val="single" w:sz="4" w:space="0" w:color="000000"/>
              <w:left w:val="single" w:sz="4" w:space="0" w:color="000000"/>
              <w:bottom w:val="single" w:sz="4" w:space="0" w:color="000000"/>
            </w:tcBorders>
          </w:tcPr>
          <w:p>
            <w:pPr>
              <w:pStyle w:val="TableParagraph"/>
              <w:spacing w:before="65"/>
              <w:ind w:left="9"/>
              <w:rPr>
                <w:sz w:val="21"/>
              </w:rPr>
            </w:pPr>
            <w:r>
              <w:rPr>
                <w:sz w:val="21"/>
              </w:rPr>
              <w:t>定期运往政府指定的堆渣场</w:t>
            </w:r>
          </w:p>
        </w:tc>
      </w:tr>
      <w:tr>
        <w:trPr>
          <w:trHeight w:val="488" w:hRule="exact"/>
        </w:trPr>
        <w:tc>
          <w:tcPr>
            <w:tcW w:w="614" w:type="dxa"/>
            <w:tcBorders>
              <w:top w:val="single" w:sz="4" w:space="0" w:color="000000"/>
              <w:right w:val="single" w:sz="4" w:space="0" w:color="000000"/>
            </w:tcBorders>
          </w:tcPr>
          <w:p>
            <w:pPr>
              <w:pStyle w:val="TableParagraph"/>
              <w:spacing w:before="113"/>
              <w:ind w:right="8"/>
              <w:rPr>
                <w:rFonts w:ascii="Times New Roman"/>
                <w:sz w:val="21"/>
              </w:rPr>
            </w:pPr>
            <w:r>
              <w:rPr>
                <w:rFonts w:ascii="Times New Roman"/>
                <w:sz w:val="21"/>
              </w:rPr>
              <w:t>2</w:t>
            </w:r>
          </w:p>
        </w:tc>
        <w:tc>
          <w:tcPr>
            <w:tcW w:w="1561" w:type="dxa"/>
            <w:tcBorders>
              <w:top w:val="single" w:sz="4" w:space="0" w:color="000000"/>
              <w:left w:val="single" w:sz="4" w:space="0" w:color="000000"/>
              <w:right w:val="single" w:sz="4" w:space="0" w:color="000000"/>
            </w:tcBorders>
          </w:tcPr>
          <w:p>
            <w:pPr>
              <w:pStyle w:val="TableParagraph"/>
              <w:spacing w:before="64"/>
              <w:ind w:left="177" w:right="178"/>
              <w:rPr>
                <w:sz w:val="21"/>
              </w:rPr>
            </w:pPr>
            <w:r>
              <w:rPr>
                <w:sz w:val="21"/>
              </w:rPr>
              <w:t>生活垃圾</w:t>
            </w:r>
          </w:p>
        </w:tc>
        <w:tc>
          <w:tcPr>
            <w:tcW w:w="1452" w:type="dxa"/>
            <w:tcBorders>
              <w:top w:val="single" w:sz="4" w:space="0" w:color="000000"/>
              <w:left w:val="single" w:sz="4" w:space="0" w:color="000000"/>
              <w:right w:val="single" w:sz="4" w:space="0" w:color="000000"/>
            </w:tcBorders>
          </w:tcPr>
          <w:p>
            <w:pPr>
              <w:pStyle w:val="TableParagraph"/>
              <w:spacing w:before="113"/>
              <w:ind w:left="62"/>
              <w:rPr>
                <w:rFonts w:ascii="Times New Roman"/>
                <w:sz w:val="21"/>
              </w:rPr>
            </w:pPr>
            <w:r>
              <w:rPr>
                <w:rFonts w:ascii="Times New Roman"/>
                <w:w w:val="99"/>
                <w:sz w:val="21"/>
              </w:rPr>
              <w:t>-</w:t>
            </w:r>
          </w:p>
        </w:tc>
        <w:tc>
          <w:tcPr>
            <w:tcW w:w="1327" w:type="dxa"/>
            <w:tcBorders>
              <w:top w:val="single" w:sz="4" w:space="0" w:color="000000"/>
              <w:left w:val="single" w:sz="4" w:space="0" w:color="000000"/>
              <w:right w:val="single" w:sz="4" w:space="0" w:color="000000"/>
            </w:tcBorders>
          </w:tcPr>
          <w:p>
            <w:pPr>
              <w:pStyle w:val="TableParagraph"/>
              <w:spacing w:before="113"/>
              <w:ind w:left="180" w:right="180"/>
              <w:rPr>
                <w:rFonts w:ascii="Times New Roman"/>
                <w:sz w:val="21"/>
              </w:rPr>
            </w:pPr>
            <w:r>
              <w:rPr>
                <w:rFonts w:ascii="Times New Roman"/>
                <w:sz w:val="21"/>
              </w:rPr>
              <w:t>16kg/d</w:t>
            </w:r>
          </w:p>
        </w:tc>
        <w:tc>
          <w:tcPr>
            <w:tcW w:w="3509" w:type="dxa"/>
            <w:tcBorders>
              <w:top w:val="single" w:sz="4" w:space="0" w:color="000000"/>
              <w:left w:val="single" w:sz="4" w:space="0" w:color="000000"/>
            </w:tcBorders>
          </w:tcPr>
          <w:p>
            <w:pPr>
              <w:pStyle w:val="TableParagraph"/>
              <w:spacing w:before="64"/>
              <w:ind w:left="7"/>
              <w:rPr>
                <w:sz w:val="21"/>
              </w:rPr>
            </w:pPr>
            <w:r>
              <w:rPr>
                <w:sz w:val="21"/>
              </w:rPr>
              <w:t>由环卫车运至城市垃圾处理场</w:t>
            </w:r>
          </w:p>
        </w:tc>
      </w:tr>
    </w:tbl>
    <w:p>
      <w:pPr>
        <w:pStyle w:val="BodyText"/>
        <w:spacing w:line="357" w:lineRule="auto" w:before="41"/>
        <w:ind w:left="224" w:right="127" w:firstLine="480"/>
      </w:pPr>
      <w:r>
        <w:rPr/>
        <w:t>本环评要求，施工时应合理安排挖掘土方的堆放场地及施工工序，以减少因土方的不合理占地堆放而造成扬尘污染；施工期间泥尘量大，进出施工现场车辆，人员将</w:t>
      </w:r>
      <w:r>
        <w:rPr>
          <w:spacing w:val="-4"/>
        </w:rPr>
        <w:t>使地面起尘，应对路面临时堆存的渣土及时清除，洒水降尘，保持车辆出入路面清洁、湿润，减缓行驶车辆车速，防止弃土扬尘。 </w:t>
      </w:r>
    </w:p>
    <w:p>
      <w:pPr>
        <w:pStyle w:val="BodyText"/>
        <w:spacing w:line="338" w:lineRule="auto" w:before="36"/>
        <w:ind w:left="223" w:firstLine="482"/>
      </w:pPr>
      <w:r>
        <w:rPr>
          <w:rFonts w:ascii="Times New Roman" w:eastAsia="Times New Roman"/>
          <w:b/>
        </w:rPr>
        <w:t>5</w:t>
      </w:r>
      <w:r>
        <w:rPr>
          <w:b/>
        </w:rPr>
        <w:t>、噪声：</w:t>
      </w:r>
      <w:r>
        <w:rPr/>
        <w:t>项目施工期的噪声来源于土方开挖、管道铺设、回填、车辆运输装卸等过程，见表 </w:t>
      </w:r>
      <w:r>
        <w:rPr>
          <w:rFonts w:ascii="Times New Roman" w:eastAsia="Times New Roman"/>
        </w:rPr>
        <w:t>5-3</w:t>
      </w:r>
      <w:r>
        <w:rPr/>
        <w:t>。 </w:t>
      </w:r>
    </w:p>
    <w:p>
      <w:pPr>
        <w:pStyle w:val="Heading2"/>
        <w:tabs>
          <w:tab w:pos="3696" w:val="left" w:leader="none"/>
        </w:tabs>
        <w:spacing w:before="26"/>
        <w:ind w:left="2835"/>
      </w:pPr>
      <w:r>
        <w:rPr/>
        <w:t>表</w:t>
      </w:r>
      <w:r>
        <w:rPr>
          <w:spacing w:val="-61"/>
        </w:rPr>
        <w:t> </w:t>
      </w:r>
      <w:r>
        <w:rPr>
          <w:rFonts w:ascii="Times New Roman" w:eastAsia="Times New Roman"/>
        </w:rPr>
        <w:t>5-3</w:t>
        <w:tab/>
      </w:r>
      <w:r>
        <w:rPr>
          <w:w w:val="95"/>
        </w:rPr>
        <w:t>项目施工噪声源及治理措施</w:t>
      </w:r>
    </w:p>
    <w:p>
      <w:pPr>
        <w:pStyle w:val="BodyText"/>
        <w:spacing w:before="3"/>
        <w:rPr>
          <w:b/>
          <w:sz w:val="7"/>
        </w:rPr>
      </w:pPr>
    </w:p>
    <w:tbl>
      <w:tblPr>
        <w:tblW w:w="0" w:type="auto"/>
        <w:jc w:val="left"/>
        <w:tblInd w:w="57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2298"/>
        <w:gridCol w:w="3106"/>
        <w:gridCol w:w="2834"/>
      </w:tblGrid>
      <w:tr>
        <w:trPr>
          <w:trHeight w:val="418" w:hRule="exact"/>
        </w:trPr>
        <w:tc>
          <w:tcPr>
            <w:tcW w:w="2298" w:type="dxa"/>
            <w:tcBorders>
              <w:bottom w:val="single" w:sz="4" w:space="0" w:color="000000"/>
              <w:right w:val="single" w:sz="4" w:space="0" w:color="000000"/>
            </w:tcBorders>
          </w:tcPr>
          <w:p>
            <w:pPr>
              <w:pStyle w:val="TableParagraph"/>
              <w:spacing w:before="29"/>
              <w:ind w:left="379" w:right="287"/>
              <w:rPr>
                <w:b/>
                <w:sz w:val="21"/>
              </w:rPr>
            </w:pPr>
            <w:r>
              <w:rPr>
                <w:b/>
                <w:w w:val="95"/>
                <w:sz w:val="21"/>
              </w:rPr>
              <w:t>噪声源</w:t>
            </w:r>
            <w:r>
              <w:rPr>
                <w:b/>
                <w:w w:val="99"/>
                <w:sz w:val="21"/>
              </w:rPr>
              <w:t> </w:t>
            </w:r>
          </w:p>
        </w:tc>
        <w:tc>
          <w:tcPr>
            <w:tcW w:w="3106" w:type="dxa"/>
            <w:tcBorders>
              <w:left w:val="single" w:sz="4" w:space="0" w:color="000000"/>
              <w:bottom w:val="single" w:sz="4" w:space="0" w:color="000000"/>
              <w:right w:val="single" w:sz="4" w:space="0" w:color="000000"/>
            </w:tcBorders>
          </w:tcPr>
          <w:p>
            <w:pPr>
              <w:pStyle w:val="TableParagraph"/>
              <w:spacing w:before="29"/>
              <w:ind w:left="735" w:right="632"/>
              <w:rPr>
                <w:b/>
                <w:sz w:val="21"/>
              </w:rPr>
            </w:pPr>
            <w:r>
              <w:rPr>
                <w:b/>
                <w:sz w:val="21"/>
              </w:rPr>
              <w:t>设备声级值 dB(A) </w:t>
            </w:r>
          </w:p>
        </w:tc>
        <w:tc>
          <w:tcPr>
            <w:tcW w:w="2834" w:type="dxa"/>
            <w:tcBorders>
              <w:left w:val="single" w:sz="4" w:space="0" w:color="000000"/>
              <w:bottom w:val="single" w:sz="4" w:space="0" w:color="000000"/>
            </w:tcBorders>
          </w:tcPr>
          <w:p>
            <w:pPr>
              <w:pStyle w:val="TableParagraph"/>
              <w:spacing w:before="29"/>
              <w:ind w:left="990"/>
              <w:jc w:val="left"/>
              <w:rPr>
                <w:b/>
                <w:sz w:val="21"/>
              </w:rPr>
            </w:pPr>
            <w:r>
              <w:rPr>
                <w:b/>
                <w:w w:val="95"/>
                <w:sz w:val="21"/>
              </w:rPr>
              <w:t>防治措施</w:t>
            </w:r>
            <w:r>
              <w:rPr>
                <w:b/>
                <w:w w:val="99"/>
                <w:sz w:val="21"/>
              </w:rPr>
              <w:t> </w:t>
            </w:r>
          </w:p>
        </w:tc>
      </w:tr>
      <w:tr>
        <w:trPr>
          <w:trHeight w:val="407" w:hRule="exact"/>
        </w:trPr>
        <w:tc>
          <w:tcPr>
            <w:tcW w:w="2298" w:type="dxa"/>
            <w:tcBorders>
              <w:top w:val="single" w:sz="4" w:space="0" w:color="000000"/>
              <w:bottom w:val="single" w:sz="4" w:space="0" w:color="000000"/>
              <w:right w:val="single" w:sz="4" w:space="0" w:color="000000"/>
            </w:tcBorders>
          </w:tcPr>
          <w:p>
            <w:pPr>
              <w:pStyle w:val="TableParagraph"/>
              <w:spacing w:before="28"/>
              <w:ind w:left="379" w:right="389"/>
              <w:rPr>
                <w:sz w:val="21"/>
              </w:rPr>
            </w:pPr>
            <w:r>
              <w:rPr>
                <w:sz w:val="21"/>
              </w:rPr>
              <w:t>小型挖土机</w:t>
            </w:r>
          </w:p>
        </w:tc>
        <w:tc>
          <w:tcPr>
            <w:tcW w:w="3106" w:type="dxa"/>
            <w:tcBorders>
              <w:top w:val="single" w:sz="4" w:space="0" w:color="000000"/>
              <w:left w:val="single" w:sz="4" w:space="0" w:color="000000"/>
              <w:bottom w:val="single" w:sz="4" w:space="0" w:color="000000"/>
              <w:right w:val="single" w:sz="4" w:space="0" w:color="000000"/>
            </w:tcBorders>
          </w:tcPr>
          <w:p>
            <w:pPr>
              <w:pStyle w:val="TableParagraph"/>
              <w:spacing w:before="77"/>
              <w:ind w:left="632" w:right="632"/>
              <w:rPr>
                <w:rFonts w:ascii="Times New Roman"/>
                <w:sz w:val="21"/>
              </w:rPr>
            </w:pPr>
            <w:r>
              <w:rPr>
                <w:rFonts w:ascii="Times New Roman"/>
                <w:sz w:val="21"/>
              </w:rPr>
              <w:t>70</w:t>
            </w:r>
          </w:p>
        </w:tc>
        <w:tc>
          <w:tcPr>
            <w:tcW w:w="2834" w:type="dxa"/>
            <w:vMerge w:val="restart"/>
            <w:tcBorders>
              <w:top w:val="single" w:sz="4" w:space="0" w:color="000000"/>
              <w:left w:val="single" w:sz="4" w:space="0" w:color="000000"/>
            </w:tcBorders>
          </w:tcPr>
          <w:p>
            <w:pPr>
              <w:pStyle w:val="TableParagraph"/>
              <w:jc w:val="left"/>
              <w:rPr>
                <w:b/>
                <w:sz w:val="20"/>
              </w:rPr>
            </w:pPr>
          </w:p>
          <w:p>
            <w:pPr>
              <w:pStyle w:val="TableParagraph"/>
              <w:jc w:val="left"/>
              <w:rPr>
                <w:b/>
                <w:sz w:val="20"/>
              </w:rPr>
            </w:pPr>
          </w:p>
          <w:p>
            <w:pPr>
              <w:pStyle w:val="TableParagraph"/>
              <w:spacing w:before="10"/>
              <w:jc w:val="left"/>
              <w:rPr>
                <w:b/>
                <w:sz w:val="13"/>
              </w:rPr>
            </w:pPr>
          </w:p>
          <w:p>
            <w:pPr>
              <w:pStyle w:val="TableParagraph"/>
              <w:spacing w:line="278" w:lineRule="auto"/>
              <w:ind w:left="256" w:right="246" w:firstLine="315"/>
              <w:jc w:val="left"/>
              <w:rPr>
                <w:sz w:val="21"/>
              </w:rPr>
            </w:pPr>
            <w:r>
              <w:rPr>
                <w:sz w:val="21"/>
              </w:rPr>
              <w:t>合理安排施工工序  避免高噪声设备夜间施工</w:t>
            </w:r>
          </w:p>
        </w:tc>
      </w:tr>
      <w:tr>
        <w:trPr>
          <w:trHeight w:val="407" w:hRule="exact"/>
        </w:trPr>
        <w:tc>
          <w:tcPr>
            <w:tcW w:w="2298" w:type="dxa"/>
            <w:tcBorders>
              <w:top w:val="single" w:sz="4" w:space="0" w:color="000000"/>
              <w:bottom w:val="single" w:sz="4" w:space="0" w:color="000000"/>
              <w:right w:val="single" w:sz="4" w:space="0" w:color="000000"/>
            </w:tcBorders>
          </w:tcPr>
          <w:p>
            <w:pPr>
              <w:pStyle w:val="TableParagraph"/>
              <w:spacing w:before="29"/>
              <w:ind w:left="379" w:right="389"/>
              <w:rPr>
                <w:sz w:val="21"/>
              </w:rPr>
            </w:pPr>
            <w:r>
              <w:rPr>
                <w:rFonts w:ascii="Times New Roman" w:eastAsia="Times New Roman"/>
                <w:sz w:val="21"/>
              </w:rPr>
              <w:t>PE </w:t>
            </w:r>
            <w:r>
              <w:rPr>
                <w:sz w:val="21"/>
              </w:rPr>
              <w:t>热熔机</w:t>
            </w:r>
          </w:p>
        </w:tc>
        <w:tc>
          <w:tcPr>
            <w:tcW w:w="3106" w:type="dxa"/>
            <w:tcBorders>
              <w:top w:val="single" w:sz="4" w:space="0" w:color="000000"/>
              <w:left w:val="single" w:sz="4" w:space="0" w:color="000000"/>
              <w:bottom w:val="single" w:sz="4" w:space="0" w:color="000000"/>
              <w:right w:val="single" w:sz="4" w:space="0" w:color="000000"/>
            </w:tcBorders>
          </w:tcPr>
          <w:p>
            <w:pPr>
              <w:pStyle w:val="TableParagraph"/>
              <w:spacing w:before="78"/>
              <w:ind w:left="632" w:right="632"/>
              <w:rPr>
                <w:rFonts w:ascii="Times New Roman"/>
                <w:sz w:val="21"/>
              </w:rPr>
            </w:pPr>
            <w:r>
              <w:rPr>
                <w:rFonts w:ascii="Times New Roman"/>
                <w:sz w:val="21"/>
              </w:rPr>
              <w:t>65</w:t>
            </w:r>
          </w:p>
        </w:tc>
        <w:tc>
          <w:tcPr>
            <w:tcW w:w="2834" w:type="dxa"/>
            <w:vMerge/>
            <w:tcBorders>
              <w:left w:val="single" w:sz="4" w:space="0" w:color="000000"/>
            </w:tcBorders>
          </w:tcPr>
          <w:p>
            <w:pPr/>
          </w:p>
        </w:tc>
      </w:tr>
      <w:tr>
        <w:trPr>
          <w:trHeight w:val="407" w:hRule="exact"/>
        </w:trPr>
        <w:tc>
          <w:tcPr>
            <w:tcW w:w="2298" w:type="dxa"/>
            <w:tcBorders>
              <w:top w:val="single" w:sz="4" w:space="0" w:color="000000"/>
              <w:bottom w:val="single" w:sz="4" w:space="0" w:color="000000"/>
              <w:right w:val="single" w:sz="4" w:space="0" w:color="000000"/>
            </w:tcBorders>
          </w:tcPr>
          <w:p>
            <w:pPr>
              <w:pStyle w:val="TableParagraph"/>
              <w:spacing w:before="29"/>
              <w:ind w:left="379" w:right="389"/>
              <w:rPr>
                <w:sz w:val="21"/>
              </w:rPr>
            </w:pPr>
            <w:r>
              <w:rPr>
                <w:sz w:val="21"/>
              </w:rPr>
              <w:t>路面破碎机</w:t>
            </w:r>
          </w:p>
        </w:tc>
        <w:tc>
          <w:tcPr>
            <w:tcW w:w="3106" w:type="dxa"/>
            <w:tcBorders>
              <w:top w:val="single" w:sz="4" w:space="0" w:color="000000"/>
              <w:left w:val="single" w:sz="4" w:space="0" w:color="000000"/>
              <w:bottom w:val="single" w:sz="4" w:space="0" w:color="000000"/>
              <w:right w:val="single" w:sz="4" w:space="0" w:color="000000"/>
            </w:tcBorders>
          </w:tcPr>
          <w:p>
            <w:pPr>
              <w:pStyle w:val="TableParagraph"/>
              <w:spacing w:before="78"/>
              <w:ind w:left="632" w:right="632"/>
              <w:rPr>
                <w:rFonts w:ascii="Times New Roman"/>
                <w:sz w:val="21"/>
              </w:rPr>
            </w:pPr>
            <w:r>
              <w:rPr>
                <w:rFonts w:ascii="Times New Roman"/>
                <w:sz w:val="21"/>
              </w:rPr>
              <w:t>90</w:t>
            </w:r>
          </w:p>
        </w:tc>
        <w:tc>
          <w:tcPr>
            <w:tcW w:w="2834" w:type="dxa"/>
            <w:vMerge/>
            <w:tcBorders>
              <w:left w:val="single" w:sz="4" w:space="0" w:color="000000"/>
            </w:tcBorders>
          </w:tcPr>
          <w:p>
            <w:pPr/>
          </w:p>
        </w:tc>
      </w:tr>
      <w:tr>
        <w:trPr>
          <w:trHeight w:val="407" w:hRule="exact"/>
        </w:trPr>
        <w:tc>
          <w:tcPr>
            <w:tcW w:w="2298" w:type="dxa"/>
            <w:tcBorders>
              <w:top w:val="single" w:sz="4" w:space="0" w:color="000000"/>
              <w:bottom w:val="single" w:sz="4" w:space="0" w:color="000000"/>
              <w:right w:val="single" w:sz="4" w:space="0" w:color="000000"/>
            </w:tcBorders>
          </w:tcPr>
          <w:p>
            <w:pPr>
              <w:pStyle w:val="TableParagraph"/>
              <w:spacing w:before="29"/>
              <w:ind w:left="379" w:right="389"/>
              <w:rPr>
                <w:sz w:val="21"/>
              </w:rPr>
            </w:pPr>
            <w:r>
              <w:rPr>
                <w:sz w:val="21"/>
              </w:rPr>
              <w:t>柴油发电机</w:t>
            </w:r>
          </w:p>
        </w:tc>
        <w:tc>
          <w:tcPr>
            <w:tcW w:w="3106" w:type="dxa"/>
            <w:tcBorders>
              <w:top w:val="single" w:sz="4" w:space="0" w:color="000000"/>
              <w:left w:val="single" w:sz="4" w:space="0" w:color="000000"/>
              <w:bottom w:val="single" w:sz="4" w:space="0" w:color="000000"/>
              <w:right w:val="single" w:sz="4" w:space="0" w:color="000000"/>
            </w:tcBorders>
          </w:tcPr>
          <w:p>
            <w:pPr>
              <w:pStyle w:val="TableParagraph"/>
              <w:spacing w:before="78"/>
              <w:ind w:left="632" w:right="632"/>
              <w:rPr>
                <w:rFonts w:ascii="Times New Roman"/>
                <w:sz w:val="21"/>
              </w:rPr>
            </w:pPr>
            <w:r>
              <w:rPr>
                <w:rFonts w:ascii="Times New Roman"/>
                <w:sz w:val="21"/>
              </w:rPr>
              <w:t>85</w:t>
            </w:r>
          </w:p>
        </w:tc>
        <w:tc>
          <w:tcPr>
            <w:tcW w:w="2834" w:type="dxa"/>
            <w:vMerge/>
            <w:tcBorders>
              <w:left w:val="single" w:sz="4" w:space="0" w:color="000000"/>
            </w:tcBorders>
          </w:tcPr>
          <w:p>
            <w:pPr/>
          </w:p>
        </w:tc>
      </w:tr>
      <w:tr>
        <w:trPr>
          <w:trHeight w:val="419" w:hRule="exact"/>
        </w:trPr>
        <w:tc>
          <w:tcPr>
            <w:tcW w:w="2298" w:type="dxa"/>
            <w:tcBorders>
              <w:top w:val="single" w:sz="4" w:space="0" w:color="000000"/>
              <w:right w:val="single" w:sz="4" w:space="0" w:color="000000"/>
            </w:tcBorders>
          </w:tcPr>
          <w:p>
            <w:pPr>
              <w:pStyle w:val="TableParagraph"/>
              <w:spacing w:before="29"/>
              <w:ind w:left="379" w:right="389"/>
              <w:rPr>
                <w:sz w:val="21"/>
              </w:rPr>
            </w:pPr>
            <w:r>
              <w:rPr>
                <w:sz w:val="21"/>
              </w:rPr>
              <w:t>车辆装卸、运输</w:t>
            </w:r>
          </w:p>
        </w:tc>
        <w:tc>
          <w:tcPr>
            <w:tcW w:w="3106" w:type="dxa"/>
            <w:tcBorders>
              <w:top w:val="single" w:sz="4" w:space="0" w:color="000000"/>
              <w:left w:val="single" w:sz="4" w:space="0" w:color="000000"/>
              <w:right w:val="single" w:sz="4" w:space="0" w:color="000000"/>
            </w:tcBorders>
          </w:tcPr>
          <w:p>
            <w:pPr>
              <w:pStyle w:val="TableParagraph"/>
              <w:spacing w:before="78"/>
              <w:ind w:left="632" w:right="632"/>
              <w:rPr>
                <w:rFonts w:ascii="Times New Roman"/>
                <w:sz w:val="21"/>
              </w:rPr>
            </w:pPr>
            <w:r>
              <w:rPr>
                <w:rFonts w:ascii="Times New Roman"/>
                <w:sz w:val="21"/>
              </w:rPr>
              <w:t>70</w:t>
            </w:r>
          </w:p>
        </w:tc>
        <w:tc>
          <w:tcPr>
            <w:tcW w:w="2834" w:type="dxa"/>
            <w:vMerge/>
            <w:tcBorders>
              <w:left w:val="single" w:sz="4" w:space="0" w:color="000000"/>
            </w:tcBorders>
          </w:tcPr>
          <w:p>
            <w:pPr/>
          </w:p>
        </w:tc>
      </w:tr>
    </w:tbl>
    <w:p>
      <w:pPr>
        <w:pStyle w:val="BodyText"/>
        <w:spacing w:line="357" w:lineRule="auto" w:before="40"/>
        <w:ind w:left="224" w:right="221" w:firstLine="480"/>
        <w:jc w:val="both"/>
      </w:pPr>
      <w:r>
        <w:rPr/>
        <w:t>项目无大型施工设备，无大的噪声源，通过合理安排施工工序，对周围声学环境影响较小。</w:t>
      </w:r>
    </w:p>
    <w:p>
      <w:pPr>
        <w:pStyle w:val="Heading2"/>
        <w:spacing w:before="35"/>
        <w:ind w:left="706"/>
      </w:pPr>
      <w:r>
        <w:rPr>
          <w:rFonts w:ascii="Times New Roman" w:eastAsia="Times New Roman"/>
          <w:w w:val="95"/>
        </w:rPr>
        <w:t>6</w:t>
      </w:r>
      <w:r>
        <w:rPr>
          <w:w w:val="95"/>
        </w:rPr>
        <w:t>、生态影响：</w:t>
      </w:r>
    </w:p>
    <w:p>
      <w:pPr>
        <w:spacing w:before="135"/>
        <w:ind w:left="706" w:right="0" w:firstLine="0"/>
        <w:jc w:val="left"/>
        <w:rPr>
          <w:b/>
          <w:sz w:val="24"/>
        </w:rPr>
      </w:pPr>
      <w:r>
        <w:rPr>
          <w:b/>
          <w:w w:val="95"/>
          <w:sz w:val="24"/>
        </w:rPr>
        <w:t>（</w:t>
      </w:r>
      <w:r>
        <w:rPr>
          <w:rFonts w:ascii="Times New Roman" w:eastAsia="Times New Roman"/>
          <w:b/>
          <w:w w:val="95"/>
          <w:sz w:val="24"/>
        </w:rPr>
        <w:t>1</w:t>
      </w:r>
      <w:r>
        <w:rPr>
          <w:b/>
          <w:w w:val="95"/>
          <w:sz w:val="24"/>
        </w:rPr>
        <w:t>）生态破坏</w:t>
      </w:r>
    </w:p>
    <w:p>
      <w:pPr>
        <w:pStyle w:val="BodyText"/>
        <w:spacing w:line="468" w:lineRule="exact" w:before="41"/>
        <w:ind w:left="223" w:right="212" w:firstLine="480"/>
        <w:jc w:val="both"/>
      </w:pPr>
      <w:r>
        <w:rPr/>
        <w:t>工程占用土地及施工区域为城市建成区，施工沿线也无高大古树及其它珍稀树种。开挖过程中将植被表层土（</w:t>
      </w:r>
      <w:r>
        <w:rPr>
          <w:rFonts w:ascii="Times New Roman" w:eastAsia="Times New Roman"/>
        </w:rPr>
        <w:t>30cm</w:t>
      </w:r>
      <w:r>
        <w:rPr/>
        <w:t>）隔 </w:t>
      </w:r>
      <w:r>
        <w:rPr>
          <w:rFonts w:ascii="Times New Roman" w:eastAsia="Times New Roman"/>
        </w:rPr>
        <w:t>500m </w:t>
      </w:r>
      <w:r>
        <w:rPr/>
        <w:t>设置一个堆放点，边施工边对植被进行恢复。对于临时用地施工结束后也应该采取必要的复垦措施，表层土（</w:t>
      </w:r>
      <w:r>
        <w:rPr>
          <w:rFonts w:ascii="Times New Roman" w:eastAsia="Times New Roman"/>
        </w:rPr>
        <w:t>30cm</w:t>
      </w:r>
      <w:r>
        <w:rPr/>
        <w:t>）将被保留并在施工完成后尽快回填。由于开挖区植被破坏，地表裸露，将使土壤的有机质分解作用加强，使有机质含量降低，理化性质改变，所以在绿化带开挖、回填过程中</w:t>
      </w:r>
    </w:p>
    <w:p>
      <w:pPr>
        <w:spacing w:after="0" w:line="468" w:lineRule="exact"/>
        <w:jc w:val="both"/>
        <w:sectPr>
          <w:pgSz w:w="11910" w:h="16840"/>
          <w:pgMar w:header="0" w:footer="1186" w:top="1120" w:bottom="1440" w:left="1240" w:right="1240"/>
        </w:sectPr>
      </w:pPr>
    </w:p>
    <w:p>
      <w:pPr>
        <w:pStyle w:val="BodyText"/>
        <w:spacing w:before="45"/>
        <w:ind w:left="224"/>
        <w:jc w:val="both"/>
      </w:pPr>
      <w:r>
        <w:rPr/>
        <w:pict>
          <v:group style="position:absolute;margin-left:67.550003pt;margin-top:56.448982pt;width:460.2pt;height:703.5pt;mso-position-horizontal-relative:page;mso-position-vertical-relative:page;z-index:-83704" coordorigin="1351,1129" coordsize="9204,14070">
            <v:line style="position:absolute" from="1361,1139" to="10544,1139" stroked="true" strokeweight=".481pt" strokecolor="#000000">
              <v:stroke dashstyle="solid"/>
            </v:line>
            <v:line style="position:absolute" from="1356,1134" to="1356,15193" stroked="true" strokeweight=".48pt" strokecolor="#000000">
              <v:stroke dashstyle="solid"/>
            </v:line>
            <v:line style="position:absolute" from="1361,15188" to="10544,15188" stroked="true" strokeweight=".48pt" strokecolor="#000000">
              <v:stroke dashstyle="solid"/>
            </v:line>
            <v:line style="position:absolute" from="10549,1134" to="10549,15193" stroked="true" strokeweight=".48pt" strokecolor="#000000">
              <v:stroke dashstyle="solid"/>
            </v:line>
            <w10:wrap type="none"/>
          </v:group>
        </w:pict>
      </w:r>
      <w:r>
        <w:rPr/>
        <w:t>一定要采取表土和生土分散、分层回填并夯实，尽量不改变其原有的土壤结构。</w:t>
      </w:r>
    </w:p>
    <w:p>
      <w:pPr>
        <w:pStyle w:val="Heading2"/>
        <w:spacing w:before="153"/>
        <w:ind w:left="706"/>
      </w:pPr>
      <w:r>
        <w:rPr>
          <w:w w:val="95"/>
        </w:rPr>
        <w:t>（</w:t>
      </w:r>
      <w:r>
        <w:rPr>
          <w:rFonts w:ascii="Times New Roman" w:eastAsia="Times New Roman"/>
          <w:w w:val="95"/>
        </w:rPr>
        <w:t>2</w:t>
      </w:r>
      <w:r>
        <w:rPr>
          <w:w w:val="95"/>
        </w:rPr>
        <w:t>）水土流失</w:t>
      </w:r>
    </w:p>
    <w:p>
      <w:pPr>
        <w:pStyle w:val="BodyText"/>
        <w:spacing w:line="357" w:lineRule="auto"/>
        <w:ind w:left="224" w:right="222" w:firstLine="480"/>
        <w:jc w:val="both"/>
      </w:pPr>
      <w:r>
        <w:rPr/>
        <w:t>施工工程中场地临时堆方因结构松散，可能被雨水冲刷造成水土流失，及时清运多余弃土；挖方作业避开雨季；严格控制临时堆置地点；管道工程完工后及时恢复施工用地。</w:t>
      </w:r>
    </w:p>
    <w:p>
      <w:pPr>
        <w:pStyle w:val="Heading2"/>
        <w:spacing w:before="36"/>
        <w:ind w:left="706"/>
      </w:pPr>
      <w:r>
        <w:rPr>
          <w:w w:val="95"/>
        </w:rPr>
        <w:t>（</w:t>
      </w:r>
      <w:r>
        <w:rPr>
          <w:rFonts w:ascii="Times New Roman" w:eastAsia="Times New Roman"/>
          <w:w w:val="95"/>
        </w:rPr>
        <w:t>3</w:t>
      </w:r>
      <w:r>
        <w:rPr>
          <w:w w:val="95"/>
        </w:rPr>
        <w:t>）征地及拆迁</w:t>
      </w:r>
    </w:p>
    <w:p>
      <w:pPr>
        <w:pStyle w:val="BodyText"/>
        <w:spacing w:line="357" w:lineRule="auto"/>
        <w:ind w:left="223" w:right="224" w:firstLine="480"/>
        <w:jc w:val="both"/>
      </w:pPr>
      <w:r>
        <w:rPr/>
        <w:t>项目不涉及居民等征地及拆迁。项目施工在生态影响方面主要体现在工程施工临时占地、开挖、管线工程等施工活动对沿线的土地、植被以及动物栖息地造成一定的影响和破坏，使局部地区表土失去防冲固土能力造成的水土流失。 </w:t>
      </w:r>
    </w:p>
    <w:p>
      <w:pPr>
        <w:pStyle w:val="BodyText"/>
        <w:spacing w:line="357" w:lineRule="auto" w:before="35"/>
        <w:ind w:left="223" w:right="221" w:firstLine="480"/>
        <w:jc w:val="both"/>
      </w:pPr>
      <w:r>
        <w:rPr/>
        <w:t>总体来讲，施工期水土流失是暂时的，随着主体工程竣工、绿化工程的完善、水保方案的实施、植被的逐渐恢复，因工程施工而引起的水土流失会逐年减少。</w:t>
      </w:r>
    </w:p>
    <w:p>
      <w:pPr>
        <w:pStyle w:val="Heading2"/>
        <w:spacing w:before="35"/>
        <w:ind w:left="706"/>
      </w:pPr>
      <w:r>
        <w:rPr>
          <w:rFonts w:ascii="Times New Roman" w:eastAsia="Times New Roman"/>
          <w:w w:val="95"/>
        </w:rPr>
        <w:t>7</w:t>
      </w:r>
      <w:r>
        <w:rPr>
          <w:w w:val="95"/>
        </w:rPr>
        <w:t>、社会环境：</w:t>
      </w:r>
    </w:p>
    <w:p>
      <w:pPr>
        <w:spacing w:line="357" w:lineRule="auto" w:before="135"/>
        <w:ind w:left="224" w:right="1986" w:firstLine="480"/>
        <w:jc w:val="left"/>
        <w:rPr>
          <w:b/>
          <w:sz w:val="24"/>
        </w:rPr>
      </w:pPr>
      <w:r>
        <w:rPr>
          <w:sz w:val="24"/>
        </w:rPr>
        <w:t>施工期间会造成沿线周边居民生活和交通不便，影响正常生活。</w:t>
      </w:r>
      <w:r>
        <w:rPr>
          <w:b/>
          <w:w w:val="95"/>
          <w:sz w:val="24"/>
        </w:rPr>
        <w:t>二、运营期工艺流程简述</w:t>
      </w:r>
    </w:p>
    <w:p>
      <w:pPr>
        <w:pStyle w:val="BodyText"/>
        <w:spacing w:line="357" w:lineRule="auto" w:before="36"/>
        <w:ind w:left="224" w:right="221" w:firstLine="480"/>
        <w:jc w:val="both"/>
      </w:pPr>
      <w:r>
        <w:rPr/>
        <w:t>由于本工程特点为非工业性建设项目，属市政基础设施项目，管道为地下铺设。项目主要污染集中在施工期，项目建成后，雨水和污水管网工程运营后，不会对环境产生不利影响。</w:t>
      </w:r>
    </w:p>
    <w:p>
      <w:pPr>
        <w:pStyle w:val="BodyText"/>
        <w:spacing w:line="357" w:lineRule="auto" w:before="36"/>
        <w:ind w:left="223" w:right="220" w:firstLine="482"/>
        <w:jc w:val="both"/>
      </w:pPr>
      <w:r>
        <w:rPr>
          <w:b/>
        </w:rPr>
        <w:t>环境正效益：</w:t>
      </w:r>
      <w:r>
        <w:rPr/>
        <w:t>项目为市政基础设施建设项目，项目建成后，可以将城镇污水进行有效的收集，并集中排入污水处理厂，对保护河流水质具有正效益。</w:t>
      </w:r>
    </w:p>
    <w:p>
      <w:pPr>
        <w:pStyle w:val="Heading2"/>
        <w:spacing w:before="36"/>
        <w:ind w:left="224"/>
        <w:jc w:val="both"/>
      </w:pPr>
      <w:r>
        <w:rPr>
          <w:w w:val="95"/>
        </w:rPr>
        <w:t>三、污染治理措施：</w:t>
      </w:r>
    </w:p>
    <w:p>
      <w:pPr>
        <w:pStyle w:val="BodyText"/>
        <w:spacing w:line="357" w:lineRule="auto" w:before="154"/>
        <w:ind w:left="224" w:right="221" w:firstLine="480"/>
        <w:jc w:val="both"/>
      </w:pPr>
      <w:r>
        <w:rPr/>
        <w:t>建立高效、务实的环境保护管理体系，加强工程的环境保护监理工作，合理安排施工进度及施工时间，避免雨天和大风天开挖施工作业，废弃土方要及时清运处理； 尽量缩短施工期，使土壤暴露时间缩短，并快速回填；管道敷设回填后的地表应保持与原地表高度的一致，严禁改变原有形态。</w:t>
      </w:r>
    </w:p>
    <w:p>
      <w:pPr>
        <w:pStyle w:val="Heading2"/>
        <w:spacing w:before="36"/>
        <w:ind w:left="706"/>
      </w:pPr>
      <w:r>
        <w:rPr>
          <w:w w:val="95"/>
        </w:rPr>
        <w:t>（一）施工期环境保护措施</w:t>
      </w:r>
    </w:p>
    <w:p>
      <w:pPr>
        <w:spacing w:before="153"/>
        <w:ind w:left="706" w:right="0" w:firstLine="0"/>
        <w:jc w:val="left"/>
        <w:rPr>
          <w:b/>
          <w:sz w:val="24"/>
        </w:rPr>
      </w:pPr>
      <w:r>
        <w:rPr>
          <w:rFonts w:ascii="Times New Roman" w:eastAsia="Times New Roman"/>
          <w:b/>
          <w:w w:val="95"/>
          <w:sz w:val="24"/>
        </w:rPr>
        <w:t>1</w:t>
      </w:r>
      <w:r>
        <w:rPr>
          <w:b/>
          <w:w w:val="95"/>
          <w:sz w:val="24"/>
        </w:rPr>
        <w:t>、大气环境保护措施</w:t>
      </w:r>
    </w:p>
    <w:p>
      <w:pPr>
        <w:pStyle w:val="BodyText"/>
        <w:ind w:left="704"/>
      </w:pPr>
      <w:r>
        <w:rPr/>
        <w:t>施工时，因管道开挖和回填土石方引起扬尘，此外施工机械及运输车辆将产生</w:t>
      </w:r>
    </w:p>
    <w:p>
      <w:pPr>
        <w:pStyle w:val="BodyText"/>
        <w:spacing w:line="348" w:lineRule="auto" w:before="153"/>
        <w:ind w:left="224" w:right="224"/>
        <w:jc w:val="both"/>
      </w:pPr>
      <w:r>
        <w:rPr>
          <w:rFonts w:ascii="Times New Roman" w:eastAsia="Times New Roman"/>
        </w:rPr>
        <w:t>TSP </w:t>
      </w:r>
      <w:r>
        <w:rPr>
          <w:spacing w:val="-2"/>
        </w:rPr>
        <w:t>等污染物，给空气环境会造成一定的影响。扬尘污染造成大气中 </w:t>
      </w:r>
      <w:r>
        <w:rPr>
          <w:rFonts w:ascii="Times New Roman" w:eastAsia="Times New Roman"/>
        </w:rPr>
        <w:t>TSP </w:t>
      </w:r>
      <w:r>
        <w:rPr/>
        <w:t>值增高，施工扬尘的起尘量与许多因素有关。起尘量主要包括两类：挖掘机开挖起尘量和施工渣土堆场起尘量，属无组织排放，源强不易确定，主要是通过管理来进行控制，尽量减</w:t>
      </w:r>
    </w:p>
    <w:p>
      <w:pPr>
        <w:spacing w:after="0" w:line="348" w:lineRule="auto"/>
        <w:jc w:val="both"/>
        <w:sectPr>
          <w:pgSz w:w="11910" w:h="16840"/>
          <w:pgMar w:header="0" w:footer="1186" w:top="1120" w:bottom="1440" w:left="1240" w:right="1240"/>
        </w:sectPr>
      </w:pPr>
    </w:p>
    <w:p>
      <w:pPr>
        <w:pStyle w:val="BodyText"/>
        <w:spacing w:line="357" w:lineRule="auto" w:before="45"/>
        <w:ind w:left="224" w:right="214"/>
        <w:jc w:val="both"/>
      </w:pPr>
      <w:r>
        <w:rPr/>
        <w:pict>
          <v:group style="position:absolute;margin-left:67.550003pt;margin-top:56.448982pt;width:460.2pt;height:703.5pt;mso-position-horizontal-relative:page;mso-position-vertical-relative:page;z-index:-83680" coordorigin="1351,1129" coordsize="9204,14070">
            <v:line style="position:absolute" from="1361,1139" to="10544,1139" stroked="true" strokeweight=".481pt" strokecolor="#000000">
              <v:stroke dashstyle="solid"/>
            </v:line>
            <v:line style="position:absolute" from="1356,1134" to="1356,15193" stroked="true" strokeweight=".48pt" strokecolor="#000000">
              <v:stroke dashstyle="solid"/>
            </v:line>
            <v:line style="position:absolute" from="1361,15188" to="10544,15188" stroked="true" strokeweight=".48pt" strokecolor="#000000">
              <v:stroke dashstyle="solid"/>
            </v:line>
            <v:line style="position:absolute" from="10549,1134" to="10549,15193" stroked="true" strokeweight=".48pt" strokecolor="#000000">
              <v:stroke dashstyle="solid"/>
            </v:line>
            <w10:wrap type="none"/>
          </v:group>
        </w:pict>
      </w:r>
      <w:r>
        <w:rPr/>
        <w:t>少扬尘的排放量。影响起尘量的因素包括：基础开挖起尘量、施工渣土堆起尘量、进出车辆带泥沙量、水泥搬运量、以及起尘高度、采取的防护措施、空气湿度、风速等。</w:t>
      </w:r>
    </w:p>
    <w:p>
      <w:pPr>
        <w:pStyle w:val="BodyText"/>
        <w:spacing w:line="357" w:lineRule="auto" w:before="36"/>
        <w:ind w:left="224" w:right="221" w:firstLine="480"/>
        <w:jc w:val="both"/>
      </w:pPr>
      <w:r>
        <w:rPr/>
        <w:t>工程施工材料的运输等车辆要求遮盖，尽量减少散落；土石方运输封闭；运输材料施工现场堆放采取必要的洒水措施，防止粉尘污染。 </w:t>
      </w:r>
    </w:p>
    <w:p>
      <w:pPr>
        <w:pStyle w:val="BodyText"/>
        <w:spacing w:line="348" w:lineRule="auto" w:before="36"/>
        <w:ind w:left="223" w:right="223" w:firstLine="480"/>
        <w:jc w:val="both"/>
      </w:pPr>
      <w:r>
        <w:rPr>
          <w:spacing w:val="-2"/>
        </w:rPr>
        <w:t>项目施工期严格执行《四川省人民政府办公厅关于加强灰霾污染防治的通知</w:t>
      </w:r>
      <w:r>
        <w:rPr>
          <w:spacing w:val="-132"/>
        </w:rPr>
        <w:t>》</w:t>
      </w:r>
      <w:r>
        <w:rPr/>
        <w:t>（川办发</w:t>
      </w:r>
      <w:r>
        <w:rPr>
          <w:rFonts w:ascii="Times New Roman" w:hAnsi="Times New Roman" w:eastAsia="Times New Roman"/>
        </w:rPr>
        <w:t>[2013]32 </w:t>
      </w:r>
      <w:r>
        <w:rPr/>
        <w:t>号</w:t>
      </w:r>
      <w:r>
        <w:rPr>
          <w:spacing w:val="-120"/>
        </w:rPr>
        <w:t>）</w:t>
      </w:r>
      <w:r>
        <w:rPr>
          <w:spacing w:val="-14"/>
        </w:rPr>
        <w:t>、《四川省灰霾污染防治实施方案》中</w:t>
      </w:r>
      <w:r>
        <w:rPr>
          <w:rFonts w:ascii="Times New Roman" w:hAnsi="Times New Roman" w:eastAsia="Times New Roman"/>
        </w:rPr>
        <w:t>“</w:t>
      </w:r>
      <w:r>
        <w:rPr/>
        <w:t>六必须</w:t>
      </w:r>
      <w:r>
        <w:rPr>
          <w:rFonts w:ascii="Times New Roman" w:hAnsi="Times New Roman" w:eastAsia="Times New Roman"/>
          <w:spacing w:val="-12"/>
        </w:rPr>
        <w:t>”</w:t>
      </w:r>
      <w:r>
        <w:rPr>
          <w:spacing w:val="-12"/>
        </w:rPr>
        <w:t>（</w:t>
      </w:r>
      <w:r>
        <w:rPr>
          <w:spacing w:val="-4"/>
        </w:rPr>
        <w:t>必须围档作业、必须</w:t>
      </w:r>
      <w:r>
        <w:rPr>
          <w:spacing w:val="-3"/>
        </w:rPr>
        <w:t>硬化道路、必须设置冲洗设施、必须及时洒水作业、必须落实保洁人员、必须定时清扫施工现场</w:t>
      </w:r>
      <w:r>
        <w:rPr>
          <w:spacing w:val="-120"/>
        </w:rPr>
        <w:t>）</w:t>
      </w:r>
      <w:r>
        <w:rPr/>
        <w:t>、</w:t>
      </w:r>
      <w:r>
        <w:rPr>
          <w:rFonts w:ascii="Times New Roman" w:hAnsi="Times New Roman" w:eastAsia="Times New Roman"/>
        </w:rPr>
        <w:t>“</w:t>
      </w:r>
      <w:r>
        <w:rPr/>
        <w:t>六不准</w:t>
      </w:r>
      <w:r>
        <w:rPr>
          <w:rFonts w:ascii="Times New Roman" w:hAnsi="Times New Roman" w:eastAsia="Times New Roman"/>
        </w:rPr>
        <w:t>”</w:t>
      </w:r>
      <w:r>
        <w:rPr/>
        <w:t>（不准车辆带泥出门、不准运渣车辆冒顶装载、不准高空抛撒建筑垃圾、不准现场搅拌混凝土、不准场地积水、不准现场焚烧废弃物</w:t>
      </w:r>
      <w:r>
        <w:rPr>
          <w:spacing w:val="-120"/>
        </w:rPr>
        <w:t>）</w:t>
      </w:r>
      <w:r>
        <w:rPr/>
        <w:t>。</w:t>
      </w:r>
    </w:p>
    <w:p>
      <w:pPr>
        <w:spacing w:line="338" w:lineRule="auto" w:before="45"/>
        <w:ind w:left="223" w:right="220" w:firstLine="482"/>
        <w:jc w:val="both"/>
        <w:rPr>
          <w:sz w:val="24"/>
        </w:rPr>
      </w:pPr>
      <w:r>
        <w:rPr>
          <w:b/>
          <w:spacing w:val="-1"/>
          <w:sz w:val="24"/>
        </w:rPr>
        <w:t>针对本项目环境保护目标，施工期扬尘污染防治措施如下：</w:t>
      </w:r>
      <w:r>
        <w:rPr>
          <w:spacing w:val="-13"/>
          <w:sz w:val="24"/>
        </w:rPr>
        <w:t>（</w:t>
      </w:r>
      <w:r>
        <w:rPr>
          <w:rFonts w:ascii="Times New Roman" w:eastAsia="Times New Roman"/>
          <w:spacing w:val="-13"/>
          <w:sz w:val="24"/>
        </w:rPr>
        <w:t>1</w:t>
      </w:r>
      <w:r>
        <w:rPr>
          <w:spacing w:val="-13"/>
          <w:sz w:val="24"/>
        </w:rPr>
        <w:t>）</w:t>
      </w:r>
      <w:r>
        <w:rPr>
          <w:sz w:val="24"/>
        </w:rPr>
        <w:t>沿施工场地设置围护挡板；</w:t>
      </w:r>
      <w:r>
        <w:rPr>
          <w:spacing w:val="2"/>
          <w:sz w:val="24"/>
        </w:rPr>
        <w:t>（</w:t>
      </w:r>
      <w:r>
        <w:rPr>
          <w:rFonts w:ascii="Times New Roman" w:eastAsia="Times New Roman"/>
          <w:spacing w:val="2"/>
          <w:sz w:val="24"/>
        </w:rPr>
        <w:t>2</w:t>
      </w:r>
      <w:r>
        <w:rPr>
          <w:spacing w:val="2"/>
          <w:sz w:val="24"/>
        </w:rPr>
        <w:t>）</w:t>
      </w:r>
      <w:r>
        <w:rPr>
          <w:sz w:val="24"/>
        </w:rPr>
        <w:t>合理安排施工工序，挖方及时回填；</w:t>
      </w:r>
      <w:r>
        <w:rPr>
          <w:spacing w:val="2"/>
          <w:sz w:val="24"/>
        </w:rPr>
        <w:t>（</w:t>
      </w:r>
      <w:r>
        <w:rPr>
          <w:rFonts w:ascii="Times New Roman" w:eastAsia="Times New Roman"/>
          <w:spacing w:val="2"/>
          <w:sz w:val="24"/>
        </w:rPr>
        <w:t>3</w:t>
      </w:r>
      <w:r>
        <w:rPr>
          <w:spacing w:val="2"/>
          <w:sz w:val="24"/>
        </w:rPr>
        <w:t>）</w:t>
      </w:r>
      <w:r>
        <w:rPr>
          <w:sz w:val="24"/>
        </w:rPr>
        <w:t>干燥天气适当洒水降尘；</w:t>
      </w:r>
    </w:p>
    <w:p>
      <w:pPr>
        <w:pStyle w:val="BodyText"/>
        <w:spacing w:line="338" w:lineRule="auto" w:before="26"/>
        <w:ind w:left="223" w:right="220"/>
        <w:jc w:val="both"/>
      </w:pPr>
      <w:r>
        <w:rPr>
          <w:spacing w:val="2"/>
        </w:rPr>
        <w:t>（</w:t>
      </w:r>
      <w:r>
        <w:rPr>
          <w:rFonts w:ascii="Times New Roman" w:eastAsia="Times New Roman"/>
          <w:spacing w:val="2"/>
        </w:rPr>
        <w:t>4</w:t>
      </w:r>
      <w:r>
        <w:rPr>
          <w:spacing w:val="2"/>
        </w:rPr>
        <w:t>）</w:t>
      </w:r>
      <w:r>
        <w:rPr/>
        <w:t>及时清除运输车辆泥土和路面尘土；</w:t>
      </w:r>
      <w:r>
        <w:rPr>
          <w:spacing w:val="2"/>
        </w:rPr>
        <w:t>（</w:t>
      </w:r>
      <w:r>
        <w:rPr>
          <w:rFonts w:ascii="Times New Roman" w:eastAsia="Times New Roman"/>
          <w:spacing w:val="2"/>
        </w:rPr>
        <w:t>5</w:t>
      </w:r>
      <w:r>
        <w:rPr>
          <w:spacing w:val="2"/>
        </w:rPr>
        <w:t>）</w:t>
      </w:r>
      <w:r>
        <w:rPr/>
        <w:t>运输车辆装卸完后应清洗车辆；对建</w:t>
      </w:r>
      <w:r>
        <w:rPr>
          <w:spacing w:val="-1"/>
        </w:rPr>
        <w:t>材运输车辆实施覆盖，尽量减少运输过程物料的洒落；</w:t>
      </w:r>
      <w:r>
        <w:rPr>
          <w:spacing w:val="-6"/>
        </w:rPr>
        <w:t>（</w:t>
      </w:r>
      <w:r>
        <w:rPr>
          <w:rFonts w:ascii="Times New Roman" w:eastAsia="Times New Roman"/>
          <w:spacing w:val="-6"/>
        </w:rPr>
        <w:t>6</w:t>
      </w:r>
      <w:r>
        <w:rPr>
          <w:spacing w:val="-6"/>
        </w:rPr>
        <w:t>）</w:t>
      </w:r>
      <w:r>
        <w:rPr/>
        <w:t>安排专人清扫地面尘土， 定期撒水降尘。对挖方临时堆放点、原辅材料采用蓬布覆盖。</w:t>
      </w:r>
    </w:p>
    <w:p>
      <w:pPr>
        <w:pStyle w:val="BodyText"/>
        <w:spacing w:before="55"/>
        <w:ind w:left="704"/>
      </w:pPr>
      <w:r>
        <w:rPr/>
        <w:t>本工程施工过程中，在加强管理，并采取治理措施后，对区域大气环境影响小。</w:t>
      </w:r>
    </w:p>
    <w:p>
      <w:pPr>
        <w:pStyle w:val="Heading2"/>
        <w:spacing w:before="153"/>
        <w:ind w:left="706"/>
      </w:pPr>
      <w:r>
        <w:rPr>
          <w:rFonts w:ascii="Times New Roman" w:eastAsia="Times New Roman"/>
          <w:w w:val="95"/>
        </w:rPr>
        <w:t>2</w:t>
      </w:r>
      <w:r>
        <w:rPr>
          <w:w w:val="95"/>
        </w:rPr>
        <w:t>、地表水环境保护措施</w:t>
      </w:r>
    </w:p>
    <w:p>
      <w:pPr>
        <w:pStyle w:val="BodyText"/>
        <w:spacing w:line="357" w:lineRule="auto"/>
        <w:ind w:left="223" w:right="223" w:firstLine="480"/>
        <w:jc w:val="both"/>
      </w:pPr>
      <w:r>
        <w:rPr/>
        <w:t>工程的机械设备集中在仓库进行维修和冲洗；施工单位选择租用当地民房作为施工营地；基坑开挖过程中产生少量的地下渗水经水泵抽出排入沉淀池，经沉淀处理后作为工程用水回用。 </w:t>
      </w:r>
    </w:p>
    <w:p>
      <w:pPr>
        <w:pStyle w:val="BodyText"/>
        <w:spacing w:line="357" w:lineRule="auto" w:before="36"/>
        <w:ind w:left="223" w:right="221" w:firstLine="480"/>
        <w:jc w:val="both"/>
      </w:pPr>
      <w:r>
        <w:rPr/>
        <w:t>在采取相应的环保措施后，施工期生产、生活废水不会对水环境产生明显影响。施工期的环境影响是暂时的，随着基础施工的结束，这种影响将逐渐消失。</w:t>
      </w:r>
    </w:p>
    <w:p>
      <w:pPr>
        <w:pStyle w:val="Heading2"/>
        <w:spacing w:before="36"/>
        <w:ind w:left="706"/>
      </w:pPr>
      <w:r>
        <w:rPr>
          <w:rFonts w:ascii="Times New Roman" w:eastAsia="Times New Roman"/>
          <w:w w:val="95"/>
        </w:rPr>
        <w:t>3</w:t>
      </w:r>
      <w:r>
        <w:rPr>
          <w:w w:val="95"/>
        </w:rPr>
        <w:t>、固体废弃物环境保护措施</w:t>
      </w:r>
    </w:p>
    <w:p>
      <w:pPr>
        <w:pStyle w:val="BodyText"/>
        <w:ind w:left="704"/>
      </w:pPr>
      <w:r>
        <w:rPr/>
        <w:t>施工期固废主要为施工过程中挖填方弃土、施工人员生活垃圾。</w:t>
      </w:r>
    </w:p>
    <w:p>
      <w:pPr>
        <w:pStyle w:val="BodyText"/>
        <w:spacing w:before="153"/>
        <w:ind w:left="704"/>
      </w:pPr>
      <w:r>
        <w:rPr/>
        <w:t>本项目中开挖土石方绝大部分在管道敷设完毕后就地回填，本项目建设总挖方量</w:t>
      </w:r>
    </w:p>
    <w:p>
      <w:pPr>
        <w:pStyle w:val="BodyText"/>
        <w:spacing w:line="338" w:lineRule="auto" w:before="153"/>
        <w:ind w:left="704" w:right="357" w:hanging="480"/>
      </w:pPr>
      <w:r>
        <w:rPr>
          <w:rFonts w:ascii="Times New Roman" w:eastAsia="Times New Roman"/>
        </w:rPr>
        <w:t>7448m</w:t>
      </w:r>
      <w:r>
        <w:rPr>
          <w:rFonts w:ascii="Times New Roman" w:eastAsia="Times New Roman"/>
          <w:position w:val="9"/>
          <w:sz w:val="16"/>
        </w:rPr>
        <w:t>3</w:t>
      </w:r>
      <w:r>
        <w:rPr>
          <w:spacing w:val="-11"/>
        </w:rPr>
        <w:t>，总填方量 </w:t>
      </w:r>
      <w:r>
        <w:rPr>
          <w:rFonts w:ascii="Times New Roman" w:eastAsia="Times New Roman"/>
        </w:rPr>
        <w:t>950.6m</w:t>
      </w:r>
      <w:r>
        <w:rPr>
          <w:rFonts w:ascii="Times New Roman" w:eastAsia="Times New Roman"/>
          <w:position w:val="9"/>
          <w:sz w:val="16"/>
        </w:rPr>
        <w:t>3</w:t>
      </w:r>
      <w:r>
        <w:rPr>
          <w:spacing w:val="-11"/>
        </w:rPr>
        <w:t>，总弃方量 </w:t>
      </w:r>
      <w:r>
        <w:rPr>
          <w:rFonts w:ascii="Times New Roman" w:eastAsia="Times New Roman"/>
        </w:rPr>
        <w:t>6497.4m</w:t>
      </w:r>
      <w:r>
        <w:rPr>
          <w:rFonts w:ascii="Times New Roman" w:eastAsia="Times New Roman"/>
          <w:position w:val="9"/>
          <w:sz w:val="16"/>
        </w:rPr>
        <w:t>3</w:t>
      </w:r>
      <w:r>
        <w:rPr/>
        <w:t>，弃方定期运往政府指定的堆渣场。施工期生活垃圾日产日清，由环卫车运至城市垃圾处理场。</w:t>
      </w:r>
    </w:p>
    <w:p>
      <w:pPr>
        <w:pStyle w:val="BodyText"/>
        <w:spacing w:line="357" w:lineRule="auto" w:before="55"/>
        <w:ind w:left="224" w:right="212" w:firstLine="480"/>
        <w:jc w:val="both"/>
      </w:pPr>
      <w:r>
        <w:rPr/>
        <w:t>本工程施工过程产生的固体废弃物都得到了合理有效的处置，不会造成二次污染。</w:t>
      </w:r>
    </w:p>
    <w:p>
      <w:pPr>
        <w:pStyle w:val="Heading2"/>
        <w:spacing w:before="36"/>
        <w:ind w:left="706"/>
      </w:pPr>
      <w:r>
        <w:rPr>
          <w:rFonts w:ascii="Times New Roman" w:eastAsia="Times New Roman"/>
          <w:w w:val="95"/>
        </w:rPr>
        <w:t>4</w:t>
      </w:r>
      <w:r>
        <w:rPr>
          <w:w w:val="95"/>
        </w:rPr>
        <w:t>、声学环境保护措施</w:t>
      </w:r>
    </w:p>
    <w:p>
      <w:pPr>
        <w:spacing w:after="0"/>
        <w:sectPr>
          <w:pgSz w:w="11910" w:h="16840"/>
          <w:pgMar w:header="0" w:footer="1186" w:top="1120" w:bottom="1440" w:left="1240" w:right="1240"/>
        </w:sectPr>
      </w:pPr>
    </w:p>
    <w:p>
      <w:pPr>
        <w:pStyle w:val="BodyText"/>
        <w:spacing w:line="357" w:lineRule="auto" w:before="45"/>
        <w:ind w:left="224" w:right="216" w:firstLine="480"/>
      </w:pPr>
      <w:r>
        <w:rPr/>
        <w:pict>
          <v:group style="position:absolute;margin-left:67.550003pt;margin-top:56.448982pt;width:460.2pt;height:708.45pt;mso-position-horizontal-relative:page;mso-position-vertical-relative:page;z-index:-83656" coordorigin="1351,1129" coordsize="9204,14169">
            <v:line style="position:absolute" from="1361,1139" to="10544,1139" stroked="true" strokeweight=".481pt" strokecolor="#000000">
              <v:stroke dashstyle="solid"/>
            </v:line>
            <v:line style="position:absolute" from="1356,1134" to="1356,15293" stroked="true" strokeweight=".48pt" strokecolor="#000000">
              <v:stroke dashstyle="solid"/>
            </v:line>
            <v:line style="position:absolute" from="1361,15288" to="10544,15288" stroked="true" strokeweight=".48pt" strokecolor="#000000">
              <v:stroke dashstyle="solid"/>
            </v:line>
            <v:line style="position:absolute" from="10549,1134" to="10549,15293" stroked="true" strokeweight=".48pt" strokecolor="#000000">
              <v:stroke dashstyle="solid"/>
            </v:line>
            <w10:wrap type="none"/>
          </v:group>
        </w:pict>
      </w:r>
      <w:r>
        <w:rPr/>
        <w:t>项目为基础设施工程施工，施工期的噪声源主要来自施工机械和运输车辆。施工噪声大致可区为如下三大类： </w:t>
      </w:r>
    </w:p>
    <w:p>
      <w:pPr>
        <w:pStyle w:val="BodyText"/>
        <w:spacing w:before="36"/>
        <w:ind w:left="704"/>
      </w:pPr>
      <w:r>
        <w:rPr/>
        <w:t>（1）汽车运输交通噪声。 </w:t>
      </w:r>
    </w:p>
    <w:p>
      <w:pPr>
        <w:pStyle w:val="BodyText"/>
        <w:spacing w:line="357" w:lineRule="auto" w:before="154"/>
        <w:ind w:left="224" w:right="186" w:firstLine="480"/>
      </w:pPr>
      <w:r>
        <w:rPr/>
        <w:t>（2）施工现场机械噪声。施工需用挖掘机、平地机、推土机、压路机、摊捕机、装载机等，这些施工机械噪声将会对道路两侧环境产生一定的影响。 </w:t>
      </w:r>
    </w:p>
    <w:p>
      <w:pPr>
        <w:pStyle w:val="BodyText"/>
        <w:spacing w:before="36"/>
        <w:ind w:left="704"/>
      </w:pPr>
      <w:r>
        <w:rPr/>
        <w:t>2）施工噪声影响分析 </w:t>
      </w:r>
    </w:p>
    <w:p>
      <w:pPr>
        <w:pStyle w:val="BodyText"/>
        <w:spacing w:line="357" w:lineRule="auto" w:before="153"/>
        <w:ind w:left="223" w:right="216" w:firstLine="480"/>
      </w:pPr>
      <w:r>
        <w:rPr/>
        <w:t>运用道路施工噪声采用点源声预测公式对道路施工中施工机械噪声的影响进行预测计算，其结果见表 5-4。 </w:t>
      </w:r>
    </w:p>
    <w:p>
      <w:pPr>
        <w:pStyle w:val="Heading2"/>
        <w:tabs>
          <w:tab w:pos="3645" w:val="left" w:leader="none"/>
          <w:tab w:pos="5933" w:val="left" w:leader="none"/>
        </w:tabs>
        <w:spacing w:line="330" w:lineRule="exact" w:before="0" w:after="57"/>
        <w:ind w:left="2542"/>
      </w:pPr>
      <w:r>
        <w:rPr/>
        <w:t>表</w:t>
      </w:r>
      <w:r>
        <w:rPr>
          <w:spacing w:val="-61"/>
        </w:rPr>
        <w:t> </w:t>
      </w:r>
      <w:r>
        <w:rPr>
          <w:rFonts w:ascii="Times New Roman" w:eastAsia="Times New Roman"/>
        </w:rPr>
        <w:t>5-4</w:t>
        <w:tab/>
      </w:r>
      <w:r>
        <w:rPr/>
        <w:t>施工机械噪声影响</w:t>
        <w:tab/>
      </w:r>
      <w:r>
        <w:rPr>
          <w:rFonts w:ascii="Times New Roman" w:eastAsia="Times New Roman"/>
        </w:rPr>
        <w:t>dB</w:t>
      </w:r>
      <w:r>
        <w:rPr/>
        <w:t>（</w:t>
      </w:r>
      <w:r>
        <w:rPr>
          <w:rFonts w:ascii="Times New Roman" w:eastAsia="Times New Roman"/>
        </w:rPr>
        <w:t>A</w:t>
      </w:r>
      <w:r>
        <w:rPr/>
        <w:t>）</w:t>
      </w:r>
    </w:p>
    <w:tbl>
      <w:tblPr>
        <w:tblW w:w="0" w:type="auto"/>
        <w:jc w:val="left"/>
        <w:tblInd w:w="65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232"/>
        <w:gridCol w:w="1508"/>
        <w:gridCol w:w="1507"/>
        <w:gridCol w:w="1513"/>
        <w:gridCol w:w="1186"/>
        <w:gridCol w:w="1134"/>
      </w:tblGrid>
      <w:tr>
        <w:trPr>
          <w:trHeight w:val="420" w:hRule="exact"/>
        </w:trPr>
        <w:tc>
          <w:tcPr>
            <w:tcW w:w="2741" w:type="dxa"/>
            <w:gridSpan w:val="2"/>
            <w:tcBorders>
              <w:bottom w:val="single" w:sz="6" w:space="0" w:color="000000"/>
              <w:right w:val="single" w:sz="6" w:space="0" w:color="000000"/>
            </w:tcBorders>
          </w:tcPr>
          <w:p>
            <w:pPr>
              <w:pStyle w:val="TableParagraph"/>
              <w:spacing w:before="30"/>
              <w:ind w:left="1021" w:right="1027"/>
              <w:rPr>
                <w:sz w:val="21"/>
              </w:rPr>
            </w:pPr>
            <w:r>
              <w:rPr>
                <w:sz w:val="21"/>
              </w:rPr>
              <w:t>噪声源</w:t>
            </w:r>
          </w:p>
        </w:tc>
        <w:tc>
          <w:tcPr>
            <w:tcW w:w="1507" w:type="dxa"/>
            <w:vMerge w:val="restart"/>
            <w:tcBorders>
              <w:left w:val="single" w:sz="6" w:space="0" w:color="000000"/>
              <w:right w:val="single" w:sz="6" w:space="0" w:color="000000"/>
            </w:tcBorders>
          </w:tcPr>
          <w:p>
            <w:pPr>
              <w:pStyle w:val="TableParagraph"/>
              <w:spacing w:before="10"/>
              <w:jc w:val="left"/>
              <w:rPr>
                <w:b/>
                <w:sz w:val="21"/>
              </w:rPr>
            </w:pPr>
          </w:p>
          <w:p>
            <w:pPr>
              <w:pStyle w:val="TableParagraph"/>
              <w:ind w:left="518" w:right="518"/>
              <w:rPr>
                <w:rFonts w:ascii="Times New Roman" w:eastAsia="Times New Roman"/>
                <w:sz w:val="14"/>
              </w:rPr>
            </w:pPr>
            <w:r>
              <w:rPr>
                <w:rFonts w:ascii="Times New Roman" w:eastAsia="Times New Roman"/>
                <w:position w:val="2"/>
                <w:sz w:val="21"/>
              </w:rPr>
              <w:t>L </w:t>
            </w:r>
            <w:r>
              <w:rPr>
                <w:position w:val="1"/>
                <w:sz w:val="11"/>
              </w:rPr>
              <w:t>施 </w:t>
            </w:r>
            <w:r>
              <w:rPr>
                <w:rFonts w:ascii="Times New Roman" w:eastAsia="Times New Roman"/>
                <w:sz w:val="14"/>
              </w:rPr>
              <w:t>1</w:t>
            </w:r>
          </w:p>
        </w:tc>
        <w:tc>
          <w:tcPr>
            <w:tcW w:w="1513" w:type="dxa"/>
            <w:vMerge w:val="restart"/>
            <w:tcBorders>
              <w:left w:val="single" w:sz="6" w:space="0" w:color="000000"/>
              <w:right w:val="single" w:sz="6" w:space="0" w:color="000000"/>
            </w:tcBorders>
          </w:tcPr>
          <w:p>
            <w:pPr>
              <w:pStyle w:val="TableParagraph"/>
              <w:spacing w:line="273" w:lineRule="auto" w:before="80"/>
              <w:ind w:left="332" w:right="260" w:hanging="4"/>
              <w:jc w:val="left"/>
              <w:rPr>
                <w:rFonts w:ascii="Times New Roman" w:eastAsia="Times New Roman"/>
                <w:sz w:val="14"/>
              </w:rPr>
            </w:pPr>
            <w:r>
              <w:rPr>
                <w:sz w:val="21"/>
              </w:rPr>
              <w:t>施工场界噪声 </w:t>
            </w:r>
            <w:r>
              <w:rPr>
                <w:rFonts w:ascii="Times New Roman" w:eastAsia="Times New Roman"/>
                <w:sz w:val="21"/>
              </w:rPr>
              <w:t>L</w:t>
            </w:r>
            <w:r>
              <w:rPr>
                <w:rFonts w:ascii="Times New Roman" w:eastAsia="Times New Roman"/>
                <w:position w:val="-1"/>
                <w:sz w:val="14"/>
              </w:rPr>
              <w:t>Aeq</w:t>
            </w:r>
          </w:p>
        </w:tc>
        <w:tc>
          <w:tcPr>
            <w:tcW w:w="2320" w:type="dxa"/>
            <w:gridSpan w:val="2"/>
            <w:tcBorders>
              <w:left w:val="single" w:sz="6" w:space="0" w:color="000000"/>
              <w:bottom w:val="single" w:sz="6" w:space="0" w:color="000000"/>
            </w:tcBorders>
          </w:tcPr>
          <w:p>
            <w:pPr>
              <w:pStyle w:val="TableParagraph"/>
              <w:spacing w:before="30"/>
              <w:ind w:left="311"/>
              <w:jc w:val="left"/>
              <w:rPr>
                <w:sz w:val="21"/>
              </w:rPr>
            </w:pPr>
            <w:r>
              <w:rPr>
                <w:sz w:val="21"/>
              </w:rPr>
              <w:t>建筑施工场界限值</w:t>
            </w:r>
          </w:p>
        </w:tc>
      </w:tr>
      <w:tr>
        <w:trPr>
          <w:trHeight w:val="412" w:hRule="exact"/>
        </w:trPr>
        <w:tc>
          <w:tcPr>
            <w:tcW w:w="1232" w:type="dxa"/>
            <w:tcBorders>
              <w:top w:val="single" w:sz="6" w:space="0" w:color="000000"/>
              <w:bottom w:val="single" w:sz="6" w:space="0" w:color="000000"/>
              <w:right w:val="single" w:sz="6" w:space="0" w:color="000000"/>
            </w:tcBorders>
          </w:tcPr>
          <w:p>
            <w:pPr>
              <w:pStyle w:val="TableParagraph"/>
              <w:spacing w:before="29"/>
              <w:ind w:left="286"/>
              <w:jc w:val="left"/>
              <w:rPr>
                <w:sz w:val="21"/>
              </w:rPr>
            </w:pPr>
            <w:r>
              <w:rPr>
                <w:sz w:val="21"/>
              </w:rPr>
              <w:t>预测点</w:t>
            </w:r>
          </w:p>
        </w:tc>
        <w:tc>
          <w:tcPr>
            <w:tcW w:w="1508" w:type="dxa"/>
            <w:tcBorders>
              <w:top w:val="single" w:sz="6" w:space="0" w:color="000000"/>
              <w:left w:val="single" w:sz="6" w:space="0" w:color="000000"/>
              <w:bottom w:val="single" w:sz="6" w:space="0" w:color="000000"/>
              <w:right w:val="single" w:sz="6" w:space="0" w:color="000000"/>
            </w:tcBorders>
          </w:tcPr>
          <w:p>
            <w:pPr>
              <w:pStyle w:val="TableParagraph"/>
              <w:spacing w:before="29"/>
              <w:ind w:left="411" w:right="412"/>
              <w:rPr>
                <w:sz w:val="21"/>
              </w:rPr>
            </w:pPr>
            <w:r>
              <w:rPr>
                <w:sz w:val="21"/>
              </w:rPr>
              <w:t>机械</w:t>
            </w:r>
          </w:p>
        </w:tc>
        <w:tc>
          <w:tcPr>
            <w:tcW w:w="1507" w:type="dxa"/>
            <w:vMerge/>
            <w:tcBorders>
              <w:left w:val="single" w:sz="6" w:space="0" w:color="000000"/>
              <w:bottom w:val="single" w:sz="6" w:space="0" w:color="000000"/>
              <w:right w:val="single" w:sz="6" w:space="0" w:color="000000"/>
            </w:tcBorders>
          </w:tcPr>
          <w:p>
            <w:pPr/>
          </w:p>
        </w:tc>
        <w:tc>
          <w:tcPr>
            <w:tcW w:w="1513" w:type="dxa"/>
            <w:vMerge/>
            <w:tcBorders>
              <w:left w:val="single" w:sz="6" w:space="0" w:color="000000"/>
              <w:bottom w:val="single" w:sz="6" w:space="0" w:color="000000"/>
              <w:right w:val="single" w:sz="6" w:space="0" w:color="000000"/>
            </w:tcBorders>
          </w:tcPr>
          <w:p>
            <w:pPr/>
          </w:p>
        </w:tc>
        <w:tc>
          <w:tcPr>
            <w:tcW w:w="1186" w:type="dxa"/>
            <w:tcBorders>
              <w:top w:val="single" w:sz="6" w:space="0" w:color="000000"/>
              <w:left w:val="single" w:sz="6" w:space="0" w:color="000000"/>
              <w:bottom w:val="single" w:sz="6" w:space="0" w:color="000000"/>
              <w:right w:val="single" w:sz="6" w:space="0" w:color="000000"/>
            </w:tcBorders>
          </w:tcPr>
          <w:p>
            <w:pPr>
              <w:pStyle w:val="TableParagraph"/>
              <w:spacing w:before="29"/>
              <w:ind w:left="374"/>
              <w:jc w:val="left"/>
              <w:rPr>
                <w:sz w:val="21"/>
              </w:rPr>
            </w:pPr>
            <w:r>
              <w:rPr>
                <w:sz w:val="21"/>
              </w:rPr>
              <w:t>昼间</w:t>
            </w:r>
          </w:p>
        </w:tc>
        <w:tc>
          <w:tcPr>
            <w:tcW w:w="1134" w:type="dxa"/>
            <w:tcBorders>
              <w:top w:val="single" w:sz="6" w:space="0" w:color="000000"/>
              <w:left w:val="single" w:sz="6" w:space="0" w:color="000000"/>
              <w:bottom w:val="single" w:sz="6" w:space="0" w:color="000000"/>
            </w:tcBorders>
          </w:tcPr>
          <w:p>
            <w:pPr>
              <w:pStyle w:val="TableParagraph"/>
              <w:spacing w:before="29"/>
              <w:ind w:left="349"/>
              <w:jc w:val="left"/>
              <w:rPr>
                <w:sz w:val="21"/>
              </w:rPr>
            </w:pPr>
            <w:r>
              <w:rPr>
                <w:sz w:val="21"/>
              </w:rPr>
              <w:t>夜间</w:t>
            </w:r>
          </w:p>
        </w:tc>
      </w:tr>
      <w:tr>
        <w:trPr>
          <w:trHeight w:val="413" w:hRule="exact"/>
        </w:trPr>
        <w:tc>
          <w:tcPr>
            <w:tcW w:w="1232" w:type="dxa"/>
            <w:vMerge w:val="restart"/>
            <w:tcBorders>
              <w:top w:val="single" w:sz="6" w:space="0" w:color="000000"/>
              <w:right w:val="single" w:sz="6" w:space="0" w:color="000000"/>
            </w:tcBorders>
          </w:tcPr>
          <w:p>
            <w:pPr>
              <w:pStyle w:val="TableParagraph"/>
              <w:jc w:val="left"/>
              <w:rPr>
                <w:b/>
                <w:sz w:val="20"/>
              </w:rPr>
            </w:pPr>
          </w:p>
          <w:p>
            <w:pPr>
              <w:pStyle w:val="TableParagraph"/>
              <w:spacing w:before="6"/>
              <w:jc w:val="left"/>
              <w:rPr>
                <w:b/>
                <w:sz w:val="29"/>
              </w:rPr>
            </w:pPr>
          </w:p>
          <w:p>
            <w:pPr>
              <w:pStyle w:val="TableParagraph"/>
              <w:ind w:left="181"/>
              <w:jc w:val="left"/>
              <w:rPr>
                <w:sz w:val="21"/>
              </w:rPr>
            </w:pPr>
            <w:r>
              <w:rPr>
                <w:sz w:val="21"/>
              </w:rPr>
              <w:t>道路干线</w:t>
            </w:r>
          </w:p>
        </w:tc>
        <w:tc>
          <w:tcPr>
            <w:tcW w:w="1508" w:type="dxa"/>
            <w:tcBorders>
              <w:top w:val="single" w:sz="6" w:space="0" w:color="000000"/>
              <w:left w:val="single" w:sz="6" w:space="0" w:color="000000"/>
              <w:bottom w:val="single" w:sz="6" w:space="0" w:color="000000"/>
              <w:right w:val="single" w:sz="6" w:space="0" w:color="000000"/>
            </w:tcBorders>
          </w:tcPr>
          <w:p>
            <w:pPr>
              <w:pStyle w:val="TableParagraph"/>
              <w:spacing w:before="29"/>
              <w:ind w:left="412" w:right="412"/>
              <w:rPr>
                <w:sz w:val="21"/>
              </w:rPr>
            </w:pPr>
            <w:r>
              <w:rPr>
                <w:sz w:val="21"/>
              </w:rPr>
              <w:t>装载机</w:t>
            </w:r>
          </w:p>
        </w:tc>
        <w:tc>
          <w:tcPr>
            <w:tcW w:w="1507" w:type="dxa"/>
            <w:tcBorders>
              <w:top w:val="single" w:sz="6" w:space="0" w:color="000000"/>
              <w:left w:val="single" w:sz="6" w:space="0" w:color="000000"/>
              <w:bottom w:val="single" w:sz="6" w:space="0" w:color="000000"/>
              <w:right w:val="single" w:sz="6" w:space="0" w:color="000000"/>
            </w:tcBorders>
          </w:tcPr>
          <w:p>
            <w:pPr>
              <w:pStyle w:val="TableParagraph"/>
              <w:spacing w:before="78"/>
              <w:ind w:left="518" w:right="516"/>
              <w:rPr>
                <w:rFonts w:ascii="Times New Roman"/>
                <w:sz w:val="21"/>
              </w:rPr>
            </w:pPr>
            <w:r>
              <w:rPr>
                <w:rFonts w:ascii="Times New Roman"/>
                <w:sz w:val="21"/>
              </w:rPr>
              <w:t>90</w:t>
            </w:r>
          </w:p>
        </w:tc>
        <w:tc>
          <w:tcPr>
            <w:tcW w:w="1513" w:type="dxa"/>
            <w:tcBorders>
              <w:top w:val="single" w:sz="6" w:space="0" w:color="000000"/>
              <w:left w:val="single" w:sz="6" w:space="0" w:color="000000"/>
              <w:bottom w:val="single" w:sz="6" w:space="0" w:color="000000"/>
              <w:right w:val="single" w:sz="6" w:space="0" w:color="000000"/>
            </w:tcBorders>
          </w:tcPr>
          <w:p>
            <w:pPr>
              <w:pStyle w:val="TableParagraph"/>
              <w:spacing w:before="78"/>
              <w:ind w:left="624" w:right="623"/>
              <w:rPr>
                <w:rFonts w:ascii="Times New Roman"/>
                <w:sz w:val="21"/>
              </w:rPr>
            </w:pPr>
            <w:r>
              <w:rPr>
                <w:rFonts w:ascii="Times New Roman"/>
                <w:sz w:val="21"/>
              </w:rPr>
              <w:t>74</w:t>
            </w:r>
          </w:p>
        </w:tc>
        <w:tc>
          <w:tcPr>
            <w:tcW w:w="1186" w:type="dxa"/>
            <w:vMerge w:val="restart"/>
            <w:tcBorders>
              <w:top w:val="single" w:sz="6" w:space="0" w:color="000000"/>
              <w:left w:val="single" w:sz="6" w:space="0" w:color="000000"/>
              <w:right w:val="single" w:sz="6" w:space="0" w:color="000000"/>
            </w:tcBorders>
          </w:tcPr>
          <w:p>
            <w:pPr>
              <w:pStyle w:val="TableParagraph"/>
              <w:jc w:val="left"/>
              <w:rPr>
                <w:b/>
                <w:sz w:val="22"/>
              </w:rPr>
            </w:pPr>
          </w:p>
          <w:p>
            <w:pPr>
              <w:pStyle w:val="TableParagraph"/>
              <w:spacing w:before="3"/>
              <w:jc w:val="left"/>
              <w:rPr>
                <w:b/>
                <w:sz w:val="31"/>
              </w:rPr>
            </w:pPr>
          </w:p>
          <w:p>
            <w:pPr>
              <w:pStyle w:val="TableParagraph"/>
              <w:ind w:left="460" w:right="460"/>
              <w:rPr>
                <w:rFonts w:ascii="Times New Roman"/>
                <w:sz w:val="21"/>
              </w:rPr>
            </w:pPr>
            <w:r>
              <w:rPr>
                <w:rFonts w:ascii="Times New Roman"/>
                <w:sz w:val="21"/>
              </w:rPr>
              <w:t>75</w:t>
            </w:r>
          </w:p>
        </w:tc>
        <w:tc>
          <w:tcPr>
            <w:tcW w:w="1134" w:type="dxa"/>
            <w:vMerge w:val="restart"/>
            <w:tcBorders>
              <w:top w:val="single" w:sz="6" w:space="0" w:color="000000"/>
              <w:left w:val="single" w:sz="6" w:space="0" w:color="000000"/>
            </w:tcBorders>
          </w:tcPr>
          <w:p>
            <w:pPr>
              <w:pStyle w:val="TableParagraph"/>
              <w:jc w:val="left"/>
              <w:rPr>
                <w:b/>
                <w:sz w:val="22"/>
              </w:rPr>
            </w:pPr>
          </w:p>
          <w:p>
            <w:pPr>
              <w:pStyle w:val="TableParagraph"/>
              <w:spacing w:before="3"/>
              <w:jc w:val="left"/>
              <w:rPr>
                <w:b/>
                <w:sz w:val="31"/>
              </w:rPr>
            </w:pPr>
          </w:p>
          <w:p>
            <w:pPr>
              <w:pStyle w:val="TableParagraph"/>
              <w:ind w:left="435" w:right="426"/>
              <w:rPr>
                <w:rFonts w:ascii="Times New Roman"/>
                <w:sz w:val="21"/>
              </w:rPr>
            </w:pPr>
            <w:r>
              <w:rPr>
                <w:rFonts w:ascii="Times New Roman"/>
                <w:sz w:val="21"/>
              </w:rPr>
              <w:t>55</w:t>
            </w:r>
          </w:p>
        </w:tc>
      </w:tr>
      <w:tr>
        <w:trPr>
          <w:trHeight w:val="412" w:hRule="exact"/>
        </w:trPr>
        <w:tc>
          <w:tcPr>
            <w:tcW w:w="1232" w:type="dxa"/>
            <w:vMerge/>
            <w:tcBorders>
              <w:right w:val="single" w:sz="6" w:space="0" w:color="000000"/>
            </w:tcBorders>
          </w:tcPr>
          <w:p>
            <w:pPr/>
          </w:p>
        </w:tc>
        <w:tc>
          <w:tcPr>
            <w:tcW w:w="1508" w:type="dxa"/>
            <w:tcBorders>
              <w:top w:val="single" w:sz="6" w:space="0" w:color="000000"/>
              <w:left w:val="single" w:sz="6" w:space="0" w:color="000000"/>
              <w:bottom w:val="single" w:sz="6" w:space="0" w:color="000000"/>
              <w:right w:val="single" w:sz="6" w:space="0" w:color="000000"/>
            </w:tcBorders>
          </w:tcPr>
          <w:p>
            <w:pPr>
              <w:pStyle w:val="TableParagraph"/>
              <w:spacing w:before="29"/>
              <w:ind w:left="412" w:right="412"/>
              <w:rPr>
                <w:sz w:val="21"/>
              </w:rPr>
            </w:pPr>
            <w:r>
              <w:rPr>
                <w:sz w:val="21"/>
              </w:rPr>
              <w:t>平地机</w:t>
            </w:r>
          </w:p>
        </w:tc>
        <w:tc>
          <w:tcPr>
            <w:tcW w:w="1507" w:type="dxa"/>
            <w:tcBorders>
              <w:top w:val="single" w:sz="6" w:space="0" w:color="000000"/>
              <w:left w:val="single" w:sz="6" w:space="0" w:color="000000"/>
              <w:bottom w:val="single" w:sz="6" w:space="0" w:color="000000"/>
              <w:right w:val="single" w:sz="6" w:space="0" w:color="000000"/>
            </w:tcBorders>
          </w:tcPr>
          <w:p>
            <w:pPr>
              <w:pStyle w:val="TableParagraph"/>
              <w:spacing w:before="78"/>
              <w:ind w:left="518" w:right="516"/>
              <w:rPr>
                <w:rFonts w:ascii="Times New Roman"/>
                <w:sz w:val="21"/>
              </w:rPr>
            </w:pPr>
            <w:r>
              <w:rPr>
                <w:rFonts w:ascii="Times New Roman"/>
                <w:sz w:val="21"/>
              </w:rPr>
              <w:t>90</w:t>
            </w:r>
          </w:p>
        </w:tc>
        <w:tc>
          <w:tcPr>
            <w:tcW w:w="1513" w:type="dxa"/>
            <w:tcBorders>
              <w:top w:val="single" w:sz="6" w:space="0" w:color="000000"/>
              <w:left w:val="single" w:sz="6" w:space="0" w:color="000000"/>
              <w:bottom w:val="single" w:sz="6" w:space="0" w:color="000000"/>
              <w:right w:val="single" w:sz="6" w:space="0" w:color="000000"/>
            </w:tcBorders>
          </w:tcPr>
          <w:p>
            <w:pPr>
              <w:pStyle w:val="TableParagraph"/>
              <w:spacing w:before="78"/>
              <w:ind w:left="624" w:right="623"/>
              <w:rPr>
                <w:rFonts w:ascii="Times New Roman"/>
                <w:sz w:val="21"/>
              </w:rPr>
            </w:pPr>
            <w:r>
              <w:rPr>
                <w:rFonts w:ascii="Times New Roman"/>
                <w:sz w:val="21"/>
              </w:rPr>
              <w:t>72</w:t>
            </w:r>
          </w:p>
        </w:tc>
        <w:tc>
          <w:tcPr>
            <w:tcW w:w="1186" w:type="dxa"/>
            <w:vMerge/>
            <w:tcBorders>
              <w:left w:val="single" w:sz="6" w:space="0" w:color="000000"/>
              <w:right w:val="single" w:sz="6" w:space="0" w:color="000000"/>
            </w:tcBorders>
          </w:tcPr>
          <w:p>
            <w:pPr/>
          </w:p>
        </w:tc>
        <w:tc>
          <w:tcPr>
            <w:tcW w:w="1134" w:type="dxa"/>
            <w:vMerge/>
            <w:tcBorders>
              <w:left w:val="single" w:sz="6" w:space="0" w:color="000000"/>
            </w:tcBorders>
          </w:tcPr>
          <w:p>
            <w:pPr/>
          </w:p>
        </w:tc>
      </w:tr>
      <w:tr>
        <w:trPr>
          <w:trHeight w:val="412" w:hRule="exact"/>
        </w:trPr>
        <w:tc>
          <w:tcPr>
            <w:tcW w:w="1232" w:type="dxa"/>
            <w:vMerge/>
            <w:tcBorders>
              <w:right w:val="single" w:sz="6" w:space="0" w:color="000000"/>
            </w:tcBorders>
          </w:tcPr>
          <w:p>
            <w:pPr/>
          </w:p>
        </w:tc>
        <w:tc>
          <w:tcPr>
            <w:tcW w:w="1508" w:type="dxa"/>
            <w:tcBorders>
              <w:top w:val="single" w:sz="6" w:space="0" w:color="000000"/>
              <w:left w:val="single" w:sz="6" w:space="0" w:color="000000"/>
              <w:bottom w:val="single" w:sz="6" w:space="0" w:color="000000"/>
              <w:right w:val="single" w:sz="6" w:space="0" w:color="000000"/>
            </w:tcBorders>
          </w:tcPr>
          <w:p>
            <w:pPr>
              <w:pStyle w:val="TableParagraph"/>
              <w:spacing w:before="29"/>
              <w:ind w:left="412" w:right="412"/>
              <w:rPr>
                <w:sz w:val="21"/>
              </w:rPr>
            </w:pPr>
            <w:r>
              <w:rPr>
                <w:sz w:val="21"/>
              </w:rPr>
              <w:t>压路机</w:t>
            </w:r>
          </w:p>
        </w:tc>
        <w:tc>
          <w:tcPr>
            <w:tcW w:w="1507" w:type="dxa"/>
            <w:tcBorders>
              <w:top w:val="single" w:sz="6" w:space="0" w:color="000000"/>
              <w:left w:val="single" w:sz="6" w:space="0" w:color="000000"/>
              <w:bottom w:val="single" w:sz="6" w:space="0" w:color="000000"/>
              <w:right w:val="single" w:sz="6" w:space="0" w:color="000000"/>
            </w:tcBorders>
          </w:tcPr>
          <w:p>
            <w:pPr>
              <w:pStyle w:val="TableParagraph"/>
              <w:spacing w:before="78"/>
              <w:ind w:left="518" w:right="516"/>
              <w:rPr>
                <w:rFonts w:ascii="Times New Roman"/>
                <w:sz w:val="21"/>
              </w:rPr>
            </w:pPr>
            <w:r>
              <w:rPr>
                <w:rFonts w:ascii="Times New Roman"/>
                <w:sz w:val="21"/>
              </w:rPr>
              <w:t>86</w:t>
            </w:r>
          </w:p>
        </w:tc>
        <w:tc>
          <w:tcPr>
            <w:tcW w:w="1513" w:type="dxa"/>
            <w:tcBorders>
              <w:top w:val="single" w:sz="6" w:space="0" w:color="000000"/>
              <w:left w:val="single" w:sz="6" w:space="0" w:color="000000"/>
              <w:bottom w:val="single" w:sz="6" w:space="0" w:color="000000"/>
              <w:right w:val="single" w:sz="6" w:space="0" w:color="000000"/>
            </w:tcBorders>
          </w:tcPr>
          <w:p>
            <w:pPr>
              <w:pStyle w:val="TableParagraph"/>
              <w:spacing w:before="78"/>
              <w:ind w:left="624" w:right="623"/>
              <w:rPr>
                <w:rFonts w:ascii="Times New Roman"/>
                <w:sz w:val="21"/>
              </w:rPr>
            </w:pPr>
            <w:r>
              <w:rPr>
                <w:rFonts w:ascii="Times New Roman"/>
                <w:sz w:val="21"/>
              </w:rPr>
              <w:t>74</w:t>
            </w:r>
          </w:p>
        </w:tc>
        <w:tc>
          <w:tcPr>
            <w:tcW w:w="1186" w:type="dxa"/>
            <w:vMerge/>
            <w:tcBorders>
              <w:left w:val="single" w:sz="6" w:space="0" w:color="000000"/>
              <w:right w:val="single" w:sz="6" w:space="0" w:color="000000"/>
            </w:tcBorders>
          </w:tcPr>
          <w:p>
            <w:pPr/>
          </w:p>
        </w:tc>
        <w:tc>
          <w:tcPr>
            <w:tcW w:w="1134" w:type="dxa"/>
            <w:vMerge/>
            <w:tcBorders>
              <w:left w:val="single" w:sz="6" w:space="0" w:color="000000"/>
            </w:tcBorders>
          </w:tcPr>
          <w:p>
            <w:pPr/>
          </w:p>
        </w:tc>
      </w:tr>
      <w:tr>
        <w:trPr>
          <w:trHeight w:val="421" w:hRule="exact"/>
        </w:trPr>
        <w:tc>
          <w:tcPr>
            <w:tcW w:w="1232" w:type="dxa"/>
            <w:vMerge/>
            <w:tcBorders>
              <w:right w:val="single" w:sz="6" w:space="0" w:color="000000"/>
            </w:tcBorders>
          </w:tcPr>
          <w:p>
            <w:pPr/>
          </w:p>
        </w:tc>
        <w:tc>
          <w:tcPr>
            <w:tcW w:w="1508" w:type="dxa"/>
            <w:tcBorders>
              <w:top w:val="single" w:sz="6" w:space="0" w:color="000000"/>
              <w:left w:val="single" w:sz="6" w:space="0" w:color="000000"/>
              <w:right w:val="single" w:sz="6" w:space="0" w:color="000000"/>
            </w:tcBorders>
          </w:tcPr>
          <w:p>
            <w:pPr>
              <w:pStyle w:val="TableParagraph"/>
              <w:spacing w:before="29"/>
              <w:ind w:left="412" w:right="412"/>
              <w:rPr>
                <w:sz w:val="21"/>
              </w:rPr>
            </w:pPr>
            <w:r>
              <w:rPr>
                <w:sz w:val="21"/>
              </w:rPr>
              <w:t>摊铺机</w:t>
            </w:r>
          </w:p>
        </w:tc>
        <w:tc>
          <w:tcPr>
            <w:tcW w:w="1507" w:type="dxa"/>
            <w:tcBorders>
              <w:top w:val="single" w:sz="6" w:space="0" w:color="000000"/>
              <w:left w:val="single" w:sz="6" w:space="0" w:color="000000"/>
              <w:right w:val="single" w:sz="6" w:space="0" w:color="000000"/>
            </w:tcBorders>
          </w:tcPr>
          <w:p>
            <w:pPr>
              <w:pStyle w:val="TableParagraph"/>
              <w:spacing w:before="78"/>
              <w:ind w:left="518" w:right="516"/>
              <w:rPr>
                <w:rFonts w:ascii="Times New Roman"/>
                <w:sz w:val="21"/>
              </w:rPr>
            </w:pPr>
            <w:r>
              <w:rPr>
                <w:rFonts w:ascii="Times New Roman"/>
                <w:sz w:val="21"/>
              </w:rPr>
              <w:t>87</w:t>
            </w:r>
          </w:p>
        </w:tc>
        <w:tc>
          <w:tcPr>
            <w:tcW w:w="1513" w:type="dxa"/>
            <w:tcBorders>
              <w:top w:val="single" w:sz="6" w:space="0" w:color="000000"/>
              <w:left w:val="single" w:sz="6" w:space="0" w:color="000000"/>
              <w:right w:val="single" w:sz="6" w:space="0" w:color="000000"/>
            </w:tcBorders>
          </w:tcPr>
          <w:p>
            <w:pPr>
              <w:pStyle w:val="TableParagraph"/>
              <w:spacing w:before="78"/>
              <w:ind w:left="623" w:right="623"/>
              <w:rPr>
                <w:rFonts w:ascii="Times New Roman"/>
                <w:sz w:val="21"/>
              </w:rPr>
            </w:pPr>
            <w:r>
              <w:rPr>
                <w:rFonts w:ascii="Times New Roman"/>
                <w:sz w:val="21"/>
              </w:rPr>
              <w:t>71</w:t>
            </w:r>
          </w:p>
        </w:tc>
        <w:tc>
          <w:tcPr>
            <w:tcW w:w="1186" w:type="dxa"/>
            <w:vMerge/>
            <w:tcBorders>
              <w:left w:val="single" w:sz="6" w:space="0" w:color="000000"/>
              <w:right w:val="single" w:sz="6" w:space="0" w:color="000000"/>
            </w:tcBorders>
          </w:tcPr>
          <w:p>
            <w:pPr/>
          </w:p>
        </w:tc>
        <w:tc>
          <w:tcPr>
            <w:tcW w:w="1134" w:type="dxa"/>
            <w:vMerge/>
            <w:tcBorders>
              <w:left w:val="single" w:sz="6" w:space="0" w:color="000000"/>
            </w:tcBorders>
          </w:tcPr>
          <w:p>
            <w:pPr/>
          </w:p>
        </w:tc>
      </w:tr>
    </w:tbl>
    <w:p>
      <w:pPr>
        <w:pStyle w:val="BodyText"/>
        <w:spacing w:line="357" w:lineRule="auto" w:before="40"/>
        <w:ind w:left="223" w:right="224" w:firstLine="464"/>
        <w:jc w:val="both"/>
      </w:pPr>
      <w:r>
        <w:rPr>
          <w:spacing w:val="-6"/>
        </w:rPr>
        <w:t>施工噪声主要表现在对人群的影响；同时施工所产生的噪声会使声环境质量恶化， </w:t>
      </w:r>
      <w:r>
        <w:rPr>
          <w:spacing w:val="-5"/>
        </w:rPr>
        <w:t>这种施工噪声是不可避免的，但这种影响是暂时的，会随着管网的建成，施工期结束而结束。</w:t>
      </w:r>
    </w:p>
    <w:p>
      <w:pPr>
        <w:spacing w:line="357" w:lineRule="auto" w:before="36"/>
        <w:ind w:left="224" w:right="66" w:firstLine="482"/>
        <w:jc w:val="left"/>
        <w:rPr>
          <w:sz w:val="24"/>
        </w:rPr>
      </w:pPr>
      <w:r>
        <w:rPr>
          <w:b/>
          <w:sz w:val="24"/>
        </w:rPr>
        <w:t>针对本项目环境保护目标，施工期噪声防治措施如下：</w:t>
      </w:r>
      <w:r>
        <w:rPr>
          <w:sz w:val="24"/>
        </w:rPr>
        <w:t>经过合理布局和采用低噪声设备，尽量减少扰民。施工期间对噪声较强的设备采取隔声、减震等综合降噪措施， 并按环保部门对施工单位夜间施工提出要求进行实施。 </w:t>
      </w:r>
    </w:p>
    <w:p>
      <w:pPr>
        <w:pStyle w:val="BodyText"/>
        <w:spacing w:line="357" w:lineRule="auto" w:before="36"/>
        <w:ind w:left="223" w:right="221" w:firstLine="480"/>
        <w:jc w:val="both"/>
      </w:pPr>
      <w:r>
        <w:rPr/>
        <w:t>评价认为施工期噪声会对区域声造成一定的影响，但是施工噪声影响是暂时的， 将随着施工期的结束而消失，在采取上述噪声防治措施后，项目施工不会对评价范围内声学环境产生严重不利影响。</w:t>
      </w:r>
    </w:p>
    <w:p>
      <w:pPr>
        <w:pStyle w:val="Heading2"/>
        <w:spacing w:before="36"/>
        <w:ind w:left="706"/>
      </w:pPr>
      <w:r>
        <w:rPr>
          <w:rFonts w:ascii="Times New Roman" w:eastAsia="Times New Roman"/>
          <w:w w:val="95"/>
        </w:rPr>
        <w:t>5</w:t>
      </w:r>
      <w:r>
        <w:rPr>
          <w:w w:val="95"/>
        </w:rPr>
        <w:t>、生态环境保护措施</w:t>
      </w:r>
    </w:p>
    <w:p>
      <w:pPr>
        <w:pStyle w:val="BodyText"/>
        <w:spacing w:line="357" w:lineRule="auto"/>
        <w:ind w:left="224" w:firstLine="480"/>
      </w:pPr>
      <w:r>
        <w:rPr/>
        <w:t>本项目施工区域位于开江县梅家乡，均为城镇建成区，属于开发强度很大的区域， 管网沿线没有国家级文物保护区和需要保护的风景名胜区，在施工过程中，若发现未勘探到的地下文物，则立即停止施工，由监理工程师保护现场，并派人通知文物部门前来处理。</w:t>
      </w:r>
    </w:p>
    <w:p>
      <w:pPr>
        <w:pStyle w:val="Heading2"/>
        <w:spacing w:before="36"/>
        <w:ind w:left="706"/>
      </w:pPr>
      <w:r>
        <w:rPr>
          <w:rFonts w:ascii="Times New Roman" w:eastAsia="Times New Roman"/>
          <w:w w:val="95"/>
        </w:rPr>
        <w:t>6</w:t>
      </w:r>
      <w:r>
        <w:rPr>
          <w:w w:val="95"/>
        </w:rPr>
        <w:t>、穿越沟渠施工方式及环境保护措施</w:t>
      </w:r>
    </w:p>
    <w:p>
      <w:pPr>
        <w:pStyle w:val="BodyText"/>
        <w:spacing w:before="136"/>
        <w:ind w:left="704"/>
      </w:pPr>
      <w:r>
        <w:rPr/>
        <w:t>本项目管网施工全线均无涉水施工和沟渠穿越。</w:t>
      </w:r>
    </w:p>
    <w:p>
      <w:pPr>
        <w:spacing w:after="0"/>
        <w:sectPr>
          <w:pgSz w:w="11910" w:h="16840"/>
          <w:pgMar w:header="0" w:footer="1186" w:top="1120" w:bottom="1440" w:left="1240" w:right="1240"/>
        </w:sectPr>
      </w:pPr>
    </w:p>
    <w:p>
      <w:pPr>
        <w:pStyle w:val="Heading2"/>
        <w:spacing w:before="45"/>
        <w:ind w:left="706"/>
      </w:pPr>
      <w:r>
        <w:rPr/>
        <w:pict>
          <v:group style="position:absolute;margin-left:67.550003pt;margin-top:56.448982pt;width:460.2pt;height:703.5pt;mso-position-horizontal-relative:page;mso-position-vertical-relative:page;z-index:-83632" coordorigin="1351,1129" coordsize="9204,14070">
            <v:line style="position:absolute" from="1361,1139" to="10544,1139" stroked="true" strokeweight=".481pt" strokecolor="#000000">
              <v:stroke dashstyle="solid"/>
            </v:line>
            <v:line style="position:absolute" from="1356,1134" to="1356,15193" stroked="true" strokeweight=".48pt" strokecolor="#000000">
              <v:stroke dashstyle="solid"/>
            </v:line>
            <v:line style="position:absolute" from="1361,15188" to="10544,15188" stroked="true" strokeweight=".48pt" strokecolor="#000000">
              <v:stroke dashstyle="solid"/>
            </v:line>
            <v:line style="position:absolute" from="10549,1134" to="10549,15193" stroked="true" strokeweight=".48pt" strokecolor="#000000">
              <v:stroke dashstyle="solid"/>
            </v:line>
            <w10:wrap type="none"/>
          </v:group>
        </w:pict>
      </w:r>
      <w:r>
        <w:rPr>
          <w:w w:val="95"/>
        </w:rPr>
        <w:t>（二）营运期环境保护措施</w:t>
      </w:r>
    </w:p>
    <w:p>
      <w:pPr>
        <w:pStyle w:val="BodyText"/>
        <w:spacing w:line="357" w:lineRule="auto" w:before="153"/>
        <w:ind w:left="223" w:right="221" w:firstLine="480"/>
        <w:jc w:val="both"/>
      </w:pPr>
      <w:r>
        <w:rPr/>
        <w:t>本工程属市政基础设施项目，无任何生产内容，管道为地下铺设。项目全线利用重力对污水进行输送，无加压泵站，不存在加压泵站噪声问题，因此项目建成后，运营期不会对环境造成无影响。</w:t>
      </w:r>
    </w:p>
    <w:p>
      <w:pPr>
        <w:pStyle w:val="BodyText"/>
        <w:spacing w:line="357" w:lineRule="auto" w:before="35"/>
        <w:ind w:left="223" w:right="221" w:firstLine="480"/>
        <w:jc w:val="both"/>
      </w:pPr>
      <w:r>
        <w:rPr/>
        <w:t>本项目已经建成完成，施工区域内的污水和雨水进行有效分流，雨水通过雨水管网收集后，排入河流，污水经过集中收集后，进入污水处理厂进行处理，改变了所在区域的污水直排入河的情况，有效的改善了水环境质量。</w:t>
      </w:r>
    </w:p>
    <w:p>
      <w:pPr>
        <w:pStyle w:val="BodyText"/>
        <w:spacing w:line="357" w:lineRule="auto" w:before="35"/>
        <w:ind w:left="223" w:right="221" w:firstLine="480"/>
        <w:jc w:val="both"/>
      </w:pPr>
      <w:r>
        <w:rPr/>
        <w:t>根据实施效果，建议其他未实施雨污分流改造的区域加快进行改造，提高污水收集率，改变污水直排入河的情形。</w:t>
      </w:r>
    </w:p>
    <w:p>
      <w:pPr>
        <w:pStyle w:val="Heading2"/>
        <w:spacing w:before="35"/>
        <w:ind w:left="224"/>
      </w:pPr>
      <w:r>
        <w:rPr>
          <w:w w:val="95"/>
        </w:rPr>
        <w:t>四、清洁生产分析</w:t>
      </w:r>
    </w:p>
    <w:p>
      <w:pPr>
        <w:pStyle w:val="BodyText"/>
        <w:spacing w:line="357" w:lineRule="auto" w:before="153"/>
        <w:ind w:left="224" w:right="221" w:firstLine="480"/>
        <w:jc w:val="both"/>
      </w:pPr>
      <w:r>
        <w:rPr/>
        <w:t>清洁生产是将整体预防的环境战略持续应用于生产过程、产品和服务中，以期增加生产效率并减少对社会和环境的风险。其实质是在生产过程中，坚持采用新工艺、新技术，通过生产全过程的控制和资源、能源的合理配置，实现经济和环境保护的协调发展。清洁生产除强调“预防”外，还体现了以下两层含义：</w:t>
      </w:r>
    </w:p>
    <w:p>
      <w:pPr>
        <w:pStyle w:val="BodyText"/>
        <w:spacing w:before="36"/>
        <w:ind w:left="704"/>
      </w:pPr>
      <w:r>
        <w:rPr/>
        <w:t>（</w:t>
      </w:r>
      <w:r>
        <w:rPr>
          <w:rFonts w:ascii="Times New Roman" w:eastAsia="Times New Roman"/>
        </w:rPr>
        <w:t>1</w:t>
      </w:r>
      <w:r>
        <w:rPr/>
        <w:t>）可持续性：清洁生产是一个相对的、不断的持续进行的过程；</w:t>
      </w:r>
    </w:p>
    <w:p>
      <w:pPr>
        <w:pStyle w:val="BodyText"/>
        <w:spacing w:line="338" w:lineRule="auto"/>
        <w:ind w:left="223" w:right="224" w:firstLine="480"/>
        <w:jc w:val="both"/>
      </w:pPr>
      <w:r>
        <w:rPr/>
        <w:t>（</w:t>
      </w:r>
      <w:r>
        <w:rPr>
          <w:rFonts w:ascii="Times New Roman" w:eastAsia="Times New Roman"/>
        </w:rPr>
        <w:t>2</w:t>
      </w:r>
      <w:r>
        <w:rPr/>
        <w:t>）</w:t>
      </w:r>
      <w:r>
        <w:rPr>
          <w:spacing w:val="-4"/>
        </w:rPr>
        <w:t>防止污染物转移：将气、水、土地等环境介质作为一个整体，避免末端治理中污染物在不同介质之间进行转移。</w:t>
      </w:r>
    </w:p>
    <w:p>
      <w:pPr>
        <w:pStyle w:val="BodyText"/>
        <w:spacing w:line="357" w:lineRule="auto" w:before="55"/>
        <w:ind w:left="224" w:firstLine="480"/>
      </w:pPr>
      <w:r>
        <w:rPr/>
        <w:t>本项目属于非污染生态性项目，清洁生产主要体现在施工中使用清洁、环保材料， 整治完成后可以有效收集城区的污水，另外在施工期采取了可行的污染防治措施，对固废、垃圾实行了无害化处置，总体上说，本项目符合清洁生产的原则。</w:t>
      </w:r>
    </w:p>
    <w:p>
      <w:pPr>
        <w:spacing w:after="0" w:line="357" w:lineRule="auto"/>
        <w:sectPr>
          <w:pgSz w:w="11910" w:h="16840"/>
          <w:pgMar w:header="0" w:footer="1186" w:top="1120" w:bottom="1440" w:left="1240" w:right="1240"/>
        </w:sectPr>
      </w:pPr>
    </w:p>
    <w:p>
      <w:pPr>
        <w:pStyle w:val="Heading1"/>
      </w:pPr>
      <w:r>
        <w:rPr>
          <w:w w:val="95"/>
        </w:rPr>
        <w:t>项目主要污染物产生及预计排放情况（施工期）</w:t>
      </w:r>
      <w:r>
        <w:rPr>
          <w:w w:val="99"/>
        </w:rPr>
        <w:t> </w:t>
      </w:r>
    </w:p>
    <w:p>
      <w:pPr>
        <w:pStyle w:val="BodyText"/>
        <w:spacing w:before="1"/>
        <w:rPr>
          <w:b/>
          <w:sz w:val="13"/>
        </w:rPr>
      </w:pPr>
    </w:p>
    <w:tbl>
      <w:tblPr>
        <w:tblW w:w="0" w:type="auto"/>
        <w:jc w:val="left"/>
        <w:tblInd w:w="1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62"/>
        <w:gridCol w:w="1166"/>
        <w:gridCol w:w="1723"/>
        <w:gridCol w:w="2922"/>
        <w:gridCol w:w="2712"/>
      </w:tblGrid>
      <w:tr>
        <w:trPr>
          <w:trHeight w:val="638" w:hRule="exact"/>
        </w:trPr>
        <w:tc>
          <w:tcPr>
            <w:tcW w:w="762" w:type="dxa"/>
          </w:tcPr>
          <w:p>
            <w:pPr>
              <w:pStyle w:val="TableParagraph"/>
              <w:spacing w:line="275" w:lineRule="exact"/>
              <w:ind w:left="100" w:firstLine="32"/>
              <w:jc w:val="left"/>
              <w:rPr>
                <w:sz w:val="24"/>
              </w:rPr>
            </w:pPr>
            <w:r>
              <w:rPr>
                <w:sz w:val="24"/>
              </w:rPr>
              <w:t>内容 </w:t>
            </w:r>
          </w:p>
          <w:p>
            <w:pPr>
              <w:pStyle w:val="TableParagraph"/>
              <w:spacing w:line="313" w:lineRule="exact"/>
              <w:ind w:left="100"/>
              <w:jc w:val="left"/>
              <w:rPr>
                <w:sz w:val="24"/>
              </w:rPr>
            </w:pPr>
            <w:r>
              <w:rPr>
                <w:sz w:val="24"/>
              </w:rPr>
              <w:t>类型 </w:t>
            </w:r>
          </w:p>
        </w:tc>
        <w:tc>
          <w:tcPr>
            <w:tcW w:w="1166" w:type="dxa"/>
          </w:tcPr>
          <w:p>
            <w:pPr>
              <w:pStyle w:val="TableParagraph"/>
              <w:spacing w:line="275" w:lineRule="exact"/>
              <w:ind w:left="215"/>
              <w:jc w:val="left"/>
              <w:rPr>
                <w:sz w:val="24"/>
              </w:rPr>
            </w:pPr>
            <w:r>
              <w:rPr>
                <w:sz w:val="24"/>
              </w:rPr>
              <w:t>排放源 </w:t>
            </w:r>
          </w:p>
          <w:p>
            <w:pPr>
              <w:pStyle w:val="TableParagraph"/>
              <w:spacing w:line="313" w:lineRule="exact"/>
              <w:ind w:left="215"/>
              <w:jc w:val="left"/>
              <w:rPr>
                <w:sz w:val="24"/>
              </w:rPr>
            </w:pPr>
            <w:r>
              <w:rPr>
                <w:sz w:val="24"/>
              </w:rPr>
              <w:t>(编号) </w:t>
            </w:r>
          </w:p>
        </w:tc>
        <w:tc>
          <w:tcPr>
            <w:tcW w:w="1723" w:type="dxa"/>
          </w:tcPr>
          <w:p>
            <w:pPr>
              <w:pStyle w:val="TableParagraph"/>
              <w:spacing w:before="118"/>
              <w:ind w:left="268" w:right="151"/>
              <w:rPr>
                <w:sz w:val="24"/>
              </w:rPr>
            </w:pPr>
            <w:r>
              <w:rPr>
                <w:sz w:val="24"/>
              </w:rPr>
              <w:t>污染物名称 </w:t>
            </w:r>
          </w:p>
        </w:tc>
        <w:tc>
          <w:tcPr>
            <w:tcW w:w="2922" w:type="dxa"/>
          </w:tcPr>
          <w:p>
            <w:pPr>
              <w:pStyle w:val="TableParagraph"/>
              <w:spacing w:line="275" w:lineRule="exact"/>
              <w:ind w:left="113" w:right="114"/>
              <w:rPr>
                <w:sz w:val="24"/>
              </w:rPr>
            </w:pPr>
            <w:r>
              <w:rPr>
                <w:sz w:val="24"/>
              </w:rPr>
              <w:t>处理前产生浓度及产生量</w:t>
            </w:r>
          </w:p>
          <w:p>
            <w:pPr>
              <w:pStyle w:val="TableParagraph"/>
              <w:spacing w:line="313" w:lineRule="exact"/>
              <w:ind w:left="232" w:right="114"/>
              <w:rPr>
                <w:sz w:val="24"/>
              </w:rPr>
            </w:pPr>
            <w:r>
              <w:rPr>
                <w:sz w:val="24"/>
              </w:rPr>
              <w:t>(单位) </w:t>
            </w:r>
          </w:p>
        </w:tc>
        <w:tc>
          <w:tcPr>
            <w:tcW w:w="2712" w:type="dxa"/>
          </w:tcPr>
          <w:p>
            <w:pPr>
              <w:pStyle w:val="TableParagraph"/>
              <w:spacing w:line="275" w:lineRule="exact"/>
              <w:ind w:left="164" w:right="44"/>
              <w:rPr>
                <w:sz w:val="24"/>
              </w:rPr>
            </w:pPr>
            <w:r>
              <w:rPr>
                <w:sz w:val="24"/>
              </w:rPr>
              <w:t>排放浓度及排放量 </w:t>
            </w:r>
          </w:p>
          <w:p>
            <w:pPr>
              <w:pStyle w:val="TableParagraph"/>
              <w:spacing w:line="313" w:lineRule="exact"/>
              <w:ind w:left="164" w:right="44"/>
              <w:rPr>
                <w:sz w:val="24"/>
              </w:rPr>
            </w:pPr>
            <w:r>
              <w:rPr>
                <w:sz w:val="24"/>
              </w:rPr>
              <w:t>(单位) </w:t>
            </w:r>
          </w:p>
        </w:tc>
      </w:tr>
      <w:tr>
        <w:trPr>
          <w:trHeight w:val="868" w:hRule="exact"/>
        </w:trPr>
        <w:tc>
          <w:tcPr>
            <w:tcW w:w="762" w:type="dxa"/>
            <w:vMerge w:val="restart"/>
          </w:tcPr>
          <w:p>
            <w:pPr>
              <w:pStyle w:val="TableParagraph"/>
              <w:spacing w:line="276" w:lineRule="exact"/>
              <w:ind w:right="1"/>
              <w:rPr>
                <w:sz w:val="24"/>
              </w:rPr>
            </w:pPr>
            <w:r>
              <w:rPr>
                <w:sz w:val="24"/>
              </w:rPr>
              <w:t>大</w:t>
            </w:r>
          </w:p>
          <w:p>
            <w:pPr>
              <w:pStyle w:val="TableParagraph"/>
              <w:spacing w:line="312" w:lineRule="exact" w:before="29"/>
              <w:ind w:left="253" w:right="132"/>
              <w:jc w:val="both"/>
              <w:rPr>
                <w:sz w:val="24"/>
              </w:rPr>
            </w:pPr>
            <w:r>
              <w:rPr>
                <w:sz w:val="24"/>
              </w:rPr>
              <w:t>气污染物 </w:t>
            </w:r>
          </w:p>
        </w:tc>
        <w:tc>
          <w:tcPr>
            <w:tcW w:w="1166" w:type="dxa"/>
          </w:tcPr>
          <w:p>
            <w:pPr>
              <w:pStyle w:val="TableParagraph"/>
              <w:spacing w:line="273" w:lineRule="auto" w:before="101"/>
              <w:ind w:left="155" w:right="-17" w:hanging="56"/>
              <w:jc w:val="left"/>
              <w:rPr>
                <w:sz w:val="21"/>
              </w:rPr>
            </w:pPr>
            <w:r>
              <w:rPr>
                <w:sz w:val="21"/>
              </w:rPr>
              <w:t>燃油机械、汽车尾气</w:t>
            </w:r>
          </w:p>
        </w:tc>
        <w:tc>
          <w:tcPr>
            <w:tcW w:w="1723" w:type="dxa"/>
          </w:tcPr>
          <w:p>
            <w:pPr>
              <w:pStyle w:val="TableParagraph"/>
              <w:spacing w:before="101"/>
              <w:ind w:left="174" w:right="175"/>
              <w:rPr>
                <w:sz w:val="21"/>
              </w:rPr>
            </w:pPr>
            <w:r>
              <w:rPr>
                <w:rFonts w:ascii="Times New Roman" w:eastAsia="Times New Roman"/>
                <w:sz w:val="21"/>
              </w:rPr>
              <w:t>NO</w:t>
            </w:r>
            <w:r>
              <w:rPr>
                <w:rFonts w:ascii="Times New Roman" w:eastAsia="Times New Roman"/>
                <w:position w:val="-1"/>
                <w:sz w:val="14"/>
              </w:rPr>
              <w:t>2</w:t>
            </w:r>
            <w:r>
              <w:rPr>
                <w:sz w:val="21"/>
              </w:rPr>
              <w:t>、</w:t>
            </w:r>
            <w:r>
              <w:rPr>
                <w:rFonts w:ascii="Times New Roman" w:eastAsia="Times New Roman"/>
                <w:sz w:val="21"/>
              </w:rPr>
              <w:t>SO</w:t>
            </w:r>
            <w:r>
              <w:rPr>
                <w:rFonts w:ascii="Times New Roman" w:eastAsia="Times New Roman"/>
                <w:position w:val="-1"/>
                <w:sz w:val="14"/>
              </w:rPr>
              <w:t>2</w:t>
            </w:r>
            <w:r>
              <w:rPr>
                <w:sz w:val="21"/>
              </w:rPr>
              <w:t>、</w:t>
            </w:r>
          </w:p>
          <w:p>
            <w:pPr>
              <w:pStyle w:val="TableParagraph"/>
              <w:spacing w:before="16"/>
              <w:ind w:left="174" w:right="175"/>
              <w:rPr>
                <w:rFonts w:ascii="Times New Roman" w:eastAsia="Times New Roman"/>
                <w:sz w:val="21"/>
              </w:rPr>
            </w:pPr>
            <w:r>
              <w:rPr>
                <w:rFonts w:ascii="Times New Roman" w:eastAsia="Times New Roman"/>
                <w:w w:val="95"/>
                <w:sz w:val="21"/>
              </w:rPr>
              <w:t>CO</w:t>
            </w:r>
            <w:r>
              <w:rPr>
                <w:w w:val="95"/>
                <w:sz w:val="21"/>
              </w:rPr>
              <w:t>、</w:t>
            </w:r>
            <w:r>
              <w:rPr>
                <w:rFonts w:ascii="Times New Roman" w:eastAsia="Times New Roman"/>
                <w:w w:val="95"/>
                <w:sz w:val="21"/>
              </w:rPr>
              <w:t>THC</w:t>
            </w:r>
          </w:p>
        </w:tc>
        <w:tc>
          <w:tcPr>
            <w:tcW w:w="2922" w:type="dxa"/>
            <w:vMerge w:val="restart"/>
          </w:tcPr>
          <w:p>
            <w:pPr>
              <w:pStyle w:val="TableParagraph"/>
              <w:jc w:val="left"/>
              <w:rPr>
                <w:b/>
                <w:sz w:val="20"/>
              </w:rPr>
            </w:pPr>
          </w:p>
          <w:p>
            <w:pPr>
              <w:pStyle w:val="TableParagraph"/>
              <w:spacing w:before="9"/>
              <w:jc w:val="left"/>
              <w:rPr>
                <w:b/>
                <w:sz w:val="26"/>
              </w:rPr>
            </w:pPr>
          </w:p>
          <w:p>
            <w:pPr>
              <w:pStyle w:val="TableParagraph"/>
              <w:ind w:left="297"/>
              <w:jc w:val="left"/>
              <w:rPr>
                <w:sz w:val="21"/>
              </w:rPr>
            </w:pPr>
            <w:r>
              <w:rPr>
                <w:sz w:val="21"/>
              </w:rPr>
              <w:t>大气污染物属无组织排放</w:t>
            </w:r>
          </w:p>
        </w:tc>
        <w:tc>
          <w:tcPr>
            <w:tcW w:w="2712" w:type="dxa"/>
            <w:vMerge w:val="restart"/>
          </w:tcPr>
          <w:p>
            <w:pPr>
              <w:pStyle w:val="TableParagraph"/>
              <w:jc w:val="left"/>
              <w:rPr>
                <w:b/>
                <w:sz w:val="22"/>
              </w:rPr>
            </w:pPr>
          </w:p>
          <w:p>
            <w:pPr>
              <w:pStyle w:val="TableParagraph"/>
              <w:spacing w:before="6"/>
              <w:jc w:val="left"/>
              <w:rPr>
                <w:b/>
                <w:sz w:val="28"/>
              </w:rPr>
            </w:pPr>
          </w:p>
          <w:p>
            <w:pPr>
              <w:pStyle w:val="TableParagraph"/>
              <w:ind w:right="1"/>
              <w:rPr>
                <w:rFonts w:ascii="Times New Roman"/>
                <w:sz w:val="21"/>
              </w:rPr>
            </w:pPr>
            <w:r>
              <w:rPr>
                <w:rFonts w:ascii="Times New Roman"/>
                <w:sz w:val="21"/>
              </w:rPr>
              <w:t>/</w:t>
            </w:r>
          </w:p>
        </w:tc>
      </w:tr>
      <w:tr>
        <w:trPr>
          <w:trHeight w:val="708" w:hRule="exact"/>
        </w:trPr>
        <w:tc>
          <w:tcPr>
            <w:tcW w:w="762" w:type="dxa"/>
            <w:vMerge/>
          </w:tcPr>
          <w:p>
            <w:pPr/>
          </w:p>
        </w:tc>
        <w:tc>
          <w:tcPr>
            <w:tcW w:w="1166" w:type="dxa"/>
          </w:tcPr>
          <w:p>
            <w:pPr>
              <w:pStyle w:val="TableParagraph"/>
              <w:spacing w:before="177"/>
              <w:ind w:left="136" w:right="136"/>
              <w:rPr>
                <w:sz w:val="21"/>
              </w:rPr>
            </w:pPr>
            <w:r>
              <w:rPr>
                <w:sz w:val="21"/>
              </w:rPr>
              <w:t>扬尘</w:t>
            </w:r>
          </w:p>
        </w:tc>
        <w:tc>
          <w:tcPr>
            <w:tcW w:w="1723" w:type="dxa"/>
          </w:tcPr>
          <w:p>
            <w:pPr>
              <w:pStyle w:val="TableParagraph"/>
              <w:spacing w:before="3"/>
              <w:jc w:val="left"/>
              <w:rPr>
                <w:b/>
                <w:sz w:val="17"/>
              </w:rPr>
            </w:pPr>
          </w:p>
          <w:p>
            <w:pPr>
              <w:pStyle w:val="TableParagraph"/>
              <w:spacing w:before="1"/>
              <w:ind w:left="174" w:right="175"/>
              <w:rPr>
                <w:rFonts w:ascii="Times New Roman"/>
                <w:sz w:val="21"/>
              </w:rPr>
            </w:pPr>
            <w:r>
              <w:rPr>
                <w:rFonts w:ascii="Times New Roman"/>
                <w:sz w:val="21"/>
              </w:rPr>
              <w:t>TSP</w:t>
            </w:r>
          </w:p>
        </w:tc>
        <w:tc>
          <w:tcPr>
            <w:tcW w:w="2922" w:type="dxa"/>
            <w:vMerge/>
          </w:tcPr>
          <w:p>
            <w:pPr/>
          </w:p>
        </w:tc>
        <w:tc>
          <w:tcPr>
            <w:tcW w:w="2712" w:type="dxa"/>
            <w:vMerge/>
          </w:tcPr>
          <w:p>
            <w:pPr/>
          </w:p>
        </w:tc>
      </w:tr>
      <w:tr>
        <w:trPr>
          <w:trHeight w:val="563" w:hRule="exact"/>
        </w:trPr>
        <w:tc>
          <w:tcPr>
            <w:tcW w:w="762" w:type="dxa"/>
            <w:vMerge w:val="restart"/>
          </w:tcPr>
          <w:p>
            <w:pPr>
              <w:pStyle w:val="TableParagraph"/>
              <w:spacing w:before="6"/>
              <w:jc w:val="left"/>
              <w:rPr>
                <w:b/>
                <w:sz w:val="32"/>
              </w:rPr>
            </w:pPr>
          </w:p>
          <w:p>
            <w:pPr>
              <w:pStyle w:val="TableParagraph"/>
              <w:spacing w:line="312" w:lineRule="exact"/>
              <w:ind w:left="253" w:right="252"/>
              <w:jc w:val="both"/>
              <w:rPr>
                <w:sz w:val="24"/>
              </w:rPr>
            </w:pPr>
            <w:r>
              <w:rPr>
                <w:sz w:val="24"/>
              </w:rPr>
              <w:t>水污染物</w:t>
            </w:r>
          </w:p>
        </w:tc>
        <w:tc>
          <w:tcPr>
            <w:tcW w:w="1166" w:type="dxa"/>
          </w:tcPr>
          <w:p>
            <w:pPr>
              <w:pStyle w:val="TableParagraph"/>
              <w:spacing w:before="104"/>
              <w:ind w:left="136" w:right="136"/>
              <w:rPr>
                <w:sz w:val="21"/>
              </w:rPr>
            </w:pPr>
            <w:r>
              <w:rPr>
                <w:sz w:val="21"/>
              </w:rPr>
              <w:t>施工废水</w:t>
            </w:r>
          </w:p>
        </w:tc>
        <w:tc>
          <w:tcPr>
            <w:tcW w:w="1723" w:type="dxa"/>
          </w:tcPr>
          <w:p>
            <w:pPr>
              <w:pStyle w:val="TableParagraph"/>
              <w:spacing w:before="153"/>
              <w:ind w:left="172" w:right="175"/>
              <w:rPr>
                <w:rFonts w:ascii="Times New Roman"/>
                <w:sz w:val="21"/>
              </w:rPr>
            </w:pPr>
            <w:r>
              <w:rPr>
                <w:rFonts w:ascii="Times New Roman"/>
                <w:sz w:val="21"/>
              </w:rPr>
              <w:t>SS</w:t>
            </w:r>
          </w:p>
        </w:tc>
        <w:tc>
          <w:tcPr>
            <w:tcW w:w="2922" w:type="dxa"/>
          </w:tcPr>
          <w:p>
            <w:pPr>
              <w:pStyle w:val="TableParagraph"/>
              <w:spacing w:before="138"/>
              <w:ind w:left="113" w:right="114"/>
              <w:rPr>
                <w:rFonts w:ascii="Times New Roman"/>
                <w:sz w:val="21"/>
              </w:rPr>
            </w:pPr>
            <w:r>
              <w:rPr>
                <w:rFonts w:ascii="Times New Roman"/>
                <w:sz w:val="21"/>
              </w:rPr>
              <w:t>10m</w:t>
            </w:r>
            <w:r>
              <w:rPr>
                <w:rFonts w:ascii="Times New Roman"/>
                <w:position w:val="8"/>
                <w:sz w:val="14"/>
              </w:rPr>
              <w:t>3</w:t>
            </w:r>
            <w:r>
              <w:rPr>
                <w:rFonts w:ascii="Times New Roman"/>
                <w:sz w:val="21"/>
              </w:rPr>
              <w:t>/d</w:t>
            </w:r>
          </w:p>
        </w:tc>
        <w:tc>
          <w:tcPr>
            <w:tcW w:w="2712" w:type="dxa"/>
          </w:tcPr>
          <w:p>
            <w:pPr>
              <w:pStyle w:val="TableParagraph"/>
              <w:spacing w:before="104"/>
              <w:ind w:left="44" w:right="44"/>
              <w:rPr>
                <w:sz w:val="21"/>
              </w:rPr>
            </w:pPr>
            <w:r>
              <w:rPr>
                <w:sz w:val="21"/>
              </w:rPr>
              <w:t>沉淀后回用，不外排</w:t>
            </w:r>
          </w:p>
        </w:tc>
      </w:tr>
      <w:tr>
        <w:trPr>
          <w:trHeight w:val="712" w:hRule="exact"/>
        </w:trPr>
        <w:tc>
          <w:tcPr>
            <w:tcW w:w="762" w:type="dxa"/>
            <w:vMerge/>
          </w:tcPr>
          <w:p>
            <w:pPr/>
          </w:p>
        </w:tc>
        <w:tc>
          <w:tcPr>
            <w:tcW w:w="1166" w:type="dxa"/>
            <w:vMerge w:val="restart"/>
          </w:tcPr>
          <w:p>
            <w:pPr>
              <w:pStyle w:val="TableParagraph"/>
              <w:jc w:val="left"/>
              <w:rPr>
                <w:b/>
                <w:sz w:val="20"/>
              </w:rPr>
            </w:pPr>
          </w:p>
          <w:p>
            <w:pPr>
              <w:pStyle w:val="TableParagraph"/>
              <w:spacing w:before="3"/>
              <w:jc w:val="left"/>
              <w:rPr>
                <w:b/>
                <w:sz w:val="26"/>
              </w:rPr>
            </w:pPr>
          </w:p>
          <w:p>
            <w:pPr>
              <w:pStyle w:val="TableParagraph"/>
              <w:ind w:left="155"/>
              <w:jc w:val="left"/>
              <w:rPr>
                <w:sz w:val="21"/>
              </w:rPr>
            </w:pPr>
            <w:r>
              <w:rPr>
                <w:sz w:val="21"/>
              </w:rPr>
              <w:t>生活废水</w:t>
            </w:r>
          </w:p>
        </w:tc>
        <w:tc>
          <w:tcPr>
            <w:tcW w:w="1723" w:type="dxa"/>
          </w:tcPr>
          <w:p>
            <w:pPr>
              <w:pStyle w:val="TableParagraph"/>
              <w:spacing w:before="5"/>
              <w:jc w:val="left"/>
              <w:rPr>
                <w:b/>
                <w:sz w:val="17"/>
              </w:rPr>
            </w:pPr>
          </w:p>
          <w:p>
            <w:pPr>
              <w:pStyle w:val="TableParagraph"/>
              <w:ind w:left="174" w:right="175"/>
              <w:rPr>
                <w:rFonts w:ascii="Times New Roman"/>
                <w:sz w:val="21"/>
              </w:rPr>
            </w:pPr>
            <w:r>
              <w:rPr>
                <w:rFonts w:ascii="Times New Roman"/>
                <w:sz w:val="21"/>
              </w:rPr>
              <w:t>COD</w:t>
            </w:r>
          </w:p>
        </w:tc>
        <w:tc>
          <w:tcPr>
            <w:tcW w:w="2922" w:type="dxa"/>
          </w:tcPr>
          <w:p>
            <w:pPr>
              <w:pStyle w:val="TableParagraph"/>
              <w:spacing w:before="58"/>
              <w:ind w:left="113" w:right="114"/>
              <w:rPr>
                <w:sz w:val="21"/>
              </w:rPr>
            </w:pPr>
            <w:r>
              <w:rPr>
                <w:sz w:val="21"/>
              </w:rPr>
              <w:t>废水量：</w:t>
            </w:r>
            <w:r>
              <w:rPr>
                <w:rFonts w:ascii="Times New Roman" w:eastAsia="Times New Roman"/>
                <w:sz w:val="21"/>
              </w:rPr>
              <w:t>3m</w:t>
            </w:r>
            <w:r>
              <w:rPr>
                <w:rFonts w:ascii="Times New Roman" w:eastAsia="Times New Roman"/>
                <w:position w:val="8"/>
                <w:sz w:val="14"/>
              </w:rPr>
              <w:t>3</w:t>
            </w:r>
            <w:r>
              <w:rPr>
                <w:rFonts w:ascii="Times New Roman" w:eastAsia="Times New Roman"/>
                <w:sz w:val="21"/>
              </w:rPr>
              <w:t>/d</w:t>
            </w:r>
            <w:r>
              <w:rPr>
                <w:sz w:val="21"/>
              </w:rPr>
              <w:t>，</w:t>
            </w:r>
            <w:r>
              <w:rPr>
                <w:rFonts w:ascii="Times New Roman" w:eastAsia="Times New Roman"/>
                <w:sz w:val="21"/>
              </w:rPr>
              <w:t>400mg/L</w:t>
            </w:r>
            <w:r>
              <w:rPr>
                <w:sz w:val="21"/>
              </w:rPr>
              <w:t>，</w:t>
            </w:r>
          </w:p>
          <w:p>
            <w:pPr>
              <w:pStyle w:val="TableParagraph"/>
              <w:spacing w:before="14"/>
              <w:ind w:left="113" w:right="113"/>
              <w:rPr>
                <w:rFonts w:ascii="Times New Roman"/>
                <w:sz w:val="21"/>
              </w:rPr>
            </w:pPr>
            <w:r>
              <w:rPr>
                <w:rFonts w:ascii="Times New Roman"/>
                <w:sz w:val="21"/>
              </w:rPr>
              <w:t>0.0012kg/d</w:t>
            </w:r>
          </w:p>
        </w:tc>
        <w:tc>
          <w:tcPr>
            <w:tcW w:w="2712" w:type="dxa"/>
          </w:tcPr>
          <w:p>
            <w:pPr>
              <w:pStyle w:val="TableParagraph"/>
              <w:spacing w:before="58"/>
              <w:ind w:left="80" w:right="44"/>
              <w:rPr>
                <w:sz w:val="21"/>
              </w:rPr>
            </w:pPr>
            <w:r>
              <w:rPr>
                <w:sz w:val="21"/>
              </w:rPr>
              <w:t>废水量：</w:t>
            </w:r>
            <w:r>
              <w:rPr>
                <w:rFonts w:ascii="Times New Roman" w:eastAsia="Times New Roman"/>
                <w:sz w:val="21"/>
              </w:rPr>
              <w:t>3m</w:t>
            </w:r>
            <w:r>
              <w:rPr>
                <w:rFonts w:ascii="Times New Roman" w:eastAsia="Times New Roman"/>
                <w:position w:val="8"/>
                <w:sz w:val="14"/>
              </w:rPr>
              <w:t>3</w:t>
            </w:r>
            <w:r>
              <w:rPr>
                <w:rFonts w:ascii="Times New Roman" w:eastAsia="Times New Roman"/>
                <w:sz w:val="21"/>
              </w:rPr>
              <w:t>/d</w:t>
            </w:r>
            <w:r>
              <w:rPr>
                <w:sz w:val="21"/>
              </w:rPr>
              <w:t>，</w:t>
            </w:r>
            <w:r>
              <w:rPr>
                <w:rFonts w:ascii="Times New Roman" w:eastAsia="Times New Roman"/>
                <w:sz w:val="21"/>
              </w:rPr>
              <w:t>400mg/L</w:t>
            </w:r>
            <w:r>
              <w:rPr>
                <w:sz w:val="21"/>
              </w:rPr>
              <w:t>，</w:t>
            </w:r>
          </w:p>
          <w:p>
            <w:pPr>
              <w:pStyle w:val="TableParagraph"/>
              <w:spacing w:before="15"/>
              <w:ind w:left="44" w:right="44"/>
              <w:rPr>
                <w:rFonts w:ascii="Times New Roman"/>
                <w:sz w:val="21"/>
              </w:rPr>
            </w:pPr>
            <w:r>
              <w:rPr>
                <w:rFonts w:ascii="Times New Roman"/>
                <w:sz w:val="21"/>
              </w:rPr>
              <w:t>0.0012kg/d</w:t>
            </w:r>
          </w:p>
        </w:tc>
      </w:tr>
      <w:tr>
        <w:trPr>
          <w:trHeight w:val="852" w:hRule="exact"/>
        </w:trPr>
        <w:tc>
          <w:tcPr>
            <w:tcW w:w="762" w:type="dxa"/>
            <w:vMerge/>
          </w:tcPr>
          <w:p>
            <w:pPr/>
          </w:p>
        </w:tc>
        <w:tc>
          <w:tcPr>
            <w:tcW w:w="1166" w:type="dxa"/>
            <w:vMerge/>
          </w:tcPr>
          <w:p>
            <w:pPr/>
          </w:p>
        </w:tc>
        <w:tc>
          <w:tcPr>
            <w:tcW w:w="1723" w:type="dxa"/>
          </w:tcPr>
          <w:p>
            <w:pPr>
              <w:pStyle w:val="TableParagraph"/>
              <w:spacing w:before="10"/>
              <w:jc w:val="left"/>
              <w:rPr>
                <w:b/>
                <w:sz w:val="22"/>
              </w:rPr>
            </w:pPr>
          </w:p>
          <w:p>
            <w:pPr>
              <w:pStyle w:val="TableParagraph"/>
              <w:ind w:left="174" w:right="175"/>
              <w:rPr>
                <w:rFonts w:ascii="Times New Roman"/>
                <w:sz w:val="21"/>
              </w:rPr>
            </w:pPr>
            <w:r>
              <w:rPr>
                <w:rFonts w:ascii="Times New Roman"/>
                <w:sz w:val="21"/>
              </w:rPr>
              <w:t>NH</w:t>
            </w:r>
            <w:r>
              <w:rPr>
                <w:rFonts w:ascii="Times New Roman"/>
                <w:position w:val="-1"/>
                <w:sz w:val="14"/>
              </w:rPr>
              <w:t>3</w:t>
            </w:r>
            <w:r>
              <w:rPr>
                <w:rFonts w:ascii="Times New Roman"/>
                <w:sz w:val="21"/>
              </w:rPr>
              <w:t>-N</w:t>
            </w:r>
          </w:p>
        </w:tc>
        <w:tc>
          <w:tcPr>
            <w:tcW w:w="2922" w:type="dxa"/>
          </w:tcPr>
          <w:p>
            <w:pPr>
              <w:pStyle w:val="TableParagraph"/>
              <w:spacing w:line="272" w:lineRule="exact" w:before="140"/>
              <w:ind w:left="487" w:right="469" w:firstLine="295"/>
              <w:jc w:val="left"/>
              <w:rPr>
                <w:rFonts w:ascii="Times New Roman" w:eastAsia="Times New Roman"/>
                <w:sz w:val="21"/>
              </w:rPr>
            </w:pPr>
            <w:r>
              <w:rPr>
                <w:sz w:val="21"/>
              </w:rPr>
              <w:t>废水量：</w:t>
            </w:r>
            <w:r>
              <w:rPr>
                <w:rFonts w:ascii="Times New Roman" w:eastAsia="Times New Roman"/>
                <w:sz w:val="21"/>
              </w:rPr>
              <w:t>3m</w:t>
            </w:r>
            <w:r>
              <w:rPr>
                <w:rFonts w:ascii="Times New Roman" w:eastAsia="Times New Roman"/>
                <w:position w:val="8"/>
                <w:sz w:val="14"/>
              </w:rPr>
              <w:t>3</w:t>
            </w:r>
            <w:r>
              <w:rPr>
                <w:rFonts w:ascii="Times New Roman" w:eastAsia="Times New Roman"/>
                <w:sz w:val="21"/>
              </w:rPr>
              <w:t>/d 70mg/L</w:t>
            </w:r>
            <w:r>
              <w:rPr>
                <w:sz w:val="21"/>
              </w:rPr>
              <w:t>，</w:t>
            </w:r>
            <w:r>
              <w:rPr>
                <w:rFonts w:ascii="Times New Roman" w:eastAsia="Times New Roman"/>
                <w:sz w:val="21"/>
              </w:rPr>
              <w:t>0.00021kg/d</w:t>
            </w:r>
          </w:p>
        </w:tc>
        <w:tc>
          <w:tcPr>
            <w:tcW w:w="2712" w:type="dxa"/>
          </w:tcPr>
          <w:p>
            <w:pPr>
              <w:pStyle w:val="TableParagraph"/>
              <w:spacing w:line="272" w:lineRule="exact" w:before="140"/>
              <w:ind w:left="382" w:right="364" w:firstLine="295"/>
              <w:jc w:val="left"/>
              <w:rPr>
                <w:rFonts w:ascii="Times New Roman" w:eastAsia="Times New Roman"/>
                <w:sz w:val="21"/>
              </w:rPr>
            </w:pPr>
            <w:r>
              <w:rPr>
                <w:sz w:val="21"/>
              </w:rPr>
              <w:t>废水量：</w:t>
            </w:r>
            <w:r>
              <w:rPr>
                <w:rFonts w:ascii="Times New Roman" w:eastAsia="Times New Roman"/>
                <w:sz w:val="21"/>
              </w:rPr>
              <w:t>3m</w:t>
            </w:r>
            <w:r>
              <w:rPr>
                <w:rFonts w:ascii="Times New Roman" w:eastAsia="Times New Roman"/>
                <w:position w:val="8"/>
                <w:sz w:val="14"/>
              </w:rPr>
              <w:t>3</w:t>
            </w:r>
            <w:r>
              <w:rPr>
                <w:rFonts w:ascii="Times New Roman" w:eastAsia="Times New Roman"/>
                <w:sz w:val="21"/>
              </w:rPr>
              <w:t>/d 70mg/L</w:t>
            </w:r>
            <w:r>
              <w:rPr>
                <w:sz w:val="21"/>
              </w:rPr>
              <w:t>，</w:t>
            </w:r>
            <w:r>
              <w:rPr>
                <w:rFonts w:ascii="Times New Roman" w:eastAsia="Times New Roman"/>
                <w:sz w:val="21"/>
              </w:rPr>
              <w:t>0.00021kg/d</w:t>
            </w:r>
          </w:p>
        </w:tc>
      </w:tr>
      <w:tr>
        <w:trPr>
          <w:trHeight w:val="559" w:hRule="exact"/>
        </w:trPr>
        <w:tc>
          <w:tcPr>
            <w:tcW w:w="762" w:type="dxa"/>
            <w:vMerge w:val="restart"/>
          </w:tcPr>
          <w:p>
            <w:pPr>
              <w:pStyle w:val="TableParagraph"/>
              <w:spacing w:line="275" w:lineRule="exact"/>
              <w:ind w:right="1"/>
              <w:rPr>
                <w:sz w:val="24"/>
              </w:rPr>
            </w:pPr>
            <w:r>
              <w:rPr>
                <w:sz w:val="24"/>
              </w:rPr>
              <w:t>固</w:t>
            </w:r>
          </w:p>
          <w:p>
            <w:pPr>
              <w:pStyle w:val="TableParagraph"/>
              <w:spacing w:line="312" w:lineRule="exact" w:before="29"/>
              <w:ind w:left="253" w:right="252"/>
              <w:jc w:val="both"/>
              <w:rPr>
                <w:sz w:val="24"/>
              </w:rPr>
            </w:pPr>
            <w:r>
              <w:rPr>
                <w:sz w:val="24"/>
              </w:rPr>
              <w:t>体废弃物</w:t>
            </w:r>
          </w:p>
        </w:tc>
        <w:tc>
          <w:tcPr>
            <w:tcW w:w="1166" w:type="dxa"/>
          </w:tcPr>
          <w:p>
            <w:pPr>
              <w:pStyle w:val="TableParagraph"/>
              <w:spacing w:before="102"/>
              <w:ind w:left="136" w:right="136"/>
              <w:rPr>
                <w:sz w:val="21"/>
              </w:rPr>
            </w:pPr>
            <w:r>
              <w:rPr>
                <w:sz w:val="21"/>
              </w:rPr>
              <w:t>施工人员</w:t>
            </w:r>
          </w:p>
        </w:tc>
        <w:tc>
          <w:tcPr>
            <w:tcW w:w="1723" w:type="dxa"/>
          </w:tcPr>
          <w:p>
            <w:pPr>
              <w:pStyle w:val="TableParagraph"/>
              <w:spacing w:before="102"/>
              <w:ind w:left="175" w:right="175"/>
              <w:rPr>
                <w:sz w:val="21"/>
              </w:rPr>
            </w:pPr>
            <w:r>
              <w:rPr>
                <w:sz w:val="21"/>
              </w:rPr>
              <w:t>生活垃圾</w:t>
            </w:r>
          </w:p>
        </w:tc>
        <w:tc>
          <w:tcPr>
            <w:tcW w:w="2922" w:type="dxa"/>
          </w:tcPr>
          <w:p>
            <w:pPr>
              <w:pStyle w:val="TableParagraph"/>
              <w:spacing w:before="150"/>
              <w:ind w:left="113" w:right="113"/>
              <w:rPr>
                <w:rFonts w:ascii="Times New Roman"/>
                <w:sz w:val="21"/>
              </w:rPr>
            </w:pPr>
            <w:r>
              <w:rPr>
                <w:rFonts w:ascii="Times New Roman"/>
                <w:sz w:val="21"/>
              </w:rPr>
              <w:t>16kg/d</w:t>
            </w:r>
          </w:p>
        </w:tc>
        <w:tc>
          <w:tcPr>
            <w:tcW w:w="2712" w:type="dxa"/>
          </w:tcPr>
          <w:p>
            <w:pPr>
              <w:pStyle w:val="TableParagraph"/>
              <w:spacing w:line="239" w:lineRule="exact"/>
              <w:ind w:left="43" w:right="44"/>
              <w:rPr>
                <w:sz w:val="21"/>
              </w:rPr>
            </w:pPr>
            <w:r>
              <w:rPr>
                <w:sz w:val="21"/>
              </w:rPr>
              <w:t>生活垃圾由环卫部门统一</w:t>
            </w:r>
          </w:p>
          <w:p>
            <w:pPr>
              <w:pStyle w:val="TableParagraph"/>
              <w:spacing w:line="274" w:lineRule="exact"/>
              <w:ind w:left="44" w:right="44"/>
              <w:rPr>
                <w:sz w:val="21"/>
              </w:rPr>
            </w:pPr>
            <w:r>
              <w:rPr>
                <w:sz w:val="21"/>
              </w:rPr>
              <w:t>收集处理</w:t>
            </w:r>
          </w:p>
        </w:tc>
      </w:tr>
      <w:tr>
        <w:trPr>
          <w:trHeight w:val="1015" w:hRule="exact"/>
        </w:trPr>
        <w:tc>
          <w:tcPr>
            <w:tcW w:w="762" w:type="dxa"/>
            <w:vMerge/>
          </w:tcPr>
          <w:p>
            <w:pPr/>
          </w:p>
        </w:tc>
        <w:tc>
          <w:tcPr>
            <w:tcW w:w="1166" w:type="dxa"/>
          </w:tcPr>
          <w:p>
            <w:pPr>
              <w:pStyle w:val="TableParagraph"/>
              <w:spacing w:before="3"/>
              <w:jc w:val="left"/>
              <w:rPr>
                <w:b/>
                <w:sz w:val="25"/>
              </w:rPr>
            </w:pPr>
          </w:p>
          <w:p>
            <w:pPr>
              <w:pStyle w:val="TableParagraph"/>
              <w:ind w:left="136" w:right="136"/>
              <w:rPr>
                <w:sz w:val="21"/>
              </w:rPr>
            </w:pPr>
            <w:r>
              <w:rPr>
                <w:sz w:val="21"/>
              </w:rPr>
              <w:t>开挖</w:t>
            </w:r>
          </w:p>
        </w:tc>
        <w:tc>
          <w:tcPr>
            <w:tcW w:w="1723" w:type="dxa"/>
          </w:tcPr>
          <w:p>
            <w:pPr>
              <w:pStyle w:val="TableParagraph"/>
              <w:spacing w:before="3"/>
              <w:jc w:val="left"/>
              <w:rPr>
                <w:b/>
                <w:sz w:val="25"/>
              </w:rPr>
            </w:pPr>
          </w:p>
          <w:p>
            <w:pPr>
              <w:pStyle w:val="TableParagraph"/>
              <w:ind w:left="175" w:right="175"/>
              <w:rPr>
                <w:sz w:val="21"/>
              </w:rPr>
            </w:pPr>
            <w:r>
              <w:rPr>
                <w:sz w:val="21"/>
              </w:rPr>
              <w:t>弃方</w:t>
            </w:r>
          </w:p>
        </w:tc>
        <w:tc>
          <w:tcPr>
            <w:tcW w:w="2922" w:type="dxa"/>
          </w:tcPr>
          <w:p>
            <w:pPr>
              <w:pStyle w:val="TableParagraph"/>
              <w:spacing w:before="11"/>
              <w:jc w:val="left"/>
              <w:rPr>
                <w:b/>
                <w:sz w:val="27"/>
              </w:rPr>
            </w:pPr>
          </w:p>
          <w:p>
            <w:pPr>
              <w:pStyle w:val="TableParagraph"/>
              <w:spacing w:before="1"/>
              <w:ind w:left="113" w:right="114"/>
              <w:rPr>
                <w:rFonts w:ascii="Times New Roman"/>
                <w:sz w:val="14"/>
              </w:rPr>
            </w:pPr>
            <w:r>
              <w:rPr>
                <w:rFonts w:ascii="Times New Roman"/>
                <w:sz w:val="21"/>
              </w:rPr>
              <w:t>16497.4m</w:t>
            </w:r>
            <w:r>
              <w:rPr>
                <w:rFonts w:ascii="Times New Roman"/>
                <w:position w:val="8"/>
                <w:sz w:val="14"/>
              </w:rPr>
              <w:t>3</w:t>
            </w:r>
          </w:p>
        </w:tc>
        <w:tc>
          <w:tcPr>
            <w:tcW w:w="2712" w:type="dxa"/>
          </w:tcPr>
          <w:p>
            <w:pPr>
              <w:pStyle w:val="TableParagraph"/>
              <w:spacing w:before="12"/>
              <w:jc w:val="left"/>
              <w:rPr>
                <w:b/>
                <w:sz w:val="16"/>
              </w:rPr>
            </w:pPr>
          </w:p>
          <w:p>
            <w:pPr>
              <w:pStyle w:val="TableParagraph"/>
              <w:spacing w:line="272" w:lineRule="exact"/>
              <w:ind w:left="1033" w:right="174" w:hanging="840"/>
              <w:jc w:val="left"/>
              <w:rPr>
                <w:sz w:val="21"/>
              </w:rPr>
            </w:pPr>
            <w:r>
              <w:rPr>
                <w:sz w:val="21"/>
              </w:rPr>
              <w:t>弃渣运送至指定的渣场进行堆放</w:t>
            </w:r>
          </w:p>
        </w:tc>
      </w:tr>
      <w:tr>
        <w:trPr>
          <w:trHeight w:val="832" w:hRule="exact"/>
        </w:trPr>
        <w:tc>
          <w:tcPr>
            <w:tcW w:w="762" w:type="dxa"/>
          </w:tcPr>
          <w:p>
            <w:pPr>
              <w:pStyle w:val="TableParagraph"/>
              <w:spacing w:line="312" w:lineRule="exact" w:before="90"/>
              <w:ind w:left="253" w:right="252"/>
              <w:rPr>
                <w:sz w:val="24"/>
              </w:rPr>
            </w:pPr>
            <w:r>
              <w:rPr>
                <w:sz w:val="24"/>
              </w:rPr>
              <w:t>噪声</w:t>
            </w:r>
          </w:p>
        </w:tc>
        <w:tc>
          <w:tcPr>
            <w:tcW w:w="1166" w:type="dxa"/>
          </w:tcPr>
          <w:p>
            <w:pPr>
              <w:pStyle w:val="TableParagraph"/>
              <w:spacing w:line="241" w:lineRule="exact"/>
              <w:ind w:left="155"/>
              <w:jc w:val="left"/>
              <w:rPr>
                <w:sz w:val="21"/>
              </w:rPr>
            </w:pPr>
            <w:r>
              <w:rPr>
                <w:sz w:val="21"/>
              </w:rPr>
              <w:t>施工机械</w:t>
            </w:r>
          </w:p>
          <w:p>
            <w:pPr>
              <w:pStyle w:val="TableParagraph"/>
              <w:spacing w:line="272" w:lineRule="exact" w:before="26"/>
              <w:ind w:left="470" w:right="137" w:hanging="315"/>
              <w:jc w:val="left"/>
              <w:rPr>
                <w:sz w:val="21"/>
              </w:rPr>
            </w:pPr>
            <w:r>
              <w:rPr>
                <w:sz w:val="21"/>
              </w:rPr>
              <w:t>及运输车辆</w:t>
            </w:r>
          </w:p>
        </w:tc>
        <w:tc>
          <w:tcPr>
            <w:tcW w:w="1723" w:type="dxa"/>
          </w:tcPr>
          <w:p>
            <w:pPr>
              <w:pStyle w:val="TableParagraph"/>
              <w:spacing w:before="3"/>
              <w:jc w:val="left"/>
              <w:rPr>
                <w:b/>
                <w:sz w:val="18"/>
              </w:rPr>
            </w:pPr>
          </w:p>
          <w:p>
            <w:pPr>
              <w:pStyle w:val="TableParagraph"/>
              <w:spacing w:before="1"/>
              <w:ind w:left="175" w:right="175"/>
              <w:rPr>
                <w:sz w:val="21"/>
              </w:rPr>
            </w:pPr>
            <w:r>
              <w:rPr>
                <w:sz w:val="21"/>
              </w:rPr>
              <w:t>噪声</w:t>
            </w:r>
          </w:p>
        </w:tc>
        <w:tc>
          <w:tcPr>
            <w:tcW w:w="2922" w:type="dxa"/>
          </w:tcPr>
          <w:p>
            <w:pPr>
              <w:pStyle w:val="TableParagraph"/>
              <w:spacing w:before="3"/>
              <w:jc w:val="left"/>
              <w:rPr>
                <w:b/>
                <w:sz w:val="18"/>
              </w:rPr>
            </w:pPr>
          </w:p>
          <w:p>
            <w:pPr>
              <w:pStyle w:val="TableParagraph"/>
              <w:spacing w:before="1"/>
              <w:ind w:left="113" w:right="114"/>
              <w:rPr>
                <w:sz w:val="21"/>
              </w:rPr>
            </w:pPr>
            <w:r>
              <w:rPr>
                <w:rFonts w:ascii="Times New Roman" w:eastAsia="Times New Roman"/>
                <w:sz w:val="21"/>
              </w:rPr>
              <w:t>80~100dB</w:t>
            </w:r>
            <w:r>
              <w:rPr>
                <w:sz w:val="21"/>
              </w:rPr>
              <w:t>（</w:t>
            </w:r>
            <w:r>
              <w:rPr>
                <w:rFonts w:ascii="Times New Roman" w:eastAsia="Times New Roman"/>
                <w:sz w:val="21"/>
              </w:rPr>
              <w:t>A</w:t>
            </w:r>
            <w:r>
              <w:rPr>
                <w:sz w:val="21"/>
              </w:rPr>
              <w:t>）</w:t>
            </w:r>
          </w:p>
        </w:tc>
        <w:tc>
          <w:tcPr>
            <w:tcW w:w="2712" w:type="dxa"/>
          </w:tcPr>
          <w:p>
            <w:pPr>
              <w:pStyle w:val="TableParagraph"/>
              <w:spacing w:before="3"/>
              <w:jc w:val="left"/>
              <w:rPr>
                <w:b/>
                <w:sz w:val="18"/>
              </w:rPr>
            </w:pPr>
          </w:p>
          <w:p>
            <w:pPr>
              <w:pStyle w:val="TableParagraph"/>
              <w:spacing w:before="1"/>
              <w:ind w:left="43" w:right="44"/>
              <w:rPr>
                <w:sz w:val="21"/>
              </w:rPr>
            </w:pPr>
            <w:r>
              <w:rPr>
                <w:rFonts w:ascii="Times New Roman" w:eastAsia="Times New Roman"/>
                <w:sz w:val="21"/>
              </w:rPr>
              <w:t>75~55dB</w:t>
            </w:r>
            <w:r>
              <w:rPr>
                <w:sz w:val="21"/>
              </w:rPr>
              <w:t>（</w:t>
            </w:r>
            <w:r>
              <w:rPr>
                <w:rFonts w:ascii="Times New Roman" w:eastAsia="Times New Roman"/>
                <w:sz w:val="21"/>
              </w:rPr>
              <w:t>A</w:t>
            </w:r>
            <w:r>
              <w:rPr>
                <w:sz w:val="21"/>
              </w:rPr>
              <w:t>）</w:t>
            </w:r>
          </w:p>
        </w:tc>
      </w:tr>
      <w:tr>
        <w:trPr>
          <w:trHeight w:val="6608" w:hRule="exact"/>
        </w:trPr>
        <w:tc>
          <w:tcPr>
            <w:tcW w:w="9286" w:type="dxa"/>
            <w:gridSpan w:val="5"/>
          </w:tcPr>
          <w:p>
            <w:pPr>
              <w:pStyle w:val="TableParagraph"/>
              <w:spacing w:before="41"/>
              <w:ind w:left="100"/>
              <w:jc w:val="left"/>
              <w:rPr>
                <w:b/>
                <w:sz w:val="24"/>
              </w:rPr>
            </w:pPr>
            <w:r>
              <w:rPr>
                <w:b/>
                <w:w w:val="95"/>
                <w:sz w:val="24"/>
              </w:rPr>
              <w:t>主要生态影响：</w:t>
            </w:r>
          </w:p>
          <w:p>
            <w:pPr>
              <w:pStyle w:val="TableParagraph"/>
              <w:spacing w:line="357" w:lineRule="auto" w:before="153"/>
              <w:ind w:left="100" w:right="98" w:firstLine="480"/>
              <w:jc w:val="both"/>
              <w:rPr>
                <w:sz w:val="24"/>
              </w:rPr>
            </w:pPr>
            <w:r>
              <w:rPr>
                <w:spacing w:val="-4"/>
                <w:sz w:val="24"/>
              </w:rPr>
              <w:t>本项目在开江县梅家乡进行建设，属于城镇建成区，受人类活动影响深远，区域内</w:t>
            </w:r>
            <w:r>
              <w:rPr>
                <w:spacing w:val="-8"/>
                <w:sz w:val="24"/>
              </w:rPr>
              <w:t>无生态环境敏感目标，无珍稀动植物分布，项目建设对区域生物群落的物种多样性及生物减少等方面影响较小。</w:t>
            </w:r>
          </w:p>
          <w:p>
            <w:pPr>
              <w:pStyle w:val="TableParagraph"/>
              <w:spacing w:line="357" w:lineRule="auto" w:before="35"/>
              <w:ind w:left="100" w:right="98" w:firstLine="480"/>
              <w:jc w:val="both"/>
              <w:rPr>
                <w:sz w:val="24"/>
              </w:rPr>
            </w:pPr>
            <w:r>
              <w:rPr>
                <w:spacing w:val="-3"/>
                <w:sz w:val="24"/>
              </w:rPr>
              <w:t>项目建设期对生态环境会产生一定的短期影响，项目建设对区域生态环境无明显影响。</w:t>
            </w:r>
          </w:p>
        </w:tc>
      </w:tr>
    </w:tbl>
    <w:p>
      <w:pPr>
        <w:spacing w:after="0" w:line="357" w:lineRule="auto"/>
        <w:jc w:val="both"/>
        <w:rPr>
          <w:sz w:val="24"/>
        </w:rPr>
        <w:sectPr>
          <w:pgSz w:w="11910" w:h="16840"/>
          <w:pgMar w:header="0" w:footer="1186" w:top="1200" w:bottom="1440" w:left="1200" w:right="1180"/>
        </w:sectPr>
      </w:pPr>
    </w:p>
    <w:p>
      <w:pPr>
        <w:spacing w:before="1"/>
        <w:ind w:left="218" w:right="0" w:firstLine="0"/>
        <w:jc w:val="both"/>
        <w:rPr>
          <w:b/>
          <w:sz w:val="28"/>
        </w:rPr>
      </w:pPr>
      <w:r>
        <w:rPr/>
        <w:pict>
          <v:group style="position:absolute;margin-left:65.389999pt;margin-top:87.649986pt;width:464.6pt;height:680.1pt;mso-position-horizontal-relative:page;mso-position-vertical-relative:page;z-index:-83608" coordorigin="1308,1753" coordsize="9292,13602">
            <v:shape style="position:absolute;left:1313;top:1758;width:9278;height:13592" coordorigin="1313,1758" coordsize="9278,13592" path="m1318,1763l10590,1763m1313,1758l1313,15349e" filled="false" stroked="true" strokeweight=".48pt" strokecolor="#000000">
              <v:path arrowok="t"/>
              <v:stroke dashstyle="solid"/>
            </v:shape>
            <v:shape style="position:absolute;left:1318;top:1758;width:9278;height:13592" coordorigin="1318,1758" coordsize="9278,13592" path="m1318,15344l10590,15344m10595,1758l10595,15349e" filled="false" stroked="true" strokeweight=".481pt" strokecolor="#000000">
              <v:path arrowok="t"/>
              <v:stroke dashstyle="solid"/>
            </v:shape>
            <w10:wrap type="none"/>
          </v:group>
        </w:pict>
      </w:r>
      <w:r>
        <w:rPr>
          <w:b/>
          <w:w w:val="95"/>
          <w:sz w:val="28"/>
        </w:rPr>
        <w:t>环境影响分析</w:t>
      </w:r>
    </w:p>
    <w:p>
      <w:pPr>
        <w:pStyle w:val="Heading2"/>
        <w:spacing w:before="221"/>
        <w:ind w:left="219"/>
        <w:jc w:val="both"/>
      </w:pPr>
      <w:r>
        <w:rPr>
          <w:w w:val="95"/>
        </w:rPr>
        <w:t>一、施工期环境影响分析</w:t>
      </w:r>
    </w:p>
    <w:p>
      <w:pPr>
        <w:pStyle w:val="BodyText"/>
        <w:spacing w:line="338" w:lineRule="auto" w:before="153"/>
        <w:ind w:left="219" w:right="217" w:firstLine="480"/>
        <w:jc w:val="both"/>
      </w:pPr>
      <w:r>
        <w:rPr>
          <w:spacing w:val="-10"/>
        </w:rPr>
        <w:t>根据现场调查，本项目已于 </w:t>
      </w:r>
      <w:r>
        <w:rPr>
          <w:rFonts w:ascii="Times New Roman" w:eastAsia="Times New Roman"/>
          <w:spacing w:val="-3"/>
        </w:rPr>
        <w:t>2011 </w:t>
      </w:r>
      <w:r>
        <w:rPr>
          <w:spacing w:val="-30"/>
        </w:rPr>
        <w:t>年 </w:t>
      </w:r>
      <w:r>
        <w:rPr>
          <w:rFonts w:ascii="Times New Roman" w:eastAsia="Times New Roman"/>
        </w:rPr>
        <w:t>9 </w:t>
      </w:r>
      <w:r>
        <w:rPr>
          <w:spacing w:val="-2"/>
        </w:rPr>
        <w:t>月开工建设，</w:t>
      </w:r>
      <w:r>
        <w:rPr>
          <w:rFonts w:ascii="Times New Roman" w:eastAsia="Times New Roman"/>
          <w:spacing w:val="-8"/>
        </w:rPr>
        <w:t>2011 </w:t>
      </w:r>
      <w:r>
        <w:rPr>
          <w:spacing w:val="-30"/>
        </w:rPr>
        <w:t>年 </w:t>
      </w:r>
      <w:r>
        <w:rPr>
          <w:rFonts w:ascii="Times New Roman" w:eastAsia="Times New Roman"/>
          <w:spacing w:val="-5"/>
        </w:rPr>
        <w:t>11 </w:t>
      </w:r>
      <w:r>
        <w:rPr>
          <w:spacing w:val="-4"/>
        </w:rPr>
        <w:t>月竣工投入使用，建</w:t>
      </w:r>
      <w:r>
        <w:rPr>
          <w:spacing w:val="-18"/>
        </w:rPr>
        <w:t>设工期 </w:t>
      </w:r>
      <w:r>
        <w:rPr>
          <w:rFonts w:ascii="Times New Roman" w:eastAsia="Times New Roman"/>
        </w:rPr>
        <w:t>3 </w:t>
      </w:r>
      <w:r>
        <w:rPr>
          <w:spacing w:val="-7"/>
        </w:rPr>
        <w:t>个月。根据现场调查，项目建设区内无明显环境遗留问题。本项目施工期间未收到附近居民及企业等对本项目的反对意见，施工期无环境遗留问题。</w:t>
      </w:r>
    </w:p>
    <w:p>
      <w:pPr>
        <w:pStyle w:val="Heading2"/>
        <w:spacing w:before="54"/>
        <w:ind w:left="701"/>
      </w:pPr>
      <w:r>
        <w:rPr>
          <w:w w:val="95"/>
        </w:rPr>
        <w:t>一、大气环境影响分析</w:t>
      </w:r>
    </w:p>
    <w:p>
      <w:pPr>
        <w:pStyle w:val="BodyText"/>
        <w:spacing w:line="357" w:lineRule="auto" w:before="153"/>
        <w:ind w:left="219" w:right="164" w:firstLine="480"/>
        <w:jc w:val="both"/>
      </w:pPr>
      <w:r>
        <w:rPr/>
        <w:t>在施工过程中，大气环境影响主要表现在：①基础施工中由于挖方、填方、推土、搬运泥土和水泥、砂石等材料的装卸、运输过程中有大量尘埃散逸到周围环境空气中；</w:t>
      </w:r>
    </w:p>
    <w:p>
      <w:pPr>
        <w:pStyle w:val="BodyText"/>
        <w:spacing w:line="348" w:lineRule="auto" w:before="36"/>
        <w:ind w:left="219" w:right="218"/>
        <w:jc w:val="both"/>
      </w:pPr>
      <w:r>
        <w:rPr>
          <w:spacing w:val="-5"/>
        </w:rPr>
        <w:t>②施工期间，物料堆场由于风吹等原因会引起扬尘污染，尤其是在风速较大或装卸、汽</w:t>
      </w:r>
      <w:r>
        <w:rPr>
          <w:spacing w:val="-5"/>
          <w:position w:val="1"/>
        </w:rPr>
        <w:t>车行驶速度较快的情况下，粉尘、</w:t>
      </w:r>
      <w:r>
        <w:rPr>
          <w:rFonts w:ascii="Times New Roman" w:hAnsi="Times New Roman" w:eastAsia="Times New Roman"/>
          <w:spacing w:val="-5"/>
          <w:position w:val="1"/>
        </w:rPr>
        <w:t>PM</w:t>
      </w:r>
      <w:r>
        <w:rPr>
          <w:rFonts w:ascii="Times New Roman" w:hAnsi="Times New Roman" w:eastAsia="Times New Roman"/>
          <w:spacing w:val="-5"/>
          <w:sz w:val="16"/>
        </w:rPr>
        <w:t>10 </w:t>
      </w:r>
      <w:r>
        <w:rPr>
          <w:position w:val="1"/>
        </w:rPr>
        <w:t>的污染尤为严重；③运送施工材料、设施的车</w:t>
      </w:r>
      <w:r>
        <w:rPr/>
        <w:t>辆以及内燃机等施工机械在运行时排出的气体污染物将对空气造成危害。</w:t>
      </w:r>
    </w:p>
    <w:p>
      <w:pPr>
        <w:pStyle w:val="BodyText"/>
        <w:spacing w:line="357" w:lineRule="auto" w:before="45"/>
        <w:ind w:left="219" w:right="217" w:firstLine="480"/>
        <w:jc w:val="both"/>
      </w:pPr>
      <w:r>
        <w:rPr>
          <w:spacing w:val="-4"/>
        </w:rPr>
        <w:t>施工区的大气污染具有污染范围小，仅限于施工场地，时间短，仅限于施工期的特</w:t>
      </w:r>
      <w:r>
        <w:rPr>
          <w:spacing w:val="-7"/>
        </w:rPr>
        <w:t>点。在施工过程中要基础开挖，平整土地，施工过程中扬尘对环境产生的一些不良影响</w:t>
      </w:r>
      <w:r>
        <w:rPr>
          <w:spacing w:val="-9"/>
        </w:rPr>
        <w:t>是不可避免的。施工现场扬尘尤其是在风力较大和干燥气候条件下较为严重。根据类比</w:t>
      </w:r>
      <w:r>
        <w:rPr>
          <w:spacing w:val="-12"/>
        </w:rPr>
        <w:t>调查，施工场地上风向</w:t>
      </w:r>
      <w:r>
        <w:rPr>
          <w:rFonts w:ascii="Times New Roman" w:eastAsia="Times New Roman"/>
        </w:rPr>
        <w:t>50m </w:t>
      </w:r>
      <w:r>
        <w:rPr>
          <w:spacing w:val="14"/>
        </w:rPr>
        <w:t>范围内</w:t>
      </w:r>
      <w:r>
        <w:rPr>
          <w:rFonts w:ascii="Times New Roman" w:eastAsia="Times New Roman"/>
          <w:spacing w:val="-1"/>
          <w:w w:val="99"/>
        </w:rPr>
        <w:t>TS</w:t>
      </w:r>
      <w:r>
        <w:rPr>
          <w:rFonts w:ascii="Times New Roman" w:eastAsia="Times New Roman"/>
          <w:w w:val="99"/>
        </w:rPr>
        <w:t>P</w:t>
      </w:r>
      <w:r>
        <w:rPr>
          <w:rFonts w:ascii="Times New Roman" w:eastAsia="Times New Roman"/>
        </w:rPr>
        <w:t> </w:t>
      </w:r>
      <w:r>
        <w:rPr>
          <w:spacing w:val="14"/>
        </w:rPr>
        <w:t>浓度约</w:t>
      </w:r>
      <w:r>
        <w:rPr>
          <w:rFonts w:ascii="Times New Roman" w:eastAsia="Times New Roman"/>
        </w:rPr>
        <w:t>0.3</w:t>
      </w:r>
      <w:r>
        <w:rPr>
          <w:rFonts w:ascii="Times New Roman" w:eastAsia="Times New Roman"/>
          <w:spacing w:val="-2"/>
        </w:rPr>
        <w:t>m</w:t>
      </w:r>
      <w:r>
        <w:rPr>
          <w:rFonts w:ascii="Times New Roman" w:eastAsia="Times New Roman"/>
        </w:rPr>
        <w:t>g</w:t>
      </w:r>
      <w:r>
        <w:rPr>
          <w:rFonts w:ascii="Times New Roman" w:eastAsia="Times New Roman"/>
          <w:spacing w:val="1"/>
        </w:rPr>
        <w:t>/</w:t>
      </w:r>
      <w:r>
        <w:rPr>
          <w:rFonts w:ascii="Times New Roman" w:eastAsia="Times New Roman"/>
          <w:spacing w:val="-2"/>
        </w:rPr>
        <w:t>m</w:t>
      </w:r>
      <w:r>
        <w:rPr>
          <w:rFonts w:ascii="Times New Roman" w:eastAsia="Times New Roman"/>
          <w:w w:val="99"/>
          <w:position w:val="9"/>
          <w:sz w:val="16"/>
        </w:rPr>
        <w:t>3</w:t>
      </w:r>
      <w:r>
        <w:rPr>
          <w:spacing w:val="-13"/>
        </w:rPr>
        <w:t>，施工工地内</w:t>
      </w:r>
      <w:r>
        <w:rPr>
          <w:rFonts w:ascii="Times New Roman" w:eastAsia="Times New Roman"/>
          <w:spacing w:val="-1"/>
          <w:w w:val="99"/>
        </w:rPr>
        <w:t>TS</w:t>
      </w:r>
      <w:r>
        <w:rPr>
          <w:rFonts w:ascii="Times New Roman" w:eastAsia="Times New Roman"/>
          <w:w w:val="99"/>
        </w:rPr>
        <w:t>P</w:t>
      </w:r>
      <w:r>
        <w:rPr>
          <w:rFonts w:ascii="Times New Roman" w:eastAsia="Times New Roman"/>
        </w:rPr>
        <w:t> </w:t>
      </w:r>
      <w:r>
        <w:rPr>
          <w:spacing w:val="10"/>
        </w:rPr>
        <w:t>浓度约为</w:t>
      </w:r>
      <w:r>
        <w:rPr>
          <w:rFonts w:ascii="Times New Roman" w:eastAsia="Times New Roman"/>
        </w:rPr>
        <w:t>0.6</w:t>
      </w:r>
      <w:r>
        <w:rPr/>
        <w:t>～</w:t>
      </w:r>
    </w:p>
    <w:p>
      <w:pPr>
        <w:pStyle w:val="BodyText"/>
        <w:spacing w:line="329" w:lineRule="exact" w:before="0"/>
        <w:ind w:left="219"/>
        <w:jc w:val="both"/>
      </w:pPr>
      <w:r>
        <w:rPr>
          <w:rFonts w:ascii="Times New Roman" w:eastAsia="Times New Roman"/>
        </w:rPr>
        <w:t>0.8mg/m</w:t>
      </w:r>
      <w:r>
        <w:rPr>
          <w:rFonts w:ascii="Times New Roman" w:eastAsia="Times New Roman"/>
          <w:position w:val="9"/>
          <w:sz w:val="16"/>
        </w:rPr>
        <w:t>3</w:t>
      </w:r>
      <w:r>
        <w:rPr/>
        <w:t>。下风向 </w:t>
      </w:r>
      <w:r>
        <w:rPr>
          <w:rFonts w:ascii="Times New Roman" w:eastAsia="Times New Roman"/>
        </w:rPr>
        <w:t>50m </w:t>
      </w:r>
      <w:r>
        <w:rPr/>
        <w:t>距离 </w:t>
      </w:r>
      <w:r>
        <w:rPr>
          <w:rFonts w:ascii="Times New Roman" w:eastAsia="Times New Roman"/>
        </w:rPr>
        <w:t>TSP </w:t>
      </w:r>
      <w:r>
        <w:rPr/>
        <w:t>浓度约为 </w:t>
      </w:r>
      <w:r>
        <w:rPr>
          <w:rFonts w:ascii="Times New Roman" w:eastAsia="Times New Roman"/>
        </w:rPr>
        <w:t>0.45</w:t>
      </w:r>
      <w:r>
        <w:rPr/>
        <w:t>～</w:t>
      </w:r>
      <w:r>
        <w:rPr>
          <w:rFonts w:ascii="Times New Roman" w:eastAsia="Times New Roman"/>
        </w:rPr>
        <w:t>0.5mg/m</w:t>
      </w:r>
      <w:r>
        <w:rPr>
          <w:rFonts w:ascii="Times New Roman" w:eastAsia="Times New Roman"/>
          <w:position w:val="9"/>
          <w:sz w:val="16"/>
        </w:rPr>
        <w:t>3</w:t>
      </w:r>
      <w:r>
        <w:rPr/>
        <w:t>，</w:t>
      </w:r>
      <w:r>
        <w:rPr>
          <w:rFonts w:ascii="Times New Roman" w:eastAsia="Times New Roman"/>
        </w:rPr>
        <w:t>100m </w:t>
      </w:r>
      <w:r>
        <w:rPr/>
        <w:t>距离 </w:t>
      </w:r>
      <w:r>
        <w:rPr>
          <w:rFonts w:ascii="Times New Roman" w:eastAsia="Times New Roman"/>
        </w:rPr>
        <w:t>TSP </w:t>
      </w:r>
      <w:r>
        <w:rPr/>
        <w:t>浓度约为</w:t>
      </w:r>
    </w:p>
    <w:p>
      <w:pPr>
        <w:pStyle w:val="BodyText"/>
        <w:spacing w:line="348" w:lineRule="auto" w:before="136"/>
        <w:ind w:left="219" w:right="164"/>
        <w:jc w:val="both"/>
      </w:pPr>
      <w:r>
        <w:rPr>
          <w:rFonts w:ascii="Times New Roman" w:hAnsi="Times New Roman" w:eastAsia="Times New Roman"/>
        </w:rPr>
        <w:t>0.35</w:t>
      </w:r>
      <w:r>
        <w:rPr/>
        <w:t>～</w:t>
      </w:r>
      <w:r>
        <w:rPr>
          <w:rFonts w:ascii="Times New Roman" w:hAnsi="Times New Roman" w:eastAsia="Times New Roman"/>
        </w:rPr>
        <w:t>0.38mg/m</w:t>
      </w:r>
      <w:r>
        <w:rPr>
          <w:rFonts w:ascii="Times New Roman" w:hAnsi="Times New Roman" w:eastAsia="Times New Roman"/>
          <w:position w:val="9"/>
          <w:sz w:val="16"/>
        </w:rPr>
        <w:t>3</w:t>
      </w:r>
      <w:r>
        <w:rPr/>
        <w:t>，</w:t>
      </w:r>
      <w:r>
        <w:rPr>
          <w:rFonts w:ascii="Times New Roman" w:hAnsi="Times New Roman" w:eastAsia="Times New Roman"/>
        </w:rPr>
        <w:t>150m </w:t>
      </w:r>
      <w:r>
        <w:rPr>
          <w:spacing w:val="-18"/>
        </w:rPr>
        <w:t>距离 </w:t>
      </w:r>
      <w:r>
        <w:rPr>
          <w:rFonts w:ascii="Times New Roman" w:hAnsi="Times New Roman" w:eastAsia="Times New Roman"/>
        </w:rPr>
        <w:t>TSP </w:t>
      </w:r>
      <w:r>
        <w:rPr>
          <w:spacing w:val="-11"/>
        </w:rPr>
        <w:t>浓度约为 </w:t>
      </w:r>
      <w:r>
        <w:rPr>
          <w:rFonts w:ascii="Times New Roman" w:hAnsi="Times New Roman" w:eastAsia="Times New Roman"/>
        </w:rPr>
        <w:t>0.31</w:t>
      </w:r>
      <w:r>
        <w:rPr/>
        <w:t>～</w:t>
      </w:r>
      <w:r>
        <w:rPr>
          <w:rFonts w:ascii="Times New Roman" w:hAnsi="Times New Roman" w:eastAsia="Times New Roman"/>
        </w:rPr>
        <w:t>0.34mg/m</w:t>
      </w:r>
      <w:r>
        <w:rPr>
          <w:rFonts w:ascii="Times New Roman" w:hAnsi="Times New Roman" w:eastAsia="Times New Roman"/>
          <w:position w:val="9"/>
          <w:sz w:val="16"/>
        </w:rPr>
        <w:t>3</w:t>
      </w:r>
      <w:r>
        <w:rPr>
          <w:spacing w:val="-7"/>
        </w:rPr>
        <w:t>。在施工区内的 </w:t>
      </w:r>
      <w:r>
        <w:rPr>
          <w:rFonts w:ascii="Times New Roman" w:hAnsi="Times New Roman" w:eastAsia="Times New Roman"/>
        </w:rPr>
        <w:t>TSP </w:t>
      </w:r>
      <w:r>
        <w:rPr/>
        <w:t>对施</w:t>
      </w:r>
      <w:r>
        <w:rPr>
          <w:spacing w:val="-4"/>
        </w:rPr>
        <w:t>工现场的施工人员存在影响，为此，根据《四川省人民政府办公厅关于加强灰霾污染防</w:t>
      </w:r>
      <w:r>
        <w:rPr>
          <w:spacing w:val="-30"/>
        </w:rPr>
        <w:t>治的通知》</w:t>
      </w:r>
      <w:r>
        <w:rPr/>
        <w:t>（川办发</w:t>
      </w:r>
      <w:r>
        <w:rPr>
          <w:rFonts w:ascii="Times New Roman" w:hAnsi="Times New Roman" w:eastAsia="Times New Roman"/>
        </w:rPr>
        <w:t>[2013]32 </w:t>
      </w:r>
      <w:r>
        <w:rPr/>
        <w:t>号</w:t>
      </w:r>
      <w:r>
        <w:rPr>
          <w:spacing w:val="-120"/>
        </w:rPr>
        <w:t>）</w:t>
      </w:r>
      <w:r>
        <w:rPr>
          <w:spacing w:val="-18"/>
        </w:rPr>
        <w:t>、《四川省灰霾污染防治实施方案》，要做到工地现场管理</w:t>
      </w:r>
      <w:r>
        <w:rPr>
          <w:rFonts w:ascii="Times New Roman" w:hAnsi="Times New Roman" w:eastAsia="Times New Roman"/>
          <w:spacing w:val="-18"/>
        </w:rPr>
        <w:t>“</w:t>
      </w:r>
      <w:r>
        <w:rPr>
          <w:spacing w:val="-18"/>
        </w:rPr>
        <w:t>六必须</w:t>
      </w:r>
      <w:r>
        <w:rPr>
          <w:rFonts w:ascii="Times New Roman" w:hAnsi="Times New Roman" w:eastAsia="Times New Roman"/>
          <w:spacing w:val="-18"/>
        </w:rPr>
        <w:t>”</w:t>
      </w:r>
      <w:r>
        <w:rPr>
          <w:spacing w:val="-18"/>
        </w:rPr>
        <w:t>、</w:t>
      </w:r>
      <w:r>
        <w:rPr>
          <w:rFonts w:ascii="Times New Roman" w:hAnsi="Times New Roman" w:eastAsia="Times New Roman"/>
          <w:spacing w:val="-18"/>
        </w:rPr>
        <w:t>“</w:t>
      </w:r>
      <w:r>
        <w:rPr>
          <w:spacing w:val="-18"/>
        </w:rPr>
        <w:t>六不准</w:t>
      </w:r>
      <w:r>
        <w:rPr>
          <w:rFonts w:ascii="Times New Roman" w:hAnsi="Times New Roman" w:eastAsia="Times New Roman"/>
          <w:spacing w:val="-18"/>
        </w:rPr>
        <w:t>”</w:t>
      </w:r>
      <w:r>
        <w:rPr>
          <w:spacing w:val="-18"/>
        </w:rPr>
        <w:t>执行情况，即：必须打围作业、必须硬化道路、必须设置冲洗设施、必须湿法作业、必须配齐保洁人员、必须定时清扫施工现场；不准车辆带泥出门， </w:t>
      </w:r>
      <w:r>
        <w:rPr>
          <w:spacing w:val="-14"/>
        </w:rPr>
        <w:t>不准运渣车辆冒顶装载、不准高空抛撒建渣、不准现场搅拌混凝土、不准场地积水、不准现场焚烧废弃物。应采取环保措施以降低对环境的影响：</w:t>
      </w:r>
    </w:p>
    <w:p>
      <w:pPr>
        <w:pStyle w:val="BodyText"/>
        <w:spacing w:line="357" w:lineRule="auto" w:before="45"/>
        <w:ind w:left="219" w:right="221" w:firstLine="480"/>
        <w:jc w:val="both"/>
      </w:pPr>
      <w:r>
        <w:rPr>
          <w:spacing w:val="-7"/>
        </w:rPr>
        <w:t>①运输沙、石、水泥、土方、垃圾等易产生扬尘物质的车辆，必须封盖严密，严禁撒漏；</w:t>
      </w:r>
    </w:p>
    <w:p>
      <w:pPr>
        <w:pStyle w:val="BodyText"/>
        <w:spacing w:line="357" w:lineRule="auto" w:before="36"/>
        <w:ind w:left="219" w:right="218" w:firstLine="480"/>
        <w:jc w:val="both"/>
      </w:pPr>
      <w:r>
        <w:rPr>
          <w:spacing w:val="-6"/>
        </w:rPr>
        <w:t>②砂石、水泥等易产生扬尘的堆放场地，必须设置围栏或采取遮盖、洒水等防尘措施；</w:t>
      </w:r>
    </w:p>
    <w:p>
      <w:pPr>
        <w:pStyle w:val="BodyText"/>
        <w:spacing w:line="357" w:lineRule="auto" w:before="36"/>
        <w:ind w:left="219" w:right="164" w:firstLine="480"/>
        <w:jc w:val="both"/>
      </w:pPr>
      <w:r>
        <w:rPr/>
        <w:t>③施工建设应使用商品混凝土。因条件限制确定需设置搅拌机或人工搅拌的工地， 必须采取防尘措施；</w:t>
      </w:r>
    </w:p>
    <w:p>
      <w:pPr>
        <w:pStyle w:val="BodyText"/>
        <w:spacing w:before="36"/>
        <w:ind w:left="699"/>
      </w:pPr>
      <w:r>
        <w:rPr/>
        <w:t>④施工工地运输车辆驶出工地前必须作除泥除尘处理，严禁将泥土尘土带出工地；</w:t>
      </w:r>
    </w:p>
    <w:p>
      <w:pPr>
        <w:spacing w:after="0"/>
        <w:sectPr>
          <w:pgSz w:w="11910" w:h="16840"/>
          <w:pgMar w:header="0" w:footer="1186" w:top="1200" w:bottom="1440" w:left="1200" w:right="1200"/>
        </w:sectPr>
      </w:pPr>
    </w:p>
    <w:p>
      <w:pPr>
        <w:pStyle w:val="BodyText"/>
        <w:spacing w:line="357" w:lineRule="auto" w:before="45"/>
        <w:ind w:left="219" w:right="164" w:firstLine="480"/>
        <w:jc w:val="both"/>
      </w:pPr>
      <w:r>
        <w:rPr/>
        <w:pict>
          <v:group style="position:absolute;margin-left:65.389999pt;margin-top:56.448982pt;width:464.6pt;height:703.5pt;mso-position-horizontal-relative:page;mso-position-vertical-relative:page;z-index:-83584" coordorigin="1308,1129" coordsize="9292,14070">
            <v:line style="position:absolute" from="1318,1139" to="10590,1139" stroked="true" strokeweight=".481pt" strokecolor="#000000">
              <v:stroke dashstyle="solid"/>
            </v:line>
            <v:line style="position:absolute" from="1313,1134" to="1313,15193" stroked="true" strokeweight=".48pt" strokecolor="#000000">
              <v:stroke dashstyle="solid"/>
            </v:line>
            <v:line style="position:absolute" from="1318,15188" to="10590,15188" stroked="true" strokeweight=".48pt" strokecolor="#000000">
              <v:stroke dashstyle="solid"/>
            </v:line>
            <v:line style="position:absolute" from="10595,1134" to="10595,15193" stroked="true" strokeweight=".481pt" strokecolor="#000000">
              <v:stroke dashstyle="solid"/>
            </v:line>
            <w10:wrap type="none"/>
          </v:group>
        </w:pict>
      </w:r>
      <w:r>
        <w:rPr/>
        <w:t>⑤及时清运施工废弃物，暂时不能清运的应采取覆盖等措施，运输沙、石、水泥、土方等易产尘物质的车辆必须封盖严密，严禁洒漏；</w:t>
      </w:r>
    </w:p>
    <w:p>
      <w:pPr>
        <w:pStyle w:val="BodyText"/>
        <w:spacing w:line="357" w:lineRule="auto" w:before="36"/>
        <w:ind w:left="219" w:right="217" w:firstLine="480"/>
        <w:jc w:val="both"/>
      </w:pPr>
      <w:r>
        <w:rPr>
          <w:spacing w:val="-4"/>
        </w:rPr>
        <w:t>⑥工程完毕后及时清理施工场地。对施工场地、堆料场等，除及时进行清理外，应进行绿化或恢复为耕地，种植农作物；</w:t>
      </w:r>
    </w:p>
    <w:p>
      <w:pPr>
        <w:pStyle w:val="BodyText"/>
        <w:spacing w:before="36"/>
        <w:ind w:left="699"/>
      </w:pPr>
      <w:r>
        <w:rPr/>
        <w:t>⑦合理安排运输路线，尽量避开人群聚集地。</w:t>
      </w:r>
    </w:p>
    <w:p>
      <w:pPr>
        <w:pStyle w:val="BodyText"/>
        <w:spacing w:line="357" w:lineRule="auto" w:before="153"/>
        <w:ind w:left="219" w:right="217" w:firstLine="480"/>
        <w:jc w:val="both"/>
      </w:pPr>
      <w:r>
        <w:rPr>
          <w:spacing w:val="-4"/>
        </w:rPr>
        <w:t>本项目区域大气环境质量较好，因此，本工程在加强管理，并采取治理措施后，对区域大气环境影响不大。</w:t>
      </w:r>
    </w:p>
    <w:p>
      <w:pPr>
        <w:pStyle w:val="Heading2"/>
        <w:spacing w:before="35"/>
        <w:ind w:left="701"/>
      </w:pPr>
      <w:r>
        <w:rPr>
          <w:w w:val="95"/>
        </w:rPr>
        <w:t>二、地表水环境影响分析</w:t>
      </w:r>
    </w:p>
    <w:p>
      <w:pPr>
        <w:pStyle w:val="BodyText"/>
        <w:spacing w:line="350" w:lineRule="auto" w:before="153"/>
        <w:ind w:left="219" w:right="217" w:firstLine="480"/>
        <w:jc w:val="both"/>
      </w:pPr>
      <w:r>
        <w:rPr>
          <w:spacing w:val="-3"/>
        </w:rPr>
        <w:t>施工期的废水来源为以下部分：一是工程建筑施工产生的生产废水，主要来源于施</w:t>
      </w:r>
      <w:r>
        <w:rPr>
          <w:spacing w:val="2"/>
        </w:rPr>
        <w:t>工机械以及施工运输车辆的冲洗废水，该废水中主要含泥砂等，悬浮物浓度较高，</w:t>
      </w:r>
      <w:r>
        <w:rPr>
          <w:rFonts w:ascii="Times New Roman" w:eastAsia="Times New Roman"/>
          <w:spacing w:val="2"/>
        </w:rPr>
        <w:t>pH </w:t>
      </w:r>
      <w:r>
        <w:rPr>
          <w:spacing w:val="-6"/>
        </w:rPr>
        <w:t>值呈弱碱性，并带有少量的油污；二是基坑渗水，含大量悬浮物；三是施工人员产生的</w:t>
      </w:r>
      <w:r>
        <w:rPr>
          <w:spacing w:val="-13"/>
          <w:position w:val="1"/>
        </w:rPr>
        <w:t>生活污水，主要含 </w:t>
      </w:r>
      <w:r>
        <w:rPr>
          <w:rFonts w:ascii="Times New Roman" w:eastAsia="Times New Roman"/>
          <w:position w:val="1"/>
        </w:rPr>
        <w:t>COD</w:t>
      </w:r>
      <w:r>
        <w:rPr>
          <w:rFonts w:ascii="Times New Roman" w:eastAsia="Times New Roman"/>
          <w:sz w:val="16"/>
        </w:rPr>
        <w:t>Cr</w:t>
      </w:r>
      <w:r>
        <w:rPr>
          <w:position w:val="1"/>
        </w:rPr>
        <w:t>、</w:t>
      </w:r>
      <w:r>
        <w:rPr>
          <w:rFonts w:ascii="Times New Roman" w:eastAsia="Times New Roman"/>
          <w:position w:val="1"/>
        </w:rPr>
        <w:t>BOD</w:t>
      </w:r>
      <w:r>
        <w:rPr>
          <w:rFonts w:ascii="Times New Roman" w:eastAsia="Times New Roman"/>
          <w:sz w:val="16"/>
        </w:rPr>
        <w:t>5</w:t>
      </w:r>
      <w:r>
        <w:rPr>
          <w:position w:val="1"/>
        </w:rPr>
        <w:t>、氨氮、</w:t>
      </w:r>
      <w:r>
        <w:rPr>
          <w:rFonts w:ascii="Times New Roman" w:eastAsia="Times New Roman"/>
          <w:position w:val="1"/>
        </w:rPr>
        <w:t>SS </w:t>
      </w:r>
      <w:r>
        <w:rPr>
          <w:position w:val="1"/>
        </w:rPr>
        <w:t>等。</w:t>
      </w:r>
    </w:p>
    <w:p>
      <w:pPr>
        <w:pStyle w:val="BodyText"/>
        <w:spacing w:before="13"/>
        <w:ind w:left="699"/>
      </w:pPr>
      <w:r>
        <w:rPr>
          <w:rFonts w:ascii="Times New Roman" w:eastAsia="Times New Roman"/>
        </w:rPr>
        <w:t>1</w:t>
      </w:r>
      <w:r>
        <w:rPr/>
        <w:t>、设备冲洗水</w:t>
      </w:r>
    </w:p>
    <w:p>
      <w:pPr>
        <w:pStyle w:val="BodyText"/>
        <w:spacing w:line="357" w:lineRule="auto"/>
        <w:ind w:left="219" w:right="218" w:firstLine="480"/>
        <w:jc w:val="both"/>
      </w:pPr>
      <w:r>
        <w:rPr>
          <w:spacing w:val="-4"/>
        </w:rPr>
        <w:t>工程施工时使用的机械设备较多，一般情况下，都会产生含油冲洗废水，但因此部</w:t>
      </w:r>
      <w:r>
        <w:rPr>
          <w:spacing w:val="-8"/>
        </w:rPr>
        <w:t>分废水的排放较为分散，因而其影响程度有限。值得注意的是，即使含油冲洗废水产生量小，但因其在自然条件下不易降解，进而对土壤和水体造成影响。</w:t>
      </w:r>
    </w:p>
    <w:p>
      <w:pPr>
        <w:pStyle w:val="BodyText"/>
        <w:spacing w:before="36"/>
        <w:ind w:left="699"/>
      </w:pPr>
      <w:r>
        <w:rPr>
          <w:rFonts w:ascii="Times New Roman" w:eastAsia="Times New Roman"/>
        </w:rPr>
        <w:t>2</w:t>
      </w:r>
      <w:r>
        <w:rPr/>
        <w:t>、施工人员生活污水</w:t>
      </w:r>
    </w:p>
    <w:p>
      <w:pPr>
        <w:pStyle w:val="BodyText"/>
        <w:spacing w:line="357" w:lineRule="auto"/>
        <w:ind w:left="219" w:right="218" w:firstLine="480"/>
        <w:jc w:val="both"/>
      </w:pPr>
      <w:r>
        <w:rPr>
          <w:spacing w:val="-3"/>
        </w:rPr>
        <w:t>施工单位选择租用当地民房作为施工营地，依托和利用当地的旱厕和污水管网进行处理。因此，本项目施工期生活污水不会对当地水环境产生不利影响。</w:t>
      </w:r>
    </w:p>
    <w:p>
      <w:pPr>
        <w:pStyle w:val="BodyText"/>
        <w:spacing w:before="35"/>
        <w:ind w:left="699"/>
      </w:pPr>
      <w:r>
        <w:rPr>
          <w:rFonts w:ascii="Times New Roman" w:eastAsia="Times New Roman"/>
        </w:rPr>
        <w:t>3</w:t>
      </w:r>
      <w:r>
        <w:rPr/>
        <w:t>、基坑开挖渗出的地下水</w:t>
      </w:r>
    </w:p>
    <w:p>
      <w:pPr>
        <w:pStyle w:val="BodyText"/>
        <w:spacing w:line="357" w:lineRule="auto"/>
        <w:ind w:left="219" w:right="221" w:firstLine="480"/>
        <w:jc w:val="both"/>
      </w:pPr>
      <w:r>
        <w:rPr>
          <w:spacing w:val="-3"/>
        </w:rPr>
        <w:t>基坑开挖过程中产生少量的地下渗水，含有大量的悬浮物和颗粒污染物，这部分废水经水泵抽出排入沉淀池，经沉淀处理后作为工程用水回用。 </w:t>
      </w:r>
    </w:p>
    <w:p>
      <w:pPr>
        <w:pStyle w:val="BodyText"/>
        <w:spacing w:line="357" w:lineRule="auto" w:before="36"/>
        <w:ind w:left="219" w:right="218" w:firstLine="480"/>
        <w:jc w:val="both"/>
      </w:pPr>
      <w:r>
        <w:rPr>
          <w:spacing w:val="-4"/>
        </w:rPr>
        <w:t>在采取相应的环保措施后，施工期生产、生活废水不会对水环境产生明显影响。施工期的环境影响是暂时的，随着基础施工的结束，这种影响将逐渐消失。</w:t>
      </w:r>
    </w:p>
    <w:p>
      <w:pPr>
        <w:pStyle w:val="BodyText"/>
        <w:spacing w:line="357" w:lineRule="auto" w:before="36"/>
        <w:ind w:left="219" w:right="218" w:firstLine="480"/>
        <w:jc w:val="both"/>
      </w:pPr>
      <w:r>
        <w:rPr>
          <w:spacing w:val="-3"/>
        </w:rPr>
        <w:t>项目所在地涉及河流下游 </w:t>
      </w:r>
      <w:r>
        <w:rPr/>
        <w:t>10km</w:t>
      </w:r>
      <w:r>
        <w:rPr>
          <w:spacing w:val="-6"/>
        </w:rPr>
        <w:t> 范围内无饮用水源保护区和集中式饮用水源取水口</w:t>
      </w:r>
      <w:r>
        <w:rPr>
          <w:spacing w:val="-8"/>
        </w:rPr>
        <w:t>存在，在采取相应的环保措施后，施工期废水不会对水环境产生污染影响。施工期的环境影响是暂时的，随着基础施工的结束，这种影响将逐渐消失。</w:t>
      </w:r>
    </w:p>
    <w:p>
      <w:pPr>
        <w:pStyle w:val="BodyText"/>
        <w:spacing w:line="357" w:lineRule="auto" w:before="36"/>
        <w:ind w:left="219" w:right="218" w:firstLine="480"/>
        <w:jc w:val="both"/>
      </w:pPr>
      <w:r>
        <w:rPr>
          <w:spacing w:val="-4"/>
        </w:rPr>
        <w:t>在采取相应的环保措施后，施工期生产、生活废水不会对水环境产生明显影响。施工期的环境影响是暂时的，随着基础施工的结束，这种影响将逐渐消失。</w:t>
      </w:r>
    </w:p>
    <w:p>
      <w:pPr>
        <w:pStyle w:val="Heading2"/>
        <w:spacing w:before="36"/>
        <w:ind w:left="701"/>
      </w:pPr>
      <w:r>
        <w:rPr>
          <w:w w:val="95"/>
        </w:rPr>
        <w:t>三、固体废弃物环境影响分析</w:t>
      </w:r>
    </w:p>
    <w:p>
      <w:pPr>
        <w:spacing w:after="0"/>
        <w:sectPr>
          <w:pgSz w:w="11910" w:h="16840"/>
          <w:pgMar w:header="0" w:footer="1186" w:top="1120" w:bottom="1440" w:left="1200" w:right="1200"/>
        </w:sectPr>
      </w:pPr>
    </w:p>
    <w:p>
      <w:pPr>
        <w:pStyle w:val="BodyText"/>
        <w:spacing w:before="45"/>
        <w:ind w:left="699"/>
      </w:pPr>
      <w:r>
        <w:rPr/>
        <w:pict>
          <v:group style="position:absolute;margin-left:65.150002pt;margin-top:56.689484pt;width:465.1pt;height:694.3pt;mso-position-horizontal-relative:page;mso-position-vertical-relative:page;z-index:-83560" coordorigin="1303,1134" coordsize="9302,13886">
            <v:shape style="position:absolute;left:1308;top:1139;width:9292;height:2" coordorigin="1308,1139" coordsize="9292,0" path="m1308,1139l1318,1139m1308,1139l1318,1139m1318,1139l10590,1139m10590,1139l10600,1139m10590,1139l10600,1139e" filled="false" stroked="true" strokeweight=".481pt" strokecolor="#000000">
              <v:path arrowok="t"/>
              <v:stroke dashstyle="solid"/>
            </v:shape>
            <v:line style="position:absolute" from="1313,1144" to="1313,15014" stroked="true" strokeweight=".48pt" strokecolor="#000000">
              <v:stroke dashstyle="solid"/>
            </v:line>
            <v:shape style="position:absolute;left:1318;top:1144;width:9278;height:13871" coordorigin="1318,1144" coordsize="9278,13871" path="m1318,15010l10590,15010m10595,1144l10595,15014e" filled="false" stroked="true" strokeweight=".481pt" strokecolor="#000000">
              <v:path arrowok="t"/>
              <v:stroke dashstyle="solid"/>
            </v:shape>
            <w10:wrap type="none"/>
          </v:group>
        </w:pict>
      </w:r>
      <w:r>
        <w:rPr/>
        <w:t>施工期固废主要为施工过程中挖填方弃土、施工人员生活垃圾。</w:t>
      </w:r>
    </w:p>
    <w:p>
      <w:pPr>
        <w:pStyle w:val="BodyText"/>
        <w:spacing w:line="348" w:lineRule="auto" w:before="153"/>
        <w:ind w:left="219" w:right="230" w:firstLine="480"/>
        <w:jc w:val="both"/>
      </w:pPr>
      <w:r>
        <w:rPr>
          <w:spacing w:val="4"/>
        </w:rPr>
        <w:t>本项目中开挖土石方绝大部分在管道敷设完毕后就地回填，本项目建设总挖方量</w:t>
      </w:r>
      <w:r>
        <w:rPr>
          <w:rFonts w:ascii="Times New Roman" w:eastAsia="Times New Roman"/>
        </w:rPr>
        <w:t>7448m</w:t>
      </w:r>
      <w:r>
        <w:rPr>
          <w:rFonts w:ascii="Times New Roman" w:eastAsia="Times New Roman"/>
          <w:position w:val="9"/>
          <w:sz w:val="16"/>
        </w:rPr>
        <w:t>3</w:t>
      </w:r>
      <w:r>
        <w:rPr>
          <w:spacing w:val="-12"/>
        </w:rPr>
        <w:t>，总填方量 </w:t>
      </w:r>
      <w:r>
        <w:rPr>
          <w:rFonts w:ascii="Times New Roman" w:eastAsia="Times New Roman"/>
        </w:rPr>
        <w:t>950.6m</w:t>
      </w:r>
      <w:r>
        <w:rPr>
          <w:rFonts w:ascii="Times New Roman" w:eastAsia="Times New Roman"/>
          <w:position w:val="9"/>
          <w:sz w:val="16"/>
        </w:rPr>
        <w:t>3</w:t>
      </w:r>
      <w:r>
        <w:rPr>
          <w:spacing w:val="-12"/>
        </w:rPr>
        <w:t>，总弃方量 </w:t>
      </w:r>
      <w:r>
        <w:rPr>
          <w:rFonts w:ascii="Times New Roman" w:eastAsia="Times New Roman"/>
        </w:rPr>
        <w:t>6497.4m</w:t>
      </w:r>
      <w:r>
        <w:rPr>
          <w:rFonts w:ascii="Times New Roman" w:eastAsia="Times New Roman"/>
          <w:position w:val="9"/>
          <w:sz w:val="16"/>
        </w:rPr>
        <w:t>3</w:t>
      </w:r>
      <w:r>
        <w:rPr/>
        <w:t>，定期运往政府指定的堆渣场。施工期生活垃圾日产日清，由环卫车运至城市垃圾处理场。</w:t>
      </w:r>
    </w:p>
    <w:p>
      <w:pPr>
        <w:pStyle w:val="BodyText"/>
        <w:spacing w:line="357" w:lineRule="auto" w:before="45"/>
        <w:ind w:left="219" w:right="241" w:firstLine="480"/>
        <w:jc w:val="both"/>
      </w:pPr>
      <w:r>
        <w:rPr>
          <w:spacing w:val="-6"/>
        </w:rPr>
        <w:t>综上分析，本工程施工过程产生的固体废弃物都得到了合理有效的处置，不会造成二次污染，对周边环境影响小。</w:t>
      </w:r>
    </w:p>
    <w:p>
      <w:pPr>
        <w:pStyle w:val="Heading2"/>
        <w:spacing w:before="36"/>
        <w:ind w:left="701"/>
      </w:pPr>
      <w:r>
        <w:rPr>
          <w:w w:val="95"/>
        </w:rPr>
        <w:t>四、声学环境影响评价</w:t>
      </w:r>
    </w:p>
    <w:p>
      <w:pPr>
        <w:pStyle w:val="BodyText"/>
        <w:spacing w:before="154"/>
        <w:ind w:left="699"/>
      </w:pPr>
      <w:r>
        <w:rPr/>
        <w:t>（</w:t>
      </w:r>
      <w:r>
        <w:rPr>
          <w:rFonts w:ascii="Times New Roman" w:eastAsia="Times New Roman"/>
        </w:rPr>
        <w:t>1</w:t>
      </w:r>
      <w:r>
        <w:rPr/>
        <w:t>）噪声源</w:t>
      </w:r>
    </w:p>
    <w:p>
      <w:pPr>
        <w:pStyle w:val="BodyText"/>
        <w:spacing w:line="357" w:lineRule="auto" w:before="136"/>
        <w:ind w:left="219" w:right="237" w:firstLine="480"/>
        <w:jc w:val="both"/>
      </w:pPr>
      <w:r>
        <w:rPr>
          <w:spacing w:val="-4"/>
        </w:rPr>
        <w:t>项目施工需借助于各种机械进行，据调查，目前常用的机械主要有：压路机、破碎</w:t>
      </w:r>
      <w:r>
        <w:rPr>
          <w:spacing w:val="-7"/>
        </w:rPr>
        <w:t>机等，其满负荷运行时的噪声随距离衰减值见表 </w:t>
      </w:r>
      <w:r>
        <w:rPr>
          <w:rFonts w:ascii="Times New Roman" w:eastAsia="Times New Roman"/>
        </w:rPr>
        <w:t>7-1</w:t>
      </w:r>
      <w:r>
        <w:rPr/>
        <w:t>。</w:t>
      </w:r>
    </w:p>
    <w:p>
      <w:pPr>
        <w:pStyle w:val="Heading2"/>
        <w:tabs>
          <w:tab w:pos="3014" w:val="left" w:leader="none"/>
        </w:tabs>
        <w:spacing w:before="5"/>
        <w:ind w:left="2152"/>
      </w:pPr>
      <w:r>
        <w:rPr/>
        <w:t>表</w:t>
      </w:r>
      <w:r>
        <w:rPr>
          <w:spacing w:val="-61"/>
        </w:rPr>
        <w:t> </w:t>
      </w:r>
      <w:r>
        <w:rPr>
          <w:rFonts w:ascii="Times New Roman" w:eastAsia="Times New Roman"/>
        </w:rPr>
        <w:t>7-1</w:t>
        <w:tab/>
      </w:r>
      <w:r>
        <w:rPr>
          <w:w w:val="95"/>
        </w:rPr>
        <w:t>各种施工机械在不同距离处的噪声预测值</w:t>
      </w:r>
    </w:p>
    <w:p>
      <w:pPr>
        <w:pStyle w:val="BodyText"/>
        <w:spacing w:before="3"/>
        <w:rPr>
          <w:b/>
          <w:sz w:val="7"/>
        </w:rPr>
      </w:pPr>
    </w:p>
    <w:tbl>
      <w:tblPr>
        <w:tblW w:w="0" w:type="auto"/>
        <w:jc w:val="left"/>
        <w:tblInd w:w="28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408"/>
        <w:gridCol w:w="750"/>
        <w:gridCol w:w="751"/>
        <w:gridCol w:w="751"/>
        <w:gridCol w:w="750"/>
        <w:gridCol w:w="751"/>
        <w:gridCol w:w="750"/>
        <w:gridCol w:w="751"/>
        <w:gridCol w:w="751"/>
        <w:gridCol w:w="751"/>
        <w:gridCol w:w="751"/>
      </w:tblGrid>
      <w:tr>
        <w:trPr>
          <w:trHeight w:val="420" w:hRule="exact"/>
        </w:trPr>
        <w:tc>
          <w:tcPr>
            <w:tcW w:w="1408" w:type="dxa"/>
            <w:vMerge w:val="restart"/>
            <w:tcBorders>
              <w:right w:val="single" w:sz="6" w:space="0" w:color="000000"/>
            </w:tcBorders>
          </w:tcPr>
          <w:p>
            <w:pPr>
              <w:pStyle w:val="TableParagraph"/>
              <w:jc w:val="left"/>
              <w:rPr>
                <w:b/>
                <w:sz w:val="18"/>
              </w:rPr>
            </w:pPr>
          </w:p>
          <w:p>
            <w:pPr>
              <w:pStyle w:val="TableParagraph"/>
              <w:ind w:left="267"/>
              <w:jc w:val="left"/>
              <w:rPr>
                <w:b/>
                <w:sz w:val="21"/>
              </w:rPr>
            </w:pPr>
            <w:r>
              <w:rPr>
                <w:b/>
                <w:sz w:val="21"/>
              </w:rPr>
              <w:t>机械名称</w:t>
            </w:r>
          </w:p>
        </w:tc>
        <w:tc>
          <w:tcPr>
            <w:tcW w:w="7508" w:type="dxa"/>
            <w:gridSpan w:val="10"/>
            <w:tcBorders>
              <w:left w:val="single" w:sz="6" w:space="0" w:color="000000"/>
              <w:bottom w:val="single" w:sz="6" w:space="0" w:color="000000"/>
            </w:tcBorders>
          </w:tcPr>
          <w:p>
            <w:pPr>
              <w:pStyle w:val="TableParagraph"/>
              <w:spacing w:before="30"/>
              <w:ind w:left="2637" w:right="2630"/>
              <w:rPr>
                <w:rFonts w:ascii="Times New Roman" w:eastAsia="Times New Roman"/>
                <w:b/>
                <w:sz w:val="21"/>
              </w:rPr>
            </w:pPr>
            <w:r>
              <w:rPr>
                <w:b/>
                <w:w w:val="95"/>
                <w:sz w:val="21"/>
              </w:rPr>
              <w:t>不同距离处的噪声值</w:t>
            </w:r>
            <w:r>
              <w:rPr>
                <w:rFonts w:ascii="Times New Roman" w:eastAsia="Times New Roman"/>
                <w:b/>
                <w:w w:val="95"/>
                <w:sz w:val="21"/>
              </w:rPr>
              <w:t>(dB)</w:t>
            </w:r>
          </w:p>
        </w:tc>
      </w:tr>
      <w:tr>
        <w:trPr>
          <w:trHeight w:val="412" w:hRule="exact"/>
        </w:trPr>
        <w:tc>
          <w:tcPr>
            <w:tcW w:w="1408" w:type="dxa"/>
            <w:vMerge/>
            <w:tcBorders>
              <w:bottom w:val="single" w:sz="6" w:space="0" w:color="000000"/>
              <w:right w:val="single" w:sz="6" w:space="0" w:color="000000"/>
            </w:tcBorders>
          </w:tcPr>
          <w:p>
            <w:pP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228"/>
              <w:jc w:val="left"/>
              <w:rPr>
                <w:rFonts w:ascii="Times New Roman"/>
                <w:b/>
                <w:sz w:val="21"/>
              </w:rPr>
            </w:pPr>
            <w:r>
              <w:rPr>
                <w:rFonts w:ascii="Times New Roman"/>
                <w:b/>
                <w:sz w:val="21"/>
              </w:rPr>
              <w:t>5m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b/>
                <w:sz w:val="21"/>
              </w:rPr>
            </w:pPr>
            <w:r>
              <w:rPr>
                <w:rFonts w:ascii="Times New Roman"/>
                <w:b/>
                <w:sz w:val="21"/>
              </w:rPr>
              <w:t>10m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b/>
                <w:sz w:val="21"/>
              </w:rPr>
            </w:pPr>
            <w:r>
              <w:rPr>
                <w:rFonts w:ascii="Times New Roman"/>
                <w:b/>
                <w:sz w:val="21"/>
              </w:rPr>
              <w:t>20m</w:t>
            </w: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154" w:right="153"/>
              <w:rPr>
                <w:rFonts w:ascii="Times New Roman"/>
                <w:b/>
                <w:sz w:val="21"/>
              </w:rPr>
            </w:pPr>
            <w:r>
              <w:rPr>
                <w:rFonts w:ascii="Times New Roman"/>
                <w:b/>
                <w:sz w:val="21"/>
              </w:rPr>
              <w:t>40m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3" w:right="101"/>
              <w:rPr>
                <w:rFonts w:ascii="Times New Roman"/>
                <w:b/>
                <w:sz w:val="21"/>
              </w:rPr>
            </w:pPr>
            <w:r>
              <w:rPr>
                <w:rFonts w:ascii="Times New Roman"/>
                <w:b/>
                <w:sz w:val="21"/>
              </w:rPr>
              <w:t>60m</w:t>
            </w: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155" w:right="152"/>
              <w:rPr>
                <w:rFonts w:ascii="Times New Roman"/>
                <w:b/>
                <w:sz w:val="21"/>
              </w:rPr>
            </w:pPr>
            <w:r>
              <w:rPr>
                <w:rFonts w:ascii="Times New Roman"/>
                <w:b/>
                <w:sz w:val="21"/>
              </w:rPr>
              <w:t>80m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3" w:right="100"/>
              <w:rPr>
                <w:rFonts w:ascii="Times New Roman"/>
                <w:b/>
                <w:sz w:val="21"/>
              </w:rPr>
            </w:pPr>
            <w:r>
              <w:rPr>
                <w:rFonts w:ascii="Times New Roman"/>
                <w:b/>
                <w:sz w:val="21"/>
              </w:rPr>
              <w:t>100m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23"/>
              <w:jc w:val="left"/>
              <w:rPr>
                <w:rFonts w:ascii="Times New Roman"/>
                <w:b/>
                <w:sz w:val="21"/>
              </w:rPr>
            </w:pPr>
            <w:r>
              <w:rPr>
                <w:rFonts w:ascii="Times New Roman"/>
                <w:b/>
                <w:sz w:val="21"/>
              </w:rPr>
              <w:t>150m</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b/>
                <w:sz w:val="21"/>
              </w:rPr>
            </w:pPr>
            <w:r>
              <w:rPr>
                <w:rFonts w:ascii="Times New Roman"/>
                <w:b/>
                <w:sz w:val="21"/>
              </w:rPr>
              <w:t>200m</w:t>
            </w:r>
          </w:p>
        </w:tc>
        <w:tc>
          <w:tcPr>
            <w:tcW w:w="751" w:type="dxa"/>
            <w:tcBorders>
              <w:top w:val="single" w:sz="6" w:space="0" w:color="000000"/>
              <w:left w:val="single" w:sz="6" w:space="0" w:color="000000"/>
              <w:bottom w:val="single" w:sz="6" w:space="0" w:color="000000"/>
            </w:tcBorders>
          </w:tcPr>
          <w:p>
            <w:pPr>
              <w:pStyle w:val="TableParagraph"/>
              <w:spacing w:before="78"/>
              <w:ind w:left="103" w:right="96"/>
              <w:rPr>
                <w:rFonts w:ascii="Times New Roman"/>
                <w:b/>
                <w:sz w:val="21"/>
              </w:rPr>
            </w:pPr>
            <w:r>
              <w:rPr>
                <w:rFonts w:ascii="Times New Roman"/>
                <w:b/>
                <w:sz w:val="21"/>
              </w:rPr>
              <w:t>300m</w:t>
            </w:r>
          </w:p>
        </w:tc>
      </w:tr>
      <w:tr>
        <w:trPr>
          <w:trHeight w:val="413" w:hRule="exact"/>
        </w:trPr>
        <w:tc>
          <w:tcPr>
            <w:tcW w:w="1408" w:type="dxa"/>
            <w:tcBorders>
              <w:top w:val="single" w:sz="6" w:space="0" w:color="000000"/>
              <w:bottom w:val="single" w:sz="6" w:space="0" w:color="000000"/>
              <w:right w:val="single" w:sz="6" w:space="0" w:color="000000"/>
            </w:tcBorders>
          </w:tcPr>
          <w:p>
            <w:pPr>
              <w:pStyle w:val="TableParagraph"/>
              <w:spacing w:before="29"/>
              <w:ind w:left="355" w:right="360"/>
              <w:rPr>
                <w:sz w:val="21"/>
              </w:rPr>
            </w:pPr>
            <w:r>
              <w:rPr>
                <w:sz w:val="21"/>
              </w:rPr>
              <w:t>压路机</w:t>
            </w: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262"/>
              <w:jc w:val="left"/>
              <w:rPr>
                <w:rFonts w:ascii="Times New Roman"/>
                <w:sz w:val="21"/>
              </w:rPr>
            </w:pPr>
            <w:r>
              <w:rPr>
                <w:rFonts w:ascii="Times New Roman"/>
                <w:sz w:val="21"/>
              </w:rPr>
              <w:t>86</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80</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74</w:t>
            </w: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153" w:right="153"/>
              <w:rPr>
                <w:rFonts w:ascii="Times New Roman"/>
                <w:sz w:val="21"/>
              </w:rPr>
            </w:pPr>
            <w:r>
              <w:rPr>
                <w:rFonts w:ascii="Times New Roman"/>
                <w:sz w:val="21"/>
              </w:rPr>
              <w:t>68</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3" w:right="101"/>
              <w:rPr>
                <w:rFonts w:ascii="Times New Roman"/>
                <w:sz w:val="21"/>
              </w:rPr>
            </w:pPr>
            <w:r>
              <w:rPr>
                <w:rFonts w:ascii="Times New Roman"/>
                <w:sz w:val="21"/>
              </w:rPr>
              <w:t>64.5</w:t>
            </w:r>
          </w:p>
        </w:tc>
        <w:tc>
          <w:tcPr>
            <w:tcW w:w="750" w:type="dxa"/>
            <w:tcBorders>
              <w:top w:val="single" w:sz="6" w:space="0" w:color="000000"/>
              <w:left w:val="single" w:sz="6" w:space="0" w:color="000000"/>
              <w:bottom w:val="single" w:sz="6" w:space="0" w:color="000000"/>
              <w:right w:val="single" w:sz="6" w:space="0" w:color="000000"/>
            </w:tcBorders>
          </w:tcPr>
          <w:p>
            <w:pPr>
              <w:pStyle w:val="TableParagraph"/>
              <w:spacing w:before="78"/>
              <w:ind w:left="155" w:right="152"/>
              <w:rPr>
                <w:rFonts w:ascii="Times New Roman"/>
                <w:sz w:val="21"/>
              </w:rPr>
            </w:pPr>
            <w:r>
              <w:rPr>
                <w:rFonts w:ascii="Times New Roman"/>
                <w:sz w:val="21"/>
              </w:rPr>
              <w:t>62</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3" w:right="101"/>
              <w:rPr>
                <w:rFonts w:ascii="Times New Roman"/>
                <w:sz w:val="21"/>
              </w:rPr>
            </w:pPr>
            <w:r>
              <w:rPr>
                <w:rFonts w:ascii="Times New Roman"/>
                <w:sz w:val="21"/>
              </w:rPr>
              <w:t>60</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84"/>
              <w:jc w:val="left"/>
              <w:rPr>
                <w:rFonts w:ascii="Times New Roman"/>
                <w:sz w:val="21"/>
              </w:rPr>
            </w:pPr>
            <w:r>
              <w:rPr>
                <w:rFonts w:ascii="Times New Roman"/>
                <w:sz w:val="21"/>
              </w:rPr>
              <w:t>56.5</w:t>
            </w:r>
          </w:p>
        </w:tc>
        <w:tc>
          <w:tcPr>
            <w:tcW w:w="751" w:type="dxa"/>
            <w:tcBorders>
              <w:top w:val="single" w:sz="6" w:space="0" w:color="000000"/>
              <w:left w:val="single" w:sz="6" w:space="0" w:color="000000"/>
              <w:bottom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54</w:t>
            </w:r>
          </w:p>
        </w:tc>
        <w:tc>
          <w:tcPr>
            <w:tcW w:w="751" w:type="dxa"/>
            <w:tcBorders>
              <w:top w:val="single" w:sz="6" w:space="0" w:color="000000"/>
              <w:left w:val="single" w:sz="6" w:space="0" w:color="000000"/>
              <w:bottom w:val="single" w:sz="6" w:space="0" w:color="000000"/>
            </w:tcBorders>
          </w:tcPr>
          <w:p>
            <w:pPr>
              <w:pStyle w:val="TableParagraph"/>
              <w:spacing w:before="78"/>
              <w:ind w:left="103" w:right="96"/>
              <w:rPr>
                <w:rFonts w:ascii="Times New Roman"/>
                <w:sz w:val="21"/>
              </w:rPr>
            </w:pPr>
            <w:r>
              <w:rPr>
                <w:rFonts w:ascii="Times New Roman"/>
                <w:sz w:val="21"/>
              </w:rPr>
              <w:t>50.5</w:t>
            </w:r>
          </w:p>
        </w:tc>
      </w:tr>
      <w:tr>
        <w:trPr>
          <w:trHeight w:val="420" w:hRule="exact"/>
        </w:trPr>
        <w:tc>
          <w:tcPr>
            <w:tcW w:w="1408" w:type="dxa"/>
            <w:tcBorders>
              <w:top w:val="single" w:sz="6" w:space="0" w:color="000000"/>
              <w:right w:val="single" w:sz="6" w:space="0" w:color="000000"/>
            </w:tcBorders>
          </w:tcPr>
          <w:p>
            <w:pPr>
              <w:pStyle w:val="TableParagraph"/>
              <w:spacing w:before="29"/>
              <w:ind w:left="355" w:right="360"/>
              <w:rPr>
                <w:sz w:val="21"/>
              </w:rPr>
            </w:pPr>
            <w:r>
              <w:rPr>
                <w:sz w:val="21"/>
              </w:rPr>
              <w:t>破碎机</w:t>
            </w:r>
          </w:p>
        </w:tc>
        <w:tc>
          <w:tcPr>
            <w:tcW w:w="750" w:type="dxa"/>
            <w:tcBorders>
              <w:top w:val="single" w:sz="6" w:space="0" w:color="000000"/>
              <w:left w:val="single" w:sz="6" w:space="0" w:color="000000"/>
              <w:right w:val="single" w:sz="6" w:space="0" w:color="000000"/>
            </w:tcBorders>
          </w:tcPr>
          <w:p>
            <w:pPr>
              <w:pStyle w:val="TableParagraph"/>
              <w:spacing w:before="78"/>
              <w:ind w:left="262"/>
              <w:jc w:val="left"/>
              <w:rPr>
                <w:rFonts w:ascii="Times New Roman"/>
                <w:sz w:val="21"/>
              </w:rPr>
            </w:pPr>
            <w:r>
              <w:rPr>
                <w:rFonts w:ascii="Times New Roman"/>
                <w:sz w:val="21"/>
              </w:rPr>
              <w:t>84</w:t>
            </w:r>
          </w:p>
        </w:tc>
        <w:tc>
          <w:tcPr>
            <w:tcW w:w="751" w:type="dxa"/>
            <w:tcBorders>
              <w:top w:val="single" w:sz="6" w:space="0" w:color="000000"/>
              <w:left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78</w:t>
            </w:r>
          </w:p>
        </w:tc>
        <w:tc>
          <w:tcPr>
            <w:tcW w:w="751" w:type="dxa"/>
            <w:tcBorders>
              <w:top w:val="single" w:sz="6" w:space="0" w:color="000000"/>
              <w:left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72</w:t>
            </w:r>
          </w:p>
        </w:tc>
        <w:tc>
          <w:tcPr>
            <w:tcW w:w="750" w:type="dxa"/>
            <w:tcBorders>
              <w:top w:val="single" w:sz="6" w:space="0" w:color="000000"/>
              <w:left w:val="single" w:sz="6" w:space="0" w:color="000000"/>
              <w:right w:val="single" w:sz="6" w:space="0" w:color="000000"/>
            </w:tcBorders>
          </w:tcPr>
          <w:p>
            <w:pPr>
              <w:pStyle w:val="TableParagraph"/>
              <w:spacing w:before="78"/>
              <w:ind w:left="153" w:right="153"/>
              <w:rPr>
                <w:rFonts w:ascii="Times New Roman"/>
                <w:sz w:val="21"/>
              </w:rPr>
            </w:pPr>
            <w:r>
              <w:rPr>
                <w:rFonts w:ascii="Times New Roman"/>
                <w:sz w:val="21"/>
              </w:rPr>
              <w:t>66</w:t>
            </w:r>
          </w:p>
        </w:tc>
        <w:tc>
          <w:tcPr>
            <w:tcW w:w="751" w:type="dxa"/>
            <w:tcBorders>
              <w:top w:val="single" w:sz="6" w:space="0" w:color="000000"/>
              <w:left w:val="single" w:sz="6" w:space="0" w:color="000000"/>
              <w:right w:val="single" w:sz="6" w:space="0" w:color="000000"/>
            </w:tcBorders>
          </w:tcPr>
          <w:p>
            <w:pPr>
              <w:pStyle w:val="TableParagraph"/>
              <w:spacing w:before="78"/>
              <w:ind w:left="103" w:right="101"/>
              <w:rPr>
                <w:rFonts w:ascii="Times New Roman"/>
                <w:sz w:val="21"/>
              </w:rPr>
            </w:pPr>
            <w:r>
              <w:rPr>
                <w:rFonts w:ascii="Times New Roman"/>
                <w:sz w:val="21"/>
              </w:rPr>
              <w:t>62.5</w:t>
            </w:r>
          </w:p>
        </w:tc>
        <w:tc>
          <w:tcPr>
            <w:tcW w:w="750" w:type="dxa"/>
            <w:tcBorders>
              <w:top w:val="single" w:sz="6" w:space="0" w:color="000000"/>
              <w:left w:val="single" w:sz="6" w:space="0" w:color="000000"/>
              <w:right w:val="single" w:sz="6" w:space="0" w:color="000000"/>
            </w:tcBorders>
          </w:tcPr>
          <w:p>
            <w:pPr>
              <w:pStyle w:val="TableParagraph"/>
              <w:spacing w:before="78"/>
              <w:ind w:left="155" w:right="152"/>
              <w:rPr>
                <w:rFonts w:ascii="Times New Roman"/>
                <w:sz w:val="21"/>
              </w:rPr>
            </w:pPr>
            <w:r>
              <w:rPr>
                <w:rFonts w:ascii="Times New Roman"/>
                <w:sz w:val="21"/>
              </w:rPr>
              <w:t>60</w:t>
            </w:r>
          </w:p>
        </w:tc>
        <w:tc>
          <w:tcPr>
            <w:tcW w:w="751" w:type="dxa"/>
            <w:tcBorders>
              <w:top w:val="single" w:sz="6" w:space="0" w:color="000000"/>
              <w:left w:val="single" w:sz="6" w:space="0" w:color="000000"/>
              <w:right w:val="single" w:sz="6" w:space="0" w:color="000000"/>
            </w:tcBorders>
          </w:tcPr>
          <w:p>
            <w:pPr>
              <w:pStyle w:val="TableParagraph"/>
              <w:spacing w:before="78"/>
              <w:ind w:left="103" w:right="101"/>
              <w:rPr>
                <w:rFonts w:ascii="Times New Roman"/>
                <w:sz w:val="21"/>
              </w:rPr>
            </w:pPr>
            <w:r>
              <w:rPr>
                <w:rFonts w:ascii="Times New Roman"/>
                <w:sz w:val="21"/>
              </w:rPr>
              <w:t>58</w:t>
            </w:r>
          </w:p>
        </w:tc>
        <w:tc>
          <w:tcPr>
            <w:tcW w:w="751" w:type="dxa"/>
            <w:tcBorders>
              <w:top w:val="single" w:sz="6" w:space="0" w:color="000000"/>
              <w:left w:val="single" w:sz="6" w:space="0" w:color="000000"/>
              <w:right w:val="single" w:sz="6" w:space="0" w:color="000000"/>
            </w:tcBorders>
          </w:tcPr>
          <w:p>
            <w:pPr>
              <w:pStyle w:val="TableParagraph"/>
              <w:spacing w:before="78"/>
              <w:ind w:left="184"/>
              <w:jc w:val="left"/>
              <w:rPr>
                <w:rFonts w:ascii="Times New Roman"/>
                <w:sz w:val="21"/>
              </w:rPr>
            </w:pPr>
            <w:r>
              <w:rPr>
                <w:rFonts w:ascii="Times New Roman"/>
                <w:sz w:val="21"/>
              </w:rPr>
              <w:t>54.5</w:t>
            </w:r>
          </w:p>
        </w:tc>
        <w:tc>
          <w:tcPr>
            <w:tcW w:w="751" w:type="dxa"/>
            <w:tcBorders>
              <w:top w:val="single" w:sz="6" w:space="0" w:color="000000"/>
              <w:left w:val="single" w:sz="6" w:space="0" w:color="000000"/>
              <w:right w:val="single" w:sz="6" w:space="0" w:color="000000"/>
            </w:tcBorders>
          </w:tcPr>
          <w:p>
            <w:pPr>
              <w:pStyle w:val="TableParagraph"/>
              <w:spacing w:before="78"/>
              <w:ind w:left="101" w:right="101"/>
              <w:rPr>
                <w:rFonts w:ascii="Times New Roman"/>
                <w:sz w:val="21"/>
              </w:rPr>
            </w:pPr>
            <w:r>
              <w:rPr>
                <w:rFonts w:ascii="Times New Roman"/>
                <w:sz w:val="21"/>
              </w:rPr>
              <w:t>52</w:t>
            </w:r>
          </w:p>
        </w:tc>
        <w:tc>
          <w:tcPr>
            <w:tcW w:w="751" w:type="dxa"/>
            <w:tcBorders>
              <w:top w:val="single" w:sz="6" w:space="0" w:color="000000"/>
              <w:left w:val="single" w:sz="6" w:space="0" w:color="000000"/>
            </w:tcBorders>
          </w:tcPr>
          <w:p>
            <w:pPr>
              <w:pStyle w:val="TableParagraph"/>
              <w:spacing w:before="78"/>
              <w:ind w:left="103" w:right="96"/>
              <w:rPr>
                <w:rFonts w:ascii="Times New Roman"/>
                <w:sz w:val="21"/>
              </w:rPr>
            </w:pPr>
            <w:r>
              <w:rPr>
                <w:rFonts w:ascii="Times New Roman"/>
                <w:sz w:val="21"/>
              </w:rPr>
              <w:t>48.5</w:t>
            </w:r>
          </w:p>
        </w:tc>
      </w:tr>
    </w:tbl>
    <w:p>
      <w:pPr>
        <w:pStyle w:val="BodyText"/>
        <w:spacing w:line="350" w:lineRule="auto" w:before="40"/>
        <w:ind w:left="219" w:right="117" w:firstLine="480"/>
      </w:pPr>
      <w:r>
        <w:rPr>
          <w:spacing w:val="-30"/>
        </w:rPr>
        <w:t>表 </w:t>
      </w:r>
      <w:r>
        <w:rPr>
          <w:rFonts w:ascii="Times New Roman" w:eastAsia="Times New Roman"/>
        </w:rPr>
        <w:t>7-1 </w:t>
      </w:r>
      <w:r>
        <w:rPr>
          <w:spacing w:val="-11"/>
        </w:rPr>
        <w:t>表明，施工机械噪声级昼间在施工点 </w:t>
      </w:r>
      <w:r>
        <w:rPr>
          <w:rFonts w:ascii="Times New Roman" w:eastAsia="Times New Roman"/>
        </w:rPr>
        <w:t>40m</w:t>
      </w:r>
      <w:r>
        <w:rPr>
          <w:rFonts w:ascii="Times New Roman" w:eastAsia="Times New Roman"/>
          <w:spacing w:val="-2"/>
        </w:rPr>
        <w:t> </w:t>
      </w:r>
      <w:r>
        <w:rPr>
          <w:spacing w:val="-5"/>
        </w:rPr>
        <w:t>范围内超出标准限值，夜间在距施</w:t>
      </w:r>
      <w:r>
        <w:rPr>
          <w:spacing w:val="-25"/>
        </w:rPr>
        <w:t>工点 </w:t>
      </w:r>
      <w:r>
        <w:rPr>
          <w:rFonts w:ascii="Times New Roman" w:eastAsia="Times New Roman"/>
        </w:rPr>
        <w:t>150m</w:t>
      </w:r>
      <w:r>
        <w:rPr>
          <w:rFonts w:ascii="Times New Roman" w:eastAsia="Times New Roman"/>
          <w:spacing w:val="-5"/>
        </w:rPr>
        <w:t> </w:t>
      </w:r>
      <w:r>
        <w:rPr>
          <w:spacing w:val="-5"/>
        </w:rPr>
        <w:t>外噪声衰减值才符合《建筑施工场界环境噪声排放标准》</w:t>
      </w:r>
      <w:r>
        <w:rPr/>
        <w:t>（</w:t>
      </w:r>
      <w:r>
        <w:rPr>
          <w:rFonts w:ascii="Times New Roman" w:eastAsia="Times New Roman"/>
        </w:rPr>
        <w:t>GB12523</w:t>
      </w:r>
      <w:r>
        <w:rPr/>
        <w:t>－</w:t>
      </w:r>
      <w:r>
        <w:rPr>
          <w:rFonts w:ascii="Times New Roman" w:eastAsia="Times New Roman"/>
        </w:rPr>
        <w:t>2011</w:t>
      </w:r>
      <w:r>
        <w:rPr/>
        <w:t>） </w:t>
      </w:r>
      <w:r>
        <w:rPr>
          <w:spacing w:val="-14"/>
        </w:rPr>
        <w:t>的要求。本项目施工区域较大，项目施工主要影响的环境敏感点为沿线住户。根据调查， </w:t>
      </w:r>
      <w:r>
        <w:rPr>
          <w:spacing w:val="-13"/>
        </w:rPr>
        <w:t>区域内住户较多、较集中。项目施工期难免对附近环境敏感点造成影响。为尽量避免施</w:t>
      </w:r>
      <w:r>
        <w:rPr>
          <w:spacing w:val="-16"/>
        </w:rPr>
        <w:t>工噪声对区域现有居民等生活、工作产生噪声干扰，防止噪声扰民现场出现，建设单位在施工期已经采取以下噪声污染防治措施。</w:t>
      </w:r>
    </w:p>
    <w:p>
      <w:pPr>
        <w:pStyle w:val="BodyText"/>
        <w:spacing w:line="357" w:lineRule="auto" w:before="43"/>
        <w:ind w:left="219" w:right="239" w:firstLine="480"/>
        <w:jc w:val="both"/>
      </w:pPr>
      <w:r>
        <w:rPr/>
        <w:t>① 施工开始前进行公示，告之施工区域内住户等，与其进行有效沟通，取得周围</w:t>
      </w:r>
      <w:r>
        <w:rPr>
          <w:spacing w:val="-5"/>
        </w:rPr>
        <w:t>住户等的理解，同时建设单位应要求施工单位在现场张贴通告和投诉电话，建设单位在接到投诉电话后及时与当地环保部门联系，以便及时处理各种环境纠纷；</w:t>
      </w:r>
    </w:p>
    <w:p>
      <w:pPr>
        <w:pStyle w:val="BodyText"/>
        <w:spacing w:before="36"/>
        <w:ind w:left="699"/>
      </w:pPr>
      <w:r>
        <w:rPr/>
        <w:t>② 合理安排施工运输路线，运输车辆路线尽量避开人群积聚地区；</w:t>
      </w:r>
    </w:p>
    <w:p>
      <w:pPr>
        <w:pStyle w:val="BodyText"/>
        <w:spacing w:line="357" w:lineRule="auto" w:before="153"/>
        <w:ind w:left="219" w:right="239" w:firstLine="480"/>
        <w:jc w:val="both"/>
      </w:pPr>
      <w:r>
        <w:rPr/>
        <w:t>③ 根据施工沿线外环境情况，合理安排施工时间，高噪声设备施工安排在非休息日昼间进行，夜间 </w:t>
      </w:r>
      <w:r>
        <w:rPr>
          <w:rFonts w:ascii="Times New Roman" w:hAnsi="Times New Roman" w:eastAsia="Times New Roman"/>
        </w:rPr>
        <w:t>22</w:t>
      </w:r>
      <w:r>
        <w:rPr/>
        <w:t>：</w:t>
      </w:r>
      <w:r>
        <w:rPr>
          <w:rFonts w:ascii="Times New Roman" w:hAnsi="Times New Roman" w:eastAsia="Times New Roman"/>
        </w:rPr>
        <w:t>00~6</w:t>
      </w:r>
      <w:r>
        <w:rPr/>
        <w:t>：</w:t>
      </w:r>
      <w:r>
        <w:rPr>
          <w:rFonts w:ascii="Times New Roman" w:hAnsi="Times New Roman" w:eastAsia="Times New Roman"/>
        </w:rPr>
        <w:t>00 </w:t>
      </w:r>
      <w:r>
        <w:rPr/>
        <w:t>禁止高噪声设备施工；</w:t>
      </w:r>
    </w:p>
    <w:p>
      <w:pPr>
        <w:pStyle w:val="BodyText"/>
        <w:spacing w:line="357" w:lineRule="auto" w:before="5"/>
        <w:ind w:left="219" w:right="239" w:firstLine="480"/>
        <w:jc w:val="both"/>
      </w:pPr>
      <w:r>
        <w:rPr/>
        <w:t>④ 尽量采用低噪声机械，工程施工所用的施工机械设备应事先对其常规工作状态</w:t>
      </w:r>
      <w:r>
        <w:rPr>
          <w:spacing w:val="-5"/>
        </w:rPr>
        <w:t>下的噪声测量，超过国家标准的机械应禁止入场施工。施工过程中还应经常对设备进行维修保养，避免因使用的设备性能差而使噪声增加的现象发生；</w:t>
      </w:r>
    </w:p>
    <w:p>
      <w:pPr>
        <w:spacing w:after="0" w:line="357" w:lineRule="auto"/>
        <w:jc w:val="both"/>
        <w:sectPr>
          <w:pgSz w:w="11910" w:h="16840"/>
          <w:pgMar w:header="0" w:footer="1186" w:top="1120" w:bottom="1440" w:left="1200" w:right="1180"/>
        </w:sectPr>
      </w:pPr>
    </w:p>
    <w:p>
      <w:pPr>
        <w:pStyle w:val="BodyText"/>
        <w:spacing w:line="357" w:lineRule="auto" w:before="45"/>
        <w:ind w:left="219" w:right="218" w:firstLine="480"/>
        <w:jc w:val="both"/>
      </w:pPr>
      <w:r>
        <w:rPr/>
        <w:pict>
          <v:group style="position:absolute;margin-left:65.389999pt;margin-top:56.448982pt;width:464.6pt;height:703.5pt;mso-position-horizontal-relative:page;mso-position-vertical-relative:page;z-index:-83536" coordorigin="1308,1129" coordsize="9292,14070">
            <v:line style="position:absolute" from="1318,1139" to="10590,1139" stroked="true" strokeweight=".481pt" strokecolor="#000000">
              <v:stroke dashstyle="solid"/>
            </v:line>
            <v:line style="position:absolute" from="1313,1134" to="1313,15193" stroked="true" strokeweight=".48pt" strokecolor="#000000">
              <v:stroke dashstyle="solid"/>
            </v:line>
            <v:line style="position:absolute" from="1318,15188" to="10590,15188" stroked="true" strokeweight=".48pt" strokecolor="#000000">
              <v:stroke dashstyle="solid"/>
            </v:line>
            <v:line style="position:absolute" from="10595,1134" to="10595,15193" stroked="true" strokeweight=".481pt" strokecolor="#000000">
              <v:stroke dashstyle="solid"/>
            </v:line>
            <w10:wrap type="none"/>
          </v:group>
        </w:pict>
      </w:r>
      <w:r>
        <w:rPr>
          <w:spacing w:val="-4"/>
        </w:rPr>
        <w:t>⑤施工单位通过文明施工、加强有效管理加以缓解敲击、人的喊叫等作为施工活动</w:t>
      </w:r>
      <w:r>
        <w:rPr>
          <w:spacing w:val="-8"/>
        </w:rPr>
        <w:t>的声源。施工方应该合理有效的制定施工计划，提高工作效率，把施工时间控制在最短范围内；</w:t>
      </w:r>
    </w:p>
    <w:p>
      <w:pPr>
        <w:pStyle w:val="BodyText"/>
        <w:spacing w:line="357" w:lineRule="auto" w:before="36"/>
        <w:ind w:left="219" w:right="221" w:firstLine="480"/>
        <w:jc w:val="both"/>
      </w:pPr>
      <w:r>
        <w:rPr>
          <w:spacing w:val="-3"/>
        </w:rPr>
        <w:t>评价认为施工期噪声会对区域声造成一定的影响，但是施工噪声影响是暂时的，将</w:t>
      </w:r>
      <w:r>
        <w:rPr>
          <w:spacing w:val="-7"/>
        </w:rPr>
        <w:t>随着施工期的结束而消失，在采取上述噪声防治措施后，项目施工不会对评价范围内声学环境产生严重不利影响。</w:t>
      </w:r>
    </w:p>
    <w:p>
      <w:pPr>
        <w:pStyle w:val="Heading2"/>
        <w:spacing w:before="36"/>
        <w:ind w:left="701"/>
      </w:pPr>
      <w:r>
        <w:rPr>
          <w:w w:val="95"/>
        </w:rPr>
        <w:t>六、对文物古迹的影响分析</w:t>
      </w:r>
    </w:p>
    <w:p>
      <w:pPr>
        <w:pStyle w:val="BodyText"/>
        <w:spacing w:line="357" w:lineRule="auto" w:before="153"/>
        <w:ind w:left="219" w:right="218" w:firstLine="480"/>
        <w:jc w:val="both"/>
      </w:pPr>
      <w:r>
        <w:rPr>
          <w:spacing w:val="-4"/>
        </w:rPr>
        <w:t>本项目在开江县城进行建设，属于城市建成区，受人类活动影响深远，施工区域不</w:t>
      </w:r>
      <w:r>
        <w:rPr>
          <w:spacing w:val="-8"/>
        </w:rPr>
        <w:t>涉及文物保护区域，建设单位及各施工单位建立制度，一旦施工中发现地下文物，必须遵照文物保护部门的有关规定实施抢救或避让。</w:t>
      </w:r>
    </w:p>
    <w:p>
      <w:pPr>
        <w:pStyle w:val="Heading2"/>
        <w:spacing w:before="35"/>
        <w:ind w:left="701"/>
      </w:pPr>
      <w:r>
        <w:rPr>
          <w:w w:val="95"/>
        </w:rPr>
        <w:t>七、生态环境影响分析</w:t>
      </w:r>
    </w:p>
    <w:p>
      <w:pPr>
        <w:pStyle w:val="BodyText"/>
        <w:spacing w:before="153"/>
        <w:ind w:left="699"/>
      </w:pPr>
      <w:r>
        <w:rPr>
          <w:rFonts w:ascii="Times New Roman" w:eastAsia="Times New Roman"/>
        </w:rPr>
        <w:t>1</w:t>
      </w:r>
      <w:r>
        <w:rPr/>
        <w:t>、工程占地的影响分析</w:t>
      </w:r>
    </w:p>
    <w:p>
      <w:pPr>
        <w:pStyle w:val="BodyText"/>
        <w:spacing w:line="357" w:lineRule="auto"/>
        <w:ind w:left="219" w:right="164" w:firstLine="480"/>
        <w:jc w:val="both"/>
      </w:pPr>
      <w:r>
        <w:rPr/>
        <w:t>工程为地下雨水和污水管道铺设，均沿现有道路走向进行铺设，不涉及新增占地， 本项目不设土料场、石料场和砂石料场，所需砂、卵石、条块石、片石等材料均外购； 项目外购水泥混凝土，不设水泥拌和场；项目利用现有道路进行施工运输，不设施工便道。</w:t>
      </w:r>
    </w:p>
    <w:p>
      <w:pPr>
        <w:pStyle w:val="BodyText"/>
        <w:spacing w:before="36"/>
        <w:ind w:left="701"/>
      </w:pPr>
      <w:r>
        <w:rPr>
          <w:rFonts w:ascii="Times New Roman" w:eastAsia="Times New Roman"/>
        </w:rPr>
        <w:t>2</w:t>
      </w:r>
      <w:r>
        <w:rPr/>
        <w:t>、生态环境影响</w:t>
      </w:r>
    </w:p>
    <w:p>
      <w:pPr>
        <w:pStyle w:val="BodyText"/>
        <w:spacing w:line="357" w:lineRule="auto" w:before="136"/>
        <w:ind w:left="219" w:right="218" w:firstLine="480"/>
        <w:jc w:val="both"/>
      </w:pPr>
      <w:r>
        <w:rPr>
          <w:spacing w:val="-4"/>
        </w:rPr>
        <w:t>本项目在开江县城进行建设，属于城市建成区，受人类活动影响深远，区域内无生</w:t>
      </w:r>
      <w:r>
        <w:rPr>
          <w:spacing w:val="-9"/>
        </w:rPr>
        <w:t>态环境敏感目标，无珍稀动植物分布，项目建设对区域生物群落的物种多样性及生物减少等方面影响较小。</w:t>
      </w:r>
    </w:p>
    <w:p>
      <w:pPr>
        <w:pStyle w:val="BodyText"/>
        <w:spacing w:line="357" w:lineRule="auto" w:before="36"/>
        <w:ind w:left="219" w:right="210" w:firstLine="480"/>
        <w:jc w:val="both"/>
      </w:pPr>
      <w:r>
        <w:rPr>
          <w:spacing w:val="4"/>
        </w:rPr>
        <w:t>项目建设期对生态环境会产生一定的短期影响，项目不涉及森林公园和自然保护</w:t>
      </w:r>
      <w:r>
        <w:rPr>
          <w:spacing w:val="-7"/>
        </w:rPr>
        <w:t>区，在本次工程的评价范围内，无自然保护区、风景名胜区，同时也没有需要特殊保护</w:t>
      </w:r>
      <w:r>
        <w:rPr>
          <w:spacing w:val="-10"/>
        </w:rPr>
        <w:t>的珍稀动植物物种。建设区内无珍稀濒危植物种类，无国家重点保护野生植物种类以及</w:t>
      </w:r>
      <w:r>
        <w:rPr>
          <w:spacing w:val="-11"/>
        </w:rPr>
        <w:t>无名木古树，项目建设对区域生态环境无明显影响。施工期的影响是暂时的，随着基础施工的结束，这种影响将逐渐消失。</w:t>
      </w:r>
    </w:p>
    <w:p>
      <w:pPr>
        <w:pStyle w:val="Heading2"/>
        <w:spacing w:before="36"/>
        <w:ind w:left="268" w:right="6683"/>
        <w:jc w:val="center"/>
      </w:pPr>
      <w:r>
        <w:rPr>
          <w:w w:val="95"/>
        </w:rPr>
        <w:t>二、营运期环境影响分析</w:t>
      </w:r>
    </w:p>
    <w:p>
      <w:pPr>
        <w:pStyle w:val="BodyText"/>
        <w:spacing w:line="357" w:lineRule="auto" w:before="154"/>
        <w:ind w:left="219" w:right="218" w:firstLine="480"/>
        <w:jc w:val="both"/>
      </w:pPr>
      <w:r>
        <w:rPr>
          <w:spacing w:val="-4"/>
        </w:rPr>
        <w:t>本工程属市政基础设施项目，管道为地下铺设。项目主要污染集中在施工期，项目</w:t>
      </w:r>
      <w:r>
        <w:rPr>
          <w:spacing w:val="-9"/>
        </w:rPr>
        <w:t>建成后，污水管网工程运营后，除存在管网破裂的环境风险问题外，无“三废”及噪声产生，对环境无影响。</w:t>
      </w:r>
    </w:p>
    <w:p>
      <w:pPr>
        <w:pStyle w:val="Heading2"/>
        <w:spacing w:before="36"/>
        <w:ind w:left="700"/>
      </w:pPr>
      <w:r>
        <w:rPr>
          <w:rFonts w:ascii="Times New Roman" w:eastAsia="Times New Roman"/>
          <w:w w:val="95"/>
        </w:rPr>
        <w:t>1</w:t>
      </w:r>
      <w:r>
        <w:rPr>
          <w:w w:val="95"/>
        </w:rPr>
        <w:t>、环境正效益分析</w:t>
      </w:r>
    </w:p>
    <w:p>
      <w:pPr>
        <w:spacing w:after="0"/>
        <w:sectPr>
          <w:pgSz w:w="11910" w:h="16840"/>
          <w:pgMar w:header="0" w:footer="1186" w:top="1120" w:bottom="1440" w:left="1200" w:right="1200"/>
        </w:sectPr>
      </w:pPr>
    </w:p>
    <w:p>
      <w:pPr>
        <w:pStyle w:val="BodyText"/>
        <w:spacing w:line="357" w:lineRule="auto" w:before="45"/>
        <w:ind w:left="219" w:right="74" w:firstLine="480"/>
      </w:pPr>
      <w:r>
        <w:rPr/>
        <w:pict>
          <v:group style="position:absolute;margin-left:65.389999pt;margin-top:56.448982pt;width:464.6pt;height:703.5pt;mso-position-horizontal-relative:page;mso-position-vertical-relative:page;z-index:-83512" coordorigin="1308,1129" coordsize="9292,14070">
            <v:line style="position:absolute" from="1318,1139" to="10590,1139" stroked="true" strokeweight=".481pt" strokecolor="#000000">
              <v:stroke dashstyle="solid"/>
            </v:line>
            <v:line style="position:absolute" from="1313,1134" to="1313,15193" stroked="true" strokeweight=".48pt" strokecolor="#000000">
              <v:stroke dashstyle="solid"/>
            </v:line>
            <v:line style="position:absolute" from="1318,15188" to="10590,15188" stroked="true" strokeweight=".48pt" strokecolor="#000000">
              <v:stroke dashstyle="solid"/>
            </v:line>
            <v:line style="position:absolute" from="10595,1134" to="10595,15193" stroked="true" strokeweight=".481pt" strokecolor="#000000">
              <v:stroke dashstyle="solid"/>
            </v:line>
            <w10:wrap type="none"/>
          </v:group>
        </w:pict>
      </w:r>
      <w:r>
        <w:rPr>
          <w:spacing w:val="-3"/>
        </w:rPr>
        <w:t>城镇人口增多直接造成了污水量的增加，导致一部分污水无法进行收集处理，直接</w:t>
      </w:r>
      <w:r>
        <w:rPr>
          <w:spacing w:val="-16"/>
        </w:rPr>
        <w:t>排入了河道，对环境的污染较为严重。项目的建成将大大改善和提高片区的污水收集率， </w:t>
      </w:r>
      <w:r>
        <w:rPr>
          <w:spacing w:val="-20"/>
        </w:rPr>
        <w:t>带来很好的生态环境效果。因此，建设和完善城镇的雨水和污水干管，扩大污水收集量， </w:t>
      </w:r>
      <w:r>
        <w:rPr>
          <w:spacing w:val="-19"/>
        </w:rPr>
        <w:t>最终使得污水经收集后进行集中处理，本工程建设是实现可持续发展战略和跨越式发展的重要举措。</w:t>
      </w:r>
    </w:p>
    <w:p>
      <w:pPr>
        <w:pStyle w:val="BodyText"/>
        <w:spacing w:line="357" w:lineRule="auto" w:before="36"/>
        <w:ind w:left="219" w:right="152" w:firstLine="480"/>
      </w:pPr>
      <w:r>
        <w:rPr>
          <w:spacing w:val="-11"/>
        </w:rPr>
        <w:t>因此，本项目的实施不论从环境影响角度上分析，还是从提高片区群众的生活质量上讲都有正效益。</w:t>
      </w:r>
    </w:p>
    <w:p>
      <w:pPr>
        <w:pStyle w:val="Heading2"/>
        <w:spacing w:before="36"/>
        <w:ind w:left="701"/>
      </w:pPr>
      <w:r>
        <w:rPr>
          <w:rFonts w:ascii="Times New Roman" w:eastAsia="Times New Roman"/>
          <w:w w:val="95"/>
        </w:rPr>
        <w:t>2</w:t>
      </w:r>
      <w:r>
        <w:rPr>
          <w:w w:val="95"/>
        </w:rPr>
        <w:t>、总量控制</w:t>
      </w:r>
    </w:p>
    <w:p>
      <w:pPr>
        <w:pStyle w:val="BodyText"/>
        <w:ind w:left="699"/>
      </w:pPr>
      <w:r>
        <w:rPr/>
        <w:t>本项目属于非污染型生态项目，故不涉及总量控制指标。</w:t>
      </w:r>
    </w:p>
    <w:p>
      <w:pPr>
        <w:pStyle w:val="Heading2"/>
        <w:spacing w:before="153"/>
        <w:ind w:left="699"/>
      </w:pPr>
      <w:r>
        <w:rPr>
          <w:rFonts w:ascii="Times New Roman" w:eastAsia="Times New Roman"/>
        </w:rPr>
        <w:t>3</w:t>
      </w:r>
      <w:r>
        <w:rPr/>
        <w:t>、事故风险分析</w:t>
      </w:r>
    </w:p>
    <w:p>
      <w:pPr>
        <w:pStyle w:val="BodyText"/>
        <w:spacing w:line="357" w:lineRule="auto"/>
        <w:ind w:left="219" w:right="210" w:firstLine="480"/>
        <w:jc w:val="both"/>
      </w:pPr>
      <w:r>
        <w:rPr/>
        <w:t>本评价对于项目建设期间和运行期间发生的可预测突发性事件或事故引起的对人身安全与环境影响和损害，提出防范、应急与减缓措施。</w:t>
      </w:r>
    </w:p>
    <w:p>
      <w:pPr>
        <w:pStyle w:val="BodyText"/>
        <w:spacing w:before="36"/>
        <w:ind w:left="699"/>
      </w:pPr>
      <w:r>
        <w:rPr/>
        <w:t>1．风险因素识别 </w:t>
      </w:r>
    </w:p>
    <w:p>
      <w:pPr>
        <w:pStyle w:val="BodyText"/>
        <w:spacing w:line="357" w:lineRule="auto" w:before="154"/>
        <w:ind w:left="699" w:right="2591"/>
      </w:pPr>
      <w:r>
        <w:rPr/>
        <w:t>本项目的主要风险因子是在运营过程中发生的污水渗漏。一旦污水渗漏，将对地下水及地表水、土壤产生污染。 </w:t>
      </w:r>
    </w:p>
    <w:p>
      <w:pPr>
        <w:pStyle w:val="BodyText"/>
        <w:spacing w:before="36"/>
        <w:ind w:left="699"/>
      </w:pPr>
      <w:r>
        <w:rPr>
          <w:rFonts w:ascii="Times New Roman" w:eastAsia="Times New Roman"/>
        </w:rPr>
        <w:t>2</w:t>
      </w:r>
      <w:r>
        <w:rPr/>
        <w:t>．风险事故减缓措施</w:t>
      </w:r>
    </w:p>
    <w:p>
      <w:pPr>
        <w:pStyle w:val="BodyText"/>
        <w:spacing w:line="357" w:lineRule="auto"/>
        <w:ind w:left="219" w:right="210" w:firstLine="480"/>
        <w:jc w:val="both"/>
      </w:pPr>
      <w:r>
        <w:rPr/>
        <w:t>事故的防范措施是项目风险评价的重要内容。为防止事故的发生，评价提出以下防范措施：</w:t>
      </w:r>
    </w:p>
    <w:p>
      <w:pPr>
        <w:pStyle w:val="BodyText"/>
        <w:spacing w:line="357" w:lineRule="auto" w:before="36"/>
        <w:ind w:left="219" w:right="164" w:firstLine="480"/>
        <w:jc w:val="both"/>
      </w:pPr>
      <w:r>
        <w:rPr/>
        <w:t>①当地基地质水文条件不良时，应进行换土改良处治，以提高基槽底部的承载力。如果槽底土壤被扰动或受水浸泡，应先挖除松软土层后用碎石回填密实。地下水位以下开挖土方时，应采取有效措施做好抗槽底部排水降水工作，确保干槽开挖。</w:t>
      </w:r>
    </w:p>
    <w:p>
      <w:pPr>
        <w:pStyle w:val="BodyText"/>
        <w:spacing w:line="357" w:lineRule="auto" w:before="36"/>
        <w:ind w:left="219" w:right="218" w:firstLine="480"/>
        <w:jc w:val="both"/>
      </w:pPr>
      <w:r>
        <w:rPr>
          <w:spacing w:val="-4"/>
        </w:rPr>
        <w:t>②检查井砌筑砂浆要饱满，勾缝全面不遗漏，抹面前清洁和湿润表面，抹面时及时</w:t>
      </w:r>
      <w:r>
        <w:rPr>
          <w:spacing w:val="-8"/>
        </w:rPr>
        <w:t>压光收浆并养护；遇有地下水时，抹面和勾缝应随砌筑及时完成，不可在回填以后再进行内抹面或内勾缝。</w:t>
      </w:r>
    </w:p>
    <w:p>
      <w:pPr>
        <w:pStyle w:val="BodyText"/>
        <w:spacing w:line="357" w:lineRule="auto" w:before="36"/>
        <w:ind w:left="219" w:right="218" w:firstLine="480"/>
        <w:jc w:val="both"/>
      </w:pPr>
      <w:r>
        <w:rPr>
          <w:spacing w:val="-2"/>
        </w:rPr>
        <w:t>③与检查井连接的管外表面应先湿润且均匀刷一层水泥原浆，并座浆就位后再做好内外抹面，以防渗漏。</w:t>
      </w:r>
    </w:p>
    <w:p>
      <w:pPr>
        <w:pStyle w:val="BodyText"/>
        <w:spacing w:before="36"/>
        <w:ind w:left="699"/>
      </w:pPr>
      <w:r>
        <w:rPr/>
        <w:t>④定期对年代久远的老化管道进行更换、改造或维修。</w:t>
      </w:r>
    </w:p>
    <w:p>
      <w:pPr>
        <w:pStyle w:val="BodyText"/>
        <w:spacing w:line="357" w:lineRule="auto" w:before="153"/>
        <w:ind w:left="219" w:right="164" w:firstLine="480"/>
        <w:jc w:val="both"/>
      </w:pPr>
      <w:r>
        <w:rPr>
          <w:spacing w:val="-5"/>
        </w:rPr>
        <w:t>⑤加强员工的思想、道德教育，提高员工的责任心和主观能动性：完善并严格遵守</w:t>
      </w:r>
      <w:r>
        <w:rPr>
          <w:spacing w:val="-10"/>
        </w:rPr>
        <w:t>相关的操作规程，加强岗位培训，落实岗位责任制；加强设备管理，特别是对易产生泄漏的部位加强检查。建立事故预防、监测、检验、报警系统，采取技术、工艺、设备、</w:t>
      </w:r>
    </w:p>
    <w:p>
      <w:pPr>
        <w:spacing w:after="0" w:line="357" w:lineRule="auto"/>
        <w:jc w:val="both"/>
        <w:sectPr>
          <w:pgSz w:w="11910" w:h="16840"/>
          <w:pgMar w:header="0" w:footer="1186" w:top="1120" w:bottom="1440" w:left="1200" w:right="1200"/>
        </w:sectPr>
      </w:pPr>
    </w:p>
    <w:p>
      <w:pPr>
        <w:pStyle w:val="BodyText"/>
        <w:spacing w:line="357" w:lineRule="auto" w:before="45"/>
        <w:ind w:left="219" w:right="238"/>
        <w:jc w:val="both"/>
      </w:pPr>
      <w:r>
        <w:rPr/>
        <w:pict>
          <v:group style="position:absolute;margin-left:65.150002pt;margin-top:56.689484pt;width:465.1pt;height:697.55pt;mso-position-horizontal-relative:page;mso-position-vertical-relative:page;z-index:-83488" coordorigin="1303,1134" coordsize="9302,13951">
            <v:shape style="position:absolute;left:1308;top:1139;width:9292;height:2" coordorigin="1308,1139" coordsize="9292,0" path="m1308,1139l1318,1139m1308,1139l1318,1139m1318,1139l10590,1139m10590,1139l10600,1139m10590,1139l10600,1139e" filled="false" stroked="true" strokeweight=".481pt" strokecolor="#000000">
              <v:path arrowok="t"/>
              <v:stroke dashstyle="solid"/>
            </v:shape>
            <v:line style="position:absolute" from="1313,1144" to="1313,15079" stroked="true" strokeweight=".48pt" strokecolor="#000000">
              <v:stroke dashstyle="solid"/>
            </v:line>
            <v:shape style="position:absolute;left:1318;top:1144;width:9278;height:13936" coordorigin="1318,1144" coordsize="9278,13936" path="m1318,15074l10590,15074m10595,1144l10595,15079e" filled="false" stroked="true" strokeweight=".481pt" strokecolor="#000000">
              <v:path arrowok="t"/>
              <v:stroke dashstyle="solid"/>
            </v:shape>
            <w10:wrap type="none"/>
          </v:group>
        </w:pict>
      </w:r>
      <w:r>
        <w:rPr>
          <w:spacing w:val="-4"/>
        </w:rPr>
        <w:t>管理等综合预防措施，设置检测仪，当发生泄漏事故时能及时报警，使事故能够得到及</w:t>
      </w:r>
      <w:r>
        <w:rPr>
          <w:spacing w:val="-9"/>
        </w:rPr>
        <w:t>时处理。加强事故管理，在施工以及运营过程中注意对其它单位相关事故的研究，充分吸取经验和教训。</w:t>
      </w:r>
    </w:p>
    <w:p>
      <w:pPr>
        <w:pStyle w:val="BodyText"/>
        <w:spacing w:line="357" w:lineRule="auto" w:before="36"/>
        <w:ind w:left="219" w:right="411" w:firstLine="480"/>
        <w:rPr>
          <w:b/>
        </w:rPr>
      </w:pPr>
      <w:r>
        <w:rPr/>
        <w:t>在严格执行本评价及相关要求的前提下，本工程的环境风险处在可接受范围内。</w:t>
      </w:r>
      <w:r>
        <w:rPr>
          <w:b/>
          <w:w w:val="95"/>
        </w:rPr>
        <w:t>三、环保投资概算</w:t>
      </w:r>
    </w:p>
    <w:p>
      <w:pPr>
        <w:pStyle w:val="BodyText"/>
        <w:spacing w:line="338" w:lineRule="auto" w:before="36"/>
        <w:ind w:left="219" w:right="151" w:firstLine="480"/>
      </w:pPr>
      <w:r>
        <w:rPr/>
        <w:t>项目总投资总计 </w:t>
      </w:r>
      <w:r>
        <w:rPr>
          <w:rFonts w:ascii="Times New Roman" w:eastAsia="Times New Roman"/>
        </w:rPr>
        <w:t>150 </w:t>
      </w:r>
      <w:r>
        <w:rPr/>
        <w:t>万元，其中环保投资为 </w:t>
      </w:r>
      <w:r>
        <w:rPr>
          <w:rFonts w:ascii="Times New Roman" w:eastAsia="Times New Roman"/>
        </w:rPr>
        <w:t>41 </w:t>
      </w:r>
      <w:r>
        <w:rPr/>
        <w:t>万元，占总投资的 </w:t>
      </w:r>
      <w:r>
        <w:rPr>
          <w:rFonts w:ascii="Times New Roman" w:eastAsia="Times New Roman"/>
        </w:rPr>
        <w:t>27.3%</w:t>
      </w:r>
      <w:r>
        <w:rPr/>
        <w:t>，项目环保措施及投资见表 </w:t>
      </w:r>
      <w:r>
        <w:rPr>
          <w:rFonts w:ascii="Times New Roman" w:eastAsia="Times New Roman"/>
        </w:rPr>
        <w:t>7-1</w:t>
      </w:r>
      <w:r>
        <w:rPr/>
        <w:t>。</w:t>
      </w:r>
    </w:p>
    <w:p>
      <w:pPr>
        <w:pStyle w:val="Heading2"/>
        <w:tabs>
          <w:tab w:pos="2894" w:val="left" w:leader="none"/>
        </w:tabs>
        <w:spacing w:before="26"/>
        <w:ind w:left="2032"/>
      </w:pPr>
      <w:r>
        <w:rPr/>
        <w:t>表</w:t>
      </w:r>
      <w:r>
        <w:rPr>
          <w:spacing w:val="-61"/>
        </w:rPr>
        <w:t> </w:t>
      </w:r>
      <w:r>
        <w:rPr>
          <w:rFonts w:ascii="Times New Roman" w:hAnsi="Times New Roman" w:eastAsia="Times New Roman"/>
        </w:rPr>
        <w:t>7-2</w:t>
        <w:tab/>
      </w:r>
      <w:r>
        <w:rPr>
          <w:w w:val="95"/>
        </w:rPr>
        <w:t>环境保护投资和“三同时”验收项目一览表</w:t>
      </w:r>
    </w:p>
    <w:p>
      <w:pPr>
        <w:pStyle w:val="BodyText"/>
        <w:spacing w:before="3"/>
        <w:rPr>
          <w:b/>
          <w:sz w:val="7"/>
        </w:rPr>
      </w:pPr>
    </w:p>
    <w:tbl>
      <w:tblPr>
        <w:tblW w:w="0" w:type="auto"/>
        <w:jc w:val="left"/>
        <w:tblInd w:w="28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839"/>
        <w:gridCol w:w="1871"/>
        <w:gridCol w:w="898"/>
        <w:gridCol w:w="3263"/>
        <w:gridCol w:w="2046"/>
      </w:tblGrid>
      <w:tr>
        <w:trPr>
          <w:trHeight w:val="565" w:hRule="exact"/>
        </w:trPr>
        <w:tc>
          <w:tcPr>
            <w:tcW w:w="839" w:type="dxa"/>
            <w:tcBorders>
              <w:bottom w:val="single" w:sz="4" w:space="0" w:color="000000"/>
              <w:right w:val="single" w:sz="4" w:space="0" w:color="000000"/>
            </w:tcBorders>
          </w:tcPr>
          <w:p>
            <w:pPr>
              <w:pStyle w:val="TableParagraph"/>
              <w:spacing w:before="104"/>
              <w:ind w:left="194"/>
              <w:jc w:val="left"/>
              <w:rPr>
                <w:sz w:val="21"/>
              </w:rPr>
            </w:pPr>
            <w:r>
              <w:rPr>
                <w:sz w:val="21"/>
              </w:rPr>
              <w:t>项目</w:t>
            </w:r>
          </w:p>
        </w:tc>
        <w:tc>
          <w:tcPr>
            <w:tcW w:w="1871" w:type="dxa"/>
            <w:tcBorders>
              <w:left w:val="single" w:sz="4" w:space="0" w:color="000000"/>
              <w:bottom w:val="single" w:sz="4" w:space="0" w:color="000000"/>
              <w:right w:val="single" w:sz="4" w:space="0" w:color="000000"/>
            </w:tcBorders>
          </w:tcPr>
          <w:p>
            <w:pPr>
              <w:pStyle w:val="TableParagraph"/>
              <w:spacing w:before="104"/>
              <w:ind w:left="34" w:right="35"/>
              <w:rPr>
                <w:sz w:val="21"/>
              </w:rPr>
            </w:pPr>
            <w:r>
              <w:rPr>
                <w:sz w:val="21"/>
              </w:rPr>
              <w:t>措施类型</w:t>
            </w:r>
          </w:p>
        </w:tc>
        <w:tc>
          <w:tcPr>
            <w:tcW w:w="898" w:type="dxa"/>
            <w:tcBorders>
              <w:left w:val="single" w:sz="4" w:space="0" w:color="000000"/>
              <w:bottom w:val="single" w:sz="4" w:space="0" w:color="000000"/>
              <w:right w:val="single" w:sz="4" w:space="0" w:color="000000"/>
            </w:tcBorders>
          </w:tcPr>
          <w:p>
            <w:pPr>
              <w:pStyle w:val="TableParagraph"/>
              <w:spacing w:line="241" w:lineRule="exact"/>
              <w:ind w:left="233"/>
              <w:jc w:val="left"/>
              <w:rPr>
                <w:sz w:val="21"/>
              </w:rPr>
            </w:pPr>
            <w:r>
              <w:rPr>
                <w:sz w:val="21"/>
              </w:rPr>
              <w:t>投资</w:t>
            </w:r>
          </w:p>
          <w:p>
            <w:pPr>
              <w:pStyle w:val="TableParagraph"/>
              <w:spacing w:line="289" w:lineRule="exact"/>
              <w:ind w:left="163"/>
              <w:jc w:val="left"/>
              <w:rPr>
                <w:rFonts w:ascii="Times New Roman" w:eastAsia="Times New Roman"/>
                <w:sz w:val="21"/>
              </w:rPr>
            </w:pPr>
            <w:r>
              <w:rPr>
                <w:rFonts w:ascii="Times New Roman" w:eastAsia="Times New Roman"/>
                <w:sz w:val="21"/>
              </w:rPr>
              <w:t>(</w:t>
            </w:r>
            <w:r>
              <w:rPr>
                <w:sz w:val="21"/>
              </w:rPr>
              <w:t>万元</w:t>
            </w:r>
            <w:r>
              <w:rPr>
                <w:rFonts w:ascii="Times New Roman" w:eastAsia="Times New Roman"/>
                <w:sz w:val="21"/>
              </w:rPr>
              <w:t>)</w:t>
            </w:r>
          </w:p>
        </w:tc>
        <w:tc>
          <w:tcPr>
            <w:tcW w:w="3263" w:type="dxa"/>
            <w:tcBorders>
              <w:left w:val="single" w:sz="4" w:space="0" w:color="000000"/>
              <w:bottom w:val="single" w:sz="4" w:space="0" w:color="000000"/>
              <w:right w:val="single" w:sz="4" w:space="0" w:color="000000"/>
            </w:tcBorders>
          </w:tcPr>
          <w:p>
            <w:pPr>
              <w:pStyle w:val="TableParagraph"/>
              <w:spacing w:before="104"/>
              <w:ind w:left="451" w:right="451"/>
              <w:rPr>
                <w:sz w:val="21"/>
              </w:rPr>
            </w:pPr>
            <w:r>
              <w:rPr>
                <w:sz w:val="21"/>
              </w:rPr>
              <w:t>“三同时”验收项目</w:t>
            </w:r>
          </w:p>
        </w:tc>
        <w:tc>
          <w:tcPr>
            <w:tcW w:w="2046" w:type="dxa"/>
            <w:tcBorders>
              <w:left w:val="single" w:sz="4" w:space="0" w:color="000000"/>
              <w:bottom w:val="single" w:sz="4" w:space="0" w:color="000000"/>
            </w:tcBorders>
          </w:tcPr>
          <w:p>
            <w:pPr>
              <w:pStyle w:val="TableParagraph"/>
              <w:spacing w:before="104"/>
              <w:ind w:left="10"/>
              <w:rPr>
                <w:sz w:val="21"/>
              </w:rPr>
            </w:pPr>
            <w:r>
              <w:rPr>
                <w:sz w:val="21"/>
              </w:rPr>
              <w:t>治理效果</w:t>
            </w:r>
          </w:p>
        </w:tc>
      </w:tr>
      <w:tr>
        <w:trPr>
          <w:trHeight w:val="827" w:hRule="exact"/>
        </w:trPr>
        <w:tc>
          <w:tcPr>
            <w:tcW w:w="839" w:type="dxa"/>
            <w:tcBorders>
              <w:top w:val="single" w:sz="4" w:space="0" w:color="000000"/>
              <w:bottom w:val="single" w:sz="4" w:space="0" w:color="000000"/>
              <w:right w:val="single" w:sz="4" w:space="0" w:color="000000"/>
            </w:tcBorders>
          </w:tcPr>
          <w:p>
            <w:pPr>
              <w:pStyle w:val="TableParagraph"/>
              <w:spacing w:line="240" w:lineRule="exact"/>
              <w:ind w:left="194"/>
              <w:jc w:val="left"/>
              <w:rPr>
                <w:sz w:val="21"/>
              </w:rPr>
            </w:pPr>
            <w:r>
              <w:rPr>
                <w:sz w:val="21"/>
              </w:rPr>
              <w:t>水土</w:t>
            </w:r>
          </w:p>
          <w:p>
            <w:pPr>
              <w:pStyle w:val="TableParagraph"/>
              <w:spacing w:line="272" w:lineRule="exact" w:before="26"/>
              <w:ind w:left="194" w:right="185"/>
              <w:jc w:val="left"/>
              <w:rPr>
                <w:sz w:val="21"/>
              </w:rPr>
            </w:pPr>
            <w:r>
              <w:rPr>
                <w:sz w:val="21"/>
              </w:rPr>
              <w:t>保持措施</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b/>
                <w:sz w:val="18"/>
              </w:rPr>
            </w:pPr>
          </w:p>
          <w:p>
            <w:pPr>
              <w:pStyle w:val="TableParagraph"/>
              <w:ind w:left="34" w:right="35"/>
              <w:rPr>
                <w:sz w:val="21"/>
              </w:rPr>
            </w:pPr>
            <w:r>
              <w:rPr>
                <w:sz w:val="21"/>
              </w:rPr>
              <w:t>主体工程</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2"/>
              <w:jc w:val="left"/>
              <w:rPr>
                <w:b/>
                <w:sz w:val="21"/>
              </w:rPr>
            </w:pPr>
          </w:p>
          <w:p>
            <w:pPr>
              <w:pStyle w:val="TableParagraph"/>
              <w:ind w:right="336"/>
              <w:jc w:val="right"/>
              <w:rPr>
                <w:rFonts w:ascii="Times New Roman"/>
                <w:sz w:val="21"/>
              </w:rPr>
            </w:pPr>
            <w:r>
              <w:rPr>
                <w:rFonts w:ascii="Times New Roman"/>
                <w:sz w:val="21"/>
              </w:rPr>
              <w:t>10</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03" w:right="-1"/>
              <w:jc w:val="left"/>
              <w:rPr>
                <w:sz w:val="21"/>
              </w:rPr>
            </w:pPr>
            <w:r>
              <w:rPr>
                <w:sz w:val="21"/>
              </w:rPr>
              <w:t>开挖过程中边坡设置挡墙、护坡、</w:t>
            </w:r>
          </w:p>
          <w:p>
            <w:pPr>
              <w:pStyle w:val="TableParagraph"/>
              <w:spacing w:line="272" w:lineRule="exact" w:before="26"/>
              <w:ind w:left="1311" w:right="-1" w:hanging="1209"/>
              <w:jc w:val="left"/>
              <w:rPr>
                <w:sz w:val="21"/>
              </w:rPr>
            </w:pPr>
            <w:r>
              <w:rPr>
                <w:spacing w:val="-11"/>
                <w:sz w:val="21"/>
              </w:rPr>
              <w:t>排水沟，种植绿色植物进行生态恢复等。</w:t>
            </w:r>
          </w:p>
        </w:tc>
        <w:tc>
          <w:tcPr>
            <w:tcW w:w="2046" w:type="dxa"/>
            <w:tcBorders>
              <w:top w:val="single" w:sz="4" w:space="0" w:color="000000"/>
              <w:left w:val="single" w:sz="4" w:space="0" w:color="000000"/>
              <w:bottom w:val="single" w:sz="4" w:space="0" w:color="000000"/>
            </w:tcBorders>
          </w:tcPr>
          <w:p>
            <w:pPr>
              <w:pStyle w:val="TableParagraph"/>
              <w:spacing w:before="12"/>
              <w:jc w:val="left"/>
              <w:rPr>
                <w:b/>
                <w:sz w:val="21"/>
              </w:rPr>
            </w:pPr>
          </w:p>
          <w:p>
            <w:pPr>
              <w:pStyle w:val="TableParagraph"/>
              <w:ind w:left="9"/>
              <w:rPr>
                <w:rFonts w:ascii="Times New Roman"/>
                <w:sz w:val="21"/>
              </w:rPr>
            </w:pPr>
            <w:r>
              <w:rPr>
                <w:rFonts w:ascii="Times New Roman"/>
                <w:sz w:val="21"/>
              </w:rPr>
              <w:t>/</w:t>
            </w:r>
          </w:p>
        </w:tc>
      </w:tr>
      <w:tr>
        <w:trPr>
          <w:trHeight w:val="684" w:hRule="exact"/>
        </w:trPr>
        <w:tc>
          <w:tcPr>
            <w:tcW w:w="839" w:type="dxa"/>
            <w:vMerge w:val="restart"/>
            <w:tcBorders>
              <w:top w:val="single" w:sz="4" w:space="0" w:color="000000"/>
              <w:right w:val="single" w:sz="4" w:space="0" w:color="000000"/>
            </w:tcBorders>
          </w:tcPr>
          <w:p>
            <w:pPr>
              <w:pStyle w:val="TableParagraph"/>
              <w:spacing w:before="9"/>
              <w:jc w:val="left"/>
              <w:rPr>
                <w:b/>
                <w:sz w:val="25"/>
              </w:rPr>
            </w:pPr>
          </w:p>
          <w:p>
            <w:pPr>
              <w:pStyle w:val="TableParagraph"/>
              <w:spacing w:line="272" w:lineRule="exact"/>
              <w:ind w:left="194" w:right="203"/>
              <w:jc w:val="both"/>
              <w:rPr>
                <w:sz w:val="21"/>
              </w:rPr>
            </w:pPr>
            <w:r>
              <w:rPr>
                <w:sz w:val="21"/>
              </w:rPr>
              <w:t>空气保护措施</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59"/>
              <w:ind w:left="825" w:right="176" w:hanging="630"/>
              <w:jc w:val="left"/>
              <w:rPr>
                <w:sz w:val="21"/>
              </w:rPr>
            </w:pPr>
            <w:r>
              <w:rPr>
                <w:sz w:val="21"/>
              </w:rPr>
              <w:t>施工车辆篷布覆盖</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7"/>
              <w:jc w:val="left"/>
              <w:rPr>
                <w:b/>
                <w:sz w:val="16"/>
              </w:rPr>
            </w:pPr>
          </w:p>
          <w:p>
            <w:pPr>
              <w:pStyle w:val="TableParagraph"/>
              <w:ind w:right="389"/>
              <w:jc w:val="right"/>
              <w:rPr>
                <w:rFonts w:ascii="Times New Roman"/>
                <w:sz w:val="21"/>
              </w:rPr>
            </w:pPr>
            <w:r>
              <w:rPr>
                <w:rFonts w:ascii="Times New Roman"/>
                <w:sz w:val="21"/>
              </w:rPr>
              <w:t>5</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59"/>
              <w:ind w:left="261" w:right="138" w:hanging="106"/>
              <w:jc w:val="left"/>
              <w:rPr>
                <w:sz w:val="21"/>
              </w:rPr>
            </w:pPr>
            <w:r>
              <w:rPr>
                <w:sz w:val="21"/>
              </w:rPr>
              <w:t>用于施工期间物料运输车辆的覆盖，防止物料散落和灰尘飘散</w:t>
            </w:r>
          </w:p>
        </w:tc>
        <w:tc>
          <w:tcPr>
            <w:tcW w:w="2046" w:type="dxa"/>
            <w:vMerge w:val="restart"/>
            <w:tcBorders>
              <w:top w:val="single" w:sz="4" w:space="0" w:color="000000"/>
              <w:left w:val="single" w:sz="4" w:space="0" w:color="000000"/>
            </w:tcBorders>
          </w:tcPr>
          <w:p>
            <w:pPr>
              <w:pStyle w:val="TableParagraph"/>
              <w:spacing w:line="272" w:lineRule="exact" w:before="64"/>
              <w:ind w:left="13"/>
              <w:rPr>
                <w:sz w:val="21"/>
              </w:rPr>
            </w:pPr>
            <w:r>
              <w:rPr>
                <w:sz w:val="21"/>
              </w:rPr>
              <w:t>达到《大气污染物综合排放标准》</w:t>
            </w:r>
          </w:p>
          <w:p>
            <w:pPr>
              <w:pStyle w:val="TableParagraph"/>
              <w:spacing w:line="254" w:lineRule="exact"/>
              <w:ind w:left="156"/>
              <w:jc w:val="left"/>
              <w:rPr>
                <w:sz w:val="21"/>
              </w:rPr>
            </w:pPr>
            <w:r>
              <w:rPr>
                <w:sz w:val="21"/>
              </w:rPr>
              <w:t>（</w:t>
            </w:r>
            <w:r>
              <w:rPr>
                <w:rFonts w:ascii="Times New Roman" w:eastAsia="Times New Roman"/>
                <w:sz w:val="21"/>
              </w:rPr>
              <w:t>GB16297-1996</w:t>
            </w:r>
            <w:r>
              <w:rPr>
                <w:sz w:val="21"/>
              </w:rPr>
              <w:t>）</w:t>
            </w:r>
          </w:p>
          <w:p>
            <w:pPr>
              <w:pStyle w:val="TableParagraph"/>
              <w:spacing w:line="272" w:lineRule="exact" w:before="19"/>
              <w:ind w:left="115" w:right="102"/>
              <w:rPr>
                <w:sz w:val="21"/>
              </w:rPr>
            </w:pPr>
            <w:r>
              <w:rPr>
                <w:sz w:val="21"/>
              </w:rPr>
              <w:t>中大气污染物排放标准表 </w:t>
            </w:r>
            <w:r>
              <w:rPr>
                <w:rFonts w:ascii="Times New Roman" w:eastAsia="Times New Roman"/>
                <w:sz w:val="21"/>
              </w:rPr>
              <w:t>2 </w:t>
            </w:r>
            <w:r>
              <w:rPr>
                <w:sz w:val="21"/>
              </w:rPr>
              <w:t>二级标准</w:t>
            </w:r>
          </w:p>
        </w:tc>
      </w:tr>
      <w:tr>
        <w:trPr>
          <w:trHeight w:val="828" w:hRule="exact"/>
        </w:trPr>
        <w:tc>
          <w:tcPr>
            <w:tcW w:w="839" w:type="dxa"/>
            <w:vMerge/>
            <w:tcBorders>
              <w:bottom w:val="single" w:sz="4" w:space="0" w:color="000000"/>
              <w:right w:val="single" w:sz="4" w:space="0" w:color="000000"/>
            </w:tcBorders>
          </w:tcPr>
          <w:p>
            <w:pP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before="3"/>
              <w:jc w:val="left"/>
              <w:rPr>
                <w:b/>
                <w:sz w:val="18"/>
              </w:rPr>
            </w:pPr>
          </w:p>
          <w:p>
            <w:pPr>
              <w:pStyle w:val="TableParagraph"/>
              <w:spacing w:before="1"/>
              <w:ind w:left="60" w:right="35"/>
              <w:rPr>
                <w:sz w:val="21"/>
              </w:rPr>
            </w:pPr>
            <w:r>
              <w:rPr>
                <w:sz w:val="21"/>
              </w:rPr>
              <w:t>洒水车辆（租用）</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jc w:val="left"/>
              <w:rPr>
                <w:b/>
                <w:sz w:val="22"/>
              </w:rPr>
            </w:pPr>
          </w:p>
          <w:p>
            <w:pPr>
              <w:pStyle w:val="TableParagraph"/>
              <w:spacing w:before="1"/>
              <w:ind w:right="389"/>
              <w:jc w:val="right"/>
              <w:rPr>
                <w:rFonts w:ascii="Times New Roman"/>
                <w:sz w:val="21"/>
              </w:rPr>
            </w:pPr>
            <w:r>
              <w:rPr>
                <w:rFonts w:ascii="Times New Roman"/>
                <w:sz w:val="21"/>
              </w:rPr>
              <w:t>7</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line="241" w:lineRule="exact"/>
              <w:ind w:left="103" w:firstLine="52"/>
              <w:jc w:val="left"/>
              <w:rPr>
                <w:sz w:val="21"/>
              </w:rPr>
            </w:pPr>
            <w:r>
              <w:rPr>
                <w:sz w:val="21"/>
              </w:rPr>
              <w:t>用于施工期间在洒水降尘方面的</w:t>
            </w:r>
          </w:p>
          <w:p>
            <w:pPr>
              <w:pStyle w:val="TableParagraph"/>
              <w:spacing w:line="272" w:lineRule="exact" w:before="26"/>
              <w:ind w:left="1521" w:right="-1" w:hanging="1419"/>
              <w:jc w:val="left"/>
              <w:rPr>
                <w:sz w:val="21"/>
              </w:rPr>
            </w:pPr>
            <w:r>
              <w:rPr>
                <w:spacing w:val="-11"/>
                <w:sz w:val="21"/>
              </w:rPr>
              <w:t>投资，包括日常建议洒水车辆的费用</w:t>
            </w:r>
          </w:p>
        </w:tc>
        <w:tc>
          <w:tcPr>
            <w:tcW w:w="2046" w:type="dxa"/>
            <w:vMerge/>
            <w:tcBorders>
              <w:left w:val="single" w:sz="4" w:space="0" w:color="000000"/>
              <w:bottom w:val="single" w:sz="4" w:space="0" w:color="000000"/>
            </w:tcBorders>
          </w:tcPr>
          <w:p>
            <w:pPr/>
          </w:p>
        </w:tc>
      </w:tr>
      <w:tr>
        <w:trPr>
          <w:trHeight w:val="828" w:hRule="exact"/>
        </w:trPr>
        <w:tc>
          <w:tcPr>
            <w:tcW w:w="839" w:type="dxa"/>
            <w:vMerge w:val="restart"/>
            <w:tcBorders>
              <w:top w:val="single" w:sz="4" w:space="0" w:color="000000"/>
              <w:right w:val="single" w:sz="4" w:space="0" w:color="000000"/>
            </w:tcBorders>
          </w:tcPr>
          <w:p>
            <w:pPr>
              <w:pStyle w:val="TableParagraph"/>
              <w:spacing w:before="10"/>
              <w:jc w:val="left"/>
              <w:rPr>
                <w:b/>
                <w:sz w:val="20"/>
              </w:rPr>
            </w:pPr>
          </w:p>
          <w:p>
            <w:pPr>
              <w:pStyle w:val="TableParagraph"/>
              <w:spacing w:line="272" w:lineRule="exact"/>
              <w:ind w:left="194" w:right="203"/>
              <w:jc w:val="both"/>
              <w:rPr>
                <w:sz w:val="21"/>
              </w:rPr>
            </w:pPr>
            <w:r>
              <w:rPr>
                <w:sz w:val="21"/>
              </w:rPr>
              <w:t>水环境保护措施</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b/>
                <w:sz w:val="18"/>
              </w:rPr>
            </w:pPr>
          </w:p>
          <w:p>
            <w:pPr>
              <w:pStyle w:val="TableParagraph"/>
              <w:ind w:left="35" w:right="35"/>
              <w:rPr>
                <w:sz w:val="21"/>
              </w:rPr>
            </w:pPr>
            <w:r>
              <w:rPr>
                <w:sz w:val="21"/>
              </w:rPr>
              <w:t>沉淀池</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2"/>
              <w:jc w:val="left"/>
              <w:rPr>
                <w:b/>
                <w:sz w:val="21"/>
              </w:rPr>
            </w:pPr>
          </w:p>
          <w:p>
            <w:pPr>
              <w:pStyle w:val="TableParagraph"/>
              <w:ind w:right="389"/>
              <w:jc w:val="right"/>
              <w:rPr>
                <w:rFonts w:ascii="Times New Roman"/>
                <w:sz w:val="21"/>
              </w:rPr>
            </w:pPr>
            <w:r>
              <w:rPr>
                <w:rFonts w:ascii="Times New Roman"/>
                <w:sz w:val="21"/>
              </w:rPr>
              <w:t>3</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b/>
                <w:sz w:val="18"/>
              </w:rPr>
            </w:pPr>
          </w:p>
          <w:p>
            <w:pPr>
              <w:pStyle w:val="TableParagraph"/>
              <w:ind w:left="451" w:right="451"/>
              <w:rPr>
                <w:sz w:val="21"/>
              </w:rPr>
            </w:pPr>
            <w:r>
              <w:rPr>
                <w:sz w:val="21"/>
              </w:rPr>
              <w:t>用于修建施工废水沉淀池</w:t>
            </w:r>
          </w:p>
        </w:tc>
        <w:tc>
          <w:tcPr>
            <w:tcW w:w="2046" w:type="dxa"/>
            <w:tcBorders>
              <w:top w:val="single" w:sz="4" w:space="0" w:color="000000"/>
              <w:left w:val="single" w:sz="4" w:space="0" w:color="000000"/>
              <w:bottom w:val="single" w:sz="4" w:space="0" w:color="000000"/>
            </w:tcBorders>
          </w:tcPr>
          <w:p>
            <w:pPr>
              <w:pStyle w:val="TableParagraph"/>
              <w:spacing w:before="2"/>
              <w:jc w:val="left"/>
              <w:rPr>
                <w:b/>
                <w:sz w:val="18"/>
              </w:rPr>
            </w:pPr>
          </w:p>
          <w:p>
            <w:pPr>
              <w:pStyle w:val="TableParagraph"/>
              <w:ind w:left="10"/>
              <w:rPr>
                <w:sz w:val="21"/>
              </w:rPr>
            </w:pPr>
            <w:r>
              <w:rPr>
                <w:sz w:val="21"/>
              </w:rPr>
              <w:t>回用工地</w:t>
            </w:r>
          </w:p>
        </w:tc>
      </w:tr>
      <w:tr>
        <w:trPr>
          <w:trHeight w:val="828" w:hRule="exact"/>
        </w:trPr>
        <w:tc>
          <w:tcPr>
            <w:tcW w:w="839" w:type="dxa"/>
            <w:vMerge/>
            <w:tcBorders>
              <w:bottom w:val="single" w:sz="4" w:space="0" w:color="000000"/>
              <w:right w:val="single" w:sz="4" w:space="0" w:color="000000"/>
            </w:tcBorders>
          </w:tcPr>
          <w:p>
            <w:pP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130"/>
              <w:ind w:left="825" w:right="176" w:hanging="630"/>
              <w:jc w:val="left"/>
              <w:rPr>
                <w:sz w:val="21"/>
              </w:rPr>
            </w:pPr>
            <w:r>
              <w:rPr>
                <w:sz w:val="21"/>
              </w:rPr>
              <w:t>污水管道闭水试验</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2"/>
              <w:jc w:val="left"/>
              <w:rPr>
                <w:b/>
                <w:sz w:val="21"/>
              </w:rPr>
            </w:pPr>
          </w:p>
          <w:p>
            <w:pPr>
              <w:pStyle w:val="TableParagraph"/>
              <w:spacing w:before="1"/>
              <w:ind w:right="389"/>
              <w:jc w:val="right"/>
              <w:rPr>
                <w:rFonts w:ascii="Times New Roman"/>
                <w:sz w:val="21"/>
              </w:rPr>
            </w:pPr>
            <w:r>
              <w:rPr>
                <w:rFonts w:ascii="Times New Roman"/>
                <w:sz w:val="21"/>
              </w:rPr>
              <w:t>2</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b/>
                <w:sz w:val="18"/>
              </w:rPr>
            </w:pPr>
          </w:p>
          <w:p>
            <w:pPr>
              <w:pStyle w:val="TableParagraph"/>
              <w:spacing w:before="1"/>
              <w:ind w:left="450" w:right="451"/>
              <w:rPr>
                <w:sz w:val="21"/>
              </w:rPr>
            </w:pPr>
            <w:r>
              <w:rPr>
                <w:sz w:val="21"/>
              </w:rPr>
              <w:t>闭水试验废水回收</w:t>
            </w:r>
          </w:p>
        </w:tc>
        <w:tc>
          <w:tcPr>
            <w:tcW w:w="2046" w:type="dxa"/>
            <w:tcBorders>
              <w:top w:val="single" w:sz="4" w:space="0" w:color="000000"/>
              <w:left w:val="single" w:sz="4" w:space="0" w:color="000000"/>
              <w:bottom w:val="single" w:sz="4" w:space="0" w:color="000000"/>
            </w:tcBorders>
          </w:tcPr>
          <w:p>
            <w:pPr>
              <w:pStyle w:val="TableParagraph"/>
              <w:spacing w:before="2"/>
              <w:jc w:val="left"/>
              <w:rPr>
                <w:b/>
                <w:sz w:val="18"/>
              </w:rPr>
            </w:pPr>
          </w:p>
          <w:p>
            <w:pPr>
              <w:pStyle w:val="TableParagraph"/>
              <w:spacing w:before="1"/>
              <w:ind w:left="10"/>
              <w:rPr>
                <w:sz w:val="21"/>
              </w:rPr>
            </w:pPr>
            <w:r>
              <w:rPr>
                <w:sz w:val="21"/>
              </w:rPr>
              <w:t>回用工地</w:t>
            </w:r>
          </w:p>
        </w:tc>
      </w:tr>
      <w:tr>
        <w:trPr>
          <w:trHeight w:val="827" w:hRule="exact"/>
        </w:trPr>
        <w:tc>
          <w:tcPr>
            <w:tcW w:w="839" w:type="dxa"/>
            <w:tcBorders>
              <w:top w:val="single" w:sz="4" w:space="0" w:color="000000"/>
              <w:bottom w:val="single" w:sz="4" w:space="0" w:color="000000"/>
              <w:right w:val="single" w:sz="4" w:space="0" w:color="000000"/>
            </w:tcBorders>
          </w:tcPr>
          <w:p>
            <w:pPr>
              <w:pStyle w:val="TableParagraph"/>
              <w:spacing w:line="240" w:lineRule="exact"/>
              <w:ind w:left="194"/>
              <w:jc w:val="left"/>
              <w:rPr>
                <w:sz w:val="21"/>
              </w:rPr>
            </w:pPr>
            <w:r>
              <w:rPr>
                <w:sz w:val="21"/>
              </w:rPr>
              <w:t>固废</w:t>
            </w:r>
          </w:p>
          <w:p>
            <w:pPr>
              <w:pStyle w:val="TableParagraph"/>
              <w:spacing w:line="272" w:lineRule="exact" w:before="26"/>
              <w:ind w:left="194" w:right="185"/>
              <w:jc w:val="left"/>
              <w:rPr>
                <w:sz w:val="21"/>
              </w:rPr>
            </w:pPr>
            <w:r>
              <w:rPr>
                <w:sz w:val="21"/>
              </w:rPr>
              <w:t>处理措施</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129"/>
              <w:ind w:left="615" w:right="176" w:hanging="420"/>
              <w:jc w:val="left"/>
              <w:rPr>
                <w:sz w:val="21"/>
              </w:rPr>
            </w:pPr>
            <w:r>
              <w:rPr>
                <w:sz w:val="21"/>
              </w:rPr>
              <w:t>生活垃圾及弃土及清运</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2"/>
              <w:jc w:val="left"/>
              <w:rPr>
                <w:b/>
                <w:sz w:val="21"/>
              </w:rPr>
            </w:pPr>
          </w:p>
          <w:p>
            <w:pPr>
              <w:pStyle w:val="TableParagraph"/>
              <w:ind w:right="389"/>
              <w:jc w:val="right"/>
              <w:rPr>
                <w:rFonts w:ascii="Times New Roman"/>
                <w:sz w:val="21"/>
              </w:rPr>
            </w:pPr>
            <w:r>
              <w:rPr>
                <w:rFonts w:ascii="Times New Roman"/>
                <w:sz w:val="21"/>
              </w:rPr>
              <w:t>3</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129"/>
              <w:ind w:left="1311" w:right="138" w:hanging="1156"/>
              <w:jc w:val="left"/>
              <w:rPr>
                <w:sz w:val="21"/>
              </w:rPr>
            </w:pPr>
            <w:r>
              <w:rPr>
                <w:sz w:val="21"/>
              </w:rPr>
              <w:t>对施工期生活垃圾及建筑垃圾定时清运</w:t>
            </w:r>
          </w:p>
        </w:tc>
        <w:tc>
          <w:tcPr>
            <w:tcW w:w="2046" w:type="dxa"/>
            <w:tcBorders>
              <w:top w:val="single" w:sz="4" w:space="0" w:color="000000"/>
              <w:left w:val="single" w:sz="4" w:space="0" w:color="000000"/>
              <w:bottom w:val="single" w:sz="4" w:space="0" w:color="000000"/>
            </w:tcBorders>
          </w:tcPr>
          <w:p>
            <w:pPr>
              <w:pStyle w:val="TableParagraph"/>
              <w:spacing w:before="2"/>
              <w:jc w:val="left"/>
              <w:rPr>
                <w:b/>
                <w:sz w:val="18"/>
              </w:rPr>
            </w:pPr>
          </w:p>
          <w:p>
            <w:pPr>
              <w:pStyle w:val="TableParagraph"/>
              <w:ind w:left="9"/>
              <w:rPr>
                <w:sz w:val="21"/>
              </w:rPr>
            </w:pPr>
            <w:r>
              <w:rPr>
                <w:sz w:val="21"/>
              </w:rPr>
              <w:t>无害化</w:t>
            </w:r>
          </w:p>
        </w:tc>
      </w:tr>
      <w:tr>
        <w:trPr>
          <w:trHeight w:val="1099" w:hRule="exact"/>
        </w:trPr>
        <w:tc>
          <w:tcPr>
            <w:tcW w:w="839" w:type="dxa"/>
            <w:tcBorders>
              <w:top w:val="single" w:sz="4" w:space="0" w:color="000000"/>
              <w:bottom w:val="single" w:sz="4" w:space="0" w:color="000000"/>
              <w:right w:val="single" w:sz="4" w:space="0" w:color="000000"/>
            </w:tcBorders>
          </w:tcPr>
          <w:p>
            <w:pPr>
              <w:pStyle w:val="TableParagraph"/>
              <w:spacing w:line="237" w:lineRule="auto" w:before="105"/>
              <w:ind w:left="194" w:right="203"/>
              <w:jc w:val="both"/>
              <w:rPr>
                <w:sz w:val="21"/>
              </w:rPr>
            </w:pPr>
            <w:r>
              <w:rPr>
                <w:sz w:val="21"/>
              </w:rPr>
              <w:t>噪声处理措施</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before="7"/>
              <w:jc w:val="left"/>
              <w:rPr>
                <w:b/>
                <w:sz w:val="28"/>
              </w:rPr>
            </w:pPr>
          </w:p>
          <w:p>
            <w:pPr>
              <w:pStyle w:val="TableParagraph"/>
              <w:ind w:left="35" w:right="35"/>
              <w:rPr>
                <w:sz w:val="21"/>
              </w:rPr>
            </w:pPr>
            <w:r>
              <w:rPr>
                <w:sz w:val="21"/>
              </w:rPr>
              <w:t>施工机械、设备</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4"/>
              <w:jc w:val="left"/>
              <w:rPr>
                <w:b/>
                <w:sz w:val="32"/>
              </w:rPr>
            </w:pPr>
          </w:p>
          <w:p>
            <w:pPr>
              <w:pStyle w:val="TableParagraph"/>
              <w:ind w:right="389"/>
              <w:jc w:val="right"/>
              <w:rPr>
                <w:rFonts w:ascii="Times New Roman"/>
                <w:sz w:val="21"/>
              </w:rPr>
            </w:pPr>
            <w:r>
              <w:rPr>
                <w:rFonts w:ascii="Times New Roman"/>
                <w:sz w:val="21"/>
              </w:rPr>
              <w:t>5</w:t>
            </w:r>
          </w:p>
        </w:tc>
        <w:tc>
          <w:tcPr>
            <w:tcW w:w="3263" w:type="dxa"/>
            <w:tcBorders>
              <w:top w:val="single" w:sz="4" w:space="0" w:color="000000"/>
              <w:left w:val="single" w:sz="4" w:space="0" w:color="000000"/>
              <w:bottom w:val="single" w:sz="4" w:space="0" w:color="000000"/>
              <w:right w:val="single" w:sz="4" w:space="0" w:color="000000"/>
            </w:tcBorders>
          </w:tcPr>
          <w:p>
            <w:pPr>
              <w:pStyle w:val="TableParagraph"/>
              <w:spacing w:before="4"/>
              <w:jc w:val="left"/>
              <w:rPr>
                <w:b/>
                <w:sz w:val="20"/>
              </w:rPr>
            </w:pPr>
          </w:p>
          <w:p>
            <w:pPr>
              <w:pStyle w:val="TableParagraph"/>
              <w:spacing w:line="272" w:lineRule="exact"/>
              <w:ind w:left="996" w:right="-1" w:hanging="893"/>
              <w:jc w:val="left"/>
              <w:rPr>
                <w:sz w:val="21"/>
              </w:rPr>
            </w:pPr>
            <w:r>
              <w:rPr>
                <w:spacing w:val="-10"/>
                <w:sz w:val="21"/>
              </w:rPr>
              <w:t>使用低噪声设备，合理安排高噪声设备作业时段</w:t>
            </w:r>
          </w:p>
        </w:tc>
        <w:tc>
          <w:tcPr>
            <w:tcW w:w="2046" w:type="dxa"/>
            <w:tcBorders>
              <w:top w:val="single" w:sz="4" w:space="0" w:color="000000"/>
              <w:left w:val="single" w:sz="4" w:space="0" w:color="000000"/>
              <w:bottom w:val="single" w:sz="4" w:space="0" w:color="000000"/>
            </w:tcBorders>
          </w:tcPr>
          <w:p>
            <w:pPr>
              <w:pStyle w:val="TableParagraph"/>
              <w:spacing w:line="240" w:lineRule="exact"/>
              <w:ind w:left="10"/>
              <w:rPr>
                <w:sz w:val="21"/>
              </w:rPr>
            </w:pPr>
            <w:r>
              <w:rPr>
                <w:sz w:val="21"/>
              </w:rPr>
              <w:t>达到《建筑施工场界</w:t>
            </w:r>
          </w:p>
          <w:p>
            <w:pPr>
              <w:pStyle w:val="TableParagraph"/>
              <w:spacing w:line="272" w:lineRule="exact"/>
              <w:ind w:left="115"/>
              <w:rPr>
                <w:sz w:val="21"/>
              </w:rPr>
            </w:pPr>
            <w:r>
              <w:rPr>
                <w:sz w:val="21"/>
              </w:rPr>
              <w:t>环境噪声排放标准》</w:t>
            </w:r>
          </w:p>
          <w:p>
            <w:pPr>
              <w:pStyle w:val="TableParagraph"/>
              <w:spacing w:line="280" w:lineRule="exact"/>
              <w:ind w:left="12"/>
              <w:rPr>
                <w:sz w:val="21"/>
              </w:rPr>
            </w:pPr>
            <w:r>
              <w:rPr>
                <w:sz w:val="21"/>
              </w:rPr>
              <w:t>（</w:t>
            </w:r>
            <w:r>
              <w:rPr>
                <w:rFonts w:ascii="Times New Roman" w:eastAsia="Times New Roman"/>
                <w:spacing w:val="-1"/>
                <w:w w:val="99"/>
                <w:sz w:val="21"/>
              </w:rPr>
              <w:t>G</w:t>
            </w:r>
            <w:r>
              <w:rPr>
                <w:rFonts w:ascii="Times New Roman" w:eastAsia="Times New Roman"/>
                <w:sz w:val="21"/>
              </w:rPr>
              <w:t>B12</w:t>
            </w:r>
            <w:r>
              <w:rPr>
                <w:rFonts w:ascii="Times New Roman" w:eastAsia="Times New Roman"/>
                <w:spacing w:val="-1"/>
                <w:sz w:val="21"/>
              </w:rPr>
              <w:t>5</w:t>
            </w:r>
            <w:r>
              <w:rPr>
                <w:rFonts w:ascii="Times New Roman" w:eastAsia="Times New Roman"/>
                <w:sz w:val="21"/>
              </w:rPr>
              <w:t>23</w:t>
            </w:r>
            <w:r>
              <w:rPr>
                <w:rFonts w:ascii="Times New Roman" w:eastAsia="Times New Roman"/>
                <w:spacing w:val="-2"/>
                <w:sz w:val="21"/>
              </w:rPr>
              <w:t>-</w:t>
            </w:r>
            <w:r>
              <w:rPr>
                <w:rFonts w:ascii="Times New Roman" w:eastAsia="Times New Roman"/>
                <w:spacing w:val="-1"/>
                <w:sz w:val="21"/>
              </w:rPr>
              <w:t>20</w:t>
            </w:r>
            <w:r>
              <w:rPr>
                <w:rFonts w:ascii="Times New Roman" w:eastAsia="Times New Roman"/>
                <w:spacing w:val="-7"/>
                <w:sz w:val="21"/>
              </w:rPr>
              <w:t>1</w:t>
            </w:r>
            <w:r>
              <w:rPr>
                <w:rFonts w:ascii="Times New Roman" w:eastAsia="Times New Roman"/>
                <w:sz w:val="21"/>
              </w:rPr>
              <w:t>1</w:t>
            </w:r>
            <w:r>
              <w:rPr>
                <w:spacing w:val="-100"/>
                <w:sz w:val="21"/>
              </w:rPr>
              <w:t>）</w:t>
            </w:r>
            <w:r>
              <w:rPr>
                <w:sz w:val="21"/>
              </w:rPr>
              <w:t>中</w:t>
            </w:r>
          </w:p>
          <w:p>
            <w:pPr>
              <w:pStyle w:val="TableParagraph"/>
              <w:spacing w:line="266" w:lineRule="exact"/>
              <w:ind w:left="10"/>
              <w:rPr>
                <w:sz w:val="21"/>
              </w:rPr>
            </w:pPr>
            <w:r>
              <w:rPr>
                <w:sz w:val="21"/>
              </w:rPr>
              <w:t>相关标准</w:t>
            </w:r>
          </w:p>
        </w:tc>
      </w:tr>
      <w:tr>
        <w:trPr>
          <w:trHeight w:val="827" w:hRule="exact"/>
        </w:trPr>
        <w:tc>
          <w:tcPr>
            <w:tcW w:w="839" w:type="dxa"/>
            <w:tcBorders>
              <w:top w:val="single" w:sz="4" w:space="0" w:color="000000"/>
              <w:bottom w:val="single" w:sz="4" w:space="0" w:color="000000"/>
              <w:right w:val="single" w:sz="4" w:space="0" w:color="000000"/>
            </w:tcBorders>
          </w:tcPr>
          <w:p>
            <w:pPr>
              <w:pStyle w:val="TableParagraph"/>
              <w:spacing w:line="240" w:lineRule="exact"/>
              <w:ind w:left="194"/>
              <w:jc w:val="left"/>
              <w:rPr>
                <w:sz w:val="21"/>
              </w:rPr>
            </w:pPr>
            <w:r>
              <w:rPr>
                <w:sz w:val="21"/>
              </w:rPr>
              <w:t>临时</w:t>
            </w:r>
          </w:p>
          <w:p>
            <w:pPr>
              <w:pStyle w:val="TableParagraph"/>
              <w:spacing w:line="272" w:lineRule="exact" w:before="26"/>
              <w:ind w:left="194" w:right="185"/>
              <w:jc w:val="left"/>
              <w:rPr>
                <w:sz w:val="21"/>
              </w:rPr>
            </w:pPr>
            <w:r>
              <w:rPr>
                <w:sz w:val="21"/>
              </w:rPr>
              <w:t>渣场恢复</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before="2"/>
              <w:jc w:val="left"/>
              <w:rPr>
                <w:b/>
                <w:sz w:val="18"/>
              </w:rPr>
            </w:pPr>
          </w:p>
          <w:p>
            <w:pPr>
              <w:pStyle w:val="TableParagraph"/>
              <w:ind w:left="83" w:right="13"/>
              <w:rPr>
                <w:sz w:val="21"/>
              </w:rPr>
            </w:pPr>
            <w:r>
              <w:rPr>
                <w:sz w:val="21"/>
              </w:rPr>
              <w:t>平整、填土、绿化</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2"/>
              <w:jc w:val="left"/>
              <w:rPr>
                <w:b/>
                <w:sz w:val="21"/>
              </w:rPr>
            </w:pPr>
          </w:p>
          <w:p>
            <w:pPr>
              <w:pStyle w:val="TableParagraph"/>
              <w:ind w:right="389"/>
              <w:jc w:val="right"/>
              <w:rPr>
                <w:rFonts w:ascii="Times New Roman"/>
                <w:sz w:val="21"/>
              </w:rPr>
            </w:pPr>
            <w:r>
              <w:rPr>
                <w:rFonts w:ascii="Times New Roman"/>
                <w:sz w:val="21"/>
              </w:rPr>
              <w:t>5</w:t>
            </w:r>
          </w:p>
        </w:tc>
        <w:tc>
          <w:tcPr>
            <w:tcW w:w="3263" w:type="dxa"/>
            <w:tcBorders>
              <w:top w:val="single" w:sz="4" w:space="0" w:color="000000"/>
              <w:left w:val="single" w:sz="4" w:space="0" w:color="000000"/>
              <w:bottom w:val="single" w:sz="4" w:space="0" w:color="000000"/>
              <w:right w:val="single" w:sz="4" w:space="0" w:color="000000"/>
            </w:tcBorders>
          </w:tcPr>
          <w:p>
            <w:pPr/>
          </w:p>
        </w:tc>
        <w:tc>
          <w:tcPr>
            <w:tcW w:w="2046" w:type="dxa"/>
            <w:tcBorders>
              <w:top w:val="single" w:sz="4" w:space="0" w:color="000000"/>
              <w:left w:val="single" w:sz="4" w:space="0" w:color="000000"/>
              <w:bottom w:val="single" w:sz="4" w:space="0" w:color="000000"/>
            </w:tcBorders>
          </w:tcPr>
          <w:p>
            <w:pPr/>
          </w:p>
        </w:tc>
      </w:tr>
      <w:tr>
        <w:trPr>
          <w:trHeight w:val="517" w:hRule="exact"/>
        </w:trPr>
        <w:tc>
          <w:tcPr>
            <w:tcW w:w="2710" w:type="dxa"/>
            <w:gridSpan w:val="2"/>
            <w:tcBorders>
              <w:top w:val="single" w:sz="4" w:space="0" w:color="000000"/>
              <w:bottom w:val="single" w:sz="4" w:space="0" w:color="000000"/>
              <w:right w:val="single" w:sz="4" w:space="0" w:color="000000"/>
            </w:tcBorders>
          </w:tcPr>
          <w:p>
            <w:pPr>
              <w:pStyle w:val="TableParagraph"/>
              <w:spacing w:before="83"/>
              <w:ind w:left="536"/>
              <w:jc w:val="left"/>
              <w:rPr>
                <w:sz w:val="21"/>
              </w:rPr>
            </w:pPr>
            <w:r>
              <w:rPr>
                <w:sz w:val="21"/>
              </w:rPr>
              <w:t>环保监督、监理费</w:t>
            </w:r>
          </w:p>
        </w:tc>
        <w:tc>
          <w:tcPr>
            <w:tcW w:w="898" w:type="dxa"/>
            <w:tcBorders>
              <w:top w:val="single" w:sz="4" w:space="0" w:color="000000"/>
              <w:left w:val="single" w:sz="4" w:space="0" w:color="000000"/>
              <w:bottom w:val="single" w:sz="4" w:space="0" w:color="000000"/>
              <w:right w:val="single" w:sz="4" w:space="0" w:color="000000"/>
            </w:tcBorders>
          </w:tcPr>
          <w:p>
            <w:pPr>
              <w:pStyle w:val="TableParagraph"/>
              <w:spacing w:before="132"/>
              <w:ind w:right="389"/>
              <w:jc w:val="right"/>
              <w:rPr>
                <w:rFonts w:ascii="Times New Roman"/>
                <w:sz w:val="21"/>
              </w:rPr>
            </w:pPr>
            <w:r>
              <w:rPr>
                <w:rFonts w:ascii="Times New Roman"/>
                <w:sz w:val="21"/>
              </w:rPr>
              <w:t>1</w:t>
            </w:r>
          </w:p>
        </w:tc>
        <w:tc>
          <w:tcPr>
            <w:tcW w:w="3263" w:type="dxa"/>
            <w:tcBorders>
              <w:top w:val="single" w:sz="4" w:space="0" w:color="000000"/>
              <w:left w:val="single" w:sz="4" w:space="0" w:color="000000"/>
              <w:bottom w:val="single" w:sz="4" w:space="0" w:color="000000"/>
              <w:right w:val="single" w:sz="4" w:space="0" w:color="000000"/>
            </w:tcBorders>
          </w:tcPr>
          <w:p>
            <w:pPr/>
          </w:p>
        </w:tc>
        <w:tc>
          <w:tcPr>
            <w:tcW w:w="2046" w:type="dxa"/>
            <w:tcBorders>
              <w:top w:val="single" w:sz="4" w:space="0" w:color="000000"/>
              <w:left w:val="single" w:sz="4" w:space="0" w:color="000000"/>
              <w:bottom w:val="single" w:sz="4" w:space="0" w:color="000000"/>
            </w:tcBorders>
          </w:tcPr>
          <w:p>
            <w:pPr/>
          </w:p>
        </w:tc>
      </w:tr>
      <w:tr>
        <w:trPr>
          <w:trHeight w:val="391" w:hRule="exact"/>
        </w:trPr>
        <w:tc>
          <w:tcPr>
            <w:tcW w:w="2710" w:type="dxa"/>
            <w:gridSpan w:val="2"/>
            <w:tcBorders>
              <w:top w:val="single" w:sz="4" w:space="0" w:color="000000"/>
              <w:right w:val="single" w:sz="4" w:space="0" w:color="000000"/>
            </w:tcBorders>
          </w:tcPr>
          <w:p>
            <w:pPr>
              <w:pStyle w:val="TableParagraph"/>
              <w:spacing w:before="15"/>
              <w:ind w:left="1111" w:right="1118"/>
              <w:rPr>
                <w:sz w:val="21"/>
              </w:rPr>
            </w:pPr>
            <w:r>
              <w:rPr>
                <w:sz w:val="21"/>
              </w:rPr>
              <w:t>合计</w:t>
            </w:r>
          </w:p>
        </w:tc>
        <w:tc>
          <w:tcPr>
            <w:tcW w:w="898" w:type="dxa"/>
            <w:tcBorders>
              <w:top w:val="single" w:sz="4" w:space="0" w:color="000000"/>
              <w:left w:val="single" w:sz="4" w:space="0" w:color="000000"/>
              <w:right w:val="single" w:sz="4" w:space="0" w:color="000000"/>
            </w:tcBorders>
          </w:tcPr>
          <w:p>
            <w:pPr>
              <w:pStyle w:val="TableParagraph"/>
              <w:spacing w:before="64"/>
              <w:ind w:right="336"/>
              <w:jc w:val="right"/>
              <w:rPr>
                <w:rFonts w:ascii="Times New Roman"/>
                <w:sz w:val="21"/>
              </w:rPr>
            </w:pPr>
            <w:r>
              <w:rPr>
                <w:rFonts w:ascii="Times New Roman"/>
                <w:sz w:val="21"/>
              </w:rPr>
              <w:t>41</w:t>
            </w:r>
          </w:p>
        </w:tc>
        <w:tc>
          <w:tcPr>
            <w:tcW w:w="3263" w:type="dxa"/>
            <w:tcBorders>
              <w:top w:val="single" w:sz="4" w:space="0" w:color="000000"/>
              <w:left w:val="single" w:sz="4" w:space="0" w:color="000000"/>
              <w:right w:val="single" w:sz="4" w:space="0" w:color="000000"/>
            </w:tcBorders>
          </w:tcPr>
          <w:p>
            <w:pPr/>
          </w:p>
        </w:tc>
        <w:tc>
          <w:tcPr>
            <w:tcW w:w="2046" w:type="dxa"/>
            <w:tcBorders>
              <w:top w:val="single" w:sz="4" w:space="0" w:color="000000"/>
              <w:left w:val="single" w:sz="4" w:space="0" w:color="000000"/>
            </w:tcBorders>
          </w:tcPr>
          <w:p>
            <w:pPr/>
          </w:p>
        </w:tc>
      </w:tr>
    </w:tbl>
    <w:p>
      <w:pPr>
        <w:spacing w:line="357" w:lineRule="auto" w:before="40"/>
        <w:ind w:left="219" w:right="117" w:firstLine="482"/>
        <w:jc w:val="both"/>
        <w:rPr>
          <w:rFonts w:ascii="黑体" w:eastAsia="黑体" w:hint="eastAsia"/>
          <w:b/>
          <w:sz w:val="24"/>
        </w:rPr>
      </w:pPr>
      <w:r>
        <w:rPr>
          <w:rFonts w:ascii="黑体" w:eastAsia="黑体" w:hint="eastAsia"/>
          <w:b/>
          <w:spacing w:val="-2"/>
          <w:sz w:val="24"/>
        </w:rPr>
        <w:t>根据《建设项目环境保护管理条例》(中华人民共和国国务院令第 </w:t>
      </w:r>
      <w:r>
        <w:rPr>
          <w:rFonts w:ascii="黑体" w:eastAsia="黑体" w:hint="eastAsia"/>
          <w:b/>
          <w:sz w:val="24"/>
        </w:rPr>
        <w:t>682</w:t>
      </w:r>
      <w:r>
        <w:rPr>
          <w:rFonts w:ascii="黑体" w:eastAsia="黑体" w:hint="eastAsia"/>
          <w:b/>
          <w:spacing w:val="-9"/>
          <w:sz w:val="24"/>
        </w:rPr>
        <w:t> 号):编制环</w:t>
      </w:r>
      <w:r>
        <w:rPr>
          <w:rFonts w:ascii="黑体" w:eastAsia="黑体" w:hint="eastAsia"/>
          <w:b/>
          <w:spacing w:val="-12"/>
          <w:sz w:val="24"/>
        </w:rPr>
        <w:t>境影响报告书、环境影响报告表的建设项目竣工后，建设单位应当按照国务院环境保护</w:t>
      </w:r>
      <w:r>
        <w:rPr>
          <w:rFonts w:ascii="黑体" w:eastAsia="黑体" w:hint="eastAsia"/>
          <w:b/>
          <w:spacing w:val="-20"/>
          <w:w w:val="95"/>
          <w:sz w:val="24"/>
        </w:rPr>
        <w:t>行政主管部门规定的标准和程序，对配套建设的环境保护设施进行验收，编制验收报告。</w:t>
      </w:r>
    </w:p>
    <w:p>
      <w:pPr>
        <w:pStyle w:val="BodyText"/>
        <w:spacing w:before="199"/>
        <w:ind w:left="219"/>
        <w:jc w:val="both"/>
      </w:pPr>
      <w:r>
        <w:rPr/>
        <w:t> </w:t>
      </w:r>
    </w:p>
    <w:p>
      <w:pPr>
        <w:spacing w:after="0"/>
        <w:jc w:val="both"/>
        <w:sectPr>
          <w:pgSz w:w="11910" w:h="16840"/>
          <w:pgMar w:header="0" w:footer="1186" w:top="1120" w:bottom="1440" w:left="1200" w:right="1180"/>
        </w:sectPr>
      </w:pPr>
    </w:p>
    <w:p>
      <w:pPr>
        <w:pStyle w:val="Heading1"/>
        <w:ind w:left="238"/>
      </w:pPr>
      <w:r>
        <w:rPr/>
        <w:pict>
          <v:group style="position:absolute;margin-left:65.089996pt;margin-top:26.08658pt;width:42.65pt;height:32.85pt;mso-position-horizontal-relative:page;mso-position-vertical-relative:paragraph;z-index:-83464" coordorigin="1302,522" coordsize="853,657">
            <v:line style="position:absolute" from="1307,549" to="2149,1173" stroked="true" strokeweight=".48pt" strokecolor="#000000">
              <v:stroke dashstyle="solid"/>
            </v:line>
            <v:line style="position:absolute" from="1310,529" to="1310,529" stroked="true" strokeweight=".75pt" strokecolor="#000000">
              <v:stroke dashstyle="solid"/>
            </v:line>
            <w10:wrap type="none"/>
          </v:group>
        </w:pict>
      </w:r>
      <w:r>
        <w:rPr>
          <w:w w:val="95"/>
        </w:rPr>
        <w:t>建设项目拟采取的防治措施及预期治理效果</w:t>
      </w:r>
      <w:r>
        <w:rPr>
          <w:w w:val="99"/>
        </w:rPr>
        <w:t> </w:t>
      </w:r>
    </w:p>
    <w:p>
      <w:pPr>
        <w:pStyle w:val="BodyText"/>
        <w:spacing w:before="1"/>
        <w:rPr>
          <w:b/>
          <w:sz w:val="13"/>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966"/>
        <w:gridCol w:w="1985"/>
        <w:gridCol w:w="3544"/>
        <w:gridCol w:w="1955"/>
      </w:tblGrid>
      <w:tr>
        <w:trPr>
          <w:trHeight w:val="634" w:hRule="exact"/>
        </w:trPr>
        <w:tc>
          <w:tcPr>
            <w:tcW w:w="852" w:type="dxa"/>
          </w:tcPr>
          <w:p>
            <w:pPr>
              <w:pStyle w:val="TableParagraph"/>
              <w:spacing w:line="275" w:lineRule="exact"/>
              <w:ind w:left="103" w:firstLine="76"/>
              <w:jc w:val="left"/>
              <w:rPr>
                <w:sz w:val="24"/>
              </w:rPr>
            </w:pPr>
            <w:r>
              <w:rPr>
                <w:sz w:val="24"/>
              </w:rPr>
              <w:t>内容 </w:t>
            </w:r>
          </w:p>
          <w:p>
            <w:pPr>
              <w:pStyle w:val="TableParagraph"/>
              <w:spacing w:line="313" w:lineRule="exact"/>
              <w:ind w:left="103"/>
              <w:jc w:val="left"/>
              <w:rPr>
                <w:sz w:val="24"/>
              </w:rPr>
            </w:pPr>
            <w:r>
              <w:rPr>
                <w:sz w:val="24"/>
              </w:rPr>
              <w:t>类型 </w:t>
            </w:r>
          </w:p>
        </w:tc>
        <w:tc>
          <w:tcPr>
            <w:tcW w:w="966" w:type="dxa"/>
          </w:tcPr>
          <w:p>
            <w:pPr>
              <w:pStyle w:val="TableParagraph"/>
              <w:spacing w:line="275" w:lineRule="exact"/>
              <w:ind w:left="116" w:right="-1"/>
              <w:jc w:val="left"/>
              <w:rPr>
                <w:sz w:val="24"/>
              </w:rPr>
            </w:pPr>
            <w:r>
              <w:rPr>
                <w:sz w:val="24"/>
              </w:rPr>
              <w:t>排放源 </w:t>
            </w:r>
          </w:p>
          <w:p>
            <w:pPr>
              <w:pStyle w:val="TableParagraph"/>
              <w:spacing w:line="313" w:lineRule="exact"/>
              <w:ind w:left="116" w:right="-1"/>
              <w:jc w:val="left"/>
              <w:rPr>
                <w:sz w:val="24"/>
              </w:rPr>
            </w:pPr>
            <w:r>
              <w:rPr>
                <w:sz w:val="24"/>
              </w:rPr>
              <w:t>(编号) </w:t>
            </w:r>
          </w:p>
        </w:tc>
        <w:tc>
          <w:tcPr>
            <w:tcW w:w="1985" w:type="dxa"/>
          </w:tcPr>
          <w:p>
            <w:pPr>
              <w:pStyle w:val="TableParagraph"/>
              <w:spacing w:before="118"/>
              <w:ind w:left="386"/>
              <w:jc w:val="left"/>
              <w:rPr>
                <w:sz w:val="24"/>
              </w:rPr>
            </w:pPr>
            <w:r>
              <w:rPr>
                <w:sz w:val="24"/>
              </w:rPr>
              <w:t>污染物名称 </w:t>
            </w:r>
          </w:p>
        </w:tc>
        <w:tc>
          <w:tcPr>
            <w:tcW w:w="3544" w:type="dxa"/>
          </w:tcPr>
          <w:p>
            <w:pPr>
              <w:pStyle w:val="TableParagraph"/>
              <w:spacing w:before="118"/>
              <w:ind w:left="1285"/>
              <w:jc w:val="left"/>
              <w:rPr>
                <w:sz w:val="24"/>
              </w:rPr>
            </w:pPr>
            <w:r>
              <w:rPr>
                <w:sz w:val="24"/>
              </w:rPr>
              <w:t>防治措施 </w:t>
            </w:r>
          </w:p>
        </w:tc>
        <w:tc>
          <w:tcPr>
            <w:tcW w:w="1955" w:type="dxa"/>
          </w:tcPr>
          <w:p>
            <w:pPr>
              <w:pStyle w:val="TableParagraph"/>
              <w:spacing w:before="118"/>
              <w:ind w:left="251"/>
              <w:jc w:val="left"/>
              <w:rPr>
                <w:sz w:val="24"/>
              </w:rPr>
            </w:pPr>
            <w:r>
              <w:rPr>
                <w:sz w:val="24"/>
              </w:rPr>
              <w:t>预期治理效果 </w:t>
            </w:r>
          </w:p>
        </w:tc>
      </w:tr>
      <w:tr>
        <w:trPr>
          <w:trHeight w:val="947" w:hRule="exact"/>
        </w:trPr>
        <w:tc>
          <w:tcPr>
            <w:tcW w:w="852" w:type="dxa"/>
            <w:vMerge w:val="restart"/>
          </w:tcPr>
          <w:p>
            <w:pPr>
              <w:pStyle w:val="TableParagraph"/>
              <w:spacing w:line="312" w:lineRule="exact" w:before="154"/>
              <w:ind w:left="300" w:right="300"/>
              <w:jc w:val="both"/>
              <w:rPr>
                <w:sz w:val="24"/>
              </w:rPr>
            </w:pPr>
            <w:r>
              <w:rPr>
                <w:sz w:val="24"/>
              </w:rPr>
              <w:t>大气污染物</w:t>
            </w:r>
          </w:p>
        </w:tc>
        <w:tc>
          <w:tcPr>
            <w:tcW w:w="966" w:type="dxa"/>
          </w:tcPr>
          <w:p>
            <w:pPr>
              <w:pStyle w:val="TableParagraph"/>
              <w:spacing w:line="273" w:lineRule="auto" w:before="143"/>
              <w:ind w:left="372" w:right="144" w:hanging="210"/>
              <w:jc w:val="left"/>
              <w:rPr>
                <w:sz w:val="21"/>
              </w:rPr>
            </w:pPr>
            <w:r>
              <w:rPr>
                <w:sz w:val="21"/>
              </w:rPr>
              <w:t>施工场地</w:t>
            </w:r>
          </w:p>
        </w:tc>
        <w:tc>
          <w:tcPr>
            <w:tcW w:w="1985" w:type="dxa"/>
          </w:tcPr>
          <w:p>
            <w:pPr>
              <w:pStyle w:val="TableParagraph"/>
              <w:spacing w:before="8"/>
              <w:jc w:val="left"/>
              <w:rPr>
                <w:b/>
                <w:sz w:val="26"/>
              </w:rPr>
            </w:pPr>
          </w:p>
          <w:p>
            <w:pPr>
              <w:pStyle w:val="TableParagraph"/>
              <w:ind w:left="126" w:right="127"/>
              <w:rPr>
                <w:rFonts w:ascii="Times New Roman"/>
                <w:sz w:val="21"/>
              </w:rPr>
            </w:pPr>
            <w:r>
              <w:rPr>
                <w:rFonts w:ascii="Times New Roman"/>
                <w:sz w:val="21"/>
              </w:rPr>
              <w:t>TSP</w:t>
            </w:r>
          </w:p>
        </w:tc>
        <w:tc>
          <w:tcPr>
            <w:tcW w:w="3544" w:type="dxa"/>
          </w:tcPr>
          <w:p>
            <w:pPr>
              <w:pStyle w:val="TableParagraph"/>
              <w:spacing w:line="273" w:lineRule="auto"/>
              <w:ind w:left="106" w:right="3"/>
              <w:rPr>
                <w:sz w:val="21"/>
              </w:rPr>
            </w:pPr>
            <w:r>
              <w:rPr>
                <w:spacing w:val="-13"/>
                <w:sz w:val="21"/>
              </w:rPr>
              <w:t>定期清扫、洒水，减少道路二次扬尘；</w:t>
            </w:r>
            <w:r>
              <w:rPr>
                <w:spacing w:val="-11"/>
                <w:sz w:val="21"/>
              </w:rPr>
              <w:t>配备洒水车；运输车辆采用加盖蓬布和湿法相结合的方式。</w:t>
            </w:r>
          </w:p>
        </w:tc>
        <w:tc>
          <w:tcPr>
            <w:tcW w:w="1955" w:type="dxa"/>
          </w:tcPr>
          <w:p>
            <w:pPr>
              <w:pStyle w:val="TableParagraph"/>
              <w:spacing w:before="11"/>
              <w:jc w:val="left"/>
              <w:rPr>
                <w:b/>
                <w:sz w:val="22"/>
              </w:rPr>
            </w:pPr>
          </w:p>
          <w:p>
            <w:pPr>
              <w:pStyle w:val="TableParagraph"/>
              <w:ind w:left="229"/>
              <w:jc w:val="left"/>
              <w:rPr>
                <w:rFonts w:ascii="Times New Roman" w:eastAsia="Times New Roman"/>
                <w:sz w:val="21"/>
              </w:rPr>
            </w:pPr>
            <w:r>
              <w:rPr>
                <w:sz w:val="21"/>
              </w:rPr>
              <w:t>扬尘可降低 </w:t>
            </w:r>
            <w:r>
              <w:rPr>
                <w:rFonts w:ascii="Times New Roman" w:eastAsia="Times New Roman"/>
                <w:sz w:val="21"/>
              </w:rPr>
              <w:t>80%</w:t>
            </w:r>
          </w:p>
        </w:tc>
      </w:tr>
      <w:tr>
        <w:trPr>
          <w:trHeight w:val="946" w:hRule="exact"/>
        </w:trPr>
        <w:tc>
          <w:tcPr>
            <w:tcW w:w="852" w:type="dxa"/>
            <w:vMerge/>
          </w:tcPr>
          <w:p>
            <w:pPr/>
          </w:p>
        </w:tc>
        <w:tc>
          <w:tcPr>
            <w:tcW w:w="966" w:type="dxa"/>
          </w:tcPr>
          <w:p>
            <w:pPr>
              <w:pStyle w:val="TableParagraph"/>
              <w:spacing w:line="273" w:lineRule="auto" w:before="142"/>
              <w:ind w:left="372" w:right="144" w:hanging="210"/>
              <w:jc w:val="left"/>
              <w:rPr>
                <w:sz w:val="21"/>
              </w:rPr>
            </w:pPr>
            <w:r>
              <w:rPr>
                <w:sz w:val="21"/>
              </w:rPr>
              <w:t>汽车尾气</w:t>
            </w:r>
          </w:p>
        </w:tc>
        <w:tc>
          <w:tcPr>
            <w:tcW w:w="1985" w:type="dxa"/>
          </w:tcPr>
          <w:p>
            <w:pPr>
              <w:pStyle w:val="TableParagraph"/>
              <w:spacing w:before="142"/>
              <w:ind w:left="126" w:right="127"/>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NOx</w:t>
            </w:r>
          </w:p>
          <w:p>
            <w:pPr>
              <w:pStyle w:val="TableParagraph"/>
              <w:spacing w:before="21"/>
              <w:ind w:left="127" w:right="127"/>
              <w:rPr>
                <w:sz w:val="21"/>
              </w:rPr>
            </w:pPr>
            <w:r>
              <w:rPr>
                <w:sz w:val="21"/>
              </w:rPr>
              <w:t>碳氢化合物、扬尘</w:t>
            </w:r>
          </w:p>
        </w:tc>
        <w:tc>
          <w:tcPr>
            <w:tcW w:w="3544" w:type="dxa"/>
          </w:tcPr>
          <w:p>
            <w:pPr>
              <w:pStyle w:val="TableParagraph"/>
              <w:spacing w:before="10"/>
              <w:jc w:val="left"/>
              <w:rPr>
                <w:b/>
                <w:sz w:val="22"/>
              </w:rPr>
            </w:pPr>
          </w:p>
          <w:p>
            <w:pPr>
              <w:pStyle w:val="TableParagraph"/>
              <w:ind w:left="295"/>
              <w:jc w:val="left"/>
              <w:rPr>
                <w:sz w:val="21"/>
              </w:rPr>
            </w:pPr>
            <w:r>
              <w:rPr>
                <w:sz w:val="21"/>
              </w:rPr>
              <w:t>加强管理，及时进行路面维护。</w:t>
            </w:r>
          </w:p>
        </w:tc>
        <w:tc>
          <w:tcPr>
            <w:tcW w:w="1955" w:type="dxa"/>
          </w:tcPr>
          <w:p>
            <w:pPr>
              <w:pStyle w:val="TableParagraph"/>
              <w:spacing w:line="261" w:lineRule="exact"/>
              <w:ind w:left="132"/>
              <w:jc w:val="left"/>
              <w:rPr>
                <w:sz w:val="21"/>
              </w:rPr>
            </w:pPr>
            <w:r>
              <w:rPr>
                <w:sz w:val="21"/>
              </w:rPr>
              <w:t>扬尘和尾气可降低</w:t>
            </w:r>
          </w:p>
          <w:p>
            <w:pPr>
              <w:pStyle w:val="TableParagraph"/>
              <w:spacing w:line="256" w:lineRule="auto" w:before="37"/>
              <w:ind w:left="237" w:right="131" w:hanging="88"/>
              <w:jc w:val="left"/>
              <w:rPr>
                <w:sz w:val="21"/>
              </w:rPr>
            </w:pPr>
            <w:r>
              <w:rPr>
                <w:rFonts w:ascii="Times New Roman" w:eastAsia="Times New Roman"/>
                <w:sz w:val="21"/>
              </w:rPr>
              <w:t>60%</w:t>
            </w:r>
            <w:r>
              <w:rPr>
                <w:sz w:val="21"/>
              </w:rPr>
              <w:t>，有效减轻对大气环境的影响</w:t>
            </w:r>
          </w:p>
        </w:tc>
      </w:tr>
      <w:tr>
        <w:trPr>
          <w:trHeight w:val="946" w:hRule="exact"/>
        </w:trPr>
        <w:tc>
          <w:tcPr>
            <w:tcW w:w="852" w:type="dxa"/>
            <w:vMerge w:val="restart"/>
          </w:tcPr>
          <w:p>
            <w:pPr>
              <w:pStyle w:val="TableParagraph"/>
              <w:spacing w:before="8"/>
              <w:jc w:val="left"/>
              <w:rPr>
                <w:b/>
                <w:sz w:val="23"/>
              </w:rPr>
            </w:pPr>
          </w:p>
          <w:p>
            <w:pPr>
              <w:pStyle w:val="TableParagraph"/>
              <w:spacing w:line="312" w:lineRule="exact"/>
              <w:ind w:left="300" w:right="300"/>
              <w:jc w:val="both"/>
              <w:rPr>
                <w:sz w:val="24"/>
              </w:rPr>
            </w:pPr>
            <w:r>
              <w:rPr>
                <w:sz w:val="24"/>
              </w:rPr>
              <w:t>水污染物</w:t>
            </w:r>
          </w:p>
        </w:tc>
        <w:tc>
          <w:tcPr>
            <w:tcW w:w="966" w:type="dxa"/>
          </w:tcPr>
          <w:p>
            <w:pPr>
              <w:pStyle w:val="TableParagraph"/>
              <w:spacing w:line="261" w:lineRule="exact"/>
              <w:ind w:left="162"/>
              <w:jc w:val="left"/>
              <w:rPr>
                <w:sz w:val="21"/>
              </w:rPr>
            </w:pPr>
            <w:r>
              <w:rPr>
                <w:sz w:val="21"/>
              </w:rPr>
              <w:t>施工期</w:t>
            </w:r>
          </w:p>
          <w:p>
            <w:pPr>
              <w:pStyle w:val="TableParagraph"/>
              <w:spacing w:line="273" w:lineRule="auto" w:before="37"/>
              <w:ind w:left="372" w:right="144" w:hanging="210"/>
              <w:jc w:val="left"/>
              <w:rPr>
                <w:sz w:val="21"/>
              </w:rPr>
            </w:pPr>
            <w:r>
              <w:rPr>
                <w:sz w:val="21"/>
              </w:rPr>
              <w:t>生活污水</w:t>
            </w:r>
          </w:p>
        </w:tc>
        <w:tc>
          <w:tcPr>
            <w:tcW w:w="1985" w:type="dxa"/>
          </w:tcPr>
          <w:p>
            <w:pPr>
              <w:pStyle w:val="TableParagraph"/>
              <w:spacing w:line="295" w:lineRule="auto" w:before="142"/>
              <w:ind w:left="729" w:right="352" w:hanging="363"/>
              <w:jc w:val="left"/>
              <w:rPr>
                <w:rFonts w:ascii="Times New Roman" w:eastAsia="Times New Roman"/>
                <w:sz w:val="14"/>
              </w:rPr>
            </w:pPr>
            <w:r>
              <w:rPr>
                <w:rFonts w:ascii="Times New Roman" w:eastAsia="Times New Roman"/>
                <w:sz w:val="21"/>
              </w:rPr>
              <w:t>SS</w:t>
            </w:r>
            <w:r>
              <w:rPr>
                <w:sz w:val="21"/>
              </w:rPr>
              <w:t>、</w:t>
            </w:r>
            <w:r>
              <w:rPr>
                <w:rFonts w:ascii="Times New Roman" w:eastAsia="Times New Roman"/>
                <w:sz w:val="21"/>
              </w:rPr>
              <w:t>COD</w:t>
            </w:r>
            <w:r>
              <w:rPr>
                <w:rFonts w:ascii="Times New Roman" w:eastAsia="Times New Roman"/>
                <w:position w:val="-1"/>
                <w:sz w:val="14"/>
              </w:rPr>
              <w:t>Cr</w:t>
            </w:r>
            <w:r>
              <w:rPr>
                <w:sz w:val="21"/>
              </w:rPr>
              <w:t>、</w:t>
            </w:r>
            <w:r>
              <w:rPr>
                <w:rFonts w:ascii="Times New Roman" w:eastAsia="Times New Roman"/>
                <w:sz w:val="21"/>
              </w:rPr>
              <w:t>BOD</w:t>
            </w:r>
            <w:r>
              <w:rPr>
                <w:rFonts w:ascii="Times New Roman" w:eastAsia="Times New Roman"/>
                <w:position w:val="-1"/>
                <w:sz w:val="14"/>
              </w:rPr>
              <w:t>5</w:t>
            </w:r>
          </w:p>
        </w:tc>
        <w:tc>
          <w:tcPr>
            <w:tcW w:w="3544" w:type="dxa"/>
          </w:tcPr>
          <w:p>
            <w:pPr>
              <w:pStyle w:val="TableParagraph"/>
              <w:spacing w:before="10"/>
              <w:jc w:val="left"/>
              <w:rPr>
                <w:b/>
                <w:sz w:val="22"/>
              </w:rPr>
            </w:pPr>
          </w:p>
          <w:p>
            <w:pPr>
              <w:pStyle w:val="TableParagraph"/>
              <w:ind w:left="190"/>
              <w:jc w:val="left"/>
              <w:rPr>
                <w:sz w:val="21"/>
              </w:rPr>
            </w:pPr>
            <w:r>
              <w:rPr>
                <w:sz w:val="21"/>
              </w:rPr>
              <w:t>依托和利用租住房现有设施处理。</w:t>
            </w:r>
          </w:p>
        </w:tc>
        <w:tc>
          <w:tcPr>
            <w:tcW w:w="1955" w:type="dxa"/>
            <w:vMerge w:val="restart"/>
          </w:tcPr>
          <w:p>
            <w:pPr>
              <w:pStyle w:val="TableParagraph"/>
              <w:jc w:val="left"/>
              <w:rPr>
                <w:b/>
                <w:sz w:val="20"/>
              </w:rPr>
            </w:pPr>
          </w:p>
          <w:p>
            <w:pPr>
              <w:pStyle w:val="TableParagraph"/>
              <w:jc w:val="left"/>
              <w:rPr>
                <w:b/>
                <w:sz w:val="27"/>
              </w:rPr>
            </w:pPr>
          </w:p>
          <w:p>
            <w:pPr>
              <w:pStyle w:val="TableParagraph"/>
              <w:spacing w:line="273" w:lineRule="auto"/>
              <w:ind w:left="657" w:right="114" w:hanging="526"/>
              <w:jc w:val="left"/>
              <w:rPr>
                <w:sz w:val="21"/>
              </w:rPr>
            </w:pPr>
            <w:r>
              <w:rPr>
                <w:sz w:val="21"/>
              </w:rPr>
              <w:t>不会对地表水体造成污染</w:t>
            </w:r>
          </w:p>
        </w:tc>
      </w:tr>
      <w:tr>
        <w:trPr>
          <w:trHeight w:val="947" w:hRule="exact"/>
        </w:trPr>
        <w:tc>
          <w:tcPr>
            <w:tcW w:w="852" w:type="dxa"/>
            <w:vMerge/>
          </w:tcPr>
          <w:p>
            <w:pPr/>
          </w:p>
        </w:tc>
        <w:tc>
          <w:tcPr>
            <w:tcW w:w="966" w:type="dxa"/>
          </w:tcPr>
          <w:p>
            <w:pPr>
              <w:pStyle w:val="TableParagraph"/>
              <w:spacing w:line="273" w:lineRule="auto"/>
              <w:ind w:left="162" w:right="162"/>
              <w:rPr>
                <w:sz w:val="21"/>
              </w:rPr>
            </w:pPr>
            <w:r>
              <w:rPr>
                <w:sz w:val="21"/>
              </w:rPr>
              <w:t>施工期生产废水</w:t>
            </w:r>
          </w:p>
        </w:tc>
        <w:tc>
          <w:tcPr>
            <w:tcW w:w="1985" w:type="dxa"/>
          </w:tcPr>
          <w:p>
            <w:pPr>
              <w:pStyle w:val="TableParagraph"/>
              <w:spacing w:before="8"/>
              <w:jc w:val="left"/>
              <w:rPr>
                <w:b/>
                <w:sz w:val="26"/>
              </w:rPr>
            </w:pPr>
          </w:p>
          <w:p>
            <w:pPr>
              <w:pStyle w:val="TableParagraph"/>
              <w:ind w:left="125" w:right="127"/>
              <w:rPr>
                <w:rFonts w:ascii="Times New Roman"/>
                <w:sz w:val="21"/>
              </w:rPr>
            </w:pPr>
            <w:r>
              <w:rPr>
                <w:rFonts w:ascii="Times New Roman"/>
                <w:sz w:val="21"/>
              </w:rPr>
              <w:t>SS</w:t>
            </w:r>
          </w:p>
        </w:tc>
        <w:tc>
          <w:tcPr>
            <w:tcW w:w="3544" w:type="dxa"/>
          </w:tcPr>
          <w:p>
            <w:pPr>
              <w:pStyle w:val="TableParagraph"/>
              <w:spacing w:line="273" w:lineRule="auto" w:before="143"/>
              <w:ind w:left="1135" w:right="174" w:hanging="945"/>
              <w:jc w:val="left"/>
              <w:rPr>
                <w:sz w:val="21"/>
              </w:rPr>
            </w:pPr>
            <w:r>
              <w:rPr>
                <w:sz w:val="21"/>
              </w:rPr>
              <w:t>施工废水隔油、沉淀处理后循环使用，不外排。</w:t>
            </w:r>
          </w:p>
        </w:tc>
        <w:tc>
          <w:tcPr>
            <w:tcW w:w="1955" w:type="dxa"/>
            <w:vMerge/>
          </w:tcPr>
          <w:p>
            <w:pPr/>
          </w:p>
        </w:tc>
      </w:tr>
      <w:tr>
        <w:trPr>
          <w:trHeight w:val="634" w:hRule="exact"/>
        </w:trPr>
        <w:tc>
          <w:tcPr>
            <w:tcW w:w="852" w:type="dxa"/>
            <w:vMerge w:val="restart"/>
          </w:tcPr>
          <w:p>
            <w:pPr>
              <w:pStyle w:val="TableParagraph"/>
              <w:spacing w:line="275" w:lineRule="exact"/>
              <w:rPr>
                <w:sz w:val="24"/>
              </w:rPr>
            </w:pPr>
            <w:r>
              <w:rPr>
                <w:sz w:val="24"/>
              </w:rPr>
              <w:t>固</w:t>
            </w:r>
          </w:p>
          <w:p>
            <w:pPr>
              <w:pStyle w:val="TableParagraph"/>
              <w:spacing w:line="312" w:lineRule="exact" w:before="29"/>
              <w:ind w:left="300" w:right="300"/>
              <w:jc w:val="both"/>
              <w:rPr>
                <w:sz w:val="24"/>
              </w:rPr>
            </w:pPr>
            <w:r>
              <w:rPr>
                <w:sz w:val="24"/>
              </w:rPr>
              <w:t>体废弃物</w:t>
            </w:r>
          </w:p>
        </w:tc>
        <w:tc>
          <w:tcPr>
            <w:tcW w:w="966" w:type="dxa"/>
          </w:tcPr>
          <w:p>
            <w:pPr>
              <w:pStyle w:val="TableParagraph"/>
              <w:spacing w:line="261" w:lineRule="exact"/>
              <w:ind w:left="266"/>
              <w:jc w:val="left"/>
              <w:rPr>
                <w:sz w:val="21"/>
              </w:rPr>
            </w:pPr>
            <w:r>
              <w:rPr>
                <w:sz w:val="21"/>
              </w:rPr>
              <w:t>生活</w:t>
            </w:r>
          </w:p>
          <w:p>
            <w:pPr>
              <w:pStyle w:val="TableParagraph"/>
              <w:spacing w:before="37"/>
              <w:ind w:left="266"/>
              <w:jc w:val="left"/>
              <w:rPr>
                <w:sz w:val="21"/>
              </w:rPr>
            </w:pPr>
            <w:r>
              <w:rPr>
                <w:sz w:val="21"/>
              </w:rPr>
              <w:t>垃圾</w:t>
            </w:r>
          </w:p>
        </w:tc>
        <w:tc>
          <w:tcPr>
            <w:tcW w:w="1985" w:type="dxa"/>
          </w:tcPr>
          <w:p>
            <w:pPr>
              <w:pStyle w:val="TableParagraph"/>
              <w:spacing w:before="142"/>
              <w:ind w:left="566"/>
              <w:jc w:val="left"/>
              <w:rPr>
                <w:sz w:val="21"/>
              </w:rPr>
            </w:pPr>
            <w:r>
              <w:rPr>
                <w:sz w:val="21"/>
              </w:rPr>
              <w:t>生活垃圾</w:t>
            </w:r>
          </w:p>
        </w:tc>
        <w:tc>
          <w:tcPr>
            <w:tcW w:w="3544" w:type="dxa"/>
          </w:tcPr>
          <w:p>
            <w:pPr>
              <w:pStyle w:val="TableParagraph"/>
              <w:spacing w:before="142"/>
              <w:ind w:left="505"/>
              <w:jc w:val="left"/>
              <w:rPr>
                <w:sz w:val="21"/>
              </w:rPr>
            </w:pPr>
            <w:r>
              <w:rPr>
                <w:sz w:val="21"/>
              </w:rPr>
              <w:t>收集后运至城市垃圾填埋场</w:t>
            </w:r>
          </w:p>
        </w:tc>
        <w:tc>
          <w:tcPr>
            <w:tcW w:w="1955" w:type="dxa"/>
          </w:tcPr>
          <w:p>
            <w:pPr>
              <w:pStyle w:val="TableParagraph"/>
              <w:spacing w:before="142"/>
              <w:ind w:left="342"/>
              <w:jc w:val="left"/>
              <w:rPr>
                <w:sz w:val="21"/>
              </w:rPr>
            </w:pPr>
            <w:r>
              <w:rPr>
                <w:sz w:val="21"/>
              </w:rPr>
              <w:t>对环境影响小</w:t>
            </w:r>
          </w:p>
        </w:tc>
      </w:tr>
      <w:tr>
        <w:trPr>
          <w:trHeight w:val="938" w:hRule="exact"/>
        </w:trPr>
        <w:tc>
          <w:tcPr>
            <w:tcW w:w="852" w:type="dxa"/>
            <w:vMerge/>
          </w:tcPr>
          <w:p>
            <w:pPr/>
          </w:p>
        </w:tc>
        <w:tc>
          <w:tcPr>
            <w:tcW w:w="966" w:type="dxa"/>
            <w:tcBorders>
              <w:bottom w:val="single" w:sz="6" w:space="0" w:color="000000"/>
            </w:tcBorders>
          </w:tcPr>
          <w:p>
            <w:pPr>
              <w:pStyle w:val="TableParagraph"/>
              <w:spacing w:before="5"/>
              <w:jc w:val="left"/>
              <w:rPr>
                <w:b/>
                <w:sz w:val="22"/>
              </w:rPr>
            </w:pPr>
          </w:p>
          <w:p>
            <w:pPr>
              <w:pStyle w:val="TableParagraph"/>
              <w:ind w:left="266"/>
              <w:jc w:val="left"/>
              <w:rPr>
                <w:sz w:val="21"/>
              </w:rPr>
            </w:pPr>
            <w:r>
              <w:rPr>
                <w:sz w:val="21"/>
              </w:rPr>
              <w:t>弃方</w:t>
            </w:r>
          </w:p>
        </w:tc>
        <w:tc>
          <w:tcPr>
            <w:tcW w:w="1985" w:type="dxa"/>
            <w:tcBorders>
              <w:bottom w:val="single" w:sz="6" w:space="0" w:color="000000"/>
            </w:tcBorders>
          </w:tcPr>
          <w:p>
            <w:pPr>
              <w:pStyle w:val="TableParagraph"/>
              <w:spacing w:before="5"/>
              <w:jc w:val="left"/>
              <w:rPr>
                <w:b/>
                <w:sz w:val="22"/>
              </w:rPr>
            </w:pPr>
          </w:p>
          <w:p>
            <w:pPr>
              <w:pStyle w:val="TableParagraph"/>
              <w:ind w:left="127" w:right="127"/>
              <w:rPr>
                <w:sz w:val="21"/>
              </w:rPr>
            </w:pPr>
            <w:r>
              <w:rPr>
                <w:sz w:val="21"/>
              </w:rPr>
              <w:t>弃方</w:t>
            </w:r>
          </w:p>
        </w:tc>
        <w:tc>
          <w:tcPr>
            <w:tcW w:w="3544" w:type="dxa"/>
            <w:tcBorders>
              <w:bottom w:val="single" w:sz="6" w:space="0" w:color="000000"/>
            </w:tcBorders>
          </w:tcPr>
          <w:p>
            <w:pPr>
              <w:pStyle w:val="TableParagraph"/>
              <w:spacing w:before="5"/>
              <w:jc w:val="left"/>
              <w:rPr>
                <w:b/>
                <w:sz w:val="22"/>
              </w:rPr>
            </w:pPr>
          </w:p>
          <w:p>
            <w:pPr>
              <w:pStyle w:val="TableParagraph"/>
              <w:ind w:left="190"/>
              <w:jc w:val="left"/>
              <w:rPr>
                <w:sz w:val="21"/>
              </w:rPr>
            </w:pPr>
            <w:r>
              <w:rPr>
                <w:sz w:val="21"/>
              </w:rPr>
              <w:t>弃渣运送至指定的渣场进行堆放。</w:t>
            </w:r>
          </w:p>
        </w:tc>
        <w:tc>
          <w:tcPr>
            <w:tcW w:w="1955" w:type="dxa"/>
            <w:tcBorders>
              <w:bottom w:val="single" w:sz="6" w:space="0" w:color="000000"/>
            </w:tcBorders>
          </w:tcPr>
          <w:p>
            <w:pPr>
              <w:pStyle w:val="TableParagraph"/>
              <w:spacing w:before="5"/>
              <w:jc w:val="left"/>
              <w:rPr>
                <w:b/>
                <w:sz w:val="22"/>
              </w:rPr>
            </w:pPr>
          </w:p>
          <w:p>
            <w:pPr>
              <w:pStyle w:val="TableParagraph"/>
              <w:ind w:left="342"/>
              <w:jc w:val="left"/>
              <w:rPr>
                <w:sz w:val="21"/>
              </w:rPr>
            </w:pPr>
            <w:r>
              <w:rPr>
                <w:sz w:val="21"/>
              </w:rPr>
              <w:t>对环境影响小</w:t>
            </w:r>
          </w:p>
        </w:tc>
      </w:tr>
      <w:tr>
        <w:trPr>
          <w:trHeight w:val="636" w:hRule="exact"/>
        </w:trPr>
        <w:tc>
          <w:tcPr>
            <w:tcW w:w="852" w:type="dxa"/>
          </w:tcPr>
          <w:p>
            <w:pPr>
              <w:pStyle w:val="TableParagraph"/>
              <w:spacing w:line="278" w:lineRule="exact"/>
              <w:rPr>
                <w:sz w:val="24"/>
              </w:rPr>
            </w:pPr>
            <w:r>
              <w:rPr>
                <w:sz w:val="24"/>
              </w:rPr>
              <w:t>噪</w:t>
            </w:r>
          </w:p>
          <w:p>
            <w:pPr>
              <w:pStyle w:val="TableParagraph"/>
              <w:spacing w:line="313" w:lineRule="exact"/>
              <w:rPr>
                <w:sz w:val="24"/>
              </w:rPr>
            </w:pPr>
            <w:r>
              <w:rPr>
                <w:sz w:val="24"/>
              </w:rPr>
              <w:t>声</w:t>
            </w:r>
          </w:p>
        </w:tc>
        <w:tc>
          <w:tcPr>
            <w:tcW w:w="8449" w:type="dxa"/>
            <w:gridSpan w:val="4"/>
            <w:tcBorders>
              <w:top w:val="single" w:sz="6" w:space="0" w:color="000000"/>
            </w:tcBorders>
          </w:tcPr>
          <w:p>
            <w:pPr>
              <w:pStyle w:val="TableParagraph"/>
              <w:spacing w:before="118"/>
              <w:ind w:left="259"/>
              <w:jc w:val="left"/>
              <w:rPr>
                <w:sz w:val="24"/>
              </w:rPr>
            </w:pPr>
            <w:r>
              <w:rPr>
                <w:sz w:val="24"/>
              </w:rPr>
              <w:t>设备选型应选择低噪声设备，安装时采取减震、隔声等措施降低噪声污染。</w:t>
            </w:r>
          </w:p>
        </w:tc>
      </w:tr>
      <w:tr>
        <w:trPr>
          <w:trHeight w:val="6563" w:hRule="exact"/>
        </w:trPr>
        <w:tc>
          <w:tcPr>
            <w:tcW w:w="9301" w:type="dxa"/>
            <w:gridSpan w:val="5"/>
          </w:tcPr>
          <w:p>
            <w:pPr>
              <w:pStyle w:val="TableParagraph"/>
              <w:spacing w:before="41"/>
              <w:ind w:left="103"/>
              <w:jc w:val="left"/>
              <w:rPr>
                <w:b/>
                <w:sz w:val="24"/>
              </w:rPr>
            </w:pPr>
            <w:r>
              <w:rPr>
                <w:b/>
                <w:w w:val="95"/>
                <w:sz w:val="24"/>
              </w:rPr>
              <w:t>生态保护措施及预期效果：</w:t>
            </w:r>
          </w:p>
          <w:p>
            <w:pPr>
              <w:pStyle w:val="TableParagraph"/>
              <w:spacing w:line="357" w:lineRule="auto" w:before="153"/>
              <w:ind w:left="103" w:right="102" w:firstLine="480"/>
              <w:jc w:val="both"/>
              <w:rPr>
                <w:sz w:val="24"/>
              </w:rPr>
            </w:pPr>
            <w:r>
              <w:rPr>
                <w:spacing w:val="-3"/>
                <w:sz w:val="24"/>
              </w:rPr>
              <w:t>本项目在开江县梅家乡进行建设，属于城镇建成区，受人类活动影响深远，区域内</w:t>
            </w:r>
            <w:r>
              <w:rPr>
                <w:spacing w:val="-6"/>
                <w:sz w:val="24"/>
              </w:rPr>
              <w:t>无生态环境敏感目标，无珍稀动植物分布，项目建设对区域生物群落的物种多样性及生物减少等方面影响较小。</w:t>
            </w:r>
          </w:p>
          <w:p>
            <w:pPr>
              <w:pStyle w:val="TableParagraph"/>
              <w:spacing w:line="357" w:lineRule="auto" w:before="35"/>
              <w:ind w:left="103" w:right="101" w:firstLine="480"/>
              <w:jc w:val="both"/>
              <w:rPr>
                <w:sz w:val="24"/>
              </w:rPr>
            </w:pPr>
            <w:r>
              <w:rPr>
                <w:spacing w:val="-2"/>
                <w:sz w:val="24"/>
              </w:rPr>
              <w:t>项目建设期对生态环境会产生一定的短期影响，项目建设对区域生态环境无明显影响。</w:t>
            </w:r>
          </w:p>
        </w:tc>
      </w:tr>
    </w:tbl>
    <w:p>
      <w:pPr>
        <w:spacing w:after="0" w:line="357" w:lineRule="auto"/>
        <w:jc w:val="both"/>
        <w:rPr>
          <w:sz w:val="24"/>
        </w:rPr>
        <w:sectPr>
          <w:pgSz w:w="11910" w:h="16840"/>
          <w:pgMar w:header="0" w:footer="1186" w:top="1200" w:bottom="1440" w:left="1180" w:right="1180"/>
        </w:sectPr>
      </w:pPr>
    </w:p>
    <w:p>
      <w:pPr>
        <w:spacing w:before="1"/>
        <w:ind w:left="238" w:right="0" w:firstLine="0"/>
        <w:jc w:val="left"/>
        <w:rPr>
          <w:b/>
          <w:sz w:val="28"/>
        </w:rPr>
      </w:pPr>
      <w:r>
        <w:rPr/>
        <w:pict>
          <v:group style="position:absolute;margin-left:64.370499pt;margin-top:87.649986pt;width:466.6pt;height:680.1pt;mso-position-horizontal-relative:page;mso-position-vertical-relative:page;z-index:-83440" coordorigin="1287,1753" coordsize="9332,13602">
            <v:line style="position:absolute" from="1297,1763" to="10609,1763" stroked="true" strokeweight=".48pt" strokecolor="#000000">
              <v:stroke dashstyle="solid"/>
            </v:line>
            <v:shape style="position:absolute;left:1292;top:1758;width:9317;height:13592" coordorigin="1292,1758" coordsize="9317,13592" path="m1292,1758l1292,15349m1297,15344l10609,15344e" filled="false" stroked="true" strokeweight=".481pt" strokecolor="#000000">
              <v:path arrowok="t"/>
              <v:stroke dashstyle="solid"/>
            </v:shape>
            <v:line style="position:absolute" from="10614,1758" to="10614,15349" stroked="true" strokeweight=".48pt" strokecolor="#000000">
              <v:stroke dashstyle="solid"/>
            </v:line>
            <w10:wrap type="none"/>
          </v:group>
        </w:pict>
      </w:r>
      <w:r>
        <w:rPr>
          <w:b/>
          <w:w w:val="95"/>
          <w:sz w:val="28"/>
        </w:rPr>
        <w:t>结论与建议</w:t>
      </w:r>
    </w:p>
    <w:p>
      <w:pPr>
        <w:pStyle w:val="Heading2"/>
        <w:spacing w:before="221"/>
        <w:ind w:left="220"/>
      </w:pPr>
      <w:r>
        <w:rPr/>
        <w:t>一、结论</w:t>
      </w:r>
    </w:p>
    <w:p>
      <w:pPr>
        <w:spacing w:before="153"/>
        <w:ind w:left="702" w:right="0" w:firstLine="0"/>
        <w:jc w:val="left"/>
        <w:rPr>
          <w:b/>
          <w:sz w:val="24"/>
        </w:rPr>
      </w:pPr>
      <w:r>
        <w:rPr>
          <w:rFonts w:ascii="Times New Roman" w:eastAsia="Times New Roman"/>
          <w:b/>
          <w:w w:val="95"/>
          <w:sz w:val="24"/>
        </w:rPr>
        <w:t>1</w:t>
      </w:r>
      <w:r>
        <w:rPr>
          <w:b/>
          <w:w w:val="95"/>
          <w:sz w:val="24"/>
        </w:rPr>
        <w:t>、产业政策、规划合理性结论</w:t>
      </w:r>
    </w:p>
    <w:p>
      <w:pPr>
        <w:pStyle w:val="BodyText"/>
        <w:spacing w:line="345" w:lineRule="auto"/>
        <w:ind w:left="220" w:right="104" w:firstLine="482"/>
      </w:pPr>
      <w:r>
        <w:rPr>
          <w:b/>
          <w:spacing w:val="-12"/>
        </w:rPr>
        <w:t>（</w:t>
      </w:r>
      <w:r>
        <w:rPr>
          <w:rFonts w:ascii="Times New Roman" w:hAnsi="Times New Roman" w:eastAsia="Times New Roman"/>
          <w:b/>
          <w:spacing w:val="-12"/>
        </w:rPr>
        <w:t>1</w:t>
      </w:r>
      <w:r>
        <w:rPr>
          <w:b/>
          <w:spacing w:val="-12"/>
        </w:rPr>
        <w:t>）</w:t>
      </w:r>
      <w:r>
        <w:rPr>
          <w:b/>
          <w:spacing w:val="-7"/>
        </w:rPr>
        <w:t>产业政策：</w:t>
      </w:r>
      <w:r>
        <w:rPr>
          <w:spacing w:val="-5"/>
        </w:rPr>
        <w:t>本项目属于城市污水管网建设，不属于国家发展和改革委员会《产业结构调整指导目录》（</w:t>
      </w:r>
      <w:r>
        <w:rPr>
          <w:rFonts w:ascii="Times New Roman" w:hAnsi="Times New Roman" w:eastAsia="Times New Roman"/>
          <w:spacing w:val="-5"/>
        </w:rPr>
        <w:t>2011</w:t>
      </w:r>
      <w:r>
        <w:rPr>
          <w:rFonts w:ascii="Times New Roman" w:hAnsi="Times New Roman" w:eastAsia="Times New Roman"/>
          <w:spacing w:val="52"/>
        </w:rPr>
        <w:t> </w:t>
      </w:r>
      <w:r>
        <w:rPr/>
        <w:t>年本）（</w:t>
      </w:r>
      <w:r>
        <w:rPr>
          <w:rFonts w:ascii="Times New Roman" w:hAnsi="Times New Roman" w:eastAsia="Times New Roman"/>
        </w:rPr>
        <w:t>2013</w:t>
      </w:r>
      <w:r>
        <w:rPr>
          <w:rFonts w:ascii="Times New Roman" w:hAnsi="Times New Roman" w:eastAsia="Times New Roman"/>
          <w:spacing w:val="52"/>
        </w:rPr>
        <w:t> </w:t>
      </w:r>
      <w:r>
        <w:rPr/>
        <w:t>修正）的鼓励类、限制类、淘汰类，符合</w:t>
      </w:r>
      <w:r>
        <w:rPr>
          <w:spacing w:val="-3"/>
        </w:rPr>
        <w:t>国务院《促进产业结构调整暂行规定</w:t>
      </w:r>
      <w:r>
        <w:rPr>
          <w:spacing w:val="-132"/>
        </w:rPr>
        <w:t>》</w:t>
      </w:r>
      <w:r>
        <w:rPr/>
        <w:t>（</w:t>
      </w:r>
      <w:r>
        <w:rPr>
          <w:spacing w:val="-6"/>
        </w:rPr>
        <w:t>国发</w:t>
      </w:r>
      <w:r>
        <w:rPr/>
        <w:t>［</w:t>
      </w:r>
      <w:r>
        <w:rPr>
          <w:rFonts w:ascii="Times New Roman" w:hAnsi="Times New Roman" w:eastAsia="Times New Roman"/>
        </w:rPr>
        <w:t>2005</w:t>
      </w:r>
      <w:r>
        <w:rPr/>
        <w:t>］</w:t>
      </w:r>
      <w:r>
        <w:rPr>
          <w:rFonts w:ascii="Times New Roman" w:hAnsi="Times New Roman" w:eastAsia="Times New Roman"/>
        </w:rPr>
        <w:t>40 </w:t>
      </w:r>
      <w:r>
        <w:rPr/>
        <w:t>号</w:t>
      </w:r>
      <w:r>
        <w:rPr>
          <w:spacing w:val="-12"/>
        </w:rPr>
        <w:t>）</w:t>
      </w:r>
      <w:r>
        <w:rPr>
          <w:spacing w:val="-2"/>
        </w:rPr>
        <w:t>第二章第五条“加强能源、</w:t>
      </w:r>
      <w:r>
        <w:rPr>
          <w:spacing w:val="-4"/>
        </w:rPr>
        <w:t>交通、水利和信息等基础设施建设，增强对经济社会发展的保障能力”的要求，属于允</w:t>
      </w:r>
      <w:r>
        <w:rPr>
          <w:spacing w:val="-5"/>
        </w:rPr>
        <w:t>许类。开江县发展和改革局以“关于对梅家乡集镇雨污分流管网及人行道改造工程项目可行性研究报告的批复（开发行审［</w:t>
      </w:r>
      <w:r>
        <w:rPr>
          <w:rFonts w:ascii="Times New Roman" w:hAnsi="Times New Roman" w:eastAsia="Times New Roman"/>
          <w:spacing w:val="-5"/>
        </w:rPr>
        <w:t>20</w:t>
      </w:r>
      <w:r>
        <w:rPr>
          <w:rFonts w:ascii="Times New Roman" w:hAnsi="Times New Roman" w:eastAsia="Times New Roman"/>
          <w:spacing w:val="-9"/>
        </w:rPr>
        <w:t>1</w:t>
      </w:r>
      <w:r>
        <w:rPr>
          <w:rFonts w:ascii="Times New Roman" w:hAnsi="Times New Roman" w:eastAsia="Times New Roman"/>
        </w:rPr>
        <w:t>1</w:t>
      </w:r>
      <w:r>
        <w:rPr/>
        <w:t>］</w:t>
      </w:r>
      <w:r>
        <w:rPr>
          <w:rFonts w:ascii="Times New Roman" w:hAnsi="Times New Roman" w:eastAsia="Times New Roman"/>
        </w:rPr>
        <w:t>143 </w:t>
      </w:r>
      <w:r>
        <w:rPr/>
        <w:t>号</w:t>
      </w:r>
      <w:r>
        <w:rPr>
          <w:spacing w:val="-120"/>
        </w:rPr>
        <w:t>）</w:t>
      </w:r>
      <w:r>
        <w:rPr/>
        <w:t>”同意本项目立项。</w:t>
      </w:r>
    </w:p>
    <w:p>
      <w:pPr>
        <w:pStyle w:val="Heading2"/>
        <w:spacing w:before="19"/>
        <w:ind w:left="702"/>
      </w:pPr>
      <w:r>
        <w:rPr>
          <w:w w:val="95"/>
        </w:rPr>
        <w:t>综上所述，本项目的建设符合国家现行的产业政策。</w:t>
      </w:r>
    </w:p>
    <w:p>
      <w:pPr>
        <w:pStyle w:val="BodyText"/>
        <w:spacing w:line="350" w:lineRule="auto" w:before="154"/>
        <w:ind w:left="220" w:right="118" w:firstLine="482"/>
      </w:pPr>
      <w:r>
        <w:rPr>
          <w:b/>
          <w:spacing w:val="2"/>
        </w:rPr>
        <w:t>（</w:t>
      </w:r>
      <w:r>
        <w:rPr>
          <w:rFonts w:ascii="Times New Roman" w:eastAsia="Times New Roman"/>
          <w:b/>
          <w:spacing w:val="2"/>
        </w:rPr>
        <w:t>2</w:t>
      </w:r>
      <w:r>
        <w:rPr>
          <w:b/>
          <w:spacing w:val="2"/>
        </w:rPr>
        <w:t>）</w:t>
      </w:r>
      <w:r>
        <w:rPr>
          <w:b/>
          <w:spacing w:val="3"/>
        </w:rPr>
        <w:t>规划符合性：</w:t>
      </w:r>
      <w:r>
        <w:rPr/>
        <w:t>本项目位于开江县梅家乡，根据开江县梅家乡城镇总体规划， </w:t>
      </w:r>
      <w:r>
        <w:rPr>
          <w:spacing w:val="-6"/>
        </w:rPr>
        <w:t>本项目的建设内容符合城镇给排水规划。本工程均沿现有的走向进行铺设，不新增用地， 临时用地较少，符合集约和合理利用土地原则。工程均为城镇建成区，沿线不涉及自然</w:t>
      </w:r>
      <w:r>
        <w:rPr>
          <w:spacing w:val="-7"/>
        </w:rPr>
        <w:t>保护区、风景名胜区及重点文物古迹，项目施工范围内无饮用水源取水口，下游 </w:t>
      </w:r>
      <w:r>
        <w:rPr>
          <w:rFonts w:ascii="Times New Roman" w:eastAsia="Times New Roman"/>
        </w:rPr>
        <w:t>10</w:t>
      </w:r>
      <w:r>
        <w:rPr>
          <w:rFonts w:ascii="Times New Roman" w:eastAsia="Times New Roman"/>
          <w:spacing w:val="52"/>
        </w:rPr>
        <w:t> </w:t>
      </w:r>
      <w:r>
        <w:rPr/>
        <w:t>公</w:t>
      </w:r>
      <w:r>
        <w:rPr>
          <w:spacing w:val="-3"/>
        </w:rPr>
        <w:t>里河道内无地表水饮用水源取水口，评价范围内没有明显的环境制约因素，因此，本项目选址合理。</w:t>
      </w:r>
    </w:p>
    <w:p>
      <w:pPr>
        <w:pStyle w:val="Heading2"/>
        <w:spacing w:before="43"/>
        <w:ind w:left="702"/>
      </w:pPr>
      <w:r>
        <w:rPr>
          <w:w w:val="95"/>
        </w:rPr>
        <w:t>综上所述，本项目符合开江县梅家乡城镇总体规划。</w:t>
      </w:r>
    </w:p>
    <w:p>
      <w:pPr>
        <w:spacing w:before="153"/>
        <w:ind w:left="702" w:right="0" w:firstLine="0"/>
        <w:jc w:val="left"/>
        <w:rPr>
          <w:b/>
          <w:sz w:val="24"/>
        </w:rPr>
      </w:pPr>
      <w:r>
        <w:rPr>
          <w:rFonts w:ascii="Times New Roman" w:eastAsia="Times New Roman"/>
          <w:b/>
          <w:w w:val="95"/>
          <w:sz w:val="24"/>
        </w:rPr>
        <w:t>2</w:t>
      </w:r>
      <w:r>
        <w:rPr>
          <w:b/>
          <w:w w:val="95"/>
          <w:sz w:val="24"/>
        </w:rPr>
        <w:t>、环境质量现状结论</w:t>
      </w:r>
    </w:p>
    <w:p>
      <w:pPr>
        <w:pStyle w:val="ListParagraph"/>
        <w:numPr>
          <w:ilvl w:val="1"/>
          <w:numId w:val="5"/>
        </w:numPr>
        <w:tabs>
          <w:tab w:pos="1061" w:val="left" w:leader="none"/>
        </w:tabs>
        <w:spacing w:line="240" w:lineRule="auto" w:before="135" w:after="0"/>
        <w:ind w:left="1060" w:right="0" w:hanging="360"/>
        <w:jc w:val="left"/>
        <w:rPr>
          <w:sz w:val="24"/>
        </w:rPr>
      </w:pPr>
      <w:r>
        <w:rPr>
          <w:sz w:val="24"/>
        </w:rPr>
        <w:t>环境空气质量现状</w:t>
      </w:r>
    </w:p>
    <w:p>
      <w:pPr>
        <w:pStyle w:val="BodyText"/>
        <w:spacing w:line="338" w:lineRule="auto"/>
        <w:ind w:left="220" w:right="104" w:firstLine="464"/>
      </w:pPr>
      <w:r>
        <w:rPr>
          <w:spacing w:val="-11"/>
        </w:rPr>
        <w:t>项目所在区域的环境空气质量满足《环境空气质量标准》</w:t>
      </w:r>
      <w:r>
        <w:rPr>
          <w:rFonts w:ascii="Times New Roman" w:eastAsia="Times New Roman"/>
          <w:spacing w:val="-5"/>
        </w:rPr>
        <w:t>(GB3095-2012)</w:t>
      </w:r>
      <w:r>
        <w:rPr>
          <w:spacing w:val="-8"/>
        </w:rPr>
        <w:t>中的二级标准限值要求。</w:t>
      </w:r>
    </w:p>
    <w:p>
      <w:pPr>
        <w:pStyle w:val="ListParagraph"/>
        <w:numPr>
          <w:ilvl w:val="1"/>
          <w:numId w:val="5"/>
        </w:numPr>
        <w:tabs>
          <w:tab w:pos="1061" w:val="left" w:leader="none"/>
        </w:tabs>
        <w:spacing w:line="240" w:lineRule="auto" w:before="55" w:after="0"/>
        <w:ind w:left="1060" w:right="0" w:hanging="360"/>
        <w:jc w:val="left"/>
        <w:rPr>
          <w:sz w:val="24"/>
        </w:rPr>
      </w:pPr>
      <w:r>
        <w:rPr>
          <w:sz w:val="24"/>
        </w:rPr>
        <w:t>声环境质量现状</w:t>
      </w:r>
    </w:p>
    <w:p>
      <w:pPr>
        <w:pStyle w:val="BodyText"/>
        <w:spacing w:line="338" w:lineRule="auto"/>
        <w:ind w:left="220" w:right="231" w:firstLine="480"/>
      </w:pPr>
      <w:r>
        <w:rPr>
          <w:spacing w:val="-2"/>
        </w:rPr>
        <w:t>建设项目区域噪声可以满足《声环境质量标准</w:t>
      </w:r>
      <w:r>
        <w:rPr>
          <w:spacing w:val="-143"/>
        </w:rPr>
        <w:t>》</w:t>
      </w:r>
      <w:r>
        <w:rPr/>
        <w:t>（</w:t>
      </w:r>
      <w:r>
        <w:rPr>
          <w:rFonts w:ascii="Times New Roman" w:eastAsia="Times New Roman"/>
        </w:rPr>
        <w:t>GB3096-2008</w:t>
      </w:r>
      <w:r>
        <w:rPr/>
        <w:t>）</w:t>
      </w:r>
      <w:r>
        <w:rPr>
          <w:spacing w:val="-36"/>
        </w:rPr>
        <w:t>中 </w:t>
      </w:r>
      <w:r>
        <w:rPr>
          <w:rFonts w:ascii="Times New Roman" w:eastAsia="Times New Roman"/>
        </w:rPr>
        <w:t>2 </w:t>
      </w:r>
      <w:r>
        <w:rPr/>
        <w:t>类标准限值的要求。</w:t>
      </w:r>
    </w:p>
    <w:p>
      <w:pPr>
        <w:pStyle w:val="ListParagraph"/>
        <w:numPr>
          <w:ilvl w:val="1"/>
          <w:numId w:val="5"/>
        </w:numPr>
        <w:tabs>
          <w:tab w:pos="1061" w:val="left" w:leader="none"/>
        </w:tabs>
        <w:spacing w:line="240" w:lineRule="auto" w:before="55" w:after="0"/>
        <w:ind w:left="1060" w:right="0" w:hanging="360"/>
        <w:jc w:val="left"/>
        <w:rPr>
          <w:sz w:val="24"/>
        </w:rPr>
      </w:pPr>
      <w:r>
        <w:rPr>
          <w:sz w:val="24"/>
        </w:rPr>
        <w:t>地表水环境质量现状</w:t>
      </w:r>
    </w:p>
    <w:p>
      <w:pPr>
        <w:pStyle w:val="BodyText"/>
        <w:spacing w:line="338" w:lineRule="auto" w:before="136"/>
        <w:ind w:left="220" w:right="104" w:firstLine="480"/>
      </w:pPr>
      <w:r>
        <w:rPr>
          <w:spacing w:val="-13"/>
        </w:rPr>
        <w:t>建设项目所在区域的地表水水质较好，满足《地表水环境质量标准</w:t>
      </w:r>
      <w:r>
        <w:rPr>
          <w:spacing w:val="-237"/>
        </w:rPr>
        <w:t>》</w:t>
      </w:r>
      <w:r>
        <w:rPr/>
        <w:t>（</w:t>
      </w:r>
      <w:r>
        <w:rPr>
          <w:rFonts w:ascii="Times New Roman" w:hAnsi="Times New Roman" w:eastAsia="Times New Roman"/>
        </w:rPr>
        <w:t>GB3838</w:t>
      </w:r>
      <w:r>
        <w:rPr/>
        <w:t>－</w:t>
      </w:r>
      <w:r>
        <w:rPr>
          <w:rFonts w:ascii="Times New Roman" w:hAnsi="Times New Roman" w:eastAsia="Times New Roman"/>
        </w:rPr>
        <w:t>2002</w:t>
      </w:r>
      <w:r>
        <w:rPr/>
        <w:t>） 中Ⅲ类水质标准。</w:t>
      </w:r>
    </w:p>
    <w:p>
      <w:pPr>
        <w:pStyle w:val="Heading2"/>
        <w:spacing w:before="55"/>
        <w:ind w:left="702"/>
      </w:pPr>
      <w:r>
        <w:rPr>
          <w:rFonts w:ascii="Times New Roman" w:eastAsia="Times New Roman"/>
          <w:w w:val="95"/>
        </w:rPr>
        <w:t>3</w:t>
      </w:r>
      <w:r>
        <w:rPr>
          <w:w w:val="95"/>
        </w:rPr>
        <w:t>、环境影响评价结论</w:t>
      </w:r>
    </w:p>
    <w:p>
      <w:pPr>
        <w:pStyle w:val="BodyText"/>
        <w:ind w:left="700"/>
      </w:pPr>
      <w:r>
        <w:rPr>
          <w:rFonts w:ascii="仿宋_GB2312" w:eastAsia="仿宋_GB2312" w:hint="eastAsia"/>
        </w:rPr>
        <w:t>（</w:t>
      </w:r>
      <w:r>
        <w:rPr>
          <w:rFonts w:ascii="Times New Roman" w:eastAsia="Times New Roman"/>
        </w:rPr>
        <w:t>1</w:t>
      </w:r>
      <w:r>
        <w:rPr>
          <w:rFonts w:ascii="仿宋_GB2312" w:eastAsia="仿宋_GB2312" w:hint="eastAsia"/>
        </w:rPr>
        <w:t>）</w:t>
      </w:r>
      <w:r>
        <w:rPr/>
        <w:t>施工期环境影响分析</w:t>
      </w:r>
    </w:p>
    <w:p>
      <w:pPr>
        <w:pStyle w:val="BodyText"/>
        <w:ind w:left="700"/>
      </w:pPr>
      <w:r>
        <w:rPr/>
        <w:t>①水环境影响</w:t>
      </w:r>
    </w:p>
    <w:p>
      <w:pPr>
        <w:spacing w:after="0"/>
        <w:sectPr>
          <w:pgSz w:w="11910" w:h="16840"/>
          <w:pgMar w:header="0" w:footer="1186" w:top="1200" w:bottom="1440" w:left="1180" w:right="1160"/>
        </w:sectPr>
      </w:pPr>
    </w:p>
    <w:p>
      <w:pPr>
        <w:pStyle w:val="BodyText"/>
        <w:spacing w:line="357" w:lineRule="auto" w:before="45"/>
        <w:ind w:left="220" w:firstLine="480"/>
      </w:pPr>
      <w:r>
        <w:rPr/>
        <w:pict>
          <v:group style="position:absolute;margin-left:64.370499pt;margin-top:56.448982pt;width:466.6pt;height:703.5pt;mso-position-horizontal-relative:page;mso-position-vertical-relative:page;z-index:-83416" coordorigin="1287,1129" coordsize="9332,14070">
            <v:shape style="position:absolute;left:1292;top:1134;width:9317;height:14060" coordorigin="1292,1134" coordsize="9317,14060" path="m1297,1139l10609,1139m1292,1134l1292,15193e" filled="false" stroked="true" strokeweight=".481pt" strokecolor="#000000">
              <v:path arrowok="t"/>
              <v:stroke dashstyle="solid"/>
            </v:shape>
            <v:line style="position:absolute" from="1297,15188" to="10609,15188" stroked="true" strokeweight=".48pt" strokecolor="#000000">
              <v:stroke dashstyle="solid"/>
            </v:line>
            <v:line style="position:absolute" from="10614,1134" to="10614,15193" stroked="true" strokeweight=".48pt" strokecolor="#000000">
              <v:stroke dashstyle="solid"/>
            </v:line>
            <w10:wrap type="none"/>
          </v:group>
        </w:pict>
      </w:r>
      <w:r>
        <w:rPr/>
        <w:t>项目施工期间产生的废水量小，成份简单，生产废水经沉淀池沉淀后回用，施工人员生活污水经民房现有的设施进行处理，不外排。对地表水环境影响较小。</w:t>
      </w:r>
    </w:p>
    <w:p>
      <w:pPr>
        <w:pStyle w:val="BodyText"/>
        <w:spacing w:before="36"/>
        <w:ind w:left="700"/>
      </w:pPr>
      <w:r>
        <w:rPr/>
        <w:t>②声环境影响</w:t>
      </w:r>
    </w:p>
    <w:p>
      <w:pPr>
        <w:pStyle w:val="BodyText"/>
        <w:spacing w:line="357" w:lineRule="auto" w:before="154"/>
        <w:ind w:left="220" w:right="218" w:firstLine="480"/>
        <w:jc w:val="both"/>
      </w:pPr>
      <w:r>
        <w:rPr>
          <w:spacing w:val="-3"/>
        </w:rPr>
        <w:t>项目施工过程中，施工噪声会对区域声环境产生影响，根据现场调查，施工期通过</w:t>
      </w:r>
      <w:r>
        <w:rPr>
          <w:spacing w:val="-5"/>
        </w:rPr>
        <w:t>加强施工机械的维护保养工作，合理安排施工场所和施工时间等措施，降低了噪声对外环境的影响，施工期间未接到周边居民投诉。</w:t>
      </w:r>
    </w:p>
    <w:p>
      <w:pPr>
        <w:pStyle w:val="BodyText"/>
        <w:spacing w:before="36"/>
        <w:ind w:left="700"/>
      </w:pPr>
      <w:r>
        <w:rPr/>
        <w:t>③大气环境影响</w:t>
      </w:r>
    </w:p>
    <w:p>
      <w:pPr>
        <w:pStyle w:val="BodyText"/>
        <w:spacing w:line="357" w:lineRule="auto" w:before="153"/>
        <w:ind w:left="220" w:firstLine="480"/>
      </w:pPr>
      <w:r>
        <w:rPr/>
        <w:t>施工期产生的大气污染物有施工扬尘、施工设备（包括车辆）排放的烟气，施工期采取相应措施后，对大气环境影响不会产生明显影响。</w:t>
      </w:r>
    </w:p>
    <w:p>
      <w:pPr>
        <w:pStyle w:val="BodyText"/>
        <w:spacing w:before="36"/>
        <w:ind w:left="700"/>
      </w:pPr>
      <w:r>
        <w:rPr/>
        <w:t>④固体废弃物影响</w:t>
      </w:r>
    </w:p>
    <w:p>
      <w:pPr>
        <w:pStyle w:val="BodyText"/>
        <w:spacing w:line="357" w:lineRule="auto" w:before="154"/>
        <w:ind w:left="220" w:firstLine="480"/>
      </w:pPr>
      <w:r>
        <w:rPr/>
        <w:t>项目临时弃方运送到指定的渣场堆放，不会对环境造成大的或永久的影响；施工人员产生的生活垃圾通过袋装收集后送往城市垃圾处理场集中处置，不影响环境。</w:t>
      </w:r>
    </w:p>
    <w:p>
      <w:pPr>
        <w:pStyle w:val="BodyText"/>
        <w:spacing w:before="36"/>
        <w:ind w:left="700"/>
      </w:pPr>
      <w:r>
        <w:rPr/>
        <w:t>根据现场调查，施工期已完成，施工期无环境遗留问题。</w:t>
      </w:r>
    </w:p>
    <w:p>
      <w:pPr>
        <w:pStyle w:val="BodyText"/>
        <w:spacing w:before="153"/>
        <w:ind w:left="700"/>
      </w:pPr>
      <w:r>
        <w:rPr/>
        <w:t>（</w:t>
      </w:r>
      <w:r>
        <w:rPr>
          <w:rFonts w:ascii="Times New Roman" w:eastAsia="Times New Roman"/>
        </w:rPr>
        <w:t>2</w:t>
      </w:r>
      <w:r>
        <w:rPr/>
        <w:t>）营运期环境影响分析</w:t>
      </w:r>
    </w:p>
    <w:p>
      <w:pPr>
        <w:pStyle w:val="BodyText"/>
        <w:spacing w:line="357" w:lineRule="auto"/>
        <w:ind w:left="220" w:right="218" w:firstLine="480"/>
        <w:jc w:val="both"/>
      </w:pPr>
      <w:r>
        <w:rPr>
          <w:spacing w:val="-3"/>
        </w:rPr>
        <w:t>本工程属市政基础设施项目，管道为地下铺设。项目主要污染集中在施工期，项目</w:t>
      </w:r>
      <w:r>
        <w:rPr>
          <w:spacing w:val="-4"/>
        </w:rPr>
        <w:t>建成后，污水管网工程运营后，除存在管网破裂的环境风险问题外，无“三废”及噪声产生，对环境无影响。</w:t>
      </w:r>
    </w:p>
    <w:p>
      <w:pPr>
        <w:pStyle w:val="BodyText"/>
        <w:spacing w:line="357" w:lineRule="auto" w:before="36"/>
        <w:ind w:left="220" w:right="98" w:firstLine="480"/>
      </w:pPr>
      <w:r>
        <w:rPr>
          <w:spacing w:val="-2"/>
        </w:rPr>
        <w:t>城镇人口增多直接造成了污水量的增加，导致一部分污水无法进行收集处理，直接</w:t>
      </w:r>
      <w:r>
        <w:rPr>
          <w:spacing w:val="-13"/>
        </w:rPr>
        <w:t>排入了河道，对环境的污染较为严重。项目的建成将大大改善和提高片区的污水收集率， </w:t>
      </w:r>
      <w:r>
        <w:rPr>
          <w:spacing w:val="-17"/>
        </w:rPr>
        <w:t>带来很好的生态环境效果。因此，建设和完善城镇的雨水和污水干管，扩大污水收集量， 最终使得污水经收集后进行集中处理，本工程建设是实现可持续发展战略和跨越式发展的重要举措。</w:t>
      </w:r>
    </w:p>
    <w:p>
      <w:pPr>
        <w:pStyle w:val="BodyText"/>
        <w:spacing w:line="357" w:lineRule="auto" w:before="36"/>
        <w:ind w:left="220" w:right="218" w:firstLine="480"/>
      </w:pPr>
      <w:r>
        <w:rPr/>
        <w:t>因此，本项目的实施不论从环境影响角度上分析，还是从提高片区群众的生活质量上讲都有正效益。</w:t>
      </w:r>
    </w:p>
    <w:p>
      <w:pPr>
        <w:pStyle w:val="Heading2"/>
        <w:spacing w:before="36"/>
        <w:ind w:left="702"/>
      </w:pPr>
      <w:r>
        <w:rPr>
          <w:rFonts w:ascii="Times New Roman" w:eastAsia="Times New Roman"/>
          <w:w w:val="95"/>
        </w:rPr>
        <w:t>4</w:t>
      </w:r>
      <w:r>
        <w:rPr>
          <w:w w:val="95"/>
        </w:rPr>
        <w:t>、清洁生产水平分析</w:t>
      </w:r>
    </w:p>
    <w:p>
      <w:pPr>
        <w:pStyle w:val="BodyText"/>
        <w:spacing w:line="357" w:lineRule="auto"/>
        <w:ind w:left="220" w:right="218" w:firstLine="480"/>
        <w:jc w:val="both"/>
      </w:pPr>
      <w:r>
        <w:rPr>
          <w:spacing w:val="-3"/>
        </w:rPr>
        <w:t>本项目属生态性项目，清洁生产主要体现在施工中使用清洁、环保材料，整治完成</w:t>
      </w:r>
      <w:r>
        <w:rPr>
          <w:spacing w:val="-5"/>
        </w:rPr>
        <w:t>后营造环境宜人的道路。另外采取了可行的污染防治措施，对固废、垃圾实行了无害化处置，工程完成后对临时占地进行绿化。总体上说，本项目符合清洁生产的原则。</w:t>
      </w:r>
    </w:p>
    <w:p>
      <w:pPr>
        <w:pStyle w:val="Heading2"/>
        <w:spacing w:before="36"/>
        <w:ind w:left="702"/>
        <w:rPr>
          <w:b w:val="0"/>
        </w:rPr>
      </w:pPr>
      <w:r>
        <w:rPr>
          <w:rFonts w:ascii="Times New Roman" w:eastAsia="Times New Roman"/>
          <w:w w:val="95"/>
        </w:rPr>
        <w:t>5</w:t>
      </w:r>
      <w:r>
        <w:rPr>
          <w:w w:val="95"/>
        </w:rPr>
        <w:t>、污染治理措施的合理性和有效性</w:t>
      </w:r>
      <w:r>
        <w:rPr>
          <w:b w:val="0"/>
        </w:rPr>
        <w:t> </w:t>
      </w:r>
    </w:p>
    <w:p>
      <w:pPr>
        <w:pStyle w:val="BodyText"/>
        <w:spacing w:before="136"/>
        <w:ind w:left="700"/>
      </w:pPr>
      <w:r>
        <w:rPr/>
        <w:t>该项目施工期无环境遗留问题，营运期无污染物产生，工程建成后具有良好的环境</w:t>
      </w:r>
    </w:p>
    <w:p>
      <w:pPr>
        <w:spacing w:after="0"/>
        <w:sectPr>
          <w:pgSz w:w="11910" w:h="16840"/>
          <w:pgMar w:header="0" w:footer="1186" w:top="1120" w:bottom="1440" w:left="1180" w:right="1180"/>
        </w:sectPr>
      </w:pPr>
    </w:p>
    <w:p>
      <w:pPr>
        <w:pStyle w:val="BodyText"/>
        <w:spacing w:before="45"/>
        <w:ind w:left="220"/>
      </w:pPr>
      <w:r>
        <w:rPr/>
        <w:pict>
          <v:group style="position:absolute;margin-left:64.370499pt;margin-top:56.448982pt;width:466.6pt;height:681.1pt;mso-position-horizontal-relative:page;mso-position-vertical-relative:page;z-index:-83392" coordorigin="1287,1129" coordsize="9332,13622">
            <v:shape style="position:absolute;left:1292;top:1134;width:9317;height:13612" coordorigin="1292,1134" coordsize="9317,13612" path="m1297,1139l10609,1139m1292,1134l1292,14746e" filled="false" stroked="true" strokeweight=".481pt" strokecolor="#000000">
              <v:path arrowok="t"/>
              <v:stroke dashstyle="solid"/>
            </v:shape>
            <v:line style="position:absolute" from="1297,14741" to="10609,14741" stroked="true" strokeweight=".48pt" strokecolor="#000000">
              <v:stroke dashstyle="solid"/>
            </v:line>
            <v:line style="position:absolute" from="10614,1134" to="10614,14746" stroked="true" strokeweight=".48pt" strokecolor="#000000">
              <v:stroke dashstyle="solid"/>
            </v:line>
            <w10:wrap type="none"/>
          </v:group>
        </w:pict>
      </w:r>
      <w:r>
        <w:rPr/>
        <w:t>正效益。</w:t>
      </w:r>
    </w:p>
    <w:p>
      <w:pPr>
        <w:pStyle w:val="Heading2"/>
        <w:spacing w:before="153"/>
        <w:ind w:left="702"/>
      </w:pPr>
      <w:bookmarkStart w:name="6、总量控制" w:id="1"/>
      <w:bookmarkEnd w:id="1"/>
      <w:r>
        <w:rPr>
          <w:b w:val="0"/>
        </w:rPr>
      </w:r>
      <w:r>
        <w:rPr>
          <w:rFonts w:ascii="Times New Roman" w:eastAsia="Times New Roman"/>
          <w:w w:val="95"/>
        </w:rPr>
        <w:t>6</w:t>
      </w:r>
      <w:r>
        <w:rPr>
          <w:w w:val="95"/>
        </w:rPr>
        <w:t>、总量控制</w:t>
      </w:r>
    </w:p>
    <w:p>
      <w:pPr>
        <w:pStyle w:val="BodyText"/>
        <w:ind w:left="700"/>
      </w:pPr>
      <w:r>
        <w:rPr/>
        <w:t>本项目不设总量控制指标。</w:t>
      </w:r>
    </w:p>
    <w:p>
      <w:pPr>
        <w:pStyle w:val="Heading2"/>
        <w:ind w:left="702"/>
      </w:pPr>
      <w:bookmarkStart w:name="7、评价结论" w:id="2"/>
      <w:bookmarkEnd w:id="2"/>
      <w:r>
        <w:rPr>
          <w:b w:val="0"/>
        </w:rPr>
      </w:r>
      <w:r>
        <w:rPr>
          <w:rFonts w:ascii="Times New Roman" w:eastAsia="Times New Roman"/>
          <w:w w:val="95"/>
        </w:rPr>
        <w:t>7</w:t>
      </w:r>
      <w:r>
        <w:rPr>
          <w:w w:val="95"/>
        </w:rPr>
        <w:t>、评价结论</w:t>
      </w:r>
    </w:p>
    <w:p>
      <w:pPr>
        <w:spacing w:line="357" w:lineRule="auto" w:before="136"/>
        <w:ind w:left="220" w:right="217" w:firstLine="482"/>
        <w:jc w:val="both"/>
        <w:rPr>
          <w:b/>
          <w:sz w:val="24"/>
        </w:rPr>
      </w:pPr>
      <w:r>
        <w:rPr>
          <w:b/>
          <w:spacing w:val="-3"/>
          <w:sz w:val="24"/>
        </w:rPr>
        <w:t>本项目符合国家产业政策，选址符合当地政府规划。项目所在区域内无重大环境制</w:t>
      </w:r>
      <w:r>
        <w:rPr>
          <w:b/>
          <w:spacing w:val="-16"/>
          <w:w w:val="95"/>
          <w:sz w:val="24"/>
        </w:rPr>
        <w:t>约要素，环境质量现状较好。项目贯彻了“清洁生产”、“总量控制”和“达标排放”原   </w:t>
      </w:r>
      <w:r>
        <w:rPr>
          <w:b/>
          <w:spacing w:val="-8"/>
          <w:sz w:val="24"/>
        </w:rPr>
        <w:t>则，采取的污染物治理方案均技术可行，措施有效。项目实施后不会改变评价区内地表水、地下水、环境空气、声环境的现有环境质量级别和功能。只要落实本报告表提出的</w:t>
      </w:r>
      <w:r>
        <w:rPr>
          <w:b/>
          <w:spacing w:val="-8"/>
          <w:w w:val="95"/>
          <w:sz w:val="24"/>
        </w:rPr>
        <w:t>环保对策措施，本项目建设从环境保护角度而言是可行的。</w:t>
      </w:r>
    </w:p>
    <w:p>
      <w:pPr>
        <w:pStyle w:val="BodyText"/>
        <w:spacing w:before="0"/>
        <w:rPr>
          <w:b/>
        </w:rPr>
      </w:pPr>
    </w:p>
    <w:p>
      <w:pPr>
        <w:spacing w:before="190"/>
        <w:ind w:left="220" w:right="0" w:firstLine="0"/>
        <w:jc w:val="left"/>
        <w:rPr>
          <w:b/>
          <w:sz w:val="24"/>
        </w:rPr>
      </w:pPr>
      <w:r>
        <w:rPr>
          <w:b/>
          <w:sz w:val="24"/>
        </w:rPr>
        <w:t>二、建议</w:t>
      </w:r>
    </w:p>
    <w:p>
      <w:pPr>
        <w:pStyle w:val="BodyText"/>
        <w:spacing w:before="153"/>
        <w:ind w:left="700"/>
      </w:pPr>
      <w:r>
        <w:rPr>
          <w:rFonts w:ascii="Times New Roman" w:eastAsia="Times New Roman"/>
        </w:rPr>
        <w:t>1</w:t>
      </w:r>
      <w:r>
        <w:rPr/>
        <w:t>、切实做好环境的绿化、美化；</w:t>
      </w:r>
    </w:p>
    <w:p>
      <w:pPr>
        <w:pStyle w:val="BodyText"/>
        <w:spacing w:line="338" w:lineRule="auto"/>
        <w:ind w:left="220" w:right="218" w:firstLine="480"/>
      </w:pPr>
      <w:r>
        <w:rPr>
          <w:rFonts w:ascii="Times New Roman" w:hAnsi="Times New Roman" w:eastAsia="Times New Roman"/>
        </w:rPr>
        <w:t>2</w:t>
      </w:r>
      <w:r>
        <w:rPr/>
        <w:t>、接受环境保护等有关部门的监督管理，项目建设完成后要进行工程环境保护设施</w:t>
      </w:r>
      <w:r>
        <w:rPr>
          <w:rFonts w:ascii="Times New Roman" w:hAnsi="Times New Roman" w:eastAsia="Times New Roman"/>
        </w:rPr>
        <w:t>“</w:t>
      </w:r>
      <w:r>
        <w:rPr/>
        <w:t>竣工验收</w:t>
      </w:r>
      <w:r>
        <w:rPr>
          <w:rFonts w:ascii="Times New Roman" w:hAnsi="Times New Roman" w:eastAsia="Times New Roman"/>
        </w:rPr>
        <w:t>”</w:t>
      </w:r>
      <w:r>
        <w:rPr/>
        <w:t>。</w:t>
      </w:r>
    </w:p>
    <w:p>
      <w:pPr>
        <w:pStyle w:val="BodyText"/>
        <w:spacing w:before="26"/>
        <w:ind w:left="684"/>
      </w:pPr>
      <w:r>
        <w:rPr>
          <w:rFonts w:ascii="Times New Roman" w:eastAsia="Times New Roman"/>
        </w:rPr>
        <w:t>3</w:t>
      </w:r>
      <w:r>
        <w:rPr/>
        <w:t>、加强和维护镇污水处理厂的运行管理。</w:t>
      </w:r>
    </w:p>
    <w:p>
      <w:pPr>
        <w:pStyle w:val="BodyText"/>
        <w:spacing w:before="4"/>
        <w:rPr>
          <w:sz w:val="8"/>
        </w:rPr>
      </w:pPr>
    </w:p>
    <w:p>
      <w:pPr>
        <w:pStyle w:val="BodyText"/>
        <w:spacing w:before="26"/>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p>
      <w:pPr>
        <w:pStyle w:val="BodyText"/>
        <w:spacing w:before="153"/>
        <w:ind w:left="220"/>
      </w:pPr>
      <w:r>
        <w:rPr/>
        <w:t> </w:t>
      </w:r>
    </w:p>
    <w:sectPr>
      <w:pgSz w:w="11910" w:h="16840"/>
      <w:pgMar w:header="0" w:footer="1186" w:top="1120" w:bottom="1440" w:left="1180" w:right="11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_GB2312">
    <w:altName w:val="仿宋_GB2312"/>
    <w:charset w:val="86"/>
    <w:family w:val="modern"/>
    <w:pitch w:val="fixed"/>
  </w:font>
  <w:font w:name="宋体">
    <w:altName w:val="宋体"/>
    <w:charset w:val="86"/>
    <w:family w:val="auto"/>
    <w:pitch w:val="variable"/>
  </w:font>
  <w:font w:name="黑体">
    <w:altName w:val="黑体"/>
    <w:charset w:val="86"/>
    <w:family w:val="modern"/>
    <w:pitch w:val="fixed"/>
  </w:font>
  <w:font w:name="新宋体">
    <w:altName w:val="新宋体"/>
    <w:charset w:val="86"/>
    <w:family w:val="modern"/>
    <w:pitch w:val="fixed"/>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291.160004pt;margin-top:768.639954pt;width:13pt;height:12pt;mso-position-horizontal-relative:page;mso-position-vertical-relative:page;z-index:-84256"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71.779999pt;margin-top:753.6875pt;width:8pt;height:14pt;mso-position-horizontal-relative:page;mso-position-vertical-relative:page;z-index:-84232" type="#_x0000_t202" filled="false" stroked="false">
          <v:textbox inset="0,0,0,0">
            <w:txbxContent>
              <w:p>
                <w:pPr>
                  <w:spacing w:line="260" w:lineRule="exact" w:before="0"/>
                  <w:ind w:left="20" w:right="0" w:firstLine="0"/>
                  <w:jc w:val="left"/>
                  <w:rPr>
                    <w:b/>
                    <w:sz w:val="24"/>
                  </w:rPr>
                </w:pPr>
                <w:r>
                  <w:rPr>
                    <w:b/>
                    <w:w w:val="99"/>
                    <w:sz w:val="24"/>
                  </w:rPr>
                  <w:t> </w:t>
                </w:r>
              </w:p>
            </w:txbxContent>
          </v:textbox>
          <w10:wrap type="none"/>
        </v:shape>
      </w:pict>
    </w:r>
    <w:r>
      <w:rPr/>
      <w:pict>
        <v:shape style="position:absolute;margin-left:291.160004pt;margin-top:768.639954pt;width:13pt;height:12pt;mso-position-horizontal-relative:page;mso-position-vertical-relative:page;z-index:-8420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14</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14"/>
      </w:rPr>
    </w:pPr>
    <w:r>
      <w:rPr/>
      <w:pict>
        <v:shape style="position:absolute;margin-left:291.160004pt;margin-top:768.639954pt;width:13pt;height:12pt;mso-position-horizontal-relative:page;mso-position-vertical-relative:page;z-index:-84184"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2"/>
      <w:numFmt w:val="decimal"/>
      <w:lvlText w:val="%1"/>
      <w:lvlJc w:val="left"/>
      <w:pPr>
        <w:ind w:left="1060" w:hanging="360"/>
        <w:jc w:val="left"/>
      </w:pPr>
      <w:rPr>
        <w:rFonts w:hint="default"/>
      </w:rPr>
    </w:lvl>
    <w:lvl w:ilvl="1">
      <w:start w:val="1"/>
      <w:numFmt w:val="decimal"/>
      <w:lvlText w:val="%1.%2"/>
      <w:lvlJc w:val="left"/>
      <w:pPr>
        <w:ind w:left="1060" w:hanging="360"/>
        <w:jc w:val="left"/>
      </w:pPr>
      <w:rPr>
        <w:rFonts w:hint="default" w:ascii="Times New Roman" w:hAnsi="Times New Roman" w:eastAsia="Times New Roman" w:cs="Times New Roman"/>
        <w:w w:val="100"/>
        <w:sz w:val="24"/>
        <w:szCs w:val="24"/>
      </w:rPr>
    </w:lvl>
    <w:lvl w:ilvl="2">
      <w:start w:val="0"/>
      <w:numFmt w:val="bullet"/>
      <w:lvlText w:val="•"/>
      <w:lvlJc w:val="left"/>
      <w:pPr>
        <w:ind w:left="2761" w:hanging="360"/>
      </w:pPr>
      <w:rPr>
        <w:rFonts w:hint="default"/>
      </w:rPr>
    </w:lvl>
    <w:lvl w:ilvl="3">
      <w:start w:val="0"/>
      <w:numFmt w:val="bullet"/>
      <w:lvlText w:val="•"/>
      <w:lvlJc w:val="left"/>
      <w:pPr>
        <w:ind w:left="3611" w:hanging="360"/>
      </w:pPr>
      <w:rPr>
        <w:rFonts w:hint="default"/>
      </w:rPr>
    </w:lvl>
    <w:lvl w:ilvl="4">
      <w:start w:val="0"/>
      <w:numFmt w:val="bullet"/>
      <w:lvlText w:val="•"/>
      <w:lvlJc w:val="left"/>
      <w:pPr>
        <w:ind w:left="4462" w:hanging="360"/>
      </w:pPr>
      <w:rPr>
        <w:rFonts w:hint="default"/>
      </w:rPr>
    </w:lvl>
    <w:lvl w:ilvl="5">
      <w:start w:val="0"/>
      <w:numFmt w:val="bullet"/>
      <w:lvlText w:val="•"/>
      <w:lvlJc w:val="left"/>
      <w:pPr>
        <w:ind w:left="5313" w:hanging="360"/>
      </w:pPr>
      <w:rPr>
        <w:rFonts w:hint="default"/>
      </w:rPr>
    </w:lvl>
    <w:lvl w:ilvl="6">
      <w:start w:val="0"/>
      <w:numFmt w:val="bullet"/>
      <w:lvlText w:val="•"/>
      <w:lvlJc w:val="left"/>
      <w:pPr>
        <w:ind w:left="6163" w:hanging="360"/>
      </w:pPr>
      <w:rPr>
        <w:rFonts w:hint="default"/>
      </w:rPr>
    </w:lvl>
    <w:lvl w:ilvl="7">
      <w:start w:val="0"/>
      <w:numFmt w:val="bullet"/>
      <w:lvlText w:val="•"/>
      <w:lvlJc w:val="left"/>
      <w:pPr>
        <w:ind w:left="7014" w:hanging="360"/>
      </w:pPr>
      <w:rPr>
        <w:rFonts w:hint="default"/>
      </w:rPr>
    </w:lvl>
    <w:lvl w:ilvl="8">
      <w:start w:val="0"/>
      <w:numFmt w:val="bullet"/>
      <w:lvlText w:val="•"/>
      <w:lvlJc w:val="left"/>
      <w:pPr>
        <w:ind w:left="7865" w:hanging="360"/>
      </w:pPr>
      <w:rPr>
        <w:rFonts w:hint="default"/>
      </w:rPr>
    </w:lvl>
  </w:abstractNum>
  <w:abstractNum w:abstractNumId="3">
    <w:multiLevelType w:val="hybridMultilevel"/>
    <w:lvl w:ilvl="0">
      <w:start w:val="4"/>
      <w:numFmt w:val="decimal"/>
      <w:lvlText w:val="%1"/>
      <w:lvlJc w:val="left"/>
      <w:pPr>
        <w:ind w:left="999" w:hanging="301"/>
        <w:jc w:val="left"/>
      </w:pPr>
      <w:rPr>
        <w:rFonts w:hint="default"/>
      </w:rPr>
    </w:lvl>
    <w:lvl w:ilvl="1">
      <w:start w:val="1"/>
      <w:numFmt w:val="decimal"/>
      <w:lvlText w:val="%1.%2"/>
      <w:lvlJc w:val="left"/>
      <w:pPr>
        <w:ind w:left="218" w:hanging="301"/>
        <w:jc w:val="left"/>
      </w:pPr>
      <w:rPr>
        <w:rFonts w:hint="default" w:ascii="Times New Roman" w:hAnsi="Times New Roman" w:eastAsia="Times New Roman" w:cs="Times New Roman"/>
        <w:w w:val="100"/>
        <w:sz w:val="24"/>
        <w:szCs w:val="24"/>
      </w:rPr>
    </w:lvl>
    <w:lvl w:ilvl="2">
      <w:start w:val="0"/>
      <w:numFmt w:val="bullet"/>
      <w:lvlText w:val="•"/>
      <w:lvlJc w:val="left"/>
      <w:pPr>
        <w:ind w:left="1947" w:hanging="301"/>
      </w:pPr>
      <w:rPr>
        <w:rFonts w:hint="default"/>
      </w:rPr>
    </w:lvl>
    <w:lvl w:ilvl="3">
      <w:start w:val="0"/>
      <w:numFmt w:val="bullet"/>
      <w:lvlText w:val="•"/>
      <w:lvlJc w:val="left"/>
      <w:pPr>
        <w:ind w:left="2894" w:hanging="301"/>
      </w:pPr>
      <w:rPr>
        <w:rFonts w:hint="default"/>
      </w:rPr>
    </w:lvl>
    <w:lvl w:ilvl="4">
      <w:start w:val="0"/>
      <w:numFmt w:val="bullet"/>
      <w:lvlText w:val="•"/>
      <w:lvlJc w:val="left"/>
      <w:pPr>
        <w:ind w:left="3842" w:hanging="301"/>
      </w:pPr>
      <w:rPr>
        <w:rFonts w:hint="default"/>
      </w:rPr>
    </w:lvl>
    <w:lvl w:ilvl="5">
      <w:start w:val="0"/>
      <w:numFmt w:val="bullet"/>
      <w:lvlText w:val="•"/>
      <w:lvlJc w:val="left"/>
      <w:pPr>
        <w:ind w:left="4789" w:hanging="301"/>
      </w:pPr>
      <w:rPr>
        <w:rFonts w:hint="default"/>
      </w:rPr>
    </w:lvl>
    <w:lvl w:ilvl="6">
      <w:start w:val="0"/>
      <w:numFmt w:val="bullet"/>
      <w:lvlText w:val="•"/>
      <w:lvlJc w:val="left"/>
      <w:pPr>
        <w:ind w:left="5736" w:hanging="301"/>
      </w:pPr>
      <w:rPr>
        <w:rFonts w:hint="default"/>
      </w:rPr>
    </w:lvl>
    <w:lvl w:ilvl="7">
      <w:start w:val="0"/>
      <w:numFmt w:val="bullet"/>
      <w:lvlText w:val="•"/>
      <w:lvlJc w:val="left"/>
      <w:pPr>
        <w:ind w:left="6684" w:hanging="301"/>
      </w:pPr>
      <w:rPr>
        <w:rFonts w:hint="default"/>
      </w:rPr>
    </w:lvl>
    <w:lvl w:ilvl="8">
      <w:start w:val="0"/>
      <w:numFmt w:val="bullet"/>
      <w:lvlText w:val="•"/>
      <w:lvlJc w:val="left"/>
      <w:pPr>
        <w:ind w:left="7631" w:hanging="301"/>
      </w:pPr>
      <w:rPr>
        <w:rFonts w:hint="default"/>
      </w:rPr>
    </w:lvl>
  </w:abstractNum>
  <w:abstractNum w:abstractNumId="2">
    <w:multiLevelType w:val="hybridMultilevel"/>
    <w:lvl w:ilvl="0">
      <w:start w:val="3"/>
      <w:numFmt w:val="decimal"/>
      <w:lvlText w:val="%1"/>
      <w:lvlJc w:val="left"/>
      <w:pPr>
        <w:ind w:left="1026" w:hanging="328"/>
        <w:jc w:val="left"/>
      </w:pPr>
      <w:rPr>
        <w:rFonts w:hint="default"/>
      </w:rPr>
    </w:lvl>
    <w:lvl w:ilvl="1">
      <w:start w:val="1"/>
      <w:numFmt w:val="decimal"/>
      <w:lvlText w:val="%1.%2"/>
      <w:lvlJc w:val="left"/>
      <w:pPr>
        <w:ind w:left="218" w:hanging="328"/>
        <w:jc w:val="left"/>
      </w:pPr>
      <w:rPr>
        <w:rFonts w:hint="default" w:ascii="Times New Roman" w:hAnsi="Times New Roman" w:eastAsia="Times New Roman" w:cs="Times New Roman"/>
        <w:w w:val="100"/>
        <w:sz w:val="24"/>
        <w:szCs w:val="24"/>
      </w:rPr>
    </w:lvl>
    <w:lvl w:ilvl="2">
      <w:start w:val="0"/>
      <w:numFmt w:val="bullet"/>
      <w:lvlText w:val="•"/>
      <w:lvlJc w:val="left"/>
      <w:pPr>
        <w:ind w:left="1965" w:hanging="328"/>
      </w:pPr>
      <w:rPr>
        <w:rFonts w:hint="default"/>
      </w:rPr>
    </w:lvl>
    <w:lvl w:ilvl="3">
      <w:start w:val="0"/>
      <w:numFmt w:val="bullet"/>
      <w:lvlText w:val="•"/>
      <w:lvlJc w:val="left"/>
      <w:pPr>
        <w:ind w:left="2910" w:hanging="328"/>
      </w:pPr>
      <w:rPr>
        <w:rFonts w:hint="default"/>
      </w:rPr>
    </w:lvl>
    <w:lvl w:ilvl="4">
      <w:start w:val="0"/>
      <w:numFmt w:val="bullet"/>
      <w:lvlText w:val="•"/>
      <w:lvlJc w:val="left"/>
      <w:pPr>
        <w:ind w:left="3855" w:hanging="328"/>
      </w:pPr>
      <w:rPr>
        <w:rFonts w:hint="default"/>
      </w:rPr>
    </w:lvl>
    <w:lvl w:ilvl="5">
      <w:start w:val="0"/>
      <w:numFmt w:val="bullet"/>
      <w:lvlText w:val="•"/>
      <w:lvlJc w:val="left"/>
      <w:pPr>
        <w:ind w:left="4800" w:hanging="328"/>
      </w:pPr>
      <w:rPr>
        <w:rFonts w:hint="default"/>
      </w:rPr>
    </w:lvl>
    <w:lvl w:ilvl="6">
      <w:start w:val="0"/>
      <w:numFmt w:val="bullet"/>
      <w:lvlText w:val="•"/>
      <w:lvlJc w:val="left"/>
      <w:pPr>
        <w:ind w:left="5745" w:hanging="328"/>
      </w:pPr>
      <w:rPr>
        <w:rFonts w:hint="default"/>
      </w:rPr>
    </w:lvl>
    <w:lvl w:ilvl="7">
      <w:start w:val="0"/>
      <w:numFmt w:val="bullet"/>
      <w:lvlText w:val="•"/>
      <w:lvlJc w:val="left"/>
      <w:pPr>
        <w:ind w:left="6690" w:hanging="328"/>
      </w:pPr>
      <w:rPr>
        <w:rFonts w:hint="default"/>
      </w:rPr>
    </w:lvl>
    <w:lvl w:ilvl="8">
      <w:start w:val="0"/>
      <w:numFmt w:val="bullet"/>
      <w:lvlText w:val="•"/>
      <w:lvlJc w:val="left"/>
      <w:pPr>
        <w:ind w:left="7636" w:hanging="328"/>
      </w:pPr>
      <w:rPr>
        <w:rFonts w:hint="default"/>
      </w:rPr>
    </w:lvl>
  </w:abstractNum>
  <w:abstractNum w:abstractNumId="1">
    <w:multiLevelType w:val="hybridMultilevel"/>
    <w:lvl w:ilvl="0">
      <w:start w:val="2"/>
      <w:numFmt w:val="decimal"/>
      <w:lvlText w:val="%1"/>
      <w:lvlJc w:val="left"/>
      <w:pPr>
        <w:ind w:left="218" w:hanging="301"/>
        <w:jc w:val="left"/>
      </w:pPr>
      <w:rPr>
        <w:rFonts w:hint="default"/>
      </w:rPr>
    </w:lvl>
    <w:lvl w:ilvl="1">
      <w:start w:val="1"/>
      <w:numFmt w:val="decimal"/>
      <w:lvlText w:val="%1.%2"/>
      <w:lvlJc w:val="left"/>
      <w:pPr>
        <w:ind w:left="218" w:hanging="301"/>
        <w:jc w:val="left"/>
      </w:pPr>
      <w:rPr>
        <w:rFonts w:hint="default" w:ascii="Times New Roman" w:hAnsi="Times New Roman" w:eastAsia="Times New Roman" w:cs="Times New Roman"/>
        <w:w w:val="100"/>
        <w:sz w:val="24"/>
        <w:szCs w:val="24"/>
      </w:rPr>
    </w:lvl>
    <w:lvl w:ilvl="2">
      <w:start w:val="0"/>
      <w:numFmt w:val="bullet"/>
      <w:lvlText w:val="•"/>
      <w:lvlJc w:val="left"/>
      <w:pPr>
        <w:ind w:left="2081" w:hanging="301"/>
      </w:pPr>
      <w:rPr>
        <w:rFonts w:hint="default"/>
      </w:rPr>
    </w:lvl>
    <w:lvl w:ilvl="3">
      <w:start w:val="0"/>
      <w:numFmt w:val="bullet"/>
      <w:lvlText w:val="•"/>
      <w:lvlJc w:val="left"/>
      <w:pPr>
        <w:ind w:left="3011" w:hanging="301"/>
      </w:pPr>
      <w:rPr>
        <w:rFonts w:hint="default"/>
      </w:rPr>
    </w:lvl>
    <w:lvl w:ilvl="4">
      <w:start w:val="0"/>
      <w:numFmt w:val="bullet"/>
      <w:lvlText w:val="•"/>
      <w:lvlJc w:val="left"/>
      <w:pPr>
        <w:ind w:left="3942" w:hanging="301"/>
      </w:pPr>
      <w:rPr>
        <w:rFonts w:hint="default"/>
      </w:rPr>
    </w:lvl>
    <w:lvl w:ilvl="5">
      <w:start w:val="0"/>
      <w:numFmt w:val="bullet"/>
      <w:lvlText w:val="•"/>
      <w:lvlJc w:val="left"/>
      <w:pPr>
        <w:ind w:left="4873" w:hanging="301"/>
      </w:pPr>
      <w:rPr>
        <w:rFonts w:hint="default"/>
      </w:rPr>
    </w:lvl>
    <w:lvl w:ilvl="6">
      <w:start w:val="0"/>
      <w:numFmt w:val="bullet"/>
      <w:lvlText w:val="•"/>
      <w:lvlJc w:val="left"/>
      <w:pPr>
        <w:ind w:left="5803" w:hanging="301"/>
      </w:pPr>
      <w:rPr>
        <w:rFonts w:hint="default"/>
      </w:rPr>
    </w:lvl>
    <w:lvl w:ilvl="7">
      <w:start w:val="0"/>
      <w:numFmt w:val="bullet"/>
      <w:lvlText w:val="•"/>
      <w:lvlJc w:val="left"/>
      <w:pPr>
        <w:ind w:left="6734" w:hanging="301"/>
      </w:pPr>
      <w:rPr>
        <w:rFonts w:hint="default"/>
      </w:rPr>
    </w:lvl>
    <w:lvl w:ilvl="8">
      <w:start w:val="0"/>
      <w:numFmt w:val="bullet"/>
      <w:lvlText w:val="•"/>
      <w:lvlJc w:val="left"/>
      <w:pPr>
        <w:ind w:left="7665" w:hanging="301"/>
      </w:pPr>
      <w:rPr>
        <w:rFonts w:hint="default"/>
      </w:rPr>
    </w:lvl>
  </w:abstractNum>
  <w:abstractNum w:abstractNumId="0">
    <w:multiLevelType w:val="hybridMultilevel"/>
    <w:lvl w:ilvl="0">
      <w:start w:val="4"/>
      <w:numFmt w:val="decimal"/>
      <w:lvlText w:val="%1"/>
      <w:lvlJc w:val="left"/>
      <w:pPr>
        <w:ind w:left="1060" w:hanging="360"/>
        <w:jc w:val="left"/>
      </w:pPr>
      <w:rPr>
        <w:rFonts w:hint="default"/>
      </w:rPr>
    </w:lvl>
    <w:lvl w:ilvl="1">
      <w:start w:val="1"/>
      <w:numFmt w:val="decimal"/>
      <w:lvlText w:val="%1.%2"/>
      <w:lvlJc w:val="left"/>
      <w:pPr>
        <w:ind w:left="1060" w:hanging="360"/>
        <w:jc w:val="left"/>
      </w:pPr>
      <w:rPr>
        <w:rFonts w:hint="default" w:ascii="Times New Roman" w:hAnsi="Times New Roman" w:eastAsia="Times New Roman" w:cs="Times New Roman"/>
        <w:b/>
        <w:bCs/>
        <w:w w:val="99"/>
        <w:sz w:val="24"/>
        <w:szCs w:val="24"/>
      </w:rPr>
    </w:lvl>
    <w:lvl w:ilvl="2">
      <w:start w:val="0"/>
      <w:numFmt w:val="bullet"/>
      <w:lvlText w:val="•"/>
      <w:lvlJc w:val="left"/>
      <w:pPr>
        <w:ind w:left="2749" w:hanging="360"/>
      </w:pPr>
      <w:rPr>
        <w:rFonts w:hint="default"/>
      </w:rPr>
    </w:lvl>
    <w:lvl w:ilvl="3">
      <w:start w:val="0"/>
      <w:numFmt w:val="bullet"/>
      <w:lvlText w:val="•"/>
      <w:lvlJc w:val="left"/>
      <w:pPr>
        <w:ind w:left="3593" w:hanging="360"/>
      </w:pPr>
      <w:rPr>
        <w:rFonts w:hint="default"/>
      </w:rPr>
    </w:lvl>
    <w:lvl w:ilvl="4">
      <w:start w:val="0"/>
      <w:numFmt w:val="bullet"/>
      <w:lvlText w:val="•"/>
      <w:lvlJc w:val="left"/>
      <w:pPr>
        <w:ind w:left="4438" w:hanging="360"/>
      </w:pPr>
      <w:rPr>
        <w:rFonts w:hint="default"/>
      </w:rPr>
    </w:lvl>
    <w:lvl w:ilvl="5">
      <w:start w:val="0"/>
      <w:numFmt w:val="bullet"/>
      <w:lvlText w:val="•"/>
      <w:lvlJc w:val="left"/>
      <w:pPr>
        <w:ind w:left="5283" w:hanging="360"/>
      </w:pPr>
      <w:rPr>
        <w:rFonts w:hint="default"/>
      </w:rPr>
    </w:lvl>
    <w:lvl w:ilvl="6">
      <w:start w:val="0"/>
      <w:numFmt w:val="bullet"/>
      <w:lvlText w:val="•"/>
      <w:lvlJc w:val="left"/>
      <w:pPr>
        <w:ind w:left="6127" w:hanging="360"/>
      </w:pPr>
      <w:rPr>
        <w:rFonts w:hint="default"/>
      </w:rPr>
    </w:lvl>
    <w:lvl w:ilvl="7">
      <w:start w:val="0"/>
      <w:numFmt w:val="bullet"/>
      <w:lvlText w:val="•"/>
      <w:lvlJc w:val="left"/>
      <w:pPr>
        <w:ind w:left="6972" w:hanging="360"/>
      </w:pPr>
      <w:rPr>
        <w:rFonts w:hint="default"/>
      </w:rPr>
    </w:lvl>
    <w:lvl w:ilvl="8">
      <w:start w:val="0"/>
      <w:numFmt w:val="bullet"/>
      <w:lvlText w:val="•"/>
      <w:lvlJc w:val="left"/>
      <w:pPr>
        <w:ind w:left="7817" w:hanging="360"/>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135"/>
    </w:pPr>
    <w:rPr>
      <w:rFonts w:ascii="宋体" w:hAnsi="宋体" w:eastAsia="宋体" w:cs="宋体"/>
      <w:sz w:val="24"/>
      <w:szCs w:val="24"/>
    </w:rPr>
  </w:style>
  <w:style w:styleId="Heading1" w:type="paragraph">
    <w:name w:val="Heading 1"/>
    <w:basedOn w:val="Normal"/>
    <w:uiPriority w:val="1"/>
    <w:qFormat/>
    <w:pPr>
      <w:spacing w:before="1"/>
      <w:ind w:left="218"/>
      <w:outlineLvl w:val="1"/>
    </w:pPr>
    <w:rPr>
      <w:rFonts w:ascii="宋体" w:hAnsi="宋体" w:eastAsia="宋体" w:cs="宋体"/>
      <w:b/>
      <w:bCs/>
      <w:sz w:val="28"/>
      <w:szCs w:val="28"/>
    </w:rPr>
  </w:style>
  <w:style w:styleId="Heading2" w:type="paragraph">
    <w:name w:val="Heading 2"/>
    <w:basedOn w:val="Normal"/>
    <w:uiPriority w:val="1"/>
    <w:qFormat/>
    <w:pPr>
      <w:spacing w:before="154"/>
      <w:ind w:left="215"/>
      <w:outlineLvl w:val="2"/>
    </w:pPr>
    <w:rPr>
      <w:rFonts w:ascii="宋体" w:hAnsi="宋体" w:eastAsia="宋体" w:cs="宋体"/>
      <w:b/>
      <w:bCs/>
      <w:sz w:val="24"/>
      <w:szCs w:val="24"/>
    </w:rPr>
  </w:style>
  <w:style w:styleId="ListParagraph" w:type="paragraph">
    <w:name w:val="List Paragraph"/>
    <w:basedOn w:val="Normal"/>
    <w:uiPriority w:val="1"/>
    <w:qFormat/>
    <w:pPr>
      <w:spacing w:before="135"/>
      <w:ind w:left="218" w:firstLine="480"/>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name</dc:creator>
  <dc:title>建设项目基本情况</dc:title>
  <dcterms:created xsi:type="dcterms:W3CDTF">2017-12-18T14:08:30Z</dcterms:created>
  <dcterms:modified xsi:type="dcterms:W3CDTF">2017-12-18T14:08:30Z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2017-10-25T00:00:00Z</vt:filetime>
  </property>
  <property fmtid="{D5CDD505-2E9C-101B-9397-08002B2CF9AE}" pid="3" name="Creator">
    <vt:lpwstr>Acrobat PDFMaker 15 Word 版</vt:lpwstr>
  </property>
  <property fmtid="{D5CDD505-2E9C-101B-9397-08002B2CF9AE}" pid="4" name="LastSaved">
    <vt:filetime>2017-12-18T00:00:00Z</vt:filetime>
  </property>
</Properties>
</file>