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Times New Roman"/>
          <w:b/>
          <w:color w:val="000000"/>
          <w:sz w:val="52"/>
          <w:szCs w:val="52"/>
        </w:rPr>
      </w:pPr>
      <w:r>
        <w:rPr>
          <w:rFonts w:cs="Times New Roman"/>
          <w:b/>
          <w:color w:val="000000"/>
          <w:sz w:val="52"/>
          <w:szCs w:val="52"/>
        </w:rPr>
        <w:t>开江县</w:t>
      </w:r>
      <w:r>
        <w:rPr>
          <w:rFonts w:hint="eastAsia" w:cs="Times New Roman"/>
          <w:b/>
          <w:color w:val="000000"/>
          <w:sz w:val="52"/>
          <w:szCs w:val="52"/>
        </w:rPr>
        <w:t>宝石桥水库</w:t>
      </w:r>
    </w:p>
    <w:p>
      <w:pPr>
        <w:jc w:val="center"/>
        <w:rPr>
          <w:rFonts w:cs="Times New Roman"/>
          <w:b/>
          <w:sz w:val="48"/>
          <w:szCs w:val="48"/>
        </w:rPr>
      </w:pPr>
      <w:r>
        <w:rPr>
          <w:rFonts w:cs="Times New Roman"/>
          <w:b/>
          <w:color w:val="000000"/>
          <w:sz w:val="52"/>
          <w:szCs w:val="52"/>
        </w:rPr>
        <w:t>集中式饮用水水源保护区划分</w:t>
      </w:r>
      <w:r>
        <w:rPr>
          <w:rFonts w:hint="eastAsia" w:cs="Times New Roman"/>
          <w:b/>
          <w:color w:val="000000"/>
          <w:sz w:val="52"/>
          <w:szCs w:val="52"/>
        </w:rPr>
        <w:t>调整</w:t>
      </w:r>
    </w:p>
    <w:p>
      <w:pPr>
        <w:jc w:val="center"/>
        <w:outlineLvl w:val="0"/>
        <w:rPr>
          <w:rFonts w:eastAsia="宋体" w:cs="Times New Roman"/>
          <w:b/>
          <w:sz w:val="32"/>
          <w:szCs w:val="32"/>
        </w:rPr>
      </w:pPr>
      <w:bookmarkStart w:id="0" w:name="_Toc1637"/>
      <w:bookmarkStart w:id="1" w:name="_Toc4372"/>
      <w:r>
        <w:rPr>
          <w:rFonts w:cs="Times New Roman"/>
          <w:b/>
          <w:sz w:val="32"/>
          <w:szCs w:val="32"/>
        </w:rPr>
        <w:t>（送审稿）</w:t>
      </w:r>
      <w:bookmarkEnd w:id="0"/>
      <w:bookmarkEnd w:id="1"/>
    </w:p>
    <w:p>
      <w:pPr>
        <w:rPr>
          <w:rFonts w:cs="Times New Roman"/>
          <w:b/>
          <w:sz w:val="52"/>
          <w:szCs w:val="52"/>
        </w:rPr>
      </w:pPr>
    </w:p>
    <w:p>
      <w:pPr>
        <w:rPr>
          <w:rFonts w:cs="Times New Roman"/>
          <w:b/>
          <w:sz w:val="52"/>
          <w:szCs w:val="52"/>
        </w:rPr>
      </w:pPr>
    </w:p>
    <w:p>
      <w:pPr>
        <w:rPr>
          <w:rFonts w:cs="Times New Roman"/>
          <w:b/>
          <w:sz w:val="52"/>
          <w:szCs w:val="52"/>
        </w:rPr>
      </w:pPr>
    </w:p>
    <w:p>
      <w:pPr>
        <w:rPr>
          <w:rFonts w:cs="Times New Roman"/>
          <w:b/>
          <w:sz w:val="52"/>
          <w:szCs w:val="52"/>
        </w:rPr>
      </w:pPr>
    </w:p>
    <w:p>
      <w:pPr>
        <w:jc w:val="center"/>
        <w:rPr>
          <w:rFonts w:eastAsia="隶书" w:cs="Times New Roman"/>
          <w:b/>
          <w:sz w:val="32"/>
          <w:szCs w:val="32"/>
        </w:rPr>
      </w:pPr>
      <w:bookmarkStart w:id="2" w:name="_Toc199238847"/>
    </w:p>
    <w:bookmarkEnd w:id="2"/>
    <w:p>
      <w:pPr>
        <w:jc w:val="center"/>
        <w:rPr>
          <w:rFonts w:cs="Times New Roman"/>
          <w:sz w:val="36"/>
          <w:szCs w:val="36"/>
        </w:rPr>
      </w:pPr>
    </w:p>
    <w:p>
      <w:pPr>
        <w:spacing w:line="360" w:lineRule="auto"/>
        <w:ind w:firstLine="482" w:firstLineChars="200"/>
        <w:rPr>
          <w:rFonts w:cs="Times New Roman"/>
          <w:b/>
          <w:snapToGrid w:val="0"/>
          <w:kern w:val="0"/>
        </w:rPr>
      </w:pPr>
    </w:p>
    <w:p>
      <w:pPr>
        <w:spacing w:line="360" w:lineRule="auto"/>
        <w:ind w:firstLine="482" w:firstLineChars="200"/>
        <w:rPr>
          <w:rFonts w:cs="Times New Roman"/>
          <w:b/>
          <w:snapToGrid w:val="0"/>
          <w:kern w:val="0"/>
        </w:rPr>
      </w:pPr>
    </w:p>
    <w:p>
      <w:pPr>
        <w:spacing w:line="360" w:lineRule="auto"/>
        <w:ind w:firstLine="482" w:firstLineChars="200"/>
        <w:rPr>
          <w:rFonts w:cs="Times New Roman"/>
          <w:b/>
          <w:snapToGrid w:val="0"/>
          <w:kern w:val="0"/>
        </w:rPr>
      </w:pPr>
    </w:p>
    <w:p>
      <w:pPr>
        <w:spacing w:line="360" w:lineRule="auto"/>
        <w:ind w:firstLine="482" w:firstLineChars="200"/>
        <w:rPr>
          <w:rFonts w:cs="Times New Roman"/>
          <w:b/>
          <w:snapToGrid w:val="0"/>
          <w:kern w:val="0"/>
        </w:rPr>
      </w:pPr>
    </w:p>
    <w:p>
      <w:pPr>
        <w:spacing w:line="360" w:lineRule="auto"/>
        <w:ind w:firstLine="482" w:firstLineChars="200"/>
        <w:rPr>
          <w:rFonts w:cs="Times New Roman"/>
          <w:b/>
          <w:snapToGrid w:val="0"/>
          <w:kern w:val="0"/>
        </w:rPr>
      </w:pPr>
    </w:p>
    <w:p>
      <w:pPr>
        <w:spacing w:line="360" w:lineRule="auto"/>
        <w:ind w:firstLine="482" w:firstLineChars="200"/>
        <w:rPr>
          <w:rFonts w:cs="Times New Roman"/>
          <w:b/>
          <w:snapToGrid w:val="0"/>
          <w:kern w:val="0"/>
        </w:rPr>
      </w:pPr>
    </w:p>
    <w:p>
      <w:pPr>
        <w:spacing w:line="360" w:lineRule="auto"/>
        <w:ind w:firstLine="482" w:firstLineChars="200"/>
        <w:rPr>
          <w:rFonts w:cs="Times New Roman"/>
          <w:b/>
          <w:snapToGrid w:val="0"/>
          <w:kern w:val="0"/>
        </w:rPr>
      </w:pPr>
    </w:p>
    <w:p>
      <w:pPr>
        <w:autoSpaceDE w:val="0"/>
        <w:autoSpaceDN w:val="0"/>
        <w:adjustRightInd w:val="0"/>
        <w:spacing w:line="360" w:lineRule="auto"/>
        <w:ind w:firstLine="1285" w:firstLineChars="400"/>
        <w:rPr>
          <w:rFonts w:cs="Times New Roman"/>
          <w:b/>
          <w:sz w:val="32"/>
          <w:szCs w:val="30"/>
        </w:rPr>
      </w:pPr>
      <w:r>
        <w:rPr>
          <w:rFonts w:cs="Times New Roman"/>
          <w:b/>
          <w:sz w:val="32"/>
          <w:szCs w:val="30"/>
        </w:rPr>
        <w:t>委托单位：开江县环境保护局</w:t>
      </w:r>
    </w:p>
    <w:p>
      <w:pPr>
        <w:autoSpaceDE w:val="0"/>
        <w:autoSpaceDN w:val="0"/>
        <w:adjustRightInd w:val="0"/>
        <w:spacing w:line="360" w:lineRule="auto"/>
        <w:ind w:firstLine="1285" w:firstLineChars="400"/>
        <w:rPr>
          <w:rFonts w:cs="Times New Roman"/>
          <w:b/>
          <w:sz w:val="32"/>
          <w:szCs w:val="30"/>
        </w:rPr>
      </w:pPr>
      <w:r>
        <w:rPr>
          <w:rFonts w:cs="Times New Roman"/>
          <w:b/>
          <w:sz w:val="32"/>
          <w:szCs w:val="30"/>
        </w:rPr>
        <w:t>编制单位：四川国投环保科技有限公司</w:t>
      </w:r>
    </w:p>
    <w:p>
      <w:pPr>
        <w:spacing w:before="156"/>
        <w:jc w:val="center"/>
        <w:rPr>
          <w:rFonts w:cs="Times New Roman"/>
          <w:b/>
          <w:sz w:val="32"/>
          <w:szCs w:val="30"/>
        </w:rPr>
      </w:pPr>
      <w:r>
        <w:rPr>
          <w:rFonts w:cs="Times New Roman"/>
          <w:b/>
          <w:sz w:val="32"/>
          <w:szCs w:val="30"/>
        </w:rPr>
        <w:t>二〇一八年五月</w:t>
      </w:r>
    </w:p>
    <w:p>
      <w:pPr>
        <w:spacing w:before="156"/>
        <w:rPr>
          <w:rFonts w:cs="Times New Roman"/>
          <w:b/>
          <w:sz w:val="32"/>
          <w:szCs w:val="30"/>
        </w:rPr>
      </w:pPr>
    </w:p>
    <w:p>
      <w:pPr>
        <w:jc w:val="center"/>
        <w:rPr>
          <w:rFonts w:cs="Times New Roman"/>
          <w:b/>
          <w:color w:val="000000"/>
          <w:sz w:val="36"/>
          <w:szCs w:val="36"/>
        </w:rPr>
      </w:pPr>
      <w:r>
        <w:rPr>
          <w:rFonts w:cs="Times New Roman"/>
          <w:b/>
          <w:color w:val="000000"/>
          <w:sz w:val="36"/>
          <w:szCs w:val="36"/>
        </w:rPr>
        <w:br w:type="page"/>
      </w:r>
    </w:p>
    <w:p>
      <w:pPr>
        <w:jc w:val="center"/>
        <w:rPr>
          <w:rFonts w:cs="Times New Roman"/>
          <w:b/>
          <w:color w:val="000000"/>
          <w:sz w:val="36"/>
          <w:szCs w:val="36"/>
        </w:rPr>
      </w:pPr>
      <w:r>
        <w:rPr>
          <w:rFonts w:cs="Times New Roman"/>
          <w:b/>
          <w:color w:val="000000"/>
          <w:sz w:val="36"/>
          <w:szCs w:val="36"/>
        </w:rPr>
        <w:t>开江县县城</w:t>
      </w:r>
      <w:r>
        <w:rPr>
          <w:rFonts w:hint="eastAsia" w:cs="Times New Roman"/>
          <w:b/>
          <w:color w:val="000000"/>
          <w:sz w:val="36"/>
          <w:szCs w:val="36"/>
        </w:rPr>
        <w:t>宝石桥水库</w:t>
      </w:r>
      <w:r>
        <w:rPr>
          <w:rFonts w:cs="Times New Roman"/>
          <w:b/>
          <w:color w:val="000000"/>
          <w:sz w:val="36"/>
          <w:szCs w:val="36"/>
        </w:rPr>
        <w:t>集中式</w:t>
      </w:r>
    </w:p>
    <w:p>
      <w:pPr>
        <w:jc w:val="center"/>
        <w:rPr>
          <w:rFonts w:cs="Times New Roman"/>
          <w:b/>
          <w:sz w:val="48"/>
          <w:szCs w:val="48"/>
        </w:rPr>
      </w:pPr>
      <w:r>
        <w:rPr>
          <w:rFonts w:cs="Times New Roman"/>
          <w:b/>
          <w:color w:val="000000"/>
          <w:sz w:val="36"/>
          <w:szCs w:val="36"/>
        </w:rPr>
        <w:t>饮用水水源保护区划分</w:t>
      </w:r>
      <w:r>
        <w:rPr>
          <w:rFonts w:hint="eastAsia" w:cs="Times New Roman"/>
          <w:b/>
          <w:color w:val="000000"/>
          <w:sz w:val="36"/>
          <w:szCs w:val="36"/>
        </w:rPr>
        <w:t>调整</w:t>
      </w:r>
    </w:p>
    <w:p>
      <w:pPr>
        <w:spacing w:before="156"/>
        <w:jc w:val="center"/>
        <w:rPr>
          <w:rFonts w:cs="Times New Roman"/>
          <w:b/>
          <w:sz w:val="30"/>
          <w:szCs w:val="30"/>
        </w:rPr>
      </w:pPr>
      <w:r>
        <w:rPr>
          <w:rFonts w:cs="Times New Roman"/>
          <w:b/>
          <w:sz w:val="30"/>
          <w:szCs w:val="30"/>
        </w:rPr>
        <w:t>（</w:t>
      </w:r>
      <w:r>
        <w:rPr>
          <w:rFonts w:hint="eastAsia" w:cs="Times New Roman"/>
          <w:b/>
          <w:sz w:val="30"/>
          <w:szCs w:val="30"/>
        </w:rPr>
        <w:t>送审稿</w:t>
      </w:r>
      <w:r>
        <w:rPr>
          <w:rFonts w:cs="Times New Roman"/>
          <w:b/>
          <w:sz w:val="30"/>
          <w:szCs w:val="30"/>
        </w:rPr>
        <w:t>）</w:t>
      </w:r>
    </w:p>
    <w:p>
      <w:pPr>
        <w:spacing w:before="156" w:line="380" w:lineRule="exact"/>
        <w:jc w:val="center"/>
        <w:rPr>
          <w:rFonts w:cs="Times New Roman"/>
          <w:b/>
          <w:sz w:val="30"/>
          <w:szCs w:val="30"/>
        </w:rPr>
      </w:pPr>
    </w:p>
    <w:p>
      <w:pPr>
        <w:spacing w:before="156" w:line="380" w:lineRule="exact"/>
        <w:jc w:val="center"/>
        <w:rPr>
          <w:rFonts w:cs="Times New Roman"/>
          <w:b/>
          <w:sz w:val="30"/>
          <w:szCs w:val="30"/>
        </w:rPr>
      </w:pPr>
    </w:p>
    <w:p>
      <w:pPr>
        <w:spacing w:before="156" w:line="380" w:lineRule="exact"/>
        <w:jc w:val="center"/>
        <w:rPr>
          <w:rFonts w:cs="Times New Roman"/>
          <w:b/>
          <w:sz w:val="30"/>
          <w:szCs w:val="30"/>
        </w:rPr>
      </w:pPr>
    </w:p>
    <w:p>
      <w:pPr>
        <w:spacing w:before="156" w:line="360" w:lineRule="auto"/>
        <w:rPr>
          <w:rFonts w:cs="Times New Roman"/>
          <w:sz w:val="36"/>
          <w:szCs w:val="36"/>
        </w:rPr>
      </w:pPr>
      <w:r>
        <w:rPr>
          <w:rFonts w:cs="Times New Roman"/>
          <w:b/>
          <w:sz w:val="36"/>
          <w:szCs w:val="36"/>
        </w:rPr>
        <w:t>委托单位：</w:t>
      </w:r>
      <w:r>
        <w:rPr>
          <w:rFonts w:cs="Times New Roman"/>
          <w:sz w:val="36"/>
          <w:szCs w:val="36"/>
        </w:rPr>
        <w:t>开江县环境保护局</w:t>
      </w:r>
    </w:p>
    <w:p>
      <w:pPr>
        <w:spacing w:before="156" w:line="360" w:lineRule="auto"/>
        <w:rPr>
          <w:rFonts w:cs="Times New Roman"/>
          <w:sz w:val="36"/>
          <w:szCs w:val="36"/>
        </w:rPr>
      </w:pPr>
      <w:r>
        <w:rPr>
          <w:rFonts w:cs="Times New Roman"/>
          <w:b/>
          <w:sz w:val="36"/>
          <w:szCs w:val="36"/>
        </w:rPr>
        <w:t>编制单位：</w:t>
      </w:r>
      <w:r>
        <w:rPr>
          <w:rFonts w:cs="Times New Roman"/>
          <w:sz w:val="36"/>
          <w:szCs w:val="36"/>
        </w:rPr>
        <w:t>四川国投环保科技有限公司</w:t>
      </w:r>
    </w:p>
    <w:p>
      <w:pPr>
        <w:spacing w:before="156" w:line="360" w:lineRule="auto"/>
        <w:rPr>
          <w:rFonts w:cs="Times New Roman"/>
          <w:b/>
          <w:sz w:val="36"/>
          <w:szCs w:val="36"/>
        </w:rPr>
      </w:pPr>
      <w:r>
        <w:rPr>
          <w:rFonts w:cs="Times New Roman"/>
          <w:b/>
          <w:sz w:val="36"/>
          <w:szCs w:val="36"/>
        </w:rPr>
        <w:t xml:space="preserve">  </w:t>
      </w:r>
    </w:p>
    <w:p>
      <w:pPr>
        <w:spacing w:before="156" w:line="360" w:lineRule="auto"/>
        <w:rPr>
          <w:rFonts w:cs="Times New Roman"/>
          <w:b/>
          <w:sz w:val="36"/>
          <w:szCs w:val="36"/>
        </w:rPr>
      </w:pPr>
    </w:p>
    <w:p>
      <w:pPr>
        <w:spacing w:before="156" w:line="360" w:lineRule="auto"/>
        <w:rPr>
          <w:rFonts w:cs="Times New Roman"/>
          <w:b/>
          <w:sz w:val="36"/>
          <w:szCs w:val="36"/>
        </w:rPr>
      </w:pPr>
    </w:p>
    <w:p>
      <w:pPr>
        <w:spacing w:line="720" w:lineRule="auto"/>
        <w:rPr>
          <w:rFonts w:cs="Times New Roman"/>
          <w:sz w:val="36"/>
          <w:szCs w:val="36"/>
        </w:rPr>
      </w:pPr>
      <w:r>
        <w:rPr>
          <w:rFonts w:cs="Times New Roman"/>
          <w:b/>
          <w:sz w:val="36"/>
          <w:szCs w:val="36"/>
        </w:rPr>
        <w:t>项目负责人：</w:t>
      </w:r>
      <w:r>
        <w:rPr>
          <w:rFonts w:cs="Times New Roman"/>
          <w:sz w:val="36"/>
          <w:szCs w:val="36"/>
        </w:rPr>
        <w:t>喻  川（高级工程师）</w:t>
      </w:r>
    </w:p>
    <w:p>
      <w:pPr>
        <w:spacing w:line="720" w:lineRule="auto"/>
        <w:rPr>
          <w:rFonts w:cs="Times New Roman"/>
          <w:bCs/>
          <w:sz w:val="36"/>
          <w:szCs w:val="36"/>
        </w:rPr>
      </w:pPr>
      <w:r>
        <w:rPr>
          <w:rFonts w:cs="Times New Roman"/>
          <w:b/>
          <w:spacing w:val="50"/>
          <w:kern w:val="0"/>
          <w:sz w:val="36"/>
          <w:szCs w:val="36"/>
        </w:rPr>
        <w:t>编制人</w:t>
      </w:r>
      <w:r>
        <w:rPr>
          <w:rFonts w:cs="Times New Roman"/>
          <w:b/>
          <w:kern w:val="0"/>
          <w:sz w:val="36"/>
          <w:szCs w:val="36"/>
        </w:rPr>
        <w:t>员</w:t>
      </w:r>
      <w:r>
        <w:rPr>
          <w:rFonts w:cs="Times New Roman"/>
          <w:b/>
          <w:sz w:val="36"/>
          <w:szCs w:val="36"/>
        </w:rPr>
        <w:t>：</w:t>
      </w:r>
      <w:r>
        <w:rPr>
          <w:rFonts w:hint="eastAsia" w:cs="Times New Roman"/>
          <w:bCs/>
          <w:sz w:val="36"/>
          <w:szCs w:val="36"/>
        </w:rPr>
        <w:t>宁兰</w:t>
      </w:r>
      <w:r>
        <w:rPr>
          <w:rFonts w:cs="Times New Roman"/>
          <w:bCs/>
          <w:sz w:val="36"/>
          <w:szCs w:val="36"/>
        </w:rPr>
        <w:t xml:space="preserve">   王  宇</w:t>
      </w:r>
    </w:p>
    <w:p>
      <w:pPr>
        <w:spacing w:line="720" w:lineRule="auto"/>
        <w:rPr>
          <w:rFonts w:cs="Times New Roman"/>
          <w:b/>
          <w:bCs/>
          <w:sz w:val="44"/>
          <w:szCs w:val="32"/>
        </w:rPr>
      </w:pPr>
      <w:r>
        <w:rPr>
          <w:rFonts w:cs="Times New Roman"/>
          <w:b/>
          <w:spacing w:val="19"/>
          <w:kern w:val="0"/>
          <w:sz w:val="36"/>
          <w:szCs w:val="36"/>
          <w:fitText w:val="1505" w:id="0"/>
        </w:rPr>
        <w:t>制图人</w:t>
      </w:r>
      <w:r>
        <w:rPr>
          <w:rFonts w:cs="Times New Roman"/>
          <w:b/>
          <w:spacing w:val="-27"/>
          <w:kern w:val="0"/>
          <w:sz w:val="36"/>
          <w:szCs w:val="36"/>
          <w:fitText w:val="1505" w:id="0"/>
        </w:rPr>
        <w:t>员</w:t>
      </w:r>
      <w:r>
        <w:rPr>
          <w:rFonts w:cs="Times New Roman"/>
          <w:b/>
          <w:sz w:val="36"/>
          <w:szCs w:val="36"/>
        </w:rPr>
        <w:t>：</w:t>
      </w:r>
      <w:r>
        <w:rPr>
          <w:rFonts w:hint="eastAsia" w:cs="Times New Roman"/>
          <w:sz w:val="36"/>
          <w:szCs w:val="36"/>
        </w:rPr>
        <w:t>李思雨</w:t>
      </w:r>
    </w:p>
    <w:p>
      <w:pPr>
        <w:jc w:val="center"/>
        <w:rPr>
          <w:rFonts w:cs="Times New Roman"/>
          <w:bCs/>
        </w:rPr>
      </w:pPr>
    </w:p>
    <w:p>
      <w:pPr>
        <w:rPr>
          <w:rFonts w:cs="Times New Roman"/>
        </w:rPr>
      </w:pPr>
      <w:r>
        <w:rPr>
          <w:rFonts w:cs="Times New Roman"/>
        </w:rPr>
        <w:t xml:space="preserve"> </w:t>
      </w:r>
    </w:p>
    <w:p>
      <w:pPr>
        <w:rPr>
          <w:rFonts w:cs="Times New Roman"/>
        </w:rPr>
      </w:pPr>
    </w:p>
    <w:p>
      <w:pPr>
        <w:rPr>
          <w:rFonts w:cs="Times New Roman"/>
        </w:rPr>
      </w:pPr>
    </w:p>
    <w:p>
      <w:pPr>
        <w:rPr>
          <w:rFonts w:cs="Times New Roman"/>
        </w:rPr>
      </w:pPr>
    </w:p>
    <w:p>
      <w:pPr>
        <w:jc w:val="center"/>
        <w:rPr>
          <w:rFonts w:cs="Times New Roman"/>
          <w:b/>
          <w:bCs/>
          <w:color w:val="000000"/>
          <w:sz w:val="28"/>
        </w:rPr>
      </w:pPr>
      <w:bookmarkStart w:id="363" w:name="_GoBack"/>
      <w:bookmarkEnd w:id="363"/>
      <w:r>
        <w:rPr>
          <w:rFonts w:cs="Times New Roman"/>
          <w:b/>
          <w:bCs/>
          <w:color w:val="000000"/>
          <w:sz w:val="28"/>
        </w:rPr>
        <w:br w:type="page"/>
      </w:r>
    </w:p>
    <w:p>
      <w:pPr>
        <w:pStyle w:val="23"/>
        <w:jc w:val="center"/>
        <w:rPr>
          <w:rFonts w:ascii="Times New Roman" w:hAnsi="Times New Roman"/>
          <w:color w:val="auto"/>
          <w:sz w:val="52"/>
          <w:szCs w:val="52"/>
        </w:rPr>
      </w:pPr>
      <w:r>
        <w:rPr>
          <w:rFonts w:ascii="Times New Roman" w:hAnsi="Times New Roman"/>
          <w:color w:val="auto"/>
          <w:sz w:val="52"/>
          <w:szCs w:val="52"/>
          <w:lang w:val="zh-CN"/>
        </w:rPr>
        <w:t>目录</w:t>
      </w:r>
    </w:p>
    <w:p>
      <w:pPr>
        <w:pStyle w:val="13"/>
        <w:tabs>
          <w:tab w:val="right" w:leader="dot" w:pos="8300"/>
        </w:tabs>
      </w:pPr>
      <w:r>
        <w:rPr>
          <w:rFonts w:cs="Times New Roman"/>
        </w:rPr>
        <w:fldChar w:fldCharType="begin"/>
      </w:r>
      <w:r>
        <w:rPr>
          <w:rFonts w:cs="Times New Roman"/>
        </w:rPr>
        <w:instrText xml:space="preserve">TOC \o "1-2" \h \u </w:instrText>
      </w:r>
      <w:r>
        <w:rPr>
          <w:rFonts w:cs="Times New Roman"/>
        </w:rPr>
        <w:fldChar w:fldCharType="separate"/>
      </w:r>
      <w:r>
        <w:fldChar w:fldCharType="begin"/>
      </w:r>
      <w:r>
        <w:instrText xml:space="preserve"> HYPERLINK \l "_Toc4372" </w:instrText>
      </w:r>
      <w:r>
        <w:fldChar w:fldCharType="separate"/>
      </w:r>
      <w:r>
        <w:rPr>
          <w:rFonts w:cs="Times New Roman"/>
        </w:rPr>
        <w:t>（送审稿）</w:t>
      </w:r>
      <w:r>
        <w:tab/>
      </w:r>
      <w:r>
        <w:fldChar w:fldCharType="end"/>
      </w:r>
    </w:p>
    <w:p>
      <w:pPr>
        <w:pStyle w:val="13"/>
        <w:tabs>
          <w:tab w:val="right" w:leader="dot" w:pos="8300"/>
        </w:tabs>
      </w:pPr>
      <w:r>
        <w:fldChar w:fldCharType="begin"/>
      </w:r>
      <w:r>
        <w:instrText xml:space="preserve"> HYPERLINK \l "_Toc4106" </w:instrText>
      </w:r>
      <w:r>
        <w:fldChar w:fldCharType="separate"/>
      </w:r>
      <w:r>
        <w:rPr>
          <w:rFonts w:cs="Times New Roman"/>
        </w:rPr>
        <w:t>前  言</w:t>
      </w:r>
      <w:r>
        <w:tab/>
      </w:r>
      <w:r>
        <w:fldChar w:fldCharType="end"/>
      </w:r>
    </w:p>
    <w:p>
      <w:pPr>
        <w:pStyle w:val="13"/>
        <w:tabs>
          <w:tab w:val="right" w:leader="dot" w:pos="8300"/>
        </w:tabs>
      </w:pPr>
      <w:r>
        <w:fldChar w:fldCharType="begin"/>
      </w:r>
      <w:r>
        <w:instrText xml:space="preserve"> HYPERLINK \l "_Toc8856" </w:instrText>
      </w:r>
      <w:r>
        <w:fldChar w:fldCharType="separate"/>
      </w:r>
      <w:r>
        <w:rPr>
          <w:rFonts w:cs="Times New Roman"/>
        </w:rPr>
        <w:t>1 概 述</w:t>
      </w:r>
      <w:r>
        <w:tab/>
      </w:r>
      <w:r>
        <w:fldChar w:fldCharType="end"/>
      </w:r>
    </w:p>
    <w:p>
      <w:pPr>
        <w:pStyle w:val="14"/>
        <w:tabs>
          <w:tab w:val="right" w:leader="dot" w:pos="8300"/>
        </w:tabs>
        <w:rPr>
          <w:sz w:val="24"/>
          <w:szCs w:val="24"/>
        </w:rPr>
      </w:pPr>
      <w:r>
        <w:fldChar w:fldCharType="begin"/>
      </w:r>
      <w:r>
        <w:instrText xml:space="preserve"> HYPERLINK \l "_Toc12495" </w:instrText>
      </w:r>
      <w:r>
        <w:fldChar w:fldCharType="separate"/>
      </w:r>
      <w:r>
        <w:rPr>
          <w:rFonts w:ascii="Times New Roman" w:hAnsi="Times New Roman"/>
          <w:sz w:val="24"/>
          <w:szCs w:val="24"/>
        </w:rPr>
        <w:t>1.1任务由来及意义</w:t>
      </w:r>
      <w:r>
        <w:rPr>
          <w:sz w:val="24"/>
          <w:szCs w:val="24"/>
        </w:rPr>
        <w:tab/>
      </w:r>
      <w:r>
        <w:rPr>
          <w:sz w:val="24"/>
          <w:szCs w:val="24"/>
        </w:rPr>
        <w:fldChar w:fldCharType="begin"/>
      </w:r>
      <w:r>
        <w:rPr>
          <w:sz w:val="24"/>
          <w:szCs w:val="24"/>
        </w:rPr>
        <w:instrText xml:space="preserve"> PAGEREF _Toc12495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"_Toc6132" </w:instrText>
      </w:r>
      <w:r>
        <w:fldChar w:fldCharType="separate"/>
      </w:r>
      <w:r>
        <w:rPr>
          <w:rFonts w:ascii="Times New Roman" w:hAnsi="Times New Roman"/>
          <w:sz w:val="24"/>
          <w:szCs w:val="24"/>
        </w:rPr>
        <w:t>1.2划分依据及原则</w:t>
      </w:r>
      <w:r>
        <w:rPr>
          <w:sz w:val="24"/>
          <w:szCs w:val="24"/>
        </w:rPr>
        <w:tab/>
      </w:r>
      <w:r>
        <w:rPr>
          <w:sz w:val="24"/>
          <w:szCs w:val="24"/>
        </w:rPr>
        <w:fldChar w:fldCharType="begin"/>
      </w:r>
      <w:r>
        <w:rPr>
          <w:sz w:val="24"/>
          <w:szCs w:val="24"/>
        </w:rPr>
        <w:instrText xml:space="preserve"> PAGEREF _Toc6132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"_Toc17111" </w:instrText>
      </w:r>
      <w:r>
        <w:fldChar w:fldCharType="separate"/>
      </w:r>
      <w:r>
        <w:rPr>
          <w:rFonts w:ascii="Times New Roman" w:hAnsi="Times New Roman"/>
          <w:sz w:val="24"/>
          <w:szCs w:val="24"/>
        </w:rPr>
        <w:t>1.3水源保护区划分的一般技术原则</w:t>
      </w:r>
      <w:r>
        <w:rPr>
          <w:sz w:val="24"/>
          <w:szCs w:val="24"/>
        </w:rPr>
        <w:tab/>
      </w:r>
      <w:r>
        <w:rPr>
          <w:sz w:val="24"/>
          <w:szCs w:val="24"/>
        </w:rPr>
        <w:fldChar w:fldCharType="begin"/>
      </w:r>
      <w:r>
        <w:rPr>
          <w:sz w:val="24"/>
          <w:szCs w:val="24"/>
        </w:rPr>
        <w:instrText xml:space="preserve"> PAGEREF _Toc17111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"_Toc8231" </w:instrText>
      </w:r>
      <w:r>
        <w:fldChar w:fldCharType="separate"/>
      </w:r>
      <w:r>
        <w:rPr>
          <w:rFonts w:ascii="Times New Roman" w:hAnsi="Times New Roman"/>
          <w:sz w:val="24"/>
          <w:szCs w:val="24"/>
        </w:rPr>
        <w:t>1.4水源保护区水质要求</w:t>
      </w:r>
      <w:r>
        <w:rPr>
          <w:sz w:val="24"/>
          <w:szCs w:val="24"/>
        </w:rPr>
        <w:tab/>
      </w:r>
      <w:r>
        <w:rPr>
          <w:sz w:val="24"/>
          <w:szCs w:val="24"/>
        </w:rPr>
        <w:fldChar w:fldCharType="begin"/>
      </w:r>
      <w:r>
        <w:rPr>
          <w:sz w:val="24"/>
          <w:szCs w:val="24"/>
        </w:rPr>
        <w:instrText xml:space="preserve"> PAGEREF _Toc8231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13"/>
        <w:tabs>
          <w:tab w:val="right" w:leader="dot" w:pos="8300"/>
        </w:tabs>
      </w:pPr>
      <w:r>
        <w:fldChar w:fldCharType="begin"/>
      </w:r>
      <w:r>
        <w:instrText xml:space="preserve"> HYPERLINK \l "_Toc12672" </w:instrText>
      </w:r>
      <w:r>
        <w:fldChar w:fldCharType="separate"/>
      </w:r>
      <w:r>
        <w:rPr>
          <w:rFonts w:cs="Times New Roman"/>
          <w:kern w:val="0"/>
          <w:lang w:val="zh-CN"/>
        </w:rPr>
        <w:t>2 水源地概况</w:t>
      </w:r>
      <w:r>
        <w:tab/>
      </w:r>
      <w:r>
        <w:fldChar w:fldCharType="end"/>
      </w:r>
    </w:p>
    <w:p>
      <w:pPr>
        <w:pStyle w:val="14"/>
        <w:tabs>
          <w:tab w:val="right" w:leader="dot" w:pos="8300"/>
        </w:tabs>
        <w:rPr>
          <w:sz w:val="24"/>
          <w:szCs w:val="24"/>
        </w:rPr>
      </w:pPr>
      <w:r>
        <w:fldChar w:fldCharType="begin"/>
      </w:r>
      <w:r>
        <w:instrText xml:space="preserve"> HYPERLINK \l "_Toc30725" </w:instrText>
      </w:r>
      <w:r>
        <w:fldChar w:fldCharType="separate"/>
      </w:r>
      <w:r>
        <w:rPr>
          <w:rFonts w:ascii="Times New Roman" w:hAnsi="Times New Roman"/>
          <w:sz w:val="24"/>
          <w:szCs w:val="24"/>
        </w:rPr>
        <w:t>2.1 水源地基本情况</w:t>
      </w:r>
      <w:r>
        <w:rPr>
          <w:sz w:val="24"/>
          <w:szCs w:val="24"/>
        </w:rPr>
        <w:tab/>
      </w:r>
      <w:r>
        <w:rPr>
          <w:sz w:val="24"/>
          <w:szCs w:val="24"/>
        </w:rPr>
        <w:fldChar w:fldCharType="begin"/>
      </w:r>
      <w:r>
        <w:rPr>
          <w:sz w:val="24"/>
          <w:szCs w:val="24"/>
        </w:rPr>
        <w:instrText xml:space="preserve"> PAGEREF _Toc30725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"_Toc4471" </w:instrText>
      </w:r>
      <w:r>
        <w:fldChar w:fldCharType="separate"/>
      </w:r>
      <w:r>
        <w:rPr>
          <w:rFonts w:ascii="Times New Roman" w:hAnsi="Times New Roman"/>
          <w:sz w:val="24"/>
          <w:szCs w:val="24"/>
        </w:rPr>
        <w:t>2.2 保护区划分情况</w:t>
      </w:r>
      <w:r>
        <w:rPr>
          <w:sz w:val="24"/>
          <w:szCs w:val="24"/>
        </w:rPr>
        <w:tab/>
      </w:r>
      <w:r>
        <w:rPr>
          <w:sz w:val="24"/>
          <w:szCs w:val="24"/>
        </w:rPr>
        <w:fldChar w:fldCharType="begin"/>
      </w:r>
      <w:r>
        <w:rPr>
          <w:sz w:val="24"/>
          <w:szCs w:val="24"/>
        </w:rPr>
        <w:instrText xml:space="preserve"> PAGEREF _Toc4471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"_Toc10254" </w:instrText>
      </w:r>
      <w:r>
        <w:fldChar w:fldCharType="separate"/>
      </w:r>
      <w:r>
        <w:rPr>
          <w:rFonts w:ascii="Times New Roman" w:hAnsi="Times New Roman"/>
          <w:sz w:val="24"/>
          <w:szCs w:val="24"/>
        </w:rPr>
        <w:t>2.3 水质状况</w:t>
      </w:r>
      <w:r>
        <w:rPr>
          <w:sz w:val="24"/>
          <w:szCs w:val="24"/>
        </w:rPr>
        <w:tab/>
      </w:r>
      <w:r>
        <w:rPr>
          <w:sz w:val="24"/>
          <w:szCs w:val="24"/>
        </w:rPr>
        <w:fldChar w:fldCharType="begin"/>
      </w:r>
      <w:r>
        <w:rPr>
          <w:sz w:val="24"/>
          <w:szCs w:val="24"/>
        </w:rPr>
        <w:instrText xml:space="preserve"> PAGEREF _Toc10254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"_Toc32184" </w:instrText>
      </w:r>
      <w:r>
        <w:fldChar w:fldCharType="separate"/>
      </w:r>
      <w:r>
        <w:rPr>
          <w:rFonts w:ascii="Times New Roman" w:hAnsi="Times New Roman"/>
          <w:sz w:val="24"/>
          <w:szCs w:val="24"/>
        </w:rPr>
        <w:t>2.4 现有水厂净化工艺</w:t>
      </w:r>
      <w:r>
        <w:rPr>
          <w:sz w:val="24"/>
          <w:szCs w:val="24"/>
        </w:rPr>
        <w:tab/>
      </w:r>
      <w:r>
        <w:rPr>
          <w:sz w:val="24"/>
          <w:szCs w:val="24"/>
        </w:rPr>
        <w:fldChar w:fldCharType="begin"/>
      </w:r>
      <w:r>
        <w:rPr>
          <w:sz w:val="24"/>
          <w:szCs w:val="24"/>
        </w:rPr>
        <w:instrText xml:space="preserve"> PAGEREF _Toc32184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"_Toc10714" </w:instrText>
      </w:r>
      <w:r>
        <w:fldChar w:fldCharType="separate"/>
      </w:r>
      <w:r>
        <w:rPr>
          <w:rFonts w:ascii="Times New Roman" w:hAnsi="Times New Roman"/>
          <w:sz w:val="24"/>
          <w:szCs w:val="24"/>
        </w:rPr>
        <w:t>2.</w:t>
      </w:r>
      <w:r>
        <w:rPr>
          <w:rFonts w:hint="eastAsia" w:ascii="Times New Roman" w:hAnsi="Times New Roman"/>
          <w:sz w:val="24"/>
          <w:szCs w:val="24"/>
        </w:rPr>
        <w:t>5</w:t>
      </w:r>
      <w:r>
        <w:rPr>
          <w:rFonts w:ascii="Times New Roman" w:hAnsi="Times New Roman"/>
          <w:sz w:val="24"/>
          <w:szCs w:val="24"/>
        </w:rPr>
        <w:t xml:space="preserve"> </w:t>
      </w:r>
      <w:r>
        <w:rPr>
          <w:rFonts w:hint="eastAsia" w:ascii="Times New Roman" w:hAnsi="Times New Roman"/>
          <w:sz w:val="24"/>
          <w:szCs w:val="24"/>
        </w:rPr>
        <w:t>供水状况及规划</w:t>
      </w:r>
      <w:r>
        <w:rPr>
          <w:sz w:val="24"/>
          <w:szCs w:val="24"/>
        </w:rPr>
        <w:tab/>
      </w:r>
      <w:r>
        <w:rPr>
          <w:sz w:val="24"/>
          <w:szCs w:val="24"/>
        </w:rPr>
        <w:fldChar w:fldCharType="begin"/>
      </w:r>
      <w:r>
        <w:rPr>
          <w:sz w:val="24"/>
          <w:szCs w:val="24"/>
        </w:rPr>
        <w:instrText xml:space="preserve"> PAGEREF _Toc10714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"_Toc29122" </w:instrText>
      </w:r>
      <w:r>
        <w:fldChar w:fldCharType="separate"/>
      </w:r>
      <w:r>
        <w:rPr>
          <w:rFonts w:ascii="Times New Roman" w:hAnsi="Times New Roman"/>
          <w:sz w:val="24"/>
          <w:szCs w:val="24"/>
        </w:rPr>
        <w:t>2.</w:t>
      </w:r>
      <w:r>
        <w:rPr>
          <w:rFonts w:hint="eastAsia" w:ascii="Times New Roman" w:hAnsi="Times New Roman"/>
          <w:sz w:val="24"/>
          <w:szCs w:val="24"/>
        </w:rPr>
        <w:t>6</w:t>
      </w:r>
      <w:r>
        <w:rPr>
          <w:rFonts w:ascii="Times New Roman" w:hAnsi="Times New Roman"/>
          <w:sz w:val="24"/>
          <w:szCs w:val="24"/>
        </w:rPr>
        <w:t xml:space="preserve"> </w:t>
      </w:r>
      <w:r>
        <w:rPr>
          <w:rFonts w:hint="eastAsia" w:ascii="Times New Roman" w:hAnsi="Times New Roman"/>
          <w:sz w:val="24"/>
          <w:szCs w:val="24"/>
        </w:rPr>
        <w:t>排水状况及规划</w:t>
      </w:r>
      <w:r>
        <w:rPr>
          <w:sz w:val="24"/>
          <w:szCs w:val="24"/>
        </w:rPr>
        <w:tab/>
      </w:r>
      <w:r>
        <w:rPr>
          <w:sz w:val="24"/>
          <w:szCs w:val="24"/>
        </w:rPr>
        <w:fldChar w:fldCharType="begin"/>
      </w:r>
      <w:r>
        <w:rPr>
          <w:sz w:val="24"/>
          <w:szCs w:val="24"/>
        </w:rPr>
        <w:instrText xml:space="preserve"> PAGEREF _Toc29122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13"/>
        <w:tabs>
          <w:tab w:val="right" w:leader="dot" w:pos="8300"/>
        </w:tabs>
      </w:pPr>
      <w:r>
        <w:fldChar w:fldCharType="begin"/>
      </w:r>
      <w:r>
        <w:instrText xml:space="preserve"> HYPERLINK \l "_Toc31251" </w:instrText>
      </w:r>
      <w:r>
        <w:fldChar w:fldCharType="separate"/>
      </w:r>
      <w:r>
        <w:rPr>
          <w:rFonts w:cs="Times New Roman"/>
        </w:rPr>
        <w:t>3 饮用水水源保护区背景分析</w:t>
      </w:r>
      <w:r>
        <w:tab/>
      </w:r>
      <w:r>
        <w:fldChar w:fldCharType="end"/>
      </w:r>
    </w:p>
    <w:p>
      <w:pPr>
        <w:pStyle w:val="14"/>
        <w:tabs>
          <w:tab w:val="right" w:leader="dot" w:pos="8300"/>
        </w:tabs>
        <w:rPr>
          <w:sz w:val="24"/>
          <w:szCs w:val="24"/>
        </w:rPr>
      </w:pPr>
      <w:r>
        <w:fldChar w:fldCharType="begin"/>
      </w:r>
      <w:r>
        <w:instrText xml:space="preserve"> HYPERLINK \l "_Toc12849" </w:instrText>
      </w:r>
      <w:r>
        <w:fldChar w:fldCharType="separate"/>
      </w:r>
      <w:r>
        <w:rPr>
          <w:rFonts w:ascii="Times New Roman" w:hAnsi="Times New Roman"/>
          <w:sz w:val="24"/>
          <w:szCs w:val="24"/>
        </w:rPr>
        <w:t>3.1饮用水水源地保护区所在区域的自然状况</w:t>
      </w:r>
      <w:r>
        <w:rPr>
          <w:sz w:val="24"/>
          <w:szCs w:val="24"/>
        </w:rPr>
        <w:tab/>
      </w:r>
      <w:r>
        <w:rPr>
          <w:sz w:val="24"/>
          <w:szCs w:val="24"/>
        </w:rPr>
        <w:fldChar w:fldCharType="begin"/>
      </w:r>
      <w:r>
        <w:rPr>
          <w:sz w:val="24"/>
          <w:szCs w:val="24"/>
        </w:rPr>
        <w:instrText xml:space="preserve"> PAGEREF _Toc12849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"_Toc791" </w:instrText>
      </w:r>
      <w:r>
        <w:fldChar w:fldCharType="separate"/>
      </w:r>
      <w:r>
        <w:rPr>
          <w:rFonts w:ascii="Times New Roman" w:hAnsi="Times New Roman"/>
          <w:sz w:val="24"/>
          <w:szCs w:val="24"/>
        </w:rPr>
        <w:t>3.2社会经济状况</w:t>
      </w:r>
      <w:r>
        <w:rPr>
          <w:sz w:val="24"/>
          <w:szCs w:val="24"/>
        </w:rPr>
        <w:tab/>
      </w:r>
      <w:r>
        <w:rPr>
          <w:sz w:val="24"/>
          <w:szCs w:val="24"/>
        </w:rPr>
        <w:fldChar w:fldCharType="begin"/>
      </w:r>
      <w:r>
        <w:rPr>
          <w:sz w:val="24"/>
          <w:szCs w:val="24"/>
        </w:rPr>
        <w:instrText xml:space="preserve"> PAGEREF _Toc791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"_Toc8023" </w:instrText>
      </w:r>
      <w:r>
        <w:fldChar w:fldCharType="separate"/>
      </w:r>
      <w:r>
        <w:rPr>
          <w:rFonts w:ascii="Times New Roman" w:hAnsi="Times New Roman"/>
          <w:bCs/>
          <w:sz w:val="24"/>
          <w:szCs w:val="24"/>
        </w:rPr>
        <w:t>3.3土地利用现状及规划</w:t>
      </w:r>
      <w:r>
        <w:rPr>
          <w:sz w:val="24"/>
          <w:szCs w:val="24"/>
        </w:rPr>
        <w:tab/>
      </w:r>
      <w:r>
        <w:rPr>
          <w:sz w:val="24"/>
          <w:szCs w:val="24"/>
        </w:rPr>
        <w:fldChar w:fldCharType="begin"/>
      </w:r>
      <w:r>
        <w:rPr>
          <w:sz w:val="24"/>
          <w:szCs w:val="24"/>
        </w:rPr>
        <w:instrText xml:space="preserve"> PAGEREF _Toc8023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13"/>
        <w:tabs>
          <w:tab w:val="right" w:leader="dot" w:pos="8300"/>
        </w:tabs>
      </w:pPr>
      <w:r>
        <w:fldChar w:fldCharType="begin"/>
      </w:r>
      <w:r>
        <w:instrText xml:space="preserve"> HYPERLINK \l "_Toc28077" </w:instrText>
      </w:r>
      <w:r>
        <w:fldChar w:fldCharType="separate"/>
      </w:r>
      <w:r>
        <w:rPr>
          <w:rFonts w:hint="eastAsia" w:cs="Times New Roman"/>
        </w:rPr>
        <w:t>4</w:t>
      </w:r>
      <w:r>
        <w:rPr>
          <w:rFonts w:cs="Times New Roman"/>
        </w:rPr>
        <w:t xml:space="preserve"> 水源地环境状况</w:t>
      </w:r>
      <w:r>
        <w:tab/>
      </w:r>
      <w:r>
        <w:fldChar w:fldCharType="end"/>
      </w:r>
    </w:p>
    <w:p>
      <w:pPr>
        <w:pStyle w:val="14"/>
        <w:tabs>
          <w:tab w:val="right" w:leader="dot" w:pos="8300"/>
        </w:tabs>
        <w:rPr>
          <w:sz w:val="24"/>
          <w:szCs w:val="24"/>
        </w:rPr>
      </w:pPr>
      <w:r>
        <w:fldChar w:fldCharType="begin"/>
      </w:r>
      <w:r>
        <w:instrText xml:space="preserve"> HYPERLINK \l "_Toc27034" </w:instrText>
      </w:r>
      <w:r>
        <w:fldChar w:fldCharType="separate"/>
      </w:r>
      <w:r>
        <w:rPr>
          <w:rFonts w:hint="eastAsia" w:ascii="Times New Roman" w:hAnsi="Times New Roman"/>
          <w:sz w:val="24"/>
          <w:szCs w:val="24"/>
        </w:rPr>
        <w:t>4</w:t>
      </w:r>
      <w:r>
        <w:rPr>
          <w:rFonts w:ascii="Times New Roman" w:hAnsi="Times New Roman"/>
          <w:sz w:val="24"/>
          <w:szCs w:val="24"/>
        </w:rPr>
        <w:t>.1水环境风险识别</w:t>
      </w:r>
      <w:r>
        <w:rPr>
          <w:sz w:val="24"/>
          <w:szCs w:val="24"/>
        </w:rPr>
        <w:tab/>
      </w:r>
      <w:r>
        <w:rPr>
          <w:sz w:val="24"/>
          <w:szCs w:val="24"/>
        </w:rPr>
        <w:fldChar w:fldCharType="begin"/>
      </w:r>
      <w:r>
        <w:rPr>
          <w:sz w:val="24"/>
          <w:szCs w:val="24"/>
        </w:rPr>
        <w:instrText xml:space="preserve"> PAGEREF _Toc27034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"_Toc4219" </w:instrText>
      </w:r>
      <w:r>
        <w:fldChar w:fldCharType="separate"/>
      </w:r>
      <w:r>
        <w:rPr>
          <w:rFonts w:hint="eastAsia" w:ascii="Times New Roman" w:hAnsi="Times New Roman"/>
          <w:sz w:val="24"/>
          <w:szCs w:val="24"/>
        </w:rPr>
        <w:t>4</w:t>
      </w:r>
      <w:r>
        <w:rPr>
          <w:rFonts w:ascii="Times New Roman" w:hAnsi="Times New Roman"/>
          <w:sz w:val="24"/>
          <w:szCs w:val="24"/>
        </w:rPr>
        <w:t>.2水环境系统分析</w:t>
      </w:r>
      <w:r>
        <w:rPr>
          <w:sz w:val="24"/>
          <w:szCs w:val="24"/>
        </w:rPr>
        <w:tab/>
      </w:r>
      <w:r>
        <w:rPr>
          <w:sz w:val="24"/>
          <w:szCs w:val="24"/>
        </w:rPr>
        <w:fldChar w:fldCharType="begin"/>
      </w:r>
      <w:r>
        <w:rPr>
          <w:sz w:val="24"/>
          <w:szCs w:val="24"/>
        </w:rPr>
        <w:instrText xml:space="preserve"> PAGEREF _Toc4219 </w:instrText>
      </w:r>
      <w:r>
        <w:rPr>
          <w:sz w:val="24"/>
          <w:szCs w:val="24"/>
        </w:rPr>
        <w:fldChar w:fldCharType="separate"/>
      </w:r>
      <w:r>
        <w:rPr>
          <w:sz w:val="24"/>
          <w:szCs w:val="24"/>
        </w:rPr>
        <w:t>30</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"_Toc7567" </w:instrText>
      </w:r>
      <w:r>
        <w:fldChar w:fldCharType="separate"/>
      </w:r>
      <w:r>
        <w:rPr>
          <w:rFonts w:hint="eastAsia" w:ascii="Times New Roman" w:hAnsi="Times New Roman"/>
          <w:sz w:val="24"/>
          <w:szCs w:val="24"/>
        </w:rPr>
        <w:t>4</w:t>
      </w:r>
      <w:r>
        <w:rPr>
          <w:rFonts w:ascii="Times New Roman" w:hAnsi="Times New Roman"/>
          <w:sz w:val="24"/>
          <w:szCs w:val="24"/>
        </w:rPr>
        <w:t>.3水环境风险控制</w:t>
      </w:r>
      <w:r>
        <w:rPr>
          <w:sz w:val="24"/>
          <w:szCs w:val="24"/>
        </w:rPr>
        <w:tab/>
      </w:r>
      <w:r>
        <w:rPr>
          <w:sz w:val="24"/>
          <w:szCs w:val="24"/>
        </w:rPr>
        <w:fldChar w:fldCharType="begin"/>
      </w:r>
      <w:r>
        <w:rPr>
          <w:sz w:val="24"/>
          <w:szCs w:val="24"/>
        </w:rPr>
        <w:instrText xml:space="preserve"> PAGEREF _Toc7567 </w:instrText>
      </w:r>
      <w:r>
        <w:rPr>
          <w:sz w:val="24"/>
          <w:szCs w:val="24"/>
        </w:rPr>
        <w:fldChar w:fldCharType="separate"/>
      </w:r>
      <w:r>
        <w:rPr>
          <w:sz w:val="24"/>
          <w:szCs w:val="24"/>
        </w:rPr>
        <w:t>33</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"_Toc15392" </w:instrText>
      </w:r>
      <w:r>
        <w:fldChar w:fldCharType="separate"/>
      </w:r>
      <w:r>
        <w:rPr>
          <w:rFonts w:hint="eastAsia" w:ascii="Times New Roman" w:hAnsi="Times New Roman"/>
          <w:sz w:val="24"/>
          <w:szCs w:val="24"/>
        </w:rPr>
        <w:t>4</w:t>
      </w:r>
      <w:r>
        <w:rPr>
          <w:rFonts w:ascii="Times New Roman" w:hAnsi="Times New Roman"/>
          <w:sz w:val="24"/>
          <w:szCs w:val="24"/>
        </w:rPr>
        <w:t>.4饮用水水源保护区环境保护工程</w:t>
      </w:r>
      <w:r>
        <w:rPr>
          <w:sz w:val="24"/>
          <w:szCs w:val="24"/>
        </w:rPr>
        <w:tab/>
      </w:r>
      <w:r>
        <w:rPr>
          <w:sz w:val="24"/>
          <w:szCs w:val="24"/>
        </w:rPr>
        <w:fldChar w:fldCharType="begin"/>
      </w:r>
      <w:r>
        <w:rPr>
          <w:sz w:val="24"/>
          <w:szCs w:val="24"/>
        </w:rPr>
        <w:instrText xml:space="preserve"> PAGEREF _Toc15392 </w:instrText>
      </w:r>
      <w:r>
        <w:rPr>
          <w:sz w:val="24"/>
          <w:szCs w:val="24"/>
        </w:rPr>
        <w:fldChar w:fldCharType="separate"/>
      </w:r>
      <w:r>
        <w:rPr>
          <w:sz w:val="24"/>
          <w:szCs w:val="24"/>
        </w:rPr>
        <w:t>36</w:t>
      </w:r>
      <w:r>
        <w:rPr>
          <w:sz w:val="24"/>
          <w:szCs w:val="24"/>
        </w:rPr>
        <w:fldChar w:fldCharType="end"/>
      </w:r>
      <w:r>
        <w:rPr>
          <w:sz w:val="24"/>
          <w:szCs w:val="24"/>
        </w:rPr>
        <w:fldChar w:fldCharType="end"/>
      </w:r>
    </w:p>
    <w:p>
      <w:pPr>
        <w:pStyle w:val="13"/>
        <w:tabs>
          <w:tab w:val="right" w:leader="dot" w:pos="8300"/>
        </w:tabs>
      </w:pPr>
      <w:r>
        <w:fldChar w:fldCharType="begin"/>
      </w:r>
      <w:r>
        <w:instrText xml:space="preserve"> HYPERLINK \l "_Toc28209" </w:instrText>
      </w:r>
      <w:r>
        <w:fldChar w:fldCharType="separate"/>
      </w:r>
      <w:r>
        <w:rPr>
          <w:rFonts w:hint="eastAsia" w:eastAsia="宋体" w:cs="Times New Roman"/>
          <w:bCs/>
          <w:kern w:val="0"/>
        </w:rPr>
        <w:t>5</w:t>
      </w:r>
      <w:r>
        <w:rPr>
          <w:rFonts w:eastAsia="宋体" w:cs="Times New Roman"/>
          <w:bCs/>
          <w:kern w:val="0"/>
        </w:rPr>
        <w:t xml:space="preserve"> </w:t>
      </w:r>
      <w:r>
        <w:rPr>
          <w:rFonts w:eastAsia="宋体" w:cs="Times New Roman"/>
          <w:bCs/>
          <w:kern w:val="0"/>
          <w:lang w:val="zh-CN"/>
        </w:rPr>
        <w:t>饮用水源保护区划定</w:t>
      </w:r>
      <w:r>
        <w:tab/>
      </w:r>
      <w:r>
        <w:fldChar w:fldCharType="end"/>
      </w:r>
    </w:p>
    <w:p>
      <w:pPr>
        <w:pStyle w:val="14"/>
        <w:tabs>
          <w:tab w:val="right" w:leader="dot" w:pos="8300"/>
        </w:tabs>
        <w:rPr>
          <w:sz w:val="24"/>
          <w:szCs w:val="24"/>
        </w:rPr>
      </w:pPr>
      <w:r>
        <w:fldChar w:fldCharType="begin"/>
      </w:r>
      <w:r>
        <w:instrText xml:space="preserve"> HYPERLINK \l "_Toc20765" </w:instrText>
      </w:r>
      <w:r>
        <w:fldChar w:fldCharType="separate"/>
      </w:r>
      <w:r>
        <w:rPr>
          <w:rFonts w:hint="eastAsia" w:ascii="Times New Roman" w:hAnsi="Times New Roman" w:eastAsia="黑体"/>
          <w:sz w:val="24"/>
          <w:szCs w:val="24"/>
        </w:rPr>
        <w:t>5</w:t>
      </w:r>
      <w:r>
        <w:rPr>
          <w:rFonts w:ascii="Times New Roman" w:hAnsi="Times New Roman" w:eastAsia="黑体"/>
          <w:sz w:val="24"/>
          <w:szCs w:val="24"/>
        </w:rPr>
        <w:t>.1</w:t>
      </w:r>
      <w:r>
        <w:rPr>
          <w:rFonts w:ascii="Times New Roman" w:hAnsi="Times New Roman"/>
          <w:sz w:val="24"/>
          <w:szCs w:val="24"/>
        </w:rPr>
        <w:t>水源类型及保护区设置</w:t>
      </w:r>
      <w:r>
        <w:rPr>
          <w:sz w:val="24"/>
          <w:szCs w:val="24"/>
        </w:rPr>
        <w:tab/>
      </w:r>
      <w:r>
        <w:rPr>
          <w:sz w:val="24"/>
          <w:szCs w:val="24"/>
        </w:rPr>
        <w:fldChar w:fldCharType="begin"/>
      </w:r>
      <w:r>
        <w:rPr>
          <w:sz w:val="24"/>
          <w:szCs w:val="24"/>
        </w:rPr>
        <w:instrText xml:space="preserve"> PAGEREF _Toc20765 </w:instrText>
      </w:r>
      <w:r>
        <w:rPr>
          <w:sz w:val="24"/>
          <w:szCs w:val="24"/>
        </w:rPr>
        <w:fldChar w:fldCharType="separate"/>
      </w:r>
      <w:r>
        <w:rPr>
          <w:sz w:val="24"/>
          <w:szCs w:val="24"/>
        </w:rPr>
        <w:t>40</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"_Toc5551" </w:instrText>
      </w:r>
      <w:r>
        <w:fldChar w:fldCharType="separate"/>
      </w:r>
      <w:r>
        <w:rPr>
          <w:rFonts w:hint="eastAsia" w:ascii="Times New Roman" w:hAnsi="Times New Roman"/>
          <w:bCs/>
          <w:sz w:val="24"/>
          <w:szCs w:val="24"/>
        </w:rPr>
        <w:t>5</w:t>
      </w:r>
      <w:r>
        <w:rPr>
          <w:rFonts w:ascii="Times New Roman" w:hAnsi="Times New Roman"/>
          <w:bCs/>
          <w:sz w:val="24"/>
          <w:szCs w:val="24"/>
        </w:rPr>
        <w:t>.2</w:t>
      </w:r>
      <w:r>
        <w:rPr>
          <w:rFonts w:hint="eastAsia" w:ascii="Times New Roman" w:hAnsi="Times New Roman"/>
          <w:bCs/>
          <w:sz w:val="24"/>
          <w:szCs w:val="24"/>
        </w:rPr>
        <w:t>水库型</w:t>
      </w:r>
      <w:r>
        <w:rPr>
          <w:rFonts w:ascii="Times New Roman" w:hAnsi="Times New Roman"/>
          <w:bCs/>
          <w:sz w:val="24"/>
          <w:szCs w:val="24"/>
        </w:rPr>
        <w:t>水源地保护区划分</w:t>
      </w:r>
      <w:r>
        <w:rPr>
          <w:sz w:val="24"/>
          <w:szCs w:val="24"/>
        </w:rPr>
        <w:tab/>
      </w:r>
      <w:r>
        <w:rPr>
          <w:sz w:val="24"/>
          <w:szCs w:val="24"/>
        </w:rPr>
        <w:fldChar w:fldCharType="begin"/>
      </w:r>
      <w:r>
        <w:rPr>
          <w:sz w:val="24"/>
          <w:szCs w:val="24"/>
        </w:rPr>
        <w:instrText xml:space="preserve"> PAGEREF _Toc5551 </w:instrText>
      </w:r>
      <w:r>
        <w:rPr>
          <w:sz w:val="24"/>
          <w:szCs w:val="24"/>
        </w:rPr>
        <w:fldChar w:fldCharType="separate"/>
      </w:r>
      <w:r>
        <w:rPr>
          <w:sz w:val="24"/>
          <w:szCs w:val="24"/>
        </w:rPr>
        <w:t>41</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"_Toc13802" </w:instrText>
      </w:r>
      <w:r>
        <w:fldChar w:fldCharType="separate"/>
      </w:r>
      <w:r>
        <w:rPr>
          <w:rFonts w:hint="eastAsia" w:ascii="Times New Roman" w:hAnsi="Times New Roman"/>
          <w:bCs/>
          <w:sz w:val="24"/>
          <w:szCs w:val="24"/>
        </w:rPr>
        <w:t>5</w:t>
      </w:r>
      <w:r>
        <w:rPr>
          <w:rFonts w:ascii="Times New Roman" w:hAnsi="Times New Roman"/>
          <w:bCs/>
          <w:sz w:val="24"/>
          <w:szCs w:val="24"/>
        </w:rPr>
        <w:t>.3饮用水源保护区最终定界</w:t>
      </w:r>
      <w:r>
        <w:rPr>
          <w:sz w:val="24"/>
          <w:szCs w:val="24"/>
        </w:rPr>
        <w:tab/>
      </w:r>
      <w:r>
        <w:rPr>
          <w:sz w:val="24"/>
          <w:szCs w:val="24"/>
        </w:rPr>
        <w:fldChar w:fldCharType="begin"/>
      </w:r>
      <w:r>
        <w:rPr>
          <w:sz w:val="24"/>
          <w:szCs w:val="24"/>
        </w:rPr>
        <w:instrText xml:space="preserve"> PAGEREF _Toc13802 </w:instrText>
      </w:r>
      <w:r>
        <w:rPr>
          <w:sz w:val="24"/>
          <w:szCs w:val="24"/>
        </w:rPr>
        <w:fldChar w:fldCharType="separate"/>
      </w:r>
      <w:r>
        <w:rPr>
          <w:sz w:val="24"/>
          <w:szCs w:val="24"/>
        </w:rPr>
        <w:t>43</w:t>
      </w:r>
      <w:r>
        <w:rPr>
          <w:sz w:val="24"/>
          <w:szCs w:val="24"/>
        </w:rPr>
        <w:fldChar w:fldCharType="end"/>
      </w:r>
      <w:r>
        <w:rPr>
          <w:sz w:val="24"/>
          <w:szCs w:val="24"/>
        </w:rPr>
        <w:fldChar w:fldCharType="end"/>
      </w:r>
    </w:p>
    <w:p>
      <w:pPr>
        <w:pStyle w:val="13"/>
        <w:tabs>
          <w:tab w:val="right" w:leader="dot" w:pos="8300"/>
        </w:tabs>
      </w:pPr>
      <w:r>
        <w:fldChar w:fldCharType="begin"/>
      </w:r>
      <w:r>
        <w:instrText xml:space="preserve"> HYPERLINK \l "_Toc10644" </w:instrText>
      </w:r>
      <w:r>
        <w:fldChar w:fldCharType="separate"/>
      </w:r>
      <w:r>
        <w:rPr>
          <w:rFonts w:hint="eastAsia" w:cs="Times New Roman"/>
        </w:rPr>
        <w:t>6</w:t>
      </w:r>
      <w:r>
        <w:rPr>
          <w:rFonts w:cs="Times New Roman"/>
        </w:rPr>
        <w:t xml:space="preserve"> 水源保护区管理措施</w:t>
      </w:r>
      <w:r>
        <w:tab/>
      </w:r>
      <w:r>
        <w:fldChar w:fldCharType="end"/>
      </w:r>
    </w:p>
    <w:p>
      <w:pPr>
        <w:pStyle w:val="14"/>
        <w:tabs>
          <w:tab w:val="right" w:leader="dot" w:pos="8300"/>
        </w:tabs>
        <w:rPr>
          <w:sz w:val="24"/>
          <w:szCs w:val="24"/>
        </w:rPr>
      </w:pPr>
      <w:r>
        <w:fldChar w:fldCharType="begin"/>
      </w:r>
      <w:r>
        <w:instrText xml:space="preserve"> HYPERLINK \l "_Toc14069" </w:instrText>
      </w:r>
      <w:r>
        <w:fldChar w:fldCharType="separate"/>
      </w:r>
      <w:r>
        <w:rPr>
          <w:rFonts w:hint="eastAsia" w:ascii="Times New Roman" w:hAnsi="Times New Roman"/>
          <w:sz w:val="24"/>
          <w:szCs w:val="24"/>
        </w:rPr>
        <w:t>6.</w:t>
      </w:r>
      <w:r>
        <w:rPr>
          <w:rFonts w:ascii="Times New Roman" w:hAnsi="Times New Roman"/>
          <w:sz w:val="24"/>
          <w:szCs w:val="24"/>
        </w:rPr>
        <w:t>1饮用水水源保护区界标标志工程</w:t>
      </w:r>
      <w:r>
        <w:rPr>
          <w:sz w:val="24"/>
          <w:szCs w:val="24"/>
        </w:rPr>
        <w:tab/>
      </w:r>
      <w:r>
        <w:rPr>
          <w:sz w:val="24"/>
          <w:szCs w:val="24"/>
        </w:rPr>
        <w:fldChar w:fldCharType="begin"/>
      </w:r>
      <w:r>
        <w:rPr>
          <w:sz w:val="24"/>
          <w:szCs w:val="24"/>
        </w:rPr>
        <w:instrText xml:space="preserve"> PAGEREF _Toc14069 </w:instrText>
      </w:r>
      <w:r>
        <w:rPr>
          <w:sz w:val="24"/>
          <w:szCs w:val="24"/>
        </w:rPr>
        <w:fldChar w:fldCharType="separate"/>
      </w:r>
      <w:r>
        <w:rPr>
          <w:sz w:val="24"/>
          <w:szCs w:val="24"/>
        </w:rPr>
        <w:t>47</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"_Toc25954" </w:instrText>
      </w:r>
      <w:r>
        <w:fldChar w:fldCharType="separate"/>
      </w:r>
      <w:r>
        <w:rPr>
          <w:rFonts w:hint="eastAsia" w:ascii="Times New Roman" w:hAnsi="Times New Roman"/>
          <w:sz w:val="24"/>
          <w:szCs w:val="24"/>
        </w:rPr>
        <w:t>6.</w:t>
      </w:r>
      <w:r>
        <w:rPr>
          <w:rFonts w:ascii="Times New Roman" w:hAnsi="Times New Roman"/>
          <w:sz w:val="24"/>
          <w:szCs w:val="24"/>
        </w:rPr>
        <w:t>2饮用水水源保护区防护隔离工程</w:t>
      </w:r>
      <w:r>
        <w:rPr>
          <w:sz w:val="24"/>
          <w:szCs w:val="24"/>
        </w:rPr>
        <w:tab/>
      </w:r>
      <w:r>
        <w:rPr>
          <w:sz w:val="24"/>
          <w:szCs w:val="24"/>
        </w:rPr>
        <w:fldChar w:fldCharType="begin"/>
      </w:r>
      <w:r>
        <w:rPr>
          <w:sz w:val="24"/>
          <w:szCs w:val="24"/>
        </w:rPr>
        <w:instrText xml:space="preserve"> PAGEREF _Toc25954 </w:instrText>
      </w:r>
      <w:r>
        <w:rPr>
          <w:sz w:val="24"/>
          <w:szCs w:val="24"/>
        </w:rPr>
        <w:fldChar w:fldCharType="separate"/>
      </w:r>
      <w:r>
        <w:rPr>
          <w:sz w:val="24"/>
          <w:szCs w:val="24"/>
        </w:rPr>
        <w:t>54</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"_Toc26462" </w:instrText>
      </w:r>
      <w:r>
        <w:fldChar w:fldCharType="separate"/>
      </w:r>
      <w:r>
        <w:rPr>
          <w:rFonts w:hint="eastAsia" w:ascii="Times New Roman" w:hAnsi="Times New Roman"/>
          <w:bCs/>
          <w:sz w:val="24"/>
          <w:szCs w:val="24"/>
        </w:rPr>
        <w:t>6.</w:t>
      </w:r>
      <w:r>
        <w:rPr>
          <w:rFonts w:ascii="Times New Roman" w:hAnsi="Times New Roman"/>
          <w:bCs/>
          <w:sz w:val="24"/>
          <w:szCs w:val="24"/>
        </w:rPr>
        <w:t>3饮用水水源保护区污染源治理工程</w:t>
      </w:r>
      <w:r>
        <w:rPr>
          <w:sz w:val="24"/>
          <w:szCs w:val="24"/>
        </w:rPr>
        <w:tab/>
      </w:r>
      <w:r>
        <w:rPr>
          <w:sz w:val="24"/>
          <w:szCs w:val="24"/>
        </w:rPr>
        <w:fldChar w:fldCharType="begin"/>
      </w:r>
      <w:r>
        <w:rPr>
          <w:sz w:val="24"/>
          <w:szCs w:val="24"/>
        </w:rPr>
        <w:instrText xml:space="preserve"> PAGEREF _Toc26462 </w:instrText>
      </w:r>
      <w:r>
        <w:rPr>
          <w:sz w:val="24"/>
          <w:szCs w:val="24"/>
        </w:rPr>
        <w:fldChar w:fldCharType="separate"/>
      </w:r>
      <w:r>
        <w:rPr>
          <w:sz w:val="24"/>
          <w:szCs w:val="24"/>
        </w:rPr>
        <w:t>55</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"_Toc18132" </w:instrText>
      </w:r>
      <w:r>
        <w:fldChar w:fldCharType="separate"/>
      </w:r>
      <w:r>
        <w:rPr>
          <w:rFonts w:hint="eastAsia" w:ascii="Times New Roman" w:hAnsi="Times New Roman"/>
          <w:sz w:val="24"/>
          <w:szCs w:val="24"/>
        </w:rPr>
        <w:t>6.</w:t>
      </w:r>
      <w:r>
        <w:rPr>
          <w:rFonts w:ascii="Times New Roman" w:hAnsi="Times New Roman"/>
          <w:sz w:val="24"/>
          <w:szCs w:val="24"/>
        </w:rPr>
        <w:t>4 制定水源地保护区污染防治管理办法</w:t>
      </w:r>
      <w:r>
        <w:rPr>
          <w:sz w:val="24"/>
          <w:szCs w:val="24"/>
        </w:rPr>
        <w:tab/>
      </w:r>
      <w:r>
        <w:rPr>
          <w:sz w:val="24"/>
          <w:szCs w:val="24"/>
        </w:rPr>
        <w:fldChar w:fldCharType="begin"/>
      </w:r>
      <w:r>
        <w:rPr>
          <w:sz w:val="24"/>
          <w:szCs w:val="24"/>
        </w:rPr>
        <w:instrText xml:space="preserve"> PAGEREF _Toc18132 </w:instrText>
      </w:r>
      <w:r>
        <w:rPr>
          <w:sz w:val="24"/>
          <w:szCs w:val="24"/>
        </w:rPr>
        <w:fldChar w:fldCharType="separate"/>
      </w:r>
      <w:r>
        <w:rPr>
          <w:sz w:val="24"/>
          <w:szCs w:val="24"/>
        </w:rPr>
        <w:t>57</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"_Toc4255" </w:instrText>
      </w:r>
      <w:r>
        <w:fldChar w:fldCharType="separate"/>
      </w:r>
      <w:r>
        <w:rPr>
          <w:rFonts w:hint="eastAsia" w:ascii="Times New Roman" w:hAnsi="Times New Roman"/>
          <w:sz w:val="24"/>
          <w:szCs w:val="24"/>
        </w:rPr>
        <w:t>6.</w:t>
      </w:r>
      <w:r>
        <w:rPr>
          <w:rFonts w:ascii="Times New Roman" w:hAnsi="Times New Roman"/>
          <w:sz w:val="24"/>
          <w:szCs w:val="24"/>
        </w:rPr>
        <w:t>5 建立水源地保护区监督管理机制</w:t>
      </w:r>
      <w:r>
        <w:rPr>
          <w:sz w:val="24"/>
          <w:szCs w:val="24"/>
        </w:rPr>
        <w:tab/>
      </w:r>
      <w:r>
        <w:rPr>
          <w:sz w:val="24"/>
          <w:szCs w:val="24"/>
        </w:rPr>
        <w:fldChar w:fldCharType="begin"/>
      </w:r>
      <w:r>
        <w:rPr>
          <w:sz w:val="24"/>
          <w:szCs w:val="24"/>
        </w:rPr>
        <w:instrText xml:space="preserve"> PAGEREF _Toc4255 </w:instrText>
      </w:r>
      <w:r>
        <w:rPr>
          <w:sz w:val="24"/>
          <w:szCs w:val="24"/>
        </w:rPr>
        <w:fldChar w:fldCharType="separate"/>
      </w:r>
      <w:r>
        <w:rPr>
          <w:sz w:val="24"/>
          <w:szCs w:val="24"/>
        </w:rPr>
        <w:t>58</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"_Toc29030" </w:instrText>
      </w:r>
      <w:r>
        <w:fldChar w:fldCharType="separate"/>
      </w:r>
      <w:r>
        <w:rPr>
          <w:rFonts w:hint="eastAsia" w:ascii="Times New Roman" w:hAnsi="Times New Roman"/>
          <w:sz w:val="24"/>
          <w:szCs w:val="24"/>
        </w:rPr>
        <w:t>6.</w:t>
      </w:r>
      <w:r>
        <w:rPr>
          <w:rFonts w:ascii="Times New Roman" w:hAnsi="Times New Roman"/>
          <w:sz w:val="24"/>
          <w:szCs w:val="24"/>
        </w:rPr>
        <w:t>6 建立水源地监测预警系统</w:t>
      </w:r>
      <w:r>
        <w:rPr>
          <w:sz w:val="24"/>
          <w:szCs w:val="24"/>
        </w:rPr>
        <w:tab/>
      </w:r>
      <w:r>
        <w:rPr>
          <w:sz w:val="24"/>
          <w:szCs w:val="24"/>
        </w:rPr>
        <w:fldChar w:fldCharType="begin"/>
      </w:r>
      <w:r>
        <w:rPr>
          <w:sz w:val="24"/>
          <w:szCs w:val="24"/>
        </w:rPr>
        <w:instrText xml:space="preserve"> PAGEREF _Toc29030 </w:instrText>
      </w:r>
      <w:r>
        <w:rPr>
          <w:sz w:val="24"/>
          <w:szCs w:val="24"/>
        </w:rPr>
        <w:fldChar w:fldCharType="separate"/>
      </w:r>
      <w:r>
        <w:rPr>
          <w:sz w:val="24"/>
          <w:szCs w:val="24"/>
        </w:rPr>
        <w:t>59</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"_Toc28815" </w:instrText>
      </w:r>
      <w:r>
        <w:fldChar w:fldCharType="separate"/>
      </w:r>
      <w:r>
        <w:rPr>
          <w:rFonts w:hint="eastAsia" w:ascii="Times New Roman" w:hAnsi="Times New Roman"/>
          <w:sz w:val="24"/>
          <w:szCs w:val="24"/>
        </w:rPr>
        <w:t>6.</w:t>
      </w:r>
      <w:r>
        <w:rPr>
          <w:rFonts w:ascii="Times New Roman" w:hAnsi="Times New Roman"/>
          <w:sz w:val="24"/>
          <w:szCs w:val="24"/>
        </w:rPr>
        <w:t>7 建立健全水源地安全保障应急机制</w:t>
      </w:r>
      <w:r>
        <w:rPr>
          <w:sz w:val="24"/>
          <w:szCs w:val="24"/>
        </w:rPr>
        <w:tab/>
      </w:r>
      <w:r>
        <w:rPr>
          <w:sz w:val="24"/>
          <w:szCs w:val="24"/>
        </w:rPr>
        <w:fldChar w:fldCharType="begin"/>
      </w:r>
      <w:r>
        <w:rPr>
          <w:sz w:val="24"/>
          <w:szCs w:val="24"/>
        </w:rPr>
        <w:instrText xml:space="preserve"> PAGEREF _Toc28815 </w:instrText>
      </w:r>
      <w:r>
        <w:rPr>
          <w:sz w:val="24"/>
          <w:szCs w:val="24"/>
        </w:rPr>
        <w:fldChar w:fldCharType="separate"/>
      </w:r>
      <w:r>
        <w:rPr>
          <w:sz w:val="24"/>
          <w:szCs w:val="24"/>
        </w:rPr>
        <w:t>59</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"_Toc15052" </w:instrText>
      </w:r>
      <w:r>
        <w:fldChar w:fldCharType="separate"/>
      </w:r>
      <w:r>
        <w:rPr>
          <w:rFonts w:hint="eastAsia" w:ascii="Times New Roman" w:hAnsi="Times New Roman"/>
          <w:sz w:val="24"/>
          <w:szCs w:val="24"/>
        </w:rPr>
        <w:t>6.</w:t>
      </w:r>
      <w:r>
        <w:rPr>
          <w:rFonts w:ascii="Times New Roman" w:hAnsi="Times New Roman"/>
          <w:sz w:val="24"/>
          <w:szCs w:val="24"/>
        </w:rPr>
        <w:t>8 加强饮用水水源保护宣传与教育</w:t>
      </w:r>
      <w:r>
        <w:rPr>
          <w:sz w:val="24"/>
          <w:szCs w:val="24"/>
        </w:rPr>
        <w:tab/>
      </w:r>
      <w:r>
        <w:rPr>
          <w:sz w:val="24"/>
          <w:szCs w:val="24"/>
        </w:rPr>
        <w:fldChar w:fldCharType="begin"/>
      </w:r>
      <w:r>
        <w:rPr>
          <w:sz w:val="24"/>
          <w:szCs w:val="24"/>
        </w:rPr>
        <w:instrText xml:space="preserve"> PAGEREF _Toc15052 </w:instrText>
      </w:r>
      <w:r>
        <w:rPr>
          <w:sz w:val="24"/>
          <w:szCs w:val="24"/>
        </w:rPr>
        <w:fldChar w:fldCharType="separate"/>
      </w:r>
      <w:r>
        <w:rPr>
          <w:sz w:val="24"/>
          <w:szCs w:val="24"/>
        </w:rPr>
        <w:t>59</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"_Toc16476" </w:instrText>
      </w:r>
      <w:r>
        <w:fldChar w:fldCharType="separate"/>
      </w:r>
      <w:r>
        <w:rPr>
          <w:rFonts w:hint="eastAsia" w:ascii="Times New Roman" w:hAnsi="Times New Roman"/>
          <w:sz w:val="24"/>
          <w:szCs w:val="24"/>
        </w:rPr>
        <w:t>6.</w:t>
      </w:r>
      <w:r>
        <w:rPr>
          <w:rFonts w:ascii="Times New Roman" w:hAnsi="Times New Roman"/>
          <w:sz w:val="24"/>
          <w:szCs w:val="24"/>
        </w:rPr>
        <w:t>9 应急保障措施</w:t>
      </w:r>
      <w:r>
        <w:rPr>
          <w:sz w:val="24"/>
          <w:szCs w:val="24"/>
        </w:rPr>
        <w:tab/>
      </w:r>
      <w:r>
        <w:rPr>
          <w:sz w:val="24"/>
          <w:szCs w:val="24"/>
        </w:rPr>
        <w:fldChar w:fldCharType="begin"/>
      </w:r>
      <w:r>
        <w:rPr>
          <w:sz w:val="24"/>
          <w:szCs w:val="24"/>
        </w:rPr>
        <w:instrText xml:space="preserve"> PAGEREF _Toc16476 </w:instrText>
      </w:r>
      <w:r>
        <w:rPr>
          <w:sz w:val="24"/>
          <w:szCs w:val="24"/>
        </w:rPr>
        <w:fldChar w:fldCharType="separate"/>
      </w:r>
      <w:r>
        <w:rPr>
          <w:sz w:val="24"/>
          <w:szCs w:val="24"/>
        </w:rPr>
        <w:t>59</w:t>
      </w:r>
      <w:r>
        <w:rPr>
          <w:sz w:val="24"/>
          <w:szCs w:val="24"/>
        </w:rPr>
        <w:fldChar w:fldCharType="end"/>
      </w:r>
      <w:r>
        <w:rPr>
          <w:sz w:val="24"/>
          <w:szCs w:val="24"/>
        </w:rPr>
        <w:fldChar w:fldCharType="end"/>
      </w:r>
    </w:p>
    <w:p>
      <w:pPr>
        <w:pStyle w:val="13"/>
        <w:tabs>
          <w:tab w:val="right" w:leader="dot" w:pos="8300"/>
        </w:tabs>
      </w:pPr>
      <w:r>
        <w:fldChar w:fldCharType="begin"/>
      </w:r>
      <w:r>
        <w:instrText xml:space="preserve"> HYPERLINK \l "_Toc4229" </w:instrText>
      </w:r>
      <w:r>
        <w:fldChar w:fldCharType="separate"/>
      </w:r>
      <w:r>
        <w:rPr>
          <w:rFonts w:hint="eastAsia" w:cs="Times New Roman"/>
        </w:rPr>
        <w:t>7</w:t>
      </w:r>
      <w:r>
        <w:rPr>
          <w:rFonts w:cs="Times New Roman"/>
        </w:rPr>
        <w:t xml:space="preserve"> 结论与建议</w:t>
      </w:r>
      <w:r>
        <w:tab/>
      </w:r>
      <w:r>
        <w:fldChar w:fldCharType="end"/>
      </w:r>
    </w:p>
    <w:p>
      <w:pPr>
        <w:pStyle w:val="14"/>
        <w:tabs>
          <w:tab w:val="right" w:leader="dot" w:pos="8300"/>
        </w:tabs>
        <w:rPr>
          <w:sz w:val="24"/>
          <w:szCs w:val="24"/>
        </w:rPr>
      </w:pPr>
      <w:r>
        <w:fldChar w:fldCharType="begin"/>
      </w:r>
      <w:r>
        <w:instrText xml:space="preserve"> HYPERLINK \l "_Toc5231" </w:instrText>
      </w:r>
      <w:r>
        <w:fldChar w:fldCharType="separate"/>
      </w:r>
      <w:r>
        <w:rPr>
          <w:rFonts w:hint="eastAsia" w:ascii="Times New Roman" w:hAnsi="Times New Roman"/>
          <w:sz w:val="24"/>
          <w:szCs w:val="24"/>
        </w:rPr>
        <w:t>7</w:t>
      </w:r>
      <w:r>
        <w:rPr>
          <w:rFonts w:ascii="Times New Roman" w:hAnsi="Times New Roman"/>
          <w:sz w:val="24"/>
          <w:szCs w:val="24"/>
        </w:rPr>
        <w:t>.1结论</w:t>
      </w:r>
      <w:r>
        <w:rPr>
          <w:sz w:val="24"/>
          <w:szCs w:val="24"/>
        </w:rPr>
        <w:tab/>
      </w:r>
      <w:r>
        <w:rPr>
          <w:sz w:val="24"/>
          <w:szCs w:val="24"/>
        </w:rPr>
        <w:fldChar w:fldCharType="begin"/>
      </w:r>
      <w:r>
        <w:rPr>
          <w:sz w:val="24"/>
          <w:szCs w:val="24"/>
        </w:rPr>
        <w:instrText xml:space="preserve"> PAGEREF _Toc5231 </w:instrText>
      </w:r>
      <w:r>
        <w:rPr>
          <w:sz w:val="24"/>
          <w:szCs w:val="24"/>
        </w:rPr>
        <w:fldChar w:fldCharType="separate"/>
      </w:r>
      <w:r>
        <w:rPr>
          <w:sz w:val="24"/>
          <w:szCs w:val="24"/>
        </w:rPr>
        <w:t>61</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"_Toc9905" </w:instrText>
      </w:r>
      <w:r>
        <w:fldChar w:fldCharType="separate"/>
      </w:r>
      <w:r>
        <w:rPr>
          <w:rFonts w:hint="eastAsia" w:ascii="Times New Roman" w:hAnsi="Times New Roman"/>
          <w:sz w:val="24"/>
          <w:szCs w:val="24"/>
        </w:rPr>
        <w:t>7</w:t>
      </w:r>
      <w:r>
        <w:rPr>
          <w:rFonts w:ascii="Times New Roman" w:hAnsi="Times New Roman"/>
          <w:sz w:val="24"/>
          <w:szCs w:val="24"/>
        </w:rPr>
        <w:t>.2 建议</w:t>
      </w:r>
      <w:r>
        <w:rPr>
          <w:sz w:val="24"/>
          <w:szCs w:val="24"/>
        </w:rPr>
        <w:tab/>
      </w:r>
      <w:r>
        <w:rPr>
          <w:sz w:val="24"/>
          <w:szCs w:val="24"/>
        </w:rPr>
        <w:fldChar w:fldCharType="begin"/>
      </w:r>
      <w:r>
        <w:rPr>
          <w:sz w:val="24"/>
          <w:szCs w:val="24"/>
        </w:rPr>
        <w:instrText xml:space="preserve"> PAGEREF _Toc9905 </w:instrText>
      </w:r>
      <w:r>
        <w:rPr>
          <w:sz w:val="24"/>
          <w:szCs w:val="24"/>
        </w:rPr>
        <w:fldChar w:fldCharType="separate"/>
      </w:r>
      <w:r>
        <w:rPr>
          <w:sz w:val="24"/>
          <w:szCs w:val="24"/>
        </w:rPr>
        <w:t>61</w:t>
      </w:r>
      <w:r>
        <w:rPr>
          <w:sz w:val="24"/>
          <w:szCs w:val="24"/>
        </w:rPr>
        <w:fldChar w:fldCharType="end"/>
      </w:r>
      <w:r>
        <w:rPr>
          <w:sz w:val="24"/>
          <w:szCs w:val="24"/>
        </w:rPr>
        <w:fldChar w:fldCharType="end"/>
      </w:r>
    </w:p>
    <w:p>
      <w:pPr>
        <w:pStyle w:val="13"/>
        <w:tabs>
          <w:tab w:val="right" w:leader="dot" w:pos="8300"/>
        </w:tabs>
      </w:pPr>
      <w:r>
        <w:fldChar w:fldCharType="begin"/>
      </w:r>
      <w:r>
        <w:instrText xml:space="preserve"> HYPERLINK \l "_Toc25690" </w:instrText>
      </w:r>
      <w:r>
        <w:fldChar w:fldCharType="separate"/>
      </w:r>
      <w:r>
        <w:rPr>
          <w:rFonts w:hint="eastAsia" w:cs="Times New Roman"/>
        </w:rPr>
        <w:t>8</w:t>
      </w:r>
      <w:r>
        <w:rPr>
          <w:rFonts w:cs="Times New Roman"/>
        </w:rPr>
        <w:t xml:space="preserve"> 附录</w:t>
      </w:r>
      <w:r>
        <w:tab/>
      </w:r>
      <w:r>
        <w:fldChar w:fldCharType="end"/>
      </w:r>
    </w:p>
    <w:p>
      <w:pPr>
        <w:pStyle w:val="14"/>
        <w:tabs>
          <w:tab w:val="right" w:leader="dot" w:pos="8300"/>
        </w:tabs>
        <w:rPr>
          <w:sz w:val="24"/>
          <w:szCs w:val="24"/>
        </w:rPr>
      </w:pPr>
      <w:r>
        <w:fldChar w:fldCharType="begin"/>
      </w:r>
      <w:r>
        <w:instrText xml:space="preserve"> HYPERLINK \l "_Toc8903" </w:instrText>
      </w:r>
      <w:r>
        <w:fldChar w:fldCharType="separate"/>
      </w:r>
      <w:r>
        <w:rPr>
          <w:rFonts w:hint="eastAsia" w:ascii="Times New Roman" w:hAnsi="Times New Roman"/>
          <w:sz w:val="24"/>
          <w:szCs w:val="24"/>
        </w:rPr>
        <w:t>8</w:t>
      </w:r>
      <w:r>
        <w:rPr>
          <w:rFonts w:ascii="Times New Roman" w:hAnsi="Times New Roman"/>
          <w:sz w:val="24"/>
          <w:szCs w:val="24"/>
        </w:rPr>
        <w:t>.1附表</w:t>
      </w:r>
      <w:r>
        <w:rPr>
          <w:sz w:val="24"/>
          <w:szCs w:val="24"/>
        </w:rPr>
        <w:tab/>
      </w:r>
      <w:r>
        <w:rPr>
          <w:sz w:val="24"/>
          <w:szCs w:val="24"/>
        </w:rPr>
        <w:fldChar w:fldCharType="begin"/>
      </w:r>
      <w:r>
        <w:rPr>
          <w:sz w:val="24"/>
          <w:szCs w:val="24"/>
        </w:rPr>
        <w:instrText xml:space="preserve"> PAGEREF _Toc8903 </w:instrText>
      </w:r>
      <w:r>
        <w:rPr>
          <w:sz w:val="24"/>
          <w:szCs w:val="24"/>
        </w:rPr>
        <w:fldChar w:fldCharType="separate"/>
      </w:r>
      <w:r>
        <w:rPr>
          <w:sz w:val="24"/>
          <w:szCs w:val="24"/>
        </w:rPr>
        <w:t>63</w:t>
      </w:r>
      <w:r>
        <w:rPr>
          <w:sz w:val="24"/>
          <w:szCs w:val="24"/>
        </w:rPr>
        <w:fldChar w:fldCharType="end"/>
      </w:r>
      <w:r>
        <w:rPr>
          <w:sz w:val="24"/>
          <w:szCs w:val="24"/>
        </w:rPr>
        <w:fldChar w:fldCharType="end"/>
      </w:r>
    </w:p>
    <w:p>
      <w:pPr>
        <w:pStyle w:val="14"/>
        <w:tabs>
          <w:tab w:val="right" w:leader="dot" w:pos="8300"/>
        </w:tabs>
        <w:rPr>
          <w:sz w:val="24"/>
          <w:szCs w:val="24"/>
        </w:rPr>
      </w:pPr>
      <w:r>
        <w:fldChar w:fldCharType="begin"/>
      </w:r>
      <w:r>
        <w:instrText xml:space="preserve"> HYPERLINK \l "_Toc17208" </w:instrText>
      </w:r>
      <w:r>
        <w:fldChar w:fldCharType="separate"/>
      </w:r>
      <w:r>
        <w:rPr>
          <w:rFonts w:hint="eastAsia" w:ascii="Times New Roman" w:hAnsi="Times New Roman"/>
          <w:sz w:val="24"/>
          <w:szCs w:val="24"/>
        </w:rPr>
        <w:t>8</w:t>
      </w:r>
      <w:r>
        <w:rPr>
          <w:rFonts w:ascii="Times New Roman" w:hAnsi="Times New Roman"/>
          <w:sz w:val="24"/>
          <w:szCs w:val="24"/>
        </w:rPr>
        <w:t>.2附件</w:t>
      </w:r>
      <w:r>
        <w:rPr>
          <w:sz w:val="24"/>
          <w:szCs w:val="24"/>
        </w:rPr>
        <w:tab/>
      </w:r>
      <w:r>
        <w:rPr>
          <w:sz w:val="24"/>
          <w:szCs w:val="24"/>
        </w:rPr>
        <w:fldChar w:fldCharType="begin"/>
      </w:r>
      <w:r>
        <w:rPr>
          <w:sz w:val="24"/>
          <w:szCs w:val="24"/>
        </w:rPr>
        <w:instrText xml:space="preserve"> PAGEREF _Toc17208 </w:instrText>
      </w:r>
      <w:r>
        <w:rPr>
          <w:sz w:val="24"/>
          <w:szCs w:val="24"/>
        </w:rPr>
        <w:fldChar w:fldCharType="separate"/>
      </w:r>
      <w:r>
        <w:rPr>
          <w:sz w:val="24"/>
          <w:szCs w:val="24"/>
        </w:rPr>
        <w:t>67</w:t>
      </w:r>
      <w:r>
        <w:rPr>
          <w:sz w:val="24"/>
          <w:szCs w:val="24"/>
        </w:rPr>
        <w:fldChar w:fldCharType="end"/>
      </w:r>
      <w:r>
        <w:rPr>
          <w:sz w:val="24"/>
          <w:szCs w:val="24"/>
        </w:rPr>
        <w:fldChar w:fldCharType="end"/>
      </w:r>
    </w:p>
    <w:p>
      <w:pPr>
        <w:spacing w:line="360" w:lineRule="auto"/>
        <w:jc w:val="left"/>
        <w:rPr>
          <w:rFonts w:cs="Times New Roman"/>
        </w:rPr>
      </w:pPr>
      <w:r>
        <w:rPr>
          <w:rFonts w:cs="Times New Roman"/>
        </w:rPr>
        <w:fldChar w:fldCharType="end"/>
      </w:r>
    </w:p>
    <w:p>
      <w:pPr>
        <w:rPr>
          <w:rFonts w:cs="Times New Roman"/>
        </w:rPr>
      </w:pPr>
    </w:p>
    <w:p>
      <w:pPr>
        <w:rPr>
          <w:rFonts w:cs="Times New Roman"/>
        </w:rPr>
      </w:pPr>
    </w:p>
    <w:p>
      <w:pPr>
        <w:jc w:val="center"/>
        <w:rPr>
          <w:rFonts w:cs="Times New Roman"/>
          <w:b/>
          <w:sz w:val="32"/>
        </w:rPr>
        <w:sectPr>
          <w:headerReference r:id="rId3" w:type="default"/>
          <w:pgSz w:w="11906" w:h="16838"/>
          <w:pgMar w:top="1440" w:right="1803" w:bottom="1440" w:left="1803" w:header="851" w:footer="992" w:gutter="0"/>
          <w:pgNumType w:start="1"/>
          <w:cols w:space="720" w:num="1"/>
          <w:docGrid w:type="lines" w:linePitch="332" w:charSpace="0"/>
        </w:sectPr>
      </w:pPr>
    </w:p>
    <w:p>
      <w:pPr>
        <w:pStyle w:val="2"/>
        <w:jc w:val="center"/>
        <w:rPr>
          <w:rFonts w:cs="Times New Roman"/>
        </w:rPr>
      </w:pPr>
      <w:bookmarkStart w:id="3" w:name="_Toc30527"/>
      <w:bookmarkStart w:id="4" w:name="_Toc4106"/>
      <w:bookmarkStart w:id="5" w:name="_Toc27490"/>
      <w:bookmarkStart w:id="6" w:name="_Toc466227298"/>
      <w:r>
        <w:rPr>
          <w:rFonts w:cs="Times New Roman"/>
        </w:rPr>
        <w:t>前  言</w:t>
      </w:r>
      <w:bookmarkEnd w:id="3"/>
      <w:bookmarkEnd w:id="4"/>
      <w:bookmarkEnd w:id="5"/>
      <w:bookmarkEnd w:id="6"/>
    </w:p>
    <w:p>
      <w:pPr>
        <w:spacing w:line="360" w:lineRule="auto"/>
        <w:ind w:firstLine="480" w:firstLineChars="200"/>
        <w:rPr>
          <w:rFonts w:cs="Times New Roman"/>
          <w:color w:val="000000"/>
        </w:rPr>
      </w:pPr>
      <w:r>
        <w:rPr>
          <w:rFonts w:cs="Times New Roman"/>
          <w:color w:val="000000"/>
        </w:rPr>
        <w:t>饮用水水源保护问题已成为影响国家安全、社会稳定和人民身体健康的重大问题。近年来随着城市工业及乡镇企业的发展，向水域倾倒工业废渣的增多，城镇居民生活垃圾随意堆放、农民使用农药、化肥增加，对饮用水源地的供水安全造成潜在影响。因此，科学合理地划分水源地的保护范围，确保饮水安全，并处理好区域经济、农业的发展与水源地保护之间的关系，促进经济社会全面、协调、可持续发展都具有十分重要的意义。</w:t>
      </w:r>
    </w:p>
    <w:p>
      <w:pPr>
        <w:spacing w:line="360" w:lineRule="auto"/>
        <w:ind w:firstLine="480" w:firstLineChars="200"/>
        <w:rPr>
          <w:rFonts w:eastAsia="宋体" w:cs="Times New Roman"/>
          <w:color w:val="000000"/>
        </w:rPr>
      </w:pPr>
      <w:r>
        <w:rPr>
          <w:rFonts w:cs="Times New Roman"/>
          <w:color w:val="000000"/>
        </w:rPr>
        <w:t>国务院《关于落实科学发展观加强环境保护的决定》（国发【2005】39号），明确提</w:t>
      </w:r>
      <w:r>
        <w:rPr>
          <w:rFonts w:eastAsia="宋体" w:cs="Times New Roman"/>
          <w:color w:val="000000"/>
        </w:rPr>
        <w:t>出“以饮水安全和重点流域治理为重点，加强水污染防治。要科学划定和调整饮用水水源保护区、切实加强饮用水水源保护、建设好城市备用水源、解决好农村饮水安全问题、坚决取缔水源保护区内的直接排污口、严防养殖业污染水源、禁止有毒有害物质进入饮用水水源保护区、强化水污染事故的预防和应急处理，以确保群众饮水安全”。</w:t>
      </w:r>
    </w:p>
    <w:p>
      <w:pPr>
        <w:spacing w:line="360" w:lineRule="auto"/>
        <w:ind w:firstLine="480" w:firstLineChars="200"/>
        <w:rPr>
          <w:rFonts w:cs="Times New Roman"/>
          <w:color w:val="000000"/>
        </w:rPr>
      </w:pPr>
      <w:r>
        <w:rPr>
          <w:rFonts w:cs="Times New Roman"/>
          <w:color w:val="000000"/>
        </w:rPr>
        <w:t>2012年1月1日，省十一届人大常委会新修订并审议通过的《四川省饮用水水源保护管理条例》（以下简称《条例》）正式颁布实施。2012年5月，四川省环境保护厅办公室《关于贯彻实施〈四川省饮用水水源保护管理条例〉的通知》（川环办发[2012]69号）要求各地要站在维护广大人民群众根本利益的高度，充分认识加强饮用水源保护管理的重要意义，切实增强饮用水源保护管理的紧迫感、使命感和责任感，根据《条例》规定，要切实抓好饮用水源地保护区划定调整工作。2014年9月四川省人民政府办公厅《关于进一步加强饮用水水源保护工作的通知》（川办函〔2014〕143号）要求加快划定城市和乡镇集中式饮用水水源保护区。2015年2月，四川省环境保护厅办公室《四川省环境保护厅办公室关于加强农村饮水环境安全的通知》（川环办发〔2015〕49号）要求进一步加强农村饮水环境安全工作，对未划定保护区的乡镇集中式饮用水源地应尽快制定保护区划分方案并依法报市（州）人民政府批复。</w:t>
      </w:r>
    </w:p>
    <w:p>
      <w:pPr>
        <w:adjustRightInd w:val="0"/>
        <w:snapToGrid w:val="0"/>
        <w:spacing w:line="360" w:lineRule="auto"/>
        <w:ind w:firstLine="720" w:firstLineChars="300"/>
        <w:rPr>
          <w:rFonts w:cs="Times New Roman"/>
          <w:color w:val="000000"/>
        </w:rPr>
      </w:pPr>
      <w:r>
        <w:rPr>
          <w:rFonts w:cs="Times New Roman"/>
          <w:color w:val="000000"/>
        </w:rPr>
        <w:t>根据《中华人民共和国水污染防治法》、《四川省饮用水水源保护管理条例》、《集中式饮用水水源环境保护指南（试行）》等相关法律、法规要求，饮用水源保护区的调整划定按国家要求需编制饮用水源保护区划分技术报告。</w:t>
      </w:r>
      <w:r>
        <w:rPr>
          <w:rFonts w:hint="eastAsia" w:cs="Times New Roman"/>
        </w:rPr>
        <w:t>由于开江县宝石桥水库集中式饮用水水源地保护区划分年代较早，未进行科学论证，且随着开江县县城及宝石乡等乡镇的规划与发展，2011年所划定的宝石桥水库集中式饮用水水源保护区不能满足水源保护与城镇发展的要求，据此开江县人民政府拟将开江县宝石桥水库集中式饮用水源保护区进行调整，并重新划分。</w:t>
      </w:r>
      <w:r>
        <w:rPr>
          <w:rFonts w:cs="Times New Roman"/>
          <w:color w:val="000000"/>
        </w:rPr>
        <w:t>并由开江县环境保护</w:t>
      </w:r>
      <w:r>
        <w:rPr>
          <w:rFonts w:hint="eastAsia" w:cs="Times New Roman"/>
          <w:color w:val="000000"/>
          <w:lang w:eastAsia="zh-CN"/>
        </w:rPr>
        <w:t>局</w:t>
      </w:r>
      <w:r>
        <w:rPr>
          <w:rFonts w:cs="Times New Roman"/>
          <w:color w:val="000000"/>
        </w:rPr>
        <w:t>牵头，委托四川国投环保科技有限公司编制《开江县县城</w:t>
      </w:r>
      <w:r>
        <w:rPr>
          <w:rFonts w:hint="eastAsia" w:cs="Times New Roman"/>
          <w:color w:val="000000"/>
        </w:rPr>
        <w:t>宝石桥水库</w:t>
      </w:r>
      <w:r>
        <w:rPr>
          <w:rFonts w:cs="Times New Roman"/>
          <w:color w:val="000000"/>
        </w:rPr>
        <w:t>集中式饮用水水源保护区划分技术报告》（以下简称《报告》）。</w:t>
      </w:r>
    </w:p>
    <w:p>
      <w:pPr>
        <w:spacing w:line="360" w:lineRule="auto"/>
        <w:ind w:firstLine="480" w:firstLineChars="200"/>
        <w:rPr>
          <w:rFonts w:cs="Times New Roman"/>
          <w:color w:val="000000"/>
        </w:rPr>
      </w:pPr>
      <w:r>
        <w:rPr>
          <w:rFonts w:cs="Times New Roman"/>
          <w:color w:val="000000"/>
        </w:rPr>
        <w:t>本《报告》的技术路线、评价方法、技术标准主要以国家颁布的相关法律、法规，技术规范及标准，四川省的有关文件及大纲要求为依据，以收集现有的气象、降水、蒸发、径流、水质、生态和环境等方面的基本资料为基础；以2014年为基准年，调查收集了开江县及水源地的自然地理概况、国民经济和社会发展、水资源及水利工程现状等诸多内容的基本数据。《报告》确定了饮用水水源地的一级、二级和准保护区的范围、面积，提出了饮用水水源保护区保护措施，界桩和保护标志设立及规划实施保障等内容。</w:t>
      </w:r>
    </w:p>
    <w:p>
      <w:pPr>
        <w:spacing w:line="360" w:lineRule="auto"/>
        <w:ind w:firstLine="480" w:firstLineChars="200"/>
        <w:rPr>
          <w:rFonts w:cs="Times New Roman"/>
          <w:color w:val="000000"/>
        </w:rPr>
      </w:pPr>
      <w:r>
        <w:rPr>
          <w:rFonts w:cs="Times New Roman"/>
          <w:color w:val="000000"/>
        </w:rPr>
        <w:t xml:space="preserve">在报告编制工作中，得到开江县环境保护、开江县水务局、各乡镇人民政府等单位的积极配合，为完成该报告提供了许多指导、帮助， 在此深表感谢！ </w:t>
      </w:r>
    </w:p>
    <w:p>
      <w:pPr>
        <w:spacing w:line="360" w:lineRule="auto"/>
        <w:ind w:firstLine="480" w:firstLineChars="200"/>
        <w:rPr>
          <w:rFonts w:cs="Times New Roman"/>
        </w:rPr>
      </w:pPr>
      <w:r>
        <w:rPr>
          <w:rFonts w:cs="Times New Roman"/>
          <w:color w:val="000000"/>
        </w:rPr>
        <w:t>由于时间短、工作任务大及基础资料的局限性，报告中不足之处在所难免，谨请提出宝贵的意见和建议，以便在今后的工作中改进。</w:t>
      </w:r>
    </w:p>
    <w:p>
      <w:pPr>
        <w:spacing w:line="360" w:lineRule="auto"/>
        <w:ind w:firstLine="480" w:firstLineChars="200"/>
        <w:rPr>
          <w:rFonts w:cs="Times New Roman"/>
        </w:rPr>
        <w:sectPr>
          <w:footerReference r:id="rId4" w:type="default"/>
          <w:pgSz w:w="11906" w:h="16838"/>
          <w:pgMar w:top="1440" w:right="1803" w:bottom="1440" w:left="1803" w:header="851" w:footer="992" w:gutter="0"/>
          <w:pgNumType w:start="1"/>
          <w:cols w:space="720" w:num="1"/>
          <w:docGrid w:type="lines" w:linePitch="332" w:charSpace="0"/>
        </w:sectPr>
      </w:pPr>
    </w:p>
    <w:p>
      <w:pPr>
        <w:pStyle w:val="2"/>
        <w:jc w:val="center"/>
        <w:rPr>
          <w:rFonts w:cs="Times New Roman"/>
        </w:rPr>
      </w:pPr>
      <w:bookmarkStart w:id="7" w:name="_Toc11087"/>
      <w:bookmarkStart w:id="8" w:name="_Toc8856"/>
      <w:bookmarkStart w:id="9" w:name="_Toc9259"/>
      <w:bookmarkStart w:id="10" w:name="_Toc466227299"/>
      <w:r>
        <w:rPr>
          <w:rFonts w:cs="Times New Roman"/>
        </w:rPr>
        <w:t>1 概 述</w:t>
      </w:r>
      <w:bookmarkEnd w:id="7"/>
      <w:bookmarkEnd w:id="8"/>
      <w:bookmarkEnd w:id="9"/>
      <w:bookmarkEnd w:id="10"/>
    </w:p>
    <w:p>
      <w:pPr>
        <w:pStyle w:val="3"/>
        <w:spacing w:before="0" w:after="0" w:line="360" w:lineRule="auto"/>
        <w:rPr>
          <w:rFonts w:ascii="Times New Roman" w:hAnsi="Times New Roman" w:cs="Times New Roman"/>
        </w:rPr>
      </w:pPr>
      <w:bookmarkStart w:id="11" w:name="_Toc12495"/>
      <w:bookmarkStart w:id="12" w:name="_Toc22769"/>
      <w:bookmarkStart w:id="13" w:name="_Toc24714"/>
      <w:r>
        <w:rPr>
          <w:rFonts w:ascii="Times New Roman" w:hAnsi="Times New Roman" w:cs="Times New Roman"/>
        </w:rPr>
        <w:t>1.1任务由来及意义</w:t>
      </w:r>
      <w:bookmarkEnd w:id="11"/>
      <w:bookmarkEnd w:id="12"/>
      <w:bookmarkEnd w:id="13"/>
    </w:p>
    <w:p>
      <w:pPr>
        <w:pStyle w:val="4"/>
        <w:spacing w:beforeAutospacing="0" w:afterAutospacing="0" w:line="360" w:lineRule="auto"/>
        <w:rPr>
          <w:rFonts w:ascii="Times New Roman" w:hAnsi="Times New Roman" w:cs="Times New Roman"/>
        </w:rPr>
      </w:pPr>
      <w:bookmarkStart w:id="14" w:name="_Toc8682"/>
      <w:bookmarkStart w:id="15" w:name="_Toc23747"/>
      <w:bookmarkStart w:id="16" w:name="_Toc25007"/>
      <w:bookmarkStart w:id="17" w:name="_Toc11326"/>
      <w:r>
        <w:rPr>
          <w:rFonts w:ascii="Times New Roman" w:hAnsi="Times New Roman" w:cs="Times New Roman"/>
        </w:rPr>
        <w:t>1.1.1任务由来</w:t>
      </w:r>
      <w:bookmarkEnd w:id="14"/>
      <w:bookmarkEnd w:id="15"/>
      <w:bookmarkEnd w:id="16"/>
      <w:bookmarkEnd w:id="17"/>
    </w:p>
    <w:p>
      <w:pPr>
        <w:spacing w:line="360" w:lineRule="auto"/>
        <w:ind w:firstLine="480" w:firstLineChars="200"/>
        <w:rPr>
          <w:rFonts w:cs="Times New Roman"/>
        </w:rPr>
      </w:pPr>
      <w:bookmarkStart w:id="18" w:name="_Toc1334"/>
      <w:r>
        <w:rPr>
          <w:rFonts w:cs="Times New Roman"/>
        </w:rPr>
        <w:t>开江县，隶属于四川省达州市，地处四川省东部，达州地区东南端，</w:t>
      </w:r>
      <w:r>
        <w:fldChar w:fldCharType="begin"/>
      </w:r>
      <w:r>
        <w:instrText xml:space="preserve"> HYPERLINK "http://baike.baidu.com/view/43698.htm" \t "_blank" </w:instrText>
      </w:r>
      <w:r>
        <w:fldChar w:fldCharType="separate"/>
      </w:r>
      <w:r>
        <w:rPr>
          <w:rFonts w:cs="Times New Roman"/>
        </w:rPr>
        <w:t>大巴山</w:t>
      </w:r>
      <w:r>
        <w:rPr>
          <w:rFonts w:cs="Times New Roman"/>
        </w:rPr>
        <w:fldChar w:fldCharType="end"/>
      </w:r>
      <w:r>
        <w:rPr>
          <w:rFonts w:cs="Times New Roman"/>
        </w:rPr>
        <w:t>南麓，位于渠江支流明月江的两大源头</w:t>
      </w:r>
      <w:r>
        <w:fldChar w:fldCharType="begin"/>
      </w:r>
      <w:r>
        <w:instrText xml:space="preserve"> HYPERLINK "http://baike.baidu.com/view/7724592.htm" \t "_blank" </w:instrText>
      </w:r>
      <w:r>
        <w:fldChar w:fldCharType="separate"/>
      </w:r>
      <w:r>
        <w:rPr>
          <w:rFonts w:cs="Times New Roman"/>
        </w:rPr>
        <w:t>白岩河</w:t>
      </w:r>
      <w:r>
        <w:rPr>
          <w:rFonts w:cs="Times New Roman"/>
        </w:rPr>
        <w:fldChar w:fldCharType="end"/>
      </w:r>
      <w:r>
        <w:rPr>
          <w:rFonts w:cs="Times New Roman"/>
        </w:rPr>
        <w:t>、新宁河流经之地。东连</w:t>
      </w:r>
      <w:r>
        <w:fldChar w:fldCharType="begin"/>
      </w:r>
      <w:r>
        <w:instrText xml:space="preserve"> HYPERLINK "http://baike.baidu.com/view/2470.htm" \t "_blank" </w:instrText>
      </w:r>
      <w:r>
        <w:fldChar w:fldCharType="separate"/>
      </w:r>
      <w:r>
        <w:rPr>
          <w:rFonts w:cs="Times New Roman"/>
        </w:rPr>
        <w:t>开县</w:t>
      </w:r>
      <w:r>
        <w:rPr>
          <w:rFonts w:cs="Times New Roman"/>
        </w:rPr>
        <w:fldChar w:fldCharType="end"/>
      </w:r>
      <w:r>
        <w:rPr>
          <w:rFonts w:cs="Times New Roman"/>
        </w:rPr>
        <w:t>，南临梁平，西接</w:t>
      </w:r>
      <w:r>
        <w:fldChar w:fldCharType="begin"/>
      </w:r>
      <w:r>
        <w:instrText xml:space="preserve"> HYPERLINK "http://baike.baidu.com/view/341499.htm" \t "_blank" </w:instrText>
      </w:r>
      <w:r>
        <w:fldChar w:fldCharType="separate"/>
      </w:r>
      <w:r>
        <w:rPr>
          <w:rFonts w:cs="Times New Roman"/>
        </w:rPr>
        <w:t>达县</w:t>
      </w:r>
      <w:r>
        <w:rPr>
          <w:rFonts w:cs="Times New Roman"/>
        </w:rPr>
        <w:fldChar w:fldCharType="end"/>
      </w:r>
      <w:r>
        <w:rPr>
          <w:rFonts w:cs="Times New Roman"/>
        </w:rPr>
        <w:t>，北依宣汉。开江县地处川东平行岭谷区的东北部，耕地集中，土地肥沃，但水资源贪乏，人均水资源量1145m</w:t>
      </w:r>
      <w:r>
        <w:rPr>
          <w:rFonts w:cs="Times New Roman"/>
          <w:vertAlign w:val="superscript"/>
        </w:rPr>
        <w:t>3</w:t>
      </w:r>
      <w:r>
        <w:rPr>
          <w:rFonts w:cs="Times New Roman"/>
        </w:rPr>
        <w:t>，且降雨年内不均，干旱十分严重，系伏旱频繁发生的地区，有“十年九旱”的特点。</w:t>
      </w:r>
      <w:r>
        <w:rPr>
          <w:rFonts w:hint="eastAsia" w:cs="Times New Roman"/>
        </w:rPr>
        <w:t>宝石桥水库</w:t>
      </w:r>
      <w:r>
        <w:rPr>
          <w:rFonts w:cs="Times New Roman"/>
        </w:rPr>
        <w:t>系川东和开江县第一大水库，其开发任务是以农业灌溉为主，兼顾城镇生活及工业用水等综合效益的骨干水利枢纽工程，被誉为“开江县的母亲湖”。一方面，</w:t>
      </w:r>
      <w:r>
        <w:rPr>
          <w:rFonts w:hint="eastAsia" w:cs="Times New Roman"/>
        </w:rPr>
        <w:t>宝石桥水库</w:t>
      </w:r>
      <w:r>
        <w:rPr>
          <w:rFonts w:cs="Times New Roman"/>
        </w:rPr>
        <w:t>灌区是达州市的主要粮食生产基地，在达州市农业生产中具有举足轻重的地位；另一方面，</w:t>
      </w:r>
      <w:r>
        <w:rPr>
          <w:rFonts w:hint="eastAsia" w:cs="Times New Roman"/>
        </w:rPr>
        <w:t>宝石桥水库</w:t>
      </w:r>
      <w:r>
        <w:rPr>
          <w:rFonts w:cs="Times New Roman"/>
        </w:rPr>
        <w:t>是开江县城区集中式饮用水水源地，供水人口大约20万，占开江县总人口的三分之一。</w:t>
      </w:r>
    </w:p>
    <w:p>
      <w:pPr>
        <w:adjustRightInd w:val="0"/>
        <w:snapToGrid w:val="0"/>
        <w:spacing w:line="360" w:lineRule="auto"/>
        <w:ind w:firstLine="480" w:firstLineChars="200"/>
        <w:rPr>
          <w:rFonts w:cs="Times New Roman"/>
        </w:rPr>
      </w:pPr>
      <w:r>
        <w:rPr>
          <w:rFonts w:hint="eastAsia" w:cs="Times New Roman"/>
        </w:rPr>
        <w:t>宝石水库</w:t>
      </w:r>
      <w:r>
        <w:rPr>
          <w:rFonts w:cs="Times New Roman"/>
        </w:rPr>
        <w:t>地处开江县中东部，位于渠江水系明月江上游的白岩河，发源于开江县与开县交界的毛坪附近，距开江县城18km，有柏油公路相通。</w:t>
      </w:r>
      <w:r>
        <w:rPr>
          <w:rFonts w:hint="eastAsia" w:cs="Times New Roman"/>
        </w:rPr>
        <w:t>宝石水库</w:t>
      </w:r>
      <w:r>
        <w:rPr>
          <w:rFonts w:cs="Times New Roman"/>
        </w:rPr>
        <w:t>水利是建于1958年，以灌溉为主，集城镇生活用水、发电、旅游等多功能为一体的大型水库，集雨面积162 km</w:t>
      </w:r>
      <w:r>
        <w:rPr>
          <w:rFonts w:cs="Times New Roman"/>
          <w:vertAlign w:val="superscript"/>
        </w:rPr>
        <w:t>2</w:t>
      </w:r>
      <w:r>
        <w:rPr>
          <w:rFonts w:cs="Times New Roman"/>
        </w:rPr>
        <w:t>，水域面积约8 km</w:t>
      </w:r>
      <w:r>
        <w:rPr>
          <w:rFonts w:cs="Times New Roman"/>
          <w:vertAlign w:val="superscript"/>
        </w:rPr>
        <w:t>2</w:t>
      </w:r>
      <w:r>
        <w:rPr>
          <w:rFonts w:cs="Times New Roman"/>
        </w:rPr>
        <w:t>，库岸线长153km</w:t>
      </w:r>
      <w:r>
        <w:rPr>
          <w:rFonts w:cs="Times New Roman"/>
          <w:szCs w:val="28"/>
        </w:rPr>
        <w:t>，</w:t>
      </w:r>
      <w:r>
        <w:rPr>
          <w:rFonts w:cs="Times New Roman"/>
        </w:rPr>
        <w:t>水库正常蓄水位481.94m，总库容量1.007亿m</w:t>
      </w:r>
      <w:r>
        <w:rPr>
          <w:rFonts w:cs="Times New Roman"/>
          <w:vertAlign w:val="superscript"/>
        </w:rPr>
        <w:t>3</w:t>
      </w:r>
      <w:r>
        <w:rPr>
          <w:rFonts w:cs="Times New Roman"/>
        </w:rPr>
        <w:t>，有效库容7190万m</w:t>
      </w:r>
      <w:r>
        <w:rPr>
          <w:rFonts w:cs="Times New Roman"/>
          <w:vertAlign w:val="superscript"/>
        </w:rPr>
        <w:t>3</w:t>
      </w:r>
      <w:r>
        <w:rPr>
          <w:rFonts w:cs="Times New Roman"/>
        </w:rPr>
        <w:t>，设计灌溉面积132.67km</w:t>
      </w:r>
      <w:r>
        <w:rPr>
          <w:rFonts w:cs="Times New Roman"/>
          <w:vertAlign w:val="superscript"/>
        </w:rPr>
        <w:t>2</w:t>
      </w:r>
      <w:r>
        <w:rPr>
          <w:rFonts w:cs="Times New Roman"/>
        </w:rPr>
        <w:t>，多年平均径流量9573万m</w:t>
      </w:r>
      <w:r>
        <w:rPr>
          <w:rFonts w:cs="Times New Roman"/>
          <w:vertAlign w:val="superscript"/>
        </w:rPr>
        <w:t>3</w:t>
      </w:r>
      <w:r>
        <w:rPr>
          <w:rFonts w:cs="Times New Roman"/>
        </w:rPr>
        <w:t>。库内有三条主要河流，其中沙坝河长13km，梅家河长28km，中心河长15km。</w:t>
      </w:r>
      <w:r>
        <w:rPr>
          <w:rFonts w:hint="eastAsia" w:cs="Times New Roman"/>
        </w:rPr>
        <w:t>宝石桥水库</w:t>
      </w:r>
      <w:r>
        <w:rPr>
          <w:rFonts w:cs="Times New Roman"/>
        </w:rPr>
        <w:t>供水量0.5m</w:t>
      </w:r>
      <w:r>
        <w:rPr>
          <w:rFonts w:cs="Times New Roman"/>
          <w:vertAlign w:val="superscript"/>
        </w:rPr>
        <w:t>3</w:t>
      </w:r>
      <w:r>
        <w:rPr>
          <w:rFonts w:cs="Times New Roman"/>
        </w:rPr>
        <w:t>/s，供给城镇水量为1000万t/a，用于农业灌溉的水量为2000万t/a，水库年径流深590.9mm，多年平均径流总量9573万m</w:t>
      </w:r>
      <w:r>
        <w:rPr>
          <w:rFonts w:cs="Times New Roman"/>
          <w:vertAlign w:val="superscript"/>
        </w:rPr>
        <w:t>3</w:t>
      </w:r>
      <w:r>
        <w:rPr>
          <w:rFonts w:cs="Times New Roman"/>
        </w:rPr>
        <w:t>，多年平均输沙量61.4万t。</w:t>
      </w:r>
      <w:r>
        <w:rPr>
          <w:rFonts w:hint="eastAsia" w:cs="Times New Roman"/>
        </w:rPr>
        <w:t>该水库的主要功能为泄洪、灌溉、供水等水体功能，属于大型水库。目前为县城的主要饮用水源地。2010年取得了四川省人民政府办公厅关于城镇集中式饮用水水源地保护区划定方案的通知（川办函【2010】26号），明确该项目的取水水源保护区如下：</w:t>
      </w:r>
    </w:p>
    <w:p>
      <w:pPr>
        <w:numPr>
          <w:ilvl w:val="0"/>
          <w:numId w:val="1"/>
        </w:numPr>
        <w:adjustRightInd w:val="0"/>
        <w:snapToGrid w:val="0"/>
        <w:spacing w:line="360" w:lineRule="auto"/>
        <w:ind w:firstLine="480" w:firstLineChars="200"/>
        <w:rPr>
          <w:rFonts w:cs="Times New Roman"/>
        </w:rPr>
      </w:pPr>
      <w:r>
        <w:rPr>
          <w:rFonts w:hint="eastAsia" w:cs="Times New Roman"/>
        </w:rPr>
        <w:t>一级保护区：宝石水库沙坝河入河口至水库大坝水域，纵深200米范围内的陆域。</w:t>
      </w:r>
    </w:p>
    <w:p>
      <w:pPr>
        <w:numPr>
          <w:ilvl w:val="0"/>
          <w:numId w:val="1"/>
        </w:numPr>
        <w:adjustRightInd w:val="0"/>
        <w:snapToGrid w:val="0"/>
        <w:spacing w:line="360" w:lineRule="auto"/>
        <w:ind w:firstLine="480" w:firstLineChars="200"/>
        <w:rPr>
          <w:rFonts w:cs="Times New Roman"/>
        </w:rPr>
      </w:pPr>
      <w:r>
        <w:rPr>
          <w:rFonts w:hint="eastAsia" w:cs="Times New Roman"/>
        </w:rPr>
        <w:t>二级保护区：梅家河、中心河入口至一级保护区界的水域和流入水库的其他河流的入口上溯2500米的水域，正常蓄水线以上200米内的陆域以河岸两侧纵深各200米内的陆域。</w:t>
      </w:r>
    </w:p>
    <w:p>
      <w:pPr>
        <w:numPr>
          <w:ilvl w:val="0"/>
          <w:numId w:val="1"/>
        </w:numPr>
        <w:adjustRightInd w:val="0"/>
        <w:snapToGrid w:val="0"/>
        <w:spacing w:line="360" w:lineRule="auto"/>
        <w:ind w:firstLine="480" w:firstLineChars="200"/>
        <w:rPr>
          <w:rFonts w:cs="Times New Roman"/>
        </w:rPr>
      </w:pPr>
      <w:r>
        <w:rPr>
          <w:rFonts w:hint="eastAsia" w:cs="Times New Roman"/>
        </w:rPr>
        <w:t>准保护区：从二级保护区河道上界起上溯5000米的水域，河岸两侧纵深各200米内的陆域。</w:t>
      </w:r>
    </w:p>
    <w:p>
      <w:pPr>
        <w:adjustRightInd w:val="0"/>
        <w:snapToGrid w:val="0"/>
        <w:spacing w:line="360" w:lineRule="auto"/>
        <w:rPr>
          <w:rFonts w:cs="Times New Roman"/>
        </w:rPr>
      </w:pPr>
      <w:r>
        <w:rPr>
          <w:rFonts w:hint="eastAsia" w:cs="Times New Roman"/>
        </w:rPr>
        <w:t xml:space="preserve">    由于开江县宝石桥水库集中式饮用水水源地保护区划分年代较早，未进行科学论证，且随着开江县县城及宝石乡等乡镇的规划与发展，2011年所划定的宝石桥水库集中式饮用水水源保护区不能满足水源保护与城镇发展的要求，据此开江县人民政府拟将开江县宝石桥水库集中式饮用水源保护区进行调整，并重新划分。</w:t>
      </w:r>
    </w:p>
    <w:p>
      <w:pPr>
        <w:spacing w:line="360" w:lineRule="auto"/>
        <w:ind w:firstLine="480" w:firstLineChars="200"/>
        <w:rPr>
          <w:rFonts w:cs="Times New Roman"/>
        </w:rPr>
      </w:pPr>
      <w:r>
        <w:rPr>
          <w:rFonts w:hint="eastAsia" w:cs="Times New Roman"/>
        </w:rPr>
        <w:t>按照《饮用水源保护区划分技术规范》要求和管理需求，</w:t>
      </w:r>
      <w:r>
        <w:rPr>
          <w:rFonts w:cs="Times New Roman"/>
        </w:rPr>
        <w:t>开江县</w:t>
      </w:r>
      <w:r>
        <w:rPr>
          <w:rFonts w:hint="eastAsia" w:cs="Times New Roman"/>
        </w:rPr>
        <w:t>宝石桥水库</w:t>
      </w:r>
      <w:r>
        <w:rPr>
          <w:rFonts w:cs="Times New Roman"/>
        </w:rPr>
        <w:t>饮用水源</w:t>
      </w:r>
      <w:r>
        <w:rPr>
          <w:rFonts w:hint="eastAsia" w:cs="Times New Roman"/>
        </w:rPr>
        <w:t>重新划分方案如下：</w:t>
      </w:r>
    </w:p>
    <w:p>
      <w:pPr>
        <w:spacing w:line="360" w:lineRule="auto"/>
        <w:ind w:firstLine="480" w:firstLineChars="200"/>
        <w:rPr>
          <w:rFonts w:cs="Times New Roman"/>
        </w:rPr>
      </w:pPr>
      <w:r>
        <w:rPr>
          <w:rFonts w:hint="eastAsia" w:cs="Times New Roman"/>
        </w:rPr>
        <w:t>取水口位于宝石桥水库西南侧（取水口位置不发生变化）东经107.95030832（107°57′1.1099″），纬度31.07114911（107°57′1.1099″）。</w:t>
      </w:r>
    </w:p>
    <w:p>
      <w:pPr>
        <w:spacing w:line="360" w:lineRule="auto"/>
        <w:ind w:firstLine="480" w:firstLineChars="200"/>
        <w:rPr>
          <w:rFonts w:cs="Times New Roman"/>
        </w:rPr>
      </w:pPr>
      <w:r>
        <w:rPr>
          <w:rFonts w:hint="eastAsia" w:cs="Times New Roman"/>
        </w:rPr>
        <w:t>一级保护区：</w:t>
      </w:r>
    </w:p>
    <w:p>
      <w:pPr>
        <w:spacing w:line="360" w:lineRule="auto"/>
        <w:ind w:firstLine="480" w:firstLineChars="200"/>
        <w:rPr>
          <w:rFonts w:cs="Times New Roman"/>
        </w:rPr>
      </w:pPr>
      <w:r>
        <w:rPr>
          <w:rFonts w:hint="eastAsia" w:cs="Times New Roman"/>
        </w:rPr>
        <w:t>水域范围：</w:t>
      </w:r>
    </w:p>
    <w:p>
      <w:pPr>
        <w:spacing w:line="360" w:lineRule="auto"/>
        <w:ind w:firstLine="480" w:firstLineChars="200"/>
        <w:rPr>
          <w:rFonts w:cs="Times New Roman"/>
        </w:rPr>
      </w:pPr>
      <w:r>
        <w:rPr>
          <w:rFonts w:hint="eastAsia" w:cs="Times New Roman"/>
        </w:rPr>
        <w:t>取水口半径不小于500m范围内的区域。</w:t>
      </w:r>
    </w:p>
    <w:p>
      <w:pPr>
        <w:spacing w:line="360" w:lineRule="auto"/>
        <w:ind w:firstLine="480" w:firstLineChars="200"/>
        <w:rPr>
          <w:rFonts w:cs="Times New Roman"/>
        </w:rPr>
      </w:pPr>
      <w:r>
        <w:rPr>
          <w:rFonts w:hint="eastAsia" w:cs="Times New Roman"/>
        </w:rPr>
        <w:t>陆域范围：</w:t>
      </w:r>
    </w:p>
    <w:p>
      <w:pPr>
        <w:spacing w:line="360" w:lineRule="auto"/>
        <w:ind w:firstLine="480" w:firstLineChars="200"/>
        <w:rPr>
          <w:rFonts w:cs="Times New Roman"/>
        </w:rPr>
      </w:pPr>
      <w:r>
        <w:rPr>
          <w:rFonts w:hint="eastAsia" w:cs="Times New Roman"/>
        </w:rPr>
        <w:t>取水口侧一级保护区水域外不小于200m范围内的陆域，但不超过流域分水岭。</w:t>
      </w:r>
    </w:p>
    <w:p>
      <w:pPr>
        <w:spacing w:line="360" w:lineRule="auto"/>
        <w:ind w:firstLine="480" w:firstLineChars="200"/>
        <w:rPr>
          <w:rFonts w:cs="Times New Roman"/>
        </w:rPr>
      </w:pPr>
      <w:r>
        <w:rPr>
          <w:rFonts w:hint="eastAsia" w:cs="Times New Roman"/>
        </w:rPr>
        <w:t>二级保护区：</w:t>
      </w:r>
    </w:p>
    <w:p>
      <w:pPr>
        <w:spacing w:line="360" w:lineRule="auto"/>
        <w:ind w:firstLine="480" w:firstLineChars="200"/>
        <w:rPr>
          <w:rFonts w:cs="Times New Roman"/>
        </w:rPr>
      </w:pPr>
      <w:r>
        <w:rPr>
          <w:rFonts w:hint="eastAsia" w:cs="Times New Roman"/>
        </w:rPr>
        <w:t>水域范围：</w:t>
      </w:r>
    </w:p>
    <w:p>
      <w:pPr>
        <w:spacing w:line="360" w:lineRule="auto"/>
        <w:ind w:firstLine="480" w:firstLineChars="200"/>
        <w:rPr>
          <w:rFonts w:cs="Times New Roman"/>
        </w:rPr>
      </w:pPr>
      <w:r>
        <w:rPr>
          <w:rFonts w:hint="eastAsia" w:cs="Times New Roman"/>
        </w:rPr>
        <w:t>一级保护区外径向距离不小于2000m区域为二级保护区水域面积，但不超过水域范围。</w:t>
      </w:r>
    </w:p>
    <w:p>
      <w:pPr>
        <w:spacing w:line="360" w:lineRule="auto"/>
        <w:ind w:firstLine="480" w:firstLineChars="200"/>
        <w:rPr>
          <w:rFonts w:cs="Times New Roman"/>
        </w:rPr>
      </w:pPr>
      <w:r>
        <w:rPr>
          <w:rFonts w:hint="eastAsia" w:cs="Times New Roman"/>
        </w:rPr>
        <w:t>陆域范围：</w:t>
      </w:r>
    </w:p>
    <w:p>
      <w:pPr>
        <w:spacing w:line="360" w:lineRule="auto"/>
        <w:ind w:firstLine="480" w:firstLineChars="200"/>
        <w:rPr>
          <w:rFonts w:cs="Times New Roman"/>
        </w:rPr>
      </w:pPr>
      <w:r>
        <w:rPr>
          <w:rFonts w:hint="eastAsia" w:cs="Times New Roman"/>
        </w:rPr>
        <w:t>一级保护区外径向距离不小于3000m的区域为二级保护区范围，不超过陆域边界不超过相应的流域分水岭。</w:t>
      </w:r>
    </w:p>
    <w:p>
      <w:pPr>
        <w:spacing w:line="360" w:lineRule="auto"/>
        <w:ind w:firstLine="480" w:firstLineChars="200"/>
        <w:rPr>
          <w:rFonts w:cs="Times New Roman"/>
        </w:rPr>
      </w:pPr>
      <w:r>
        <w:rPr>
          <w:rFonts w:cs="Times New Roman"/>
        </w:rPr>
        <w:t>根据《中华人民共和国水污染防治法》、《四川省饮用水水源保护管理条例》、《集中式饮用水水源环境保护指南(试行)》等相关法律、法规要求，饮用水源保护区的调整划定按国家要求需编制饮用水源保护区划分技术报告。</w:t>
      </w:r>
      <w:r>
        <w:rPr>
          <w:rFonts w:hint="eastAsia" w:cs="Times New Roman"/>
        </w:rPr>
        <w:t>宝石水库</w:t>
      </w:r>
      <w:r>
        <w:rPr>
          <w:rFonts w:cs="Times New Roman"/>
        </w:rPr>
        <w:t>作为开江县饮用水源，保护目的是改善</w:t>
      </w:r>
      <w:r>
        <w:rPr>
          <w:rFonts w:hint="eastAsia" w:cs="Times New Roman"/>
        </w:rPr>
        <w:t>宝石水库</w:t>
      </w:r>
      <w:r>
        <w:rPr>
          <w:rFonts w:cs="Times New Roman"/>
        </w:rPr>
        <w:t>目前的水质达标率低、保护管理机制不成熟、监测及应急能力薄弱等问题，开江县委、县政府高度重视县境内各乡镇的饮用水源保护工作，为确保水源地水质安全，开江县人民政府决定由开江县环境保护牵头，对县城开展饮用水源地选定并划分各级保护区范围，并委托四川国投环保科技有限公司编制本报告《开江县县城</w:t>
      </w:r>
      <w:r>
        <w:rPr>
          <w:rFonts w:hint="eastAsia" w:cs="Times New Roman"/>
        </w:rPr>
        <w:t>宝石桥水库</w:t>
      </w:r>
      <w:r>
        <w:rPr>
          <w:rFonts w:cs="Times New Roman"/>
        </w:rPr>
        <w:t>集中式饮用水水源保护区划分</w:t>
      </w:r>
      <w:r>
        <w:rPr>
          <w:rFonts w:hint="eastAsia" w:cs="Times New Roman"/>
        </w:rPr>
        <w:t>调整</w:t>
      </w:r>
      <w:r>
        <w:rPr>
          <w:rFonts w:cs="Times New Roman"/>
        </w:rPr>
        <w:t>技术报告》。</w:t>
      </w:r>
    </w:p>
    <w:p>
      <w:pPr>
        <w:pStyle w:val="4"/>
        <w:spacing w:beforeAutospacing="0" w:afterAutospacing="0" w:line="360" w:lineRule="auto"/>
        <w:rPr>
          <w:rFonts w:ascii="Times New Roman" w:hAnsi="Times New Roman" w:cs="Times New Roman"/>
        </w:rPr>
      </w:pPr>
      <w:bookmarkStart w:id="19" w:name="_Toc25482"/>
      <w:bookmarkStart w:id="20" w:name="_Toc5156"/>
      <w:bookmarkStart w:id="21" w:name="_Toc26115"/>
      <w:r>
        <w:rPr>
          <w:rFonts w:ascii="Times New Roman" w:hAnsi="Times New Roman" w:cs="Times New Roman"/>
        </w:rPr>
        <w:t>1.1.2目的意义</w:t>
      </w:r>
      <w:bookmarkEnd w:id="18"/>
      <w:bookmarkEnd w:id="19"/>
      <w:bookmarkEnd w:id="20"/>
      <w:bookmarkEnd w:id="21"/>
    </w:p>
    <w:p>
      <w:pPr>
        <w:spacing w:line="360" w:lineRule="auto"/>
        <w:ind w:firstLine="480" w:firstLineChars="200"/>
        <w:rPr>
          <w:rFonts w:cs="Times New Roman"/>
          <w:color w:val="000000"/>
        </w:rPr>
      </w:pPr>
      <w:bookmarkStart w:id="22" w:name="_Toc2191"/>
      <w:r>
        <w:rPr>
          <w:rFonts w:cs="Times New Roman"/>
          <w:color w:val="000000"/>
        </w:rPr>
        <w:t>开江县城集中式饮用水水源保护区选定和划分的目的是为当地政府和有关部门依法加强饮用水水源地的管理和保护服务，为相关部门合理开发和利用饮用水水源、保障饮用水环境质量提供依据。</w:t>
      </w:r>
    </w:p>
    <w:p>
      <w:pPr>
        <w:pStyle w:val="3"/>
        <w:spacing w:before="0" w:after="0" w:line="360" w:lineRule="auto"/>
        <w:rPr>
          <w:rFonts w:ascii="Times New Roman" w:hAnsi="Times New Roman" w:cs="Times New Roman"/>
        </w:rPr>
      </w:pPr>
      <w:bookmarkStart w:id="23" w:name="_Toc6132"/>
      <w:bookmarkStart w:id="24" w:name="_Toc12112"/>
      <w:r>
        <w:rPr>
          <w:rFonts w:ascii="Times New Roman" w:hAnsi="Times New Roman" w:cs="Times New Roman"/>
        </w:rPr>
        <w:t>1.2划分依据及原则</w:t>
      </w:r>
      <w:bookmarkEnd w:id="22"/>
      <w:bookmarkEnd w:id="23"/>
      <w:bookmarkEnd w:id="24"/>
    </w:p>
    <w:p>
      <w:pPr>
        <w:pStyle w:val="4"/>
        <w:spacing w:beforeAutospacing="0" w:afterAutospacing="0" w:line="360" w:lineRule="auto"/>
        <w:rPr>
          <w:rFonts w:ascii="Times New Roman" w:hAnsi="Times New Roman" w:cs="Times New Roman"/>
        </w:rPr>
      </w:pPr>
      <w:bookmarkStart w:id="25" w:name="_Toc32549"/>
      <w:bookmarkStart w:id="26" w:name="_Toc29789"/>
      <w:bookmarkStart w:id="27" w:name="_Toc7651"/>
      <w:bookmarkStart w:id="28" w:name="_Toc29028"/>
      <w:r>
        <w:rPr>
          <w:rFonts w:ascii="Times New Roman" w:hAnsi="Times New Roman" w:cs="Times New Roman"/>
        </w:rPr>
        <w:t>1.2.1划分依据</w:t>
      </w:r>
      <w:bookmarkEnd w:id="25"/>
      <w:bookmarkEnd w:id="26"/>
      <w:bookmarkEnd w:id="27"/>
      <w:bookmarkEnd w:id="28"/>
    </w:p>
    <w:p>
      <w:pPr>
        <w:spacing w:line="360" w:lineRule="auto"/>
        <w:ind w:firstLine="482" w:firstLineChars="200"/>
        <w:rPr>
          <w:rFonts w:cs="Times New Roman"/>
          <w:b/>
        </w:rPr>
      </w:pPr>
      <w:r>
        <w:rPr>
          <w:rFonts w:cs="Times New Roman"/>
          <w:b/>
        </w:rPr>
        <w:t>1、相关法律法规及政府文件</w:t>
      </w:r>
    </w:p>
    <w:p>
      <w:pPr>
        <w:spacing w:line="360" w:lineRule="auto"/>
        <w:ind w:firstLine="480" w:firstLineChars="200"/>
        <w:rPr>
          <w:rFonts w:cs="Times New Roman"/>
        </w:rPr>
      </w:pPr>
      <w:r>
        <w:rPr>
          <w:rFonts w:cs="Times New Roman"/>
        </w:rPr>
        <w:t>（1）《中华人民共和国环境保护法》（2015年1月1日起施行）；</w:t>
      </w:r>
    </w:p>
    <w:p>
      <w:pPr>
        <w:spacing w:line="360" w:lineRule="auto"/>
        <w:ind w:firstLine="480" w:firstLineChars="200"/>
        <w:rPr>
          <w:rFonts w:cs="Times New Roman"/>
          <w:color w:val="000000"/>
        </w:rPr>
      </w:pPr>
      <w:r>
        <w:rPr>
          <w:rFonts w:cs="Times New Roman"/>
          <w:color w:val="000000"/>
        </w:rPr>
        <w:t>（2）《中华人民共和国水法》（2002.10）（2009年修正）；</w:t>
      </w:r>
    </w:p>
    <w:p>
      <w:pPr>
        <w:spacing w:line="360" w:lineRule="auto"/>
        <w:ind w:firstLine="480" w:firstLineChars="200"/>
        <w:rPr>
          <w:rFonts w:cs="Times New Roman"/>
        </w:rPr>
      </w:pPr>
      <w:r>
        <w:rPr>
          <w:rFonts w:cs="Times New Roman"/>
        </w:rPr>
        <w:t>（3）《中华人民共和国水污染防治法》（2008.02）；</w:t>
      </w:r>
    </w:p>
    <w:p>
      <w:pPr>
        <w:spacing w:line="360" w:lineRule="auto"/>
        <w:ind w:firstLine="480" w:firstLineChars="200"/>
        <w:rPr>
          <w:rFonts w:cs="Times New Roman"/>
          <w:color w:val="000000"/>
        </w:rPr>
      </w:pPr>
      <w:r>
        <w:rPr>
          <w:rFonts w:cs="Times New Roman"/>
          <w:color w:val="000000"/>
        </w:rPr>
        <w:t>（4）《饮用水水源保护区污染防治管理规定》（1989.07）（2010修正）；</w:t>
      </w:r>
    </w:p>
    <w:p>
      <w:pPr>
        <w:spacing w:line="360" w:lineRule="auto"/>
        <w:ind w:firstLine="480" w:firstLineChars="200"/>
        <w:rPr>
          <w:rFonts w:cs="Times New Roman"/>
          <w:color w:val="000000"/>
        </w:rPr>
      </w:pPr>
      <w:r>
        <w:rPr>
          <w:rFonts w:cs="Times New Roman"/>
          <w:color w:val="000000"/>
        </w:rPr>
        <w:t>（5） 《国务院办公厅关于加强饮用水安全保障工作的通知》（国办发（2005）45号）；</w:t>
      </w:r>
    </w:p>
    <w:p>
      <w:pPr>
        <w:spacing w:line="360" w:lineRule="auto"/>
        <w:ind w:firstLine="480" w:firstLineChars="200"/>
        <w:rPr>
          <w:rFonts w:cs="Times New Roman"/>
          <w:color w:val="000000"/>
        </w:rPr>
      </w:pPr>
      <w:r>
        <w:rPr>
          <w:rFonts w:cs="Times New Roman"/>
          <w:color w:val="000000"/>
        </w:rPr>
        <w:t>（6）《四川省人民政府办公厅关于进一步加强饮用水水源保护工作的通知》（川办函【2014】143号）；</w:t>
      </w:r>
    </w:p>
    <w:p>
      <w:pPr>
        <w:spacing w:line="360" w:lineRule="auto"/>
        <w:ind w:firstLine="480" w:firstLineChars="200"/>
        <w:rPr>
          <w:rFonts w:cs="Times New Roman"/>
          <w:color w:val="000000"/>
        </w:rPr>
      </w:pPr>
      <w:r>
        <w:rPr>
          <w:rFonts w:cs="Times New Roman"/>
          <w:color w:val="000000"/>
        </w:rPr>
        <w:t>（7）四川省环境保护厅办公室文关于转发《关于开展全国集中式饮用水水源地环保专项排查工作的通知》的通知（川环办发【2018】1号）；</w:t>
      </w:r>
    </w:p>
    <w:p>
      <w:pPr>
        <w:spacing w:line="360" w:lineRule="auto"/>
        <w:ind w:firstLine="480" w:firstLineChars="200"/>
        <w:rPr>
          <w:rFonts w:cs="Times New Roman"/>
          <w:color w:val="000000"/>
        </w:rPr>
      </w:pPr>
      <w:r>
        <w:rPr>
          <w:rFonts w:cs="Times New Roman"/>
          <w:color w:val="000000"/>
        </w:rPr>
        <w:t>（8）《四川省饮用水水源保护管理条例》（2012年1月1日起施行）；</w:t>
      </w:r>
    </w:p>
    <w:p>
      <w:pPr>
        <w:spacing w:line="360" w:lineRule="auto"/>
        <w:ind w:firstLine="480" w:firstLineChars="200"/>
        <w:rPr>
          <w:rFonts w:cs="Times New Roman"/>
          <w:color w:val="000000"/>
        </w:rPr>
      </w:pPr>
      <w:r>
        <w:rPr>
          <w:rFonts w:cs="Times New Roman"/>
          <w:color w:val="000000"/>
        </w:rPr>
        <w:t>（9）四川省环境保护厅办公室《关于贯彻实施〈四川省饮用水水源保护管理条例〉的通知》（川环办发【2012】69号）；</w:t>
      </w:r>
    </w:p>
    <w:p>
      <w:pPr>
        <w:spacing w:line="360" w:lineRule="auto"/>
        <w:ind w:firstLine="480" w:firstLineChars="200"/>
        <w:rPr>
          <w:rFonts w:cs="Times New Roman"/>
          <w:color w:val="000000"/>
        </w:rPr>
      </w:pPr>
      <w:r>
        <w:rPr>
          <w:rFonts w:cs="Times New Roman"/>
          <w:color w:val="000000"/>
        </w:rPr>
        <w:t>（10）《四川省人民政府关于加强农村饮水安全工作的通知》（2012.04）；</w:t>
      </w:r>
    </w:p>
    <w:p>
      <w:pPr>
        <w:spacing w:line="360" w:lineRule="auto"/>
        <w:ind w:firstLine="480" w:firstLineChars="200"/>
        <w:rPr>
          <w:rFonts w:cs="Times New Roman"/>
        </w:rPr>
      </w:pPr>
      <w:r>
        <w:rPr>
          <w:rFonts w:cs="Times New Roman"/>
        </w:rPr>
        <w:t>（11）《四川省地质环境管理条例》（1999.08）（2012修正）；</w:t>
      </w:r>
    </w:p>
    <w:p>
      <w:pPr>
        <w:spacing w:line="360" w:lineRule="auto"/>
        <w:ind w:firstLine="482" w:firstLineChars="200"/>
        <w:jc w:val="left"/>
        <w:rPr>
          <w:rFonts w:cs="Times New Roman"/>
          <w:b/>
        </w:rPr>
      </w:pPr>
      <w:r>
        <w:rPr>
          <w:rFonts w:cs="Times New Roman"/>
          <w:b/>
        </w:rPr>
        <w:t>2、相关规划</w:t>
      </w:r>
    </w:p>
    <w:p>
      <w:pPr>
        <w:spacing w:line="360" w:lineRule="auto"/>
        <w:ind w:firstLine="480" w:firstLineChars="200"/>
        <w:rPr>
          <w:rFonts w:cs="Times New Roman"/>
          <w:color w:val="000000"/>
        </w:rPr>
      </w:pPr>
      <w:r>
        <w:rPr>
          <w:rFonts w:cs="Times New Roman"/>
          <w:color w:val="000000"/>
        </w:rPr>
        <w:t>（1）《开江县城乡环境综合治理“十三五”发展规划（201</w:t>
      </w:r>
      <w:r>
        <w:rPr>
          <w:rFonts w:hint="eastAsia" w:cs="Times New Roman"/>
          <w:color w:val="000000"/>
        </w:rPr>
        <w:t>5-</w:t>
      </w:r>
      <w:r>
        <w:rPr>
          <w:rFonts w:cs="Times New Roman"/>
          <w:color w:val="000000"/>
        </w:rPr>
        <w:t>2020年）》</w:t>
      </w:r>
    </w:p>
    <w:p>
      <w:pPr>
        <w:spacing w:line="360" w:lineRule="auto"/>
        <w:ind w:firstLine="480" w:firstLineChars="200"/>
        <w:rPr>
          <w:rFonts w:cs="Times New Roman"/>
        </w:rPr>
      </w:pPr>
      <w:r>
        <w:rPr>
          <w:rFonts w:cs="Times New Roman"/>
        </w:rPr>
        <w:t>（2）《达州市国民经济和社会发展第十三个五年规划纲要》</w:t>
      </w:r>
    </w:p>
    <w:p>
      <w:pPr>
        <w:spacing w:line="360" w:lineRule="auto"/>
        <w:ind w:firstLine="480" w:firstLineChars="200"/>
        <w:rPr>
          <w:rFonts w:cs="Times New Roman"/>
        </w:rPr>
      </w:pPr>
      <w:r>
        <w:rPr>
          <w:rFonts w:hint="eastAsia" w:cs="Times New Roman"/>
        </w:rPr>
        <w:t>（3）《四川省达州市开江县环宝石湖生态文明建设与脱贫攻坚战略规划》</w:t>
      </w:r>
    </w:p>
    <w:p>
      <w:pPr>
        <w:spacing w:line="360" w:lineRule="auto"/>
        <w:ind w:firstLine="482" w:firstLineChars="200"/>
        <w:jc w:val="left"/>
        <w:rPr>
          <w:rFonts w:cs="Times New Roman"/>
          <w:b/>
        </w:rPr>
      </w:pPr>
      <w:r>
        <w:rPr>
          <w:rFonts w:cs="Times New Roman"/>
          <w:b/>
        </w:rPr>
        <w:t>3、技术标准</w:t>
      </w:r>
    </w:p>
    <w:p>
      <w:pPr>
        <w:spacing w:line="360" w:lineRule="auto"/>
        <w:ind w:firstLine="480" w:firstLineChars="200"/>
        <w:rPr>
          <w:rFonts w:cs="Times New Roman"/>
        </w:rPr>
      </w:pPr>
      <w:r>
        <w:rPr>
          <w:rFonts w:cs="Times New Roman"/>
        </w:rPr>
        <w:t>（1）《生活饮用水卫生标准》（GB5749-2006）；</w:t>
      </w:r>
    </w:p>
    <w:p>
      <w:pPr>
        <w:spacing w:line="360" w:lineRule="auto"/>
        <w:ind w:firstLine="480" w:firstLineChars="200"/>
        <w:rPr>
          <w:rFonts w:cs="Times New Roman"/>
        </w:rPr>
      </w:pPr>
      <w:r>
        <w:rPr>
          <w:rFonts w:cs="Times New Roman"/>
        </w:rPr>
        <w:t>（2）《生活饮用水水源水质标准》（CJ3020-93）；</w:t>
      </w:r>
    </w:p>
    <w:p>
      <w:pPr>
        <w:spacing w:line="360" w:lineRule="auto"/>
        <w:ind w:firstLine="480" w:firstLineChars="200"/>
        <w:rPr>
          <w:rFonts w:cs="Times New Roman"/>
        </w:rPr>
      </w:pPr>
      <w:r>
        <w:rPr>
          <w:rFonts w:cs="Times New Roman"/>
        </w:rPr>
        <w:t>（3）《地表水环境质量标准》（GB3838-2002）；</w:t>
      </w:r>
    </w:p>
    <w:p>
      <w:pPr>
        <w:spacing w:line="360" w:lineRule="auto"/>
        <w:ind w:firstLine="480" w:firstLineChars="200"/>
        <w:rPr>
          <w:rFonts w:cs="Times New Roman"/>
        </w:rPr>
      </w:pPr>
      <w:r>
        <w:rPr>
          <w:rFonts w:cs="Times New Roman"/>
        </w:rPr>
        <w:t>（4）《水资源评价导则》（SL/T238-1999）；</w:t>
      </w:r>
    </w:p>
    <w:p>
      <w:pPr>
        <w:spacing w:line="360" w:lineRule="auto"/>
        <w:ind w:firstLine="480" w:firstLineChars="200"/>
        <w:rPr>
          <w:rFonts w:cs="Times New Roman"/>
        </w:rPr>
      </w:pPr>
      <w:r>
        <w:rPr>
          <w:rFonts w:cs="Times New Roman"/>
        </w:rPr>
        <w:t>（5）《饮用水水源保护区划分技术规范》（HJ/T338-2018）；</w:t>
      </w:r>
    </w:p>
    <w:p>
      <w:pPr>
        <w:spacing w:line="360" w:lineRule="auto"/>
        <w:ind w:firstLine="480" w:firstLineChars="200"/>
        <w:rPr>
          <w:rFonts w:cs="Times New Roman"/>
        </w:rPr>
      </w:pPr>
      <w:r>
        <w:rPr>
          <w:rFonts w:cs="Times New Roman"/>
        </w:rPr>
        <w:t>（6）《饮用水水源保护区标志技术要求》（HJ/T433-2008）。</w:t>
      </w:r>
    </w:p>
    <w:p>
      <w:pPr>
        <w:pStyle w:val="4"/>
        <w:spacing w:beforeAutospacing="0" w:afterAutospacing="0" w:line="360" w:lineRule="auto"/>
        <w:rPr>
          <w:rFonts w:ascii="Times New Roman" w:hAnsi="Times New Roman" w:cs="Times New Roman"/>
        </w:rPr>
      </w:pPr>
      <w:bookmarkStart w:id="29" w:name="_Toc17813"/>
      <w:bookmarkStart w:id="30" w:name="_Toc4614"/>
      <w:bookmarkStart w:id="31" w:name="_Toc15773"/>
      <w:bookmarkStart w:id="32" w:name="_Toc17551"/>
      <w:r>
        <w:rPr>
          <w:rFonts w:ascii="Times New Roman" w:hAnsi="Times New Roman" w:cs="Times New Roman"/>
        </w:rPr>
        <w:t>1.2.2划分原则</w:t>
      </w:r>
      <w:bookmarkEnd w:id="29"/>
      <w:bookmarkEnd w:id="30"/>
      <w:bookmarkEnd w:id="31"/>
      <w:bookmarkEnd w:id="32"/>
    </w:p>
    <w:p>
      <w:pPr>
        <w:spacing w:line="360" w:lineRule="auto"/>
        <w:ind w:firstLine="480" w:firstLineChars="200"/>
        <w:rPr>
          <w:rFonts w:cs="Times New Roman"/>
          <w:color w:val="000000"/>
        </w:rPr>
      </w:pPr>
      <w:r>
        <w:rPr>
          <w:rFonts w:cs="Times New Roman"/>
          <w:color w:val="000000"/>
        </w:rPr>
        <w:t>1、保障人体健康的原则；</w:t>
      </w:r>
    </w:p>
    <w:p>
      <w:pPr>
        <w:spacing w:line="360" w:lineRule="auto"/>
        <w:ind w:firstLine="480" w:firstLineChars="200"/>
        <w:rPr>
          <w:rFonts w:cs="Times New Roman"/>
          <w:color w:val="000000"/>
        </w:rPr>
      </w:pPr>
      <w:r>
        <w:rPr>
          <w:rFonts w:cs="Times New Roman"/>
          <w:color w:val="000000"/>
        </w:rPr>
        <w:t>2、因地制宜，科学划分原则；</w:t>
      </w:r>
    </w:p>
    <w:p>
      <w:pPr>
        <w:spacing w:line="360" w:lineRule="auto"/>
        <w:ind w:firstLine="480" w:firstLineChars="200"/>
        <w:rPr>
          <w:rFonts w:cs="Times New Roman"/>
          <w:color w:val="000000"/>
        </w:rPr>
      </w:pPr>
      <w:r>
        <w:rPr>
          <w:rFonts w:cs="Times New Roman"/>
          <w:color w:val="000000"/>
        </w:rPr>
        <w:t>3、遵循环境、经济与社会协调发展的原则；</w:t>
      </w:r>
    </w:p>
    <w:p>
      <w:pPr>
        <w:spacing w:line="360" w:lineRule="auto"/>
        <w:ind w:firstLine="480" w:firstLineChars="200"/>
        <w:rPr>
          <w:rFonts w:cs="Times New Roman"/>
          <w:color w:val="000000"/>
        </w:rPr>
      </w:pPr>
      <w:r>
        <w:rPr>
          <w:rFonts w:cs="Times New Roman"/>
          <w:color w:val="000000"/>
        </w:rPr>
        <w:t>4、遵循科学性、前瞻性和可操作性相结合的原则；</w:t>
      </w:r>
    </w:p>
    <w:p>
      <w:pPr>
        <w:spacing w:line="360" w:lineRule="auto"/>
        <w:ind w:firstLine="480" w:firstLineChars="200"/>
        <w:rPr>
          <w:rFonts w:cs="Times New Roman"/>
        </w:rPr>
      </w:pPr>
      <w:r>
        <w:rPr>
          <w:rFonts w:cs="Times New Roman"/>
          <w:color w:val="000000"/>
        </w:rPr>
        <w:t>5、满足饮用水质达到国家规定的标准原则。</w:t>
      </w:r>
    </w:p>
    <w:p>
      <w:pPr>
        <w:pStyle w:val="3"/>
        <w:spacing w:before="0" w:after="0" w:line="360" w:lineRule="auto"/>
        <w:rPr>
          <w:rFonts w:ascii="Times New Roman" w:hAnsi="Times New Roman" w:cs="Times New Roman"/>
        </w:rPr>
      </w:pPr>
      <w:bookmarkStart w:id="33" w:name="_Toc17111"/>
      <w:bookmarkStart w:id="34" w:name="_Toc210"/>
      <w:bookmarkStart w:id="35" w:name="_Toc2700"/>
      <w:r>
        <w:rPr>
          <w:rFonts w:ascii="Times New Roman" w:hAnsi="Times New Roman" w:cs="Times New Roman"/>
        </w:rPr>
        <w:t>1.3水源保护区划分的一般技术原则</w:t>
      </w:r>
      <w:bookmarkEnd w:id="33"/>
      <w:bookmarkEnd w:id="34"/>
      <w:bookmarkEnd w:id="35"/>
    </w:p>
    <w:p>
      <w:pPr>
        <w:spacing w:line="360" w:lineRule="auto"/>
        <w:ind w:firstLine="480" w:firstLineChars="200"/>
        <w:rPr>
          <w:rFonts w:cs="Times New Roman"/>
        </w:rPr>
      </w:pPr>
      <w:r>
        <w:rPr>
          <w:rFonts w:cs="Times New Roman"/>
        </w:rPr>
        <w:t>确定饮用水水源保护区划分的技术指标，应考虑以下因素：当地的地理位置、水文、气象、地质特征、水动力特性、水域污染类型、污染特征、污染源分布、排水区分布、水源地规模、水量需求。其中：地表水饮用水源保护区范围应按照不同水域特点进行水质定量预测并考虑当地具体条件加以确定，保证在规划设计的水文条件和污染负荷下，供应规划水量时，保护区的水质能满足相应的标准。</w:t>
      </w:r>
    </w:p>
    <w:p>
      <w:pPr>
        <w:spacing w:line="360" w:lineRule="auto"/>
        <w:ind w:firstLine="480" w:firstLineChars="200"/>
        <w:rPr>
          <w:rFonts w:cs="Times New Roman"/>
        </w:rPr>
      </w:pPr>
      <w:r>
        <w:rPr>
          <w:rFonts w:cs="Times New Roman"/>
        </w:rPr>
        <w:t>划定的水源保护区范围，应防止水源地附近人类活动对水源的直接污染；应足以使所选定的主要污染物在向取水点（或开采井、井群）输移（或运移）过程中，衰减到所期望的浓度水平；在正常情况下保证取水水质达到规定要求；一旦出现污染水源的突发情况，有采取紧急补救措施的时间和缓冲地带。</w:t>
      </w:r>
    </w:p>
    <w:p>
      <w:pPr>
        <w:spacing w:line="360" w:lineRule="auto"/>
        <w:ind w:firstLine="480" w:firstLineChars="200"/>
        <w:rPr>
          <w:rFonts w:cs="Times New Roman"/>
        </w:rPr>
      </w:pPr>
      <w:r>
        <w:rPr>
          <w:rFonts w:cs="Times New Roman"/>
        </w:rPr>
        <w:t>在确保饮用水水源水质不受污染前提下，划定的水源保护区范围应尽可能小。</w:t>
      </w:r>
    </w:p>
    <w:p>
      <w:pPr>
        <w:pStyle w:val="3"/>
        <w:spacing w:before="0" w:after="0" w:line="360" w:lineRule="auto"/>
        <w:rPr>
          <w:rFonts w:ascii="Times New Roman" w:hAnsi="Times New Roman" w:cs="Times New Roman"/>
        </w:rPr>
      </w:pPr>
      <w:bookmarkStart w:id="36" w:name="_Toc29320"/>
      <w:bookmarkStart w:id="37" w:name="_Toc15140"/>
      <w:bookmarkStart w:id="38" w:name="_Toc8231"/>
      <w:r>
        <w:rPr>
          <w:rFonts w:ascii="Times New Roman" w:hAnsi="Times New Roman" w:cs="Times New Roman"/>
        </w:rPr>
        <w:t>1.4水源保护区水质要求</w:t>
      </w:r>
      <w:bookmarkEnd w:id="36"/>
      <w:bookmarkEnd w:id="37"/>
      <w:bookmarkEnd w:id="38"/>
    </w:p>
    <w:p>
      <w:pPr>
        <w:spacing w:line="360" w:lineRule="auto"/>
        <w:ind w:firstLine="480" w:firstLineChars="200"/>
        <w:rPr>
          <w:rFonts w:cs="Times New Roman"/>
          <w:color w:val="000000"/>
        </w:rPr>
      </w:pPr>
      <w:r>
        <w:rPr>
          <w:rFonts w:cs="Times New Roman"/>
          <w:color w:val="000000"/>
        </w:rPr>
        <w:t>地表水饮用水源保护区水质要求：</w:t>
      </w:r>
    </w:p>
    <w:p>
      <w:pPr>
        <w:spacing w:line="360" w:lineRule="auto"/>
        <w:ind w:firstLine="480" w:firstLineChars="200"/>
        <w:rPr>
          <w:rFonts w:cs="Times New Roman"/>
          <w:color w:val="FF0000"/>
        </w:rPr>
      </w:pPr>
      <w:r>
        <w:rPr>
          <w:rFonts w:cs="Times New Roman"/>
          <w:color w:val="FF0000"/>
        </w:rPr>
        <w:t>地表水饮用水源一级保护区的水质基本项目限值不得低于《地表水环境质量标准》（GB14848-93）中的Ⅱ类标准，且补充项目和特定项目应满足该标准规定的限值要求。</w:t>
      </w:r>
    </w:p>
    <w:p>
      <w:pPr>
        <w:spacing w:line="360" w:lineRule="auto"/>
        <w:ind w:firstLine="480" w:firstLineChars="200"/>
        <w:rPr>
          <w:rFonts w:cs="Times New Roman"/>
          <w:color w:val="FF0000"/>
        </w:rPr>
      </w:pPr>
      <w:r>
        <w:rPr>
          <w:rFonts w:cs="Times New Roman"/>
          <w:color w:val="FF0000"/>
        </w:rPr>
        <w:t>地表水饮用水源二级保护区的水质基本项目限值不得低于《地表水环境质量标准》（GB14848-93）中的Ⅲ类标准，并保证流入一级保护区的水质满足一级保护区水质标准要求。</w:t>
      </w:r>
    </w:p>
    <w:p>
      <w:pPr>
        <w:spacing w:line="360" w:lineRule="auto"/>
        <w:ind w:firstLine="480" w:firstLineChars="200"/>
        <w:rPr>
          <w:rFonts w:cs="Times New Roman"/>
          <w:color w:val="000000"/>
        </w:rPr>
      </w:pPr>
      <w:r>
        <w:rPr>
          <w:rFonts w:cs="Times New Roman"/>
          <w:color w:val="000000"/>
        </w:rPr>
        <w:t>地表水饮用水源准保护区的水质标准应保证流入二级保护区的水质满足二级保护区水质标准的要求。</w:t>
      </w:r>
      <w:bookmarkStart w:id="39" w:name="_Toc492740601"/>
    </w:p>
    <w:p>
      <w:pPr>
        <w:pStyle w:val="3"/>
        <w:spacing w:before="0" w:after="0" w:line="360" w:lineRule="auto"/>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5工作过程与总体成果</w:t>
      </w:r>
    </w:p>
    <w:p>
      <w:pPr>
        <w:pStyle w:val="4"/>
        <w:spacing w:beforeAutospacing="0" w:afterAutospacing="0" w:line="360" w:lineRule="auto"/>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5</w:t>
      </w:r>
      <w:r>
        <w:rPr>
          <w:rFonts w:ascii="Times New Roman" w:hAnsi="Times New Roman" w:cs="Times New Roman"/>
        </w:rPr>
        <w:t>.1</w:t>
      </w:r>
      <w:r>
        <w:rPr>
          <w:rFonts w:hint="eastAsia" w:ascii="Times New Roman" w:hAnsi="Times New Roman" w:cs="Times New Roman"/>
        </w:rPr>
        <w:t>工作过程</w:t>
      </w:r>
    </w:p>
    <w:p>
      <w:pPr>
        <w:spacing w:line="360" w:lineRule="auto"/>
        <w:ind w:firstLine="480" w:firstLineChars="200"/>
        <w:rPr>
          <w:rFonts w:cs="Times New Roman"/>
          <w:color w:val="000000"/>
        </w:rPr>
      </w:pPr>
      <w:r>
        <w:rPr>
          <w:rFonts w:hint="eastAsia" w:cs="Times New Roman"/>
          <w:color w:val="000000"/>
        </w:rPr>
        <w:t>（1）资料收集：包括饮用水水源地的水文水质现状、生态与环境现状、社会经济发展现状等方面的基础资料，以及所在行政区的总体规划、土地利用规划等相关规划。</w:t>
      </w:r>
    </w:p>
    <w:p>
      <w:pPr>
        <w:spacing w:line="360" w:lineRule="auto"/>
        <w:ind w:firstLine="480" w:firstLineChars="200"/>
        <w:rPr>
          <w:rFonts w:cs="Times New Roman"/>
          <w:color w:val="000000"/>
        </w:rPr>
      </w:pPr>
      <w:r>
        <w:rPr>
          <w:rFonts w:hint="eastAsia" w:cs="Times New Roman"/>
          <w:color w:val="000000"/>
        </w:rPr>
        <w:t>（2）实地调查：通过现场走访调查、查阅和收集资料、环境监测等工作，调查取水点周边的具体污染源情况，包括取水口上下游排污口、涵闸等污染源现状等；分析评价其水资源数量、质量是否满足要求；分析水源地保护中存在的主要问题。</w:t>
      </w:r>
    </w:p>
    <w:p>
      <w:pPr>
        <w:spacing w:line="360" w:lineRule="auto"/>
        <w:ind w:firstLine="480" w:firstLineChars="200"/>
        <w:rPr>
          <w:rFonts w:cs="Times New Roman"/>
          <w:color w:val="000000"/>
        </w:rPr>
      </w:pPr>
      <w:r>
        <w:rPr>
          <w:rFonts w:hint="eastAsia" w:cs="Times New Roman"/>
          <w:color w:val="000000"/>
        </w:rPr>
        <w:t>（3）饮用水源保护区的划分：根据饮用水源保护区划分技术规范，选择适当的划分方法，结合水源地基本情况，提出水源保护区划分方案，计算确定一级保护区、二级保护区的范围、面积及界线。</w:t>
      </w:r>
    </w:p>
    <w:p>
      <w:pPr>
        <w:spacing w:line="360" w:lineRule="auto"/>
        <w:ind w:firstLine="480" w:firstLineChars="200"/>
        <w:rPr>
          <w:rFonts w:cs="Times New Roman"/>
          <w:color w:val="000000"/>
        </w:rPr>
      </w:pPr>
      <w:r>
        <w:rPr>
          <w:rFonts w:hint="eastAsia" w:cs="Times New Roman"/>
          <w:color w:val="000000"/>
        </w:rPr>
        <w:t>（4）保护区污染防治。根据饮用水水源保护区划分结果，结合环境现状调查，按照国家有关法律法规及标准规范的要求，提出饮用水水源保护区标准化建设、污染防治以及监督管理方案。</w:t>
      </w:r>
    </w:p>
    <w:p>
      <w:pPr>
        <w:spacing w:line="360" w:lineRule="auto"/>
        <w:ind w:firstLine="480" w:firstLineChars="200"/>
        <w:rPr>
          <w:rFonts w:cs="Times New Roman"/>
          <w:color w:val="000000"/>
        </w:rPr>
      </w:pPr>
      <w:r>
        <w:rPr>
          <w:rFonts w:hint="eastAsia" w:cs="Times New Roman"/>
          <w:color w:val="000000"/>
        </w:rPr>
        <w:t>（5）编制汇总报告：成果汇总与协调：依据划分结果，编制饮用水源保护区划分技术报告，并形成相应的附图、附表等成果。</w:t>
      </w:r>
    </w:p>
    <w:p>
      <w:pPr>
        <w:spacing w:line="360" w:lineRule="auto"/>
        <w:ind w:firstLine="480" w:firstLineChars="200"/>
        <w:rPr>
          <w:rFonts w:cs="Times New Roman"/>
          <w:color w:val="000000"/>
        </w:rPr>
      </w:pPr>
      <w:r>
        <w:drawing>
          <wp:inline distT="0" distB="0" distL="114300" distR="114300">
            <wp:extent cx="5267325" cy="5036185"/>
            <wp:effectExtent l="0" t="0" r="5715" b="825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6"/>
                    <a:stretch>
                      <a:fillRect/>
                    </a:stretch>
                  </pic:blipFill>
                  <pic:spPr>
                    <a:xfrm>
                      <a:off x="0" y="0"/>
                      <a:ext cx="5267325" cy="5036185"/>
                    </a:xfrm>
                    <a:prstGeom prst="rect">
                      <a:avLst/>
                    </a:prstGeom>
                    <a:noFill/>
                    <a:ln w="9525">
                      <a:noFill/>
                    </a:ln>
                  </pic:spPr>
                </pic:pic>
              </a:graphicData>
            </a:graphic>
          </wp:inline>
        </w:drawing>
      </w:r>
    </w:p>
    <w:p>
      <w:pPr>
        <w:spacing w:line="360" w:lineRule="auto"/>
        <w:ind w:firstLine="422" w:firstLineChars="200"/>
        <w:jc w:val="center"/>
        <w:rPr>
          <w:rFonts w:cs="Times New Roman"/>
          <w:b/>
          <w:bCs/>
          <w:color w:val="000000"/>
          <w:sz w:val="21"/>
          <w:szCs w:val="21"/>
        </w:rPr>
      </w:pPr>
      <w:r>
        <w:rPr>
          <w:rFonts w:hint="eastAsia" w:cs="Times New Roman"/>
          <w:b/>
          <w:bCs/>
          <w:color w:val="000000"/>
          <w:sz w:val="21"/>
          <w:szCs w:val="21"/>
          <w:lang w:val="zh-CN"/>
        </w:rPr>
        <w:t>图</w:t>
      </w:r>
      <w:r>
        <w:rPr>
          <w:rFonts w:hint="eastAsia" w:cs="Times New Roman"/>
          <w:b/>
          <w:bCs/>
          <w:color w:val="000000"/>
          <w:sz w:val="21"/>
          <w:szCs w:val="21"/>
        </w:rPr>
        <w:t>1-1  饮用水水源保护区划分工作过程图</w:t>
      </w:r>
    </w:p>
    <w:p>
      <w:pPr>
        <w:pStyle w:val="4"/>
        <w:spacing w:beforeAutospacing="0" w:afterAutospacing="0" w:line="360" w:lineRule="auto"/>
        <w:rPr>
          <w:rFonts w:ascii="Times New Roman" w:hAnsi="Times New Roman" w:cs="Times New Roman"/>
        </w:rPr>
      </w:pPr>
      <w:r>
        <w:rPr>
          <w:rFonts w:hint="eastAsia" w:ascii="Times New Roman" w:hAnsi="Times New Roman" w:cs="Times New Roman"/>
        </w:rPr>
        <w:t>1.5.2  总体成果</w:t>
      </w:r>
    </w:p>
    <w:p>
      <w:pPr>
        <w:spacing w:line="360" w:lineRule="auto"/>
        <w:ind w:firstLine="720" w:firstLineChars="300"/>
        <w:rPr>
          <w:rFonts w:cs="Times New Roman"/>
          <w:color w:val="000000"/>
        </w:rPr>
      </w:pPr>
      <w:r>
        <w:rPr>
          <w:rFonts w:hint="eastAsia" w:cs="Times New Roman"/>
          <w:color w:val="000000"/>
        </w:rPr>
        <w:t>成果共包括 3 项：</w:t>
      </w:r>
    </w:p>
    <w:p>
      <w:pPr>
        <w:spacing w:line="360" w:lineRule="auto"/>
        <w:ind w:firstLine="480" w:firstLineChars="200"/>
        <w:rPr>
          <w:rFonts w:cs="Times New Roman"/>
          <w:color w:val="000000"/>
        </w:rPr>
      </w:pPr>
      <w:r>
        <w:rPr>
          <w:rFonts w:hint="eastAsia" w:cs="Times New Roman"/>
          <w:color w:val="000000"/>
        </w:rPr>
        <w:t>（1）技术报告：根据划分技术报告提纲的要求，主要包括划定饮用水源保护区的背景和意义、水源地基础状况分析、划分方案、监督管理措施和保障措施等内容。</w:t>
      </w:r>
    </w:p>
    <w:p>
      <w:pPr>
        <w:spacing w:line="360" w:lineRule="auto"/>
        <w:ind w:firstLine="480" w:firstLineChars="200"/>
        <w:rPr>
          <w:rFonts w:cs="Times New Roman"/>
          <w:color w:val="000000"/>
          <w:highlight w:val="darkCyan"/>
        </w:rPr>
      </w:pPr>
      <w:r>
        <w:rPr>
          <w:rFonts w:hint="eastAsia" w:cs="Times New Roman"/>
          <w:color w:val="000000"/>
        </w:rPr>
        <w:t>（2）附件、附表、附图：</w:t>
      </w:r>
      <w:r>
        <w:rPr>
          <w:rFonts w:hint="eastAsia" w:cs="Times New Roman"/>
          <w:color w:val="000000"/>
          <w:highlight w:val="darkCyan"/>
        </w:rPr>
        <w:t>包括监测报告、饮用水水源地基础状况表、饮用水水源地保护区环境状况调查表、饮用水水源保护区划分结果图、饮用水水源水质监测断面分布图等。</w:t>
      </w:r>
    </w:p>
    <w:p>
      <w:pPr>
        <w:spacing w:line="360" w:lineRule="auto"/>
        <w:ind w:firstLine="480" w:firstLineChars="200"/>
        <w:rPr>
          <w:rFonts w:cs="Times New Roman"/>
          <w:color w:val="000000"/>
        </w:rPr>
      </w:pPr>
      <w:r>
        <w:rPr>
          <w:rFonts w:hint="eastAsia" w:cs="Times New Roman"/>
          <w:color w:val="000000"/>
        </w:rPr>
        <w:t>（3）矢量边界数据成果：包括饮用水源一级、二级保护区的边界数据、拐点坐标矢量数据、取水口和监测断面点位的矢量数据等。</w:t>
      </w:r>
    </w:p>
    <w:p>
      <w:pPr>
        <w:spacing w:line="360" w:lineRule="auto"/>
        <w:ind w:firstLine="480" w:firstLineChars="200"/>
        <w:rPr>
          <w:rFonts w:cs="Times New Roman"/>
          <w:color w:val="000000"/>
          <w:lang w:val="zh-CN"/>
        </w:rPr>
      </w:pPr>
      <w:r>
        <w:rPr>
          <w:rFonts w:cs="Times New Roman"/>
          <w:color w:val="000000"/>
          <w:lang w:val="zh-CN"/>
        </w:rPr>
        <w:br w:type="page"/>
      </w:r>
    </w:p>
    <w:p>
      <w:pPr>
        <w:pStyle w:val="2"/>
        <w:jc w:val="center"/>
        <w:rPr>
          <w:rFonts w:cs="Times New Roman"/>
          <w:kern w:val="0"/>
          <w:lang w:val="zh-CN"/>
        </w:rPr>
      </w:pPr>
      <w:bookmarkStart w:id="40" w:name="_Toc12672"/>
      <w:bookmarkStart w:id="41" w:name="_Toc25281"/>
      <w:r>
        <w:rPr>
          <w:rFonts w:cs="Times New Roman"/>
          <w:kern w:val="0"/>
          <w:lang w:val="zh-CN"/>
        </w:rPr>
        <w:t>2 水源地概况</w:t>
      </w:r>
      <w:bookmarkEnd w:id="39"/>
      <w:bookmarkEnd w:id="40"/>
      <w:bookmarkEnd w:id="41"/>
    </w:p>
    <w:p>
      <w:pPr>
        <w:pStyle w:val="3"/>
        <w:spacing w:before="120" w:after="0" w:line="520" w:lineRule="exact"/>
        <w:rPr>
          <w:rFonts w:ascii="Times New Roman" w:hAnsi="Times New Roman" w:eastAsia="宋体" w:cs="Times New Roman"/>
          <w:bCs w:val="0"/>
          <w:kern w:val="0"/>
          <w:szCs w:val="28"/>
        </w:rPr>
      </w:pPr>
      <w:bookmarkStart w:id="42" w:name="_Toc492740602"/>
      <w:bookmarkStart w:id="43" w:name="_Toc757"/>
      <w:bookmarkStart w:id="44" w:name="_Toc30725"/>
      <w:r>
        <w:rPr>
          <w:rFonts w:ascii="Times New Roman" w:hAnsi="Times New Roman" w:eastAsia="宋体" w:cs="Times New Roman"/>
          <w:bCs w:val="0"/>
          <w:kern w:val="0"/>
          <w:szCs w:val="28"/>
        </w:rPr>
        <w:t>2.1 水源地基本情况</w:t>
      </w:r>
      <w:bookmarkEnd w:id="42"/>
      <w:bookmarkEnd w:id="43"/>
      <w:bookmarkEnd w:id="44"/>
    </w:p>
    <w:p>
      <w:pPr>
        <w:spacing w:line="360" w:lineRule="auto"/>
        <w:ind w:firstLine="458" w:firstLineChars="200"/>
        <w:rPr>
          <w:rFonts w:cs="Times New Roman"/>
        </w:rPr>
      </w:pPr>
      <w:r>
        <w:rPr>
          <w:rFonts w:cs="Times New Roman"/>
          <w:b/>
          <w:spacing w:val="-6"/>
        </w:rPr>
        <w:t>项目名称：</w:t>
      </w:r>
      <w:r>
        <w:rPr>
          <w:rFonts w:cs="Times New Roman"/>
        </w:rPr>
        <w:t>开江县县城</w:t>
      </w:r>
      <w:r>
        <w:rPr>
          <w:rFonts w:hint="eastAsia" w:cs="Times New Roman"/>
        </w:rPr>
        <w:t>宝石桥水库</w:t>
      </w:r>
      <w:r>
        <w:rPr>
          <w:rFonts w:cs="Times New Roman"/>
        </w:rPr>
        <w:t>集中式饮用水水源保护区划分技术报告</w:t>
      </w:r>
    </w:p>
    <w:p>
      <w:pPr>
        <w:spacing w:line="360" w:lineRule="auto"/>
        <w:ind w:firstLine="458" w:firstLineChars="200"/>
        <w:rPr>
          <w:rFonts w:cs="Times New Roman"/>
          <w:spacing w:val="-6"/>
        </w:rPr>
      </w:pPr>
      <w:r>
        <w:rPr>
          <w:rFonts w:cs="Times New Roman"/>
          <w:b/>
          <w:spacing w:val="-6"/>
        </w:rPr>
        <w:t>水源地：</w:t>
      </w:r>
      <w:r>
        <w:rPr>
          <w:rFonts w:cs="Times New Roman"/>
          <w:spacing w:val="-6"/>
        </w:rPr>
        <w:t>共1个县城集中式</w:t>
      </w:r>
      <w:r>
        <w:rPr>
          <w:rFonts w:hint="eastAsia" w:cs="Times New Roman"/>
          <w:spacing w:val="-6"/>
        </w:rPr>
        <w:t>水库型</w:t>
      </w:r>
      <w:r>
        <w:rPr>
          <w:rFonts w:cs="Times New Roman"/>
          <w:spacing w:val="-6"/>
        </w:rPr>
        <w:t>水源地（宝石桥水库）。水源地基本概况见表2-1。</w:t>
      </w:r>
    </w:p>
    <w:p>
      <w:pPr>
        <w:spacing w:line="360" w:lineRule="auto"/>
        <w:ind w:firstLine="458" w:firstLineChars="200"/>
        <w:rPr>
          <w:rFonts w:cs="Times New Roman"/>
          <w:b/>
          <w:spacing w:val="-6"/>
        </w:rPr>
      </w:pPr>
      <w:r>
        <w:rPr>
          <w:rFonts w:hint="eastAsia" w:cs="Times New Roman"/>
          <w:b/>
          <w:spacing w:val="-6"/>
        </w:rPr>
        <w:t>取水口设置：</w:t>
      </w:r>
      <w:r>
        <w:rPr>
          <w:rFonts w:hint="eastAsia" w:cs="Times New Roman"/>
        </w:rPr>
        <w:t>取水口位于宝石桥水库西南侧（取水口位置不发生变化）东经107.95030832（107°57′1.1099″），纬度31.07114911（31°04′16.136796″）。</w:t>
      </w:r>
    </w:p>
    <w:p>
      <w:pPr>
        <w:adjustRightInd w:val="0"/>
        <w:snapToGrid w:val="0"/>
        <w:spacing w:line="360" w:lineRule="auto"/>
        <w:ind w:firstLine="458" w:firstLineChars="200"/>
        <w:rPr>
          <w:rFonts w:eastAsia="宋体" w:cs="Times New Roman"/>
          <w:spacing w:val="-6"/>
        </w:rPr>
      </w:pPr>
      <w:r>
        <w:rPr>
          <w:rFonts w:hint="eastAsia" w:cs="Times New Roman"/>
          <w:b/>
          <w:bCs/>
          <w:color w:val="FF0000"/>
          <w:spacing w:val="-6"/>
        </w:rPr>
        <w:t>宝石桥水库</w:t>
      </w:r>
      <w:r>
        <w:rPr>
          <w:rFonts w:cs="Times New Roman"/>
          <w:b/>
          <w:bCs/>
          <w:color w:val="FF0000"/>
          <w:spacing w:val="-6"/>
        </w:rPr>
        <w:t>水量：</w:t>
      </w:r>
      <w:r>
        <w:rPr>
          <w:rFonts w:hint="eastAsia" w:cs="Times New Roman"/>
        </w:rPr>
        <w:t>宝石水库</w:t>
      </w:r>
      <w:r>
        <w:rPr>
          <w:rFonts w:cs="Times New Roman"/>
        </w:rPr>
        <w:t>地处开江县中东部，位于渠江水系明月江上游的白岩河，发源于开江县与开县交界的毛坪附近，距开江县城18km，有柏油公路相通。</w:t>
      </w:r>
      <w:r>
        <w:rPr>
          <w:rFonts w:hint="eastAsia" w:cs="Times New Roman"/>
        </w:rPr>
        <w:t>宝石水库</w:t>
      </w:r>
      <w:r>
        <w:rPr>
          <w:rFonts w:cs="Times New Roman"/>
        </w:rPr>
        <w:t>水利是建于1958年，以灌溉为主，集城镇生活用水、发电、旅游等多功能为一体的大型水库，集雨面积162 km</w:t>
      </w:r>
      <w:r>
        <w:rPr>
          <w:rFonts w:cs="Times New Roman"/>
          <w:vertAlign w:val="superscript"/>
        </w:rPr>
        <w:t>2</w:t>
      </w:r>
      <w:r>
        <w:rPr>
          <w:rFonts w:cs="Times New Roman"/>
        </w:rPr>
        <w:t>，水域面积约8 km</w:t>
      </w:r>
      <w:r>
        <w:rPr>
          <w:rFonts w:cs="Times New Roman"/>
          <w:vertAlign w:val="superscript"/>
        </w:rPr>
        <w:t>2</w:t>
      </w:r>
      <w:r>
        <w:rPr>
          <w:rFonts w:cs="Times New Roman"/>
        </w:rPr>
        <w:t>，库岸线长153km</w:t>
      </w:r>
      <w:r>
        <w:rPr>
          <w:rFonts w:cs="Times New Roman"/>
          <w:szCs w:val="28"/>
        </w:rPr>
        <w:t>，</w:t>
      </w:r>
      <w:r>
        <w:rPr>
          <w:rFonts w:cs="Times New Roman"/>
        </w:rPr>
        <w:t>水库正常蓄水位481.94m，总库容量1.007亿m</w:t>
      </w:r>
      <w:r>
        <w:rPr>
          <w:rFonts w:cs="Times New Roman"/>
          <w:vertAlign w:val="superscript"/>
        </w:rPr>
        <w:t>3</w:t>
      </w:r>
      <w:r>
        <w:rPr>
          <w:rFonts w:cs="Times New Roman"/>
        </w:rPr>
        <w:t>，有效库容7190万m</w:t>
      </w:r>
      <w:r>
        <w:rPr>
          <w:rFonts w:cs="Times New Roman"/>
          <w:vertAlign w:val="superscript"/>
        </w:rPr>
        <w:t>3</w:t>
      </w:r>
      <w:r>
        <w:rPr>
          <w:rFonts w:cs="Times New Roman"/>
        </w:rPr>
        <w:t>，设计灌溉面积132.67km</w:t>
      </w:r>
      <w:r>
        <w:rPr>
          <w:rFonts w:cs="Times New Roman"/>
          <w:vertAlign w:val="superscript"/>
        </w:rPr>
        <w:t>2</w:t>
      </w:r>
      <w:r>
        <w:rPr>
          <w:rFonts w:cs="Times New Roman"/>
        </w:rPr>
        <w:t>，多年平均径流量9573万m</w:t>
      </w:r>
      <w:r>
        <w:rPr>
          <w:rFonts w:cs="Times New Roman"/>
          <w:vertAlign w:val="superscript"/>
        </w:rPr>
        <w:t>3</w:t>
      </w:r>
      <w:r>
        <w:rPr>
          <w:rFonts w:cs="Times New Roman"/>
        </w:rPr>
        <w:t>。库内有三条主要河流，其中沙坝河长13km，梅家河长28km，中心河长15km。</w:t>
      </w:r>
      <w:r>
        <w:rPr>
          <w:rFonts w:hint="eastAsia" w:cs="Times New Roman"/>
        </w:rPr>
        <w:t>宝石桥水库</w:t>
      </w:r>
      <w:r>
        <w:rPr>
          <w:rFonts w:cs="Times New Roman"/>
        </w:rPr>
        <w:t>供水量0.5m</w:t>
      </w:r>
      <w:r>
        <w:rPr>
          <w:rFonts w:cs="Times New Roman"/>
          <w:vertAlign w:val="superscript"/>
        </w:rPr>
        <w:t>3</w:t>
      </w:r>
      <w:r>
        <w:rPr>
          <w:rFonts w:cs="Times New Roman"/>
        </w:rPr>
        <w:t>/s，供给城镇水量为1000万t/a，用于农业灌溉的水量为2000万t/a，水库年径流深590.9mm，多年平均径流总量9573万m</w:t>
      </w:r>
      <w:r>
        <w:rPr>
          <w:rFonts w:cs="Times New Roman"/>
          <w:vertAlign w:val="superscript"/>
        </w:rPr>
        <w:t>3</w:t>
      </w:r>
      <w:r>
        <w:rPr>
          <w:rFonts w:cs="Times New Roman"/>
        </w:rPr>
        <w:t>，多年平均输沙量61.4万t。</w:t>
      </w:r>
      <w:r>
        <w:rPr>
          <w:rFonts w:cs="Times New Roman"/>
          <w:spacing w:val="-6"/>
        </w:rPr>
        <w:t>根据开江县气象局提供的证明显示，宝石桥水量满足需水量要求。</w:t>
      </w:r>
    </w:p>
    <w:p>
      <w:pPr>
        <w:pStyle w:val="3"/>
        <w:spacing w:before="120" w:after="0" w:line="520" w:lineRule="exact"/>
        <w:rPr>
          <w:rFonts w:ascii="Times New Roman" w:hAnsi="Times New Roman" w:eastAsia="宋体" w:cs="Times New Roman"/>
          <w:bCs w:val="0"/>
          <w:kern w:val="0"/>
          <w:szCs w:val="28"/>
        </w:rPr>
      </w:pPr>
      <w:bookmarkStart w:id="45" w:name="_Toc4471"/>
      <w:bookmarkStart w:id="46" w:name="_Toc19697"/>
      <w:bookmarkStart w:id="47" w:name="_Toc492740603"/>
      <w:r>
        <w:rPr>
          <w:rFonts w:ascii="Times New Roman" w:hAnsi="Times New Roman" w:eastAsia="宋体" w:cs="Times New Roman"/>
          <w:bCs w:val="0"/>
          <w:kern w:val="0"/>
          <w:szCs w:val="28"/>
        </w:rPr>
        <w:t>2.2 保护区划分情况</w:t>
      </w:r>
      <w:bookmarkEnd w:id="45"/>
      <w:bookmarkEnd w:id="46"/>
      <w:bookmarkEnd w:id="47"/>
    </w:p>
    <w:p>
      <w:pPr>
        <w:autoSpaceDE w:val="0"/>
        <w:autoSpaceDN w:val="0"/>
        <w:adjustRightInd w:val="0"/>
        <w:spacing w:line="520" w:lineRule="exact"/>
        <w:outlineLvl w:val="2"/>
        <w:rPr>
          <w:rFonts w:cs="Times New Roman"/>
          <w:b/>
          <w:kern w:val="0"/>
        </w:rPr>
      </w:pPr>
      <w:bookmarkStart w:id="48" w:name="_Toc8797"/>
      <w:bookmarkStart w:id="49" w:name="_Toc14246"/>
      <w:bookmarkStart w:id="50" w:name="_Toc23695"/>
      <w:r>
        <w:rPr>
          <w:rFonts w:cs="Times New Roman"/>
          <w:b/>
          <w:kern w:val="0"/>
        </w:rPr>
        <w:t xml:space="preserve">2.2.1  </w:t>
      </w:r>
      <w:r>
        <w:rPr>
          <w:rFonts w:hint="eastAsia" w:cs="Times New Roman"/>
          <w:b/>
          <w:kern w:val="0"/>
        </w:rPr>
        <w:t>宝石桥水库</w:t>
      </w:r>
      <w:r>
        <w:rPr>
          <w:rFonts w:cs="Times New Roman"/>
          <w:b/>
          <w:kern w:val="0"/>
        </w:rPr>
        <w:t>水源地情况简介</w:t>
      </w:r>
      <w:bookmarkEnd w:id="48"/>
      <w:bookmarkEnd w:id="49"/>
      <w:bookmarkEnd w:id="50"/>
    </w:p>
    <w:p>
      <w:pPr>
        <w:spacing w:line="360" w:lineRule="auto"/>
        <w:ind w:firstLine="480" w:firstLineChars="200"/>
        <w:jc w:val="left"/>
        <w:rPr>
          <w:rFonts w:cs="Times New Roman"/>
          <w:color w:val="000000"/>
        </w:rPr>
      </w:pPr>
      <w:r>
        <w:rPr>
          <w:rFonts w:cs="Times New Roman"/>
          <w:color w:val="000000"/>
        </w:rPr>
        <w:t>开江县</w:t>
      </w:r>
      <w:r>
        <w:rPr>
          <w:rFonts w:hint="eastAsia" w:cs="Times New Roman"/>
        </w:rPr>
        <w:t>宝石水库</w:t>
      </w:r>
      <w:r>
        <w:rPr>
          <w:rFonts w:cs="Times New Roman"/>
        </w:rPr>
        <w:t>地处开江县中东部，位于渠江水系明月江上游的白岩河，发源于开江县与开县交界的毛坪附近，距开江县城18km，有柏油公路相通。</w:t>
      </w:r>
      <w:r>
        <w:rPr>
          <w:rFonts w:hint="eastAsia" w:cs="Times New Roman"/>
        </w:rPr>
        <w:t>宝石水库</w:t>
      </w:r>
      <w:r>
        <w:rPr>
          <w:rFonts w:cs="Times New Roman"/>
        </w:rPr>
        <w:t>水利是建于1958年，以灌溉为主，集城镇生活用水、发电、旅游等多功能为一体的大型水库，集雨面积162 km</w:t>
      </w:r>
      <w:r>
        <w:rPr>
          <w:rFonts w:cs="Times New Roman"/>
          <w:vertAlign w:val="superscript"/>
        </w:rPr>
        <w:t>2</w:t>
      </w:r>
      <w:r>
        <w:rPr>
          <w:rFonts w:cs="Times New Roman"/>
        </w:rPr>
        <w:t>，水域面积约8 km</w:t>
      </w:r>
      <w:r>
        <w:rPr>
          <w:rFonts w:cs="Times New Roman"/>
          <w:vertAlign w:val="superscript"/>
        </w:rPr>
        <w:t>2</w:t>
      </w:r>
      <w:r>
        <w:rPr>
          <w:rFonts w:cs="Times New Roman"/>
        </w:rPr>
        <w:t>，库岸线长153km</w:t>
      </w:r>
      <w:r>
        <w:rPr>
          <w:rFonts w:cs="Times New Roman"/>
          <w:szCs w:val="28"/>
        </w:rPr>
        <w:t>，</w:t>
      </w:r>
      <w:r>
        <w:rPr>
          <w:rFonts w:cs="Times New Roman"/>
        </w:rPr>
        <w:t>水库正常蓄水位481.94m</w:t>
      </w:r>
      <w:r>
        <w:rPr>
          <w:rFonts w:cs="Times New Roman"/>
          <w:color w:val="000000"/>
        </w:rPr>
        <w:t>。</w:t>
      </w:r>
    </w:p>
    <w:p>
      <w:pPr>
        <w:spacing w:line="360" w:lineRule="auto"/>
        <w:ind w:firstLine="480" w:firstLineChars="200"/>
        <w:jc w:val="left"/>
        <w:rPr>
          <w:rFonts w:cs="Times New Roman"/>
          <w:color w:val="FF0000"/>
          <w:shd w:val="clear" w:color="FFFFFF" w:fill="D9D9D9"/>
        </w:rPr>
      </w:pPr>
      <w:r>
        <w:rPr>
          <w:rFonts w:cs="Times New Roman"/>
          <w:color w:val="FF0000"/>
          <w:shd w:val="clear" w:color="FFFFFF" w:fill="D9D9D9"/>
        </w:rPr>
        <w:t>该处水源地水量较为充沛，因此在取水点下游约2km处直接设置拦水坝，形成高位水池，再通过管道运输到水厂，引水管道长度约为</w:t>
      </w:r>
      <w:r>
        <w:rPr>
          <w:rFonts w:hint="eastAsia" w:cs="Times New Roman"/>
          <w:color w:val="FF0000"/>
          <w:shd w:val="clear" w:color="FFFFFF" w:fill="D9D9D9"/>
        </w:rPr>
        <w:t>3.3k</w:t>
      </w:r>
      <w:r>
        <w:rPr>
          <w:rFonts w:cs="Times New Roman"/>
          <w:color w:val="FF0000"/>
          <w:shd w:val="clear" w:color="FFFFFF" w:fill="D9D9D9"/>
        </w:rPr>
        <w:t>m。</w:t>
      </w:r>
    </w:p>
    <w:p>
      <w:pPr>
        <w:autoSpaceDE w:val="0"/>
        <w:autoSpaceDN w:val="0"/>
        <w:adjustRightInd w:val="0"/>
        <w:spacing w:line="360" w:lineRule="auto"/>
        <w:outlineLvl w:val="2"/>
        <w:rPr>
          <w:rFonts w:cs="Times New Roman"/>
          <w:b/>
          <w:kern w:val="0"/>
        </w:rPr>
      </w:pPr>
      <w:bookmarkStart w:id="51" w:name="_Toc17093"/>
      <w:bookmarkStart w:id="52" w:name="_Toc28595"/>
      <w:bookmarkStart w:id="53" w:name="_Toc1082"/>
      <w:r>
        <w:rPr>
          <w:rFonts w:cs="Times New Roman"/>
          <w:b/>
          <w:kern w:val="0"/>
        </w:rPr>
        <w:t>2.2.2  原水源地</w:t>
      </w:r>
      <w:bookmarkEnd w:id="51"/>
      <w:bookmarkEnd w:id="52"/>
      <w:r>
        <w:rPr>
          <w:rFonts w:hint="eastAsia" w:cs="Times New Roman"/>
          <w:b/>
          <w:kern w:val="0"/>
        </w:rPr>
        <w:t>划分情况</w:t>
      </w:r>
      <w:bookmarkEnd w:id="53"/>
    </w:p>
    <w:p>
      <w:pPr>
        <w:adjustRightInd w:val="0"/>
        <w:snapToGrid w:val="0"/>
        <w:spacing w:line="360" w:lineRule="auto"/>
        <w:ind w:firstLine="480" w:firstLineChars="200"/>
        <w:rPr>
          <w:rFonts w:cs="Times New Roman"/>
        </w:rPr>
      </w:pPr>
      <w:r>
        <w:rPr>
          <w:rFonts w:hint="eastAsia" w:cs="Times New Roman"/>
        </w:rPr>
        <w:t>目前为宝石桥水库为县城的主要饮用水源地。2010年取得了四川省人民政府办公厅关于城镇集中式饮用水水源地保护区划定方案的通知（川办函【2010】26号），明确该项目的取水水源保护区如下：</w:t>
      </w:r>
    </w:p>
    <w:p>
      <w:pPr>
        <w:ind w:firstLine="422" w:firstLineChars="200"/>
        <w:jc w:val="center"/>
        <w:rPr>
          <w:rFonts w:cs="Times New Roman"/>
          <w:b/>
          <w:bCs/>
          <w:spacing w:val="-6"/>
          <w:sz w:val="21"/>
          <w:szCs w:val="21"/>
        </w:rPr>
      </w:pPr>
      <w:r>
        <w:rPr>
          <w:rFonts w:cs="Times New Roman"/>
          <w:b/>
          <w:bCs/>
          <w:sz w:val="21"/>
          <w:szCs w:val="21"/>
        </w:rPr>
        <w:t>表2-1开江县</w:t>
      </w:r>
      <w:r>
        <w:rPr>
          <w:rFonts w:hint="eastAsia" w:cs="Times New Roman"/>
          <w:b/>
          <w:bCs/>
          <w:sz w:val="21"/>
          <w:szCs w:val="21"/>
        </w:rPr>
        <w:t>宝石桥水库源水源地划定情况</w:t>
      </w:r>
    </w:p>
    <w:tbl>
      <w:tblPr>
        <w:tblStyle w:val="21"/>
        <w:tblW w:w="852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7"/>
        <w:gridCol w:w="1149"/>
        <w:gridCol w:w="839"/>
        <w:gridCol w:w="754"/>
        <w:gridCol w:w="754"/>
        <w:gridCol w:w="1397"/>
        <w:gridCol w:w="1153"/>
        <w:gridCol w:w="1114"/>
        <w:gridCol w:w="10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267"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1149"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水源地名称</w:t>
            </w:r>
          </w:p>
        </w:tc>
        <w:tc>
          <w:tcPr>
            <w:tcW w:w="839"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水源地类型</w:t>
            </w:r>
          </w:p>
        </w:tc>
        <w:tc>
          <w:tcPr>
            <w:tcW w:w="754"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服务范围</w:t>
            </w:r>
          </w:p>
        </w:tc>
        <w:tc>
          <w:tcPr>
            <w:tcW w:w="754" w:type="dxa"/>
            <w:tcBorders>
              <w:tl2br w:val="nil"/>
              <w:tr2bl w:val="nil"/>
            </w:tcBorders>
            <w:vAlign w:val="center"/>
          </w:tcPr>
          <w:p>
            <w:pPr>
              <w:pStyle w:val="24"/>
              <w:jc w:val="center"/>
              <w:rPr>
                <w:rFonts w:ascii="Times New Roman" w:hAnsi="Times New Roman" w:cs="Times New Roman"/>
                <w:color w:val="auto"/>
                <w:sz w:val="21"/>
                <w:szCs w:val="21"/>
                <w:highlight w:val="red"/>
              </w:rPr>
            </w:pPr>
            <w:r>
              <w:rPr>
                <w:rFonts w:hint="eastAsia" w:ascii="Times New Roman" w:hAnsi="Times New Roman" w:cs="Times New Roman"/>
                <w:color w:val="auto"/>
                <w:sz w:val="21"/>
                <w:szCs w:val="21"/>
                <w:highlight w:val="red"/>
              </w:rPr>
              <w:t>最近核定时间</w:t>
            </w:r>
          </w:p>
        </w:tc>
        <w:tc>
          <w:tcPr>
            <w:tcW w:w="1397" w:type="dxa"/>
            <w:tcBorders>
              <w:tl2br w:val="nil"/>
              <w:tr2bl w:val="nil"/>
            </w:tcBorders>
            <w:vAlign w:val="center"/>
          </w:tcPr>
          <w:p>
            <w:pPr>
              <w:pStyle w:val="24"/>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批复单位</w:t>
            </w:r>
          </w:p>
        </w:tc>
        <w:tc>
          <w:tcPr>
            <w:tcW w:w="1153"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经度</w:t>
            </w:r>
          </w:p>
        </w:tc>
        <w:tc>
          <w:tcPr>
            <w:tcW w:w="1114"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纬度</w:t>
            </w:r>
          </w:p>
        </w:tc>
        <w:tc>
          <w:tcPr>
            <w:tcW w:w="1099" w:type="dxa"/>
            <w:tcBorders>
              <w:tl2br w:val="nil"/>
              <w:tr2bl w:val="nil"/>
            </w:tcBorders>
            <w:vAlign w:val="center"/>
          </w:tcPr>
          <w:p>
            <w:pPr>
              <w:pStyle w:val="24"/>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设计能力(万t/d)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jc w:val="center"/>
        </w:trPr>
        <w:tc>
          <w:tcPr>
            <w:tcW w:w="267"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149"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sz w:val="21"/>
                <w:szCs w:val="21"/>
              </w:rPr>
              <w:t>开江县</w:t>
            </w:r>
            <w:r>
              <w:rPr>
                <w:rFonts w:hint="eastAsia" w:ascii="Times New Roman" w:hAnsi="Times New Roman" w:cs="Times New Roman"/>
                <w:sz w:val="21"/>
                <w:szCs w:val="21"/>
              </w:rPr>
              <w:t>宝石桥水库</w:t>
            </w:r>
          </w:p>
        </w:tc>
        <w:tc>
          <w:tcPr>
            <w:tcW w:w="839" w:type="dxa"/>
            <w:tcBorders>
              <w:tl2br w:val="nil"/>
              <w:tr2bl w:val="nil"/>
            </w:tcBorders>
            <w:vAlign w:val="center"/>
          </w:tcPr>
          <w:p>
            <w:pPr>
              <w:pStyle w:val="24"/>
              <w:jc w:val="center"/>
              <w:rPr>
                <w:rFonts w:ascii="Times New Roman" w:hAnsi="Times New Roman" w:eastAsia="宋体" w:cs="Times New Roman"/>
                <w:color w:val="auto"/>
                <w:sz w:val="21"/>
                <w:szCs w:val="21"/>
              </w:rPr>
            </w:pPr>
            <w:r>
              <w:rPr>
                <w:rFonts w:hint="eastAsia" w:ascii="Times New Roman" w:hAnsi="Times New Roman" w:cs="Times New Roman"/>
                <w:color w:val="auto"/>
                <w:sz w:val="21"/>
                <w:szCs w:val="21"/>
              </w:rPr>
              <w:t>水库型</w:t>
            </w:r>
          </w:p>
        </w:tc>
        <w:tc>
          <w:tcPr>
            <w:tcW w:w="754"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开江县城</w:t>
            </w:r>
          </w:p>
        </w:tc>
        <w:tc>
          <w:tcPr>
            <w:tcW w:w="754" w:type="dxa"/>
            <w:tcBorders>
              <w:tl2br w:val="nil"/>
              <w:tr2bl w:val="nil"/>
            </w:tcBorders>
            <w:vAlign w:val="center"/>
          </w:tcPr>
          <w:p>
            <w:pPr>
              <w:pStyle w:val="24"/>
              <w:jc w:val="center"/>
              <w:rPr>
                <w:rFonts w:ascii="Times New Roman" w:hAnsi="Times New Roman" w:cs="Times New Roman"/>
                <w:color w:val="auto"/>
                <w:sz w:val="21"/>
                <w:szCs w:val="21"/>
                <w:highlight w:val="red"/>
              </w:rPr>
            </w:pPr>
            <w:r>
              <w:rPr>
                <w:rFonts w:hint="eastAsia" w:ascii="Times New Roman" w:hAnsi="Times New Roman" w:cs="Times New Roman"/>
                <w:sz w:val="21"/>
                <w:szCs w:val="21"/>
                <w:highlight w:val="red"/>
              </w:rPr>
              <w:t>2010年</w:t>
            </w:r>
          </w:p>
        </w:tc>
        <w:tc>
          <w:tcPr>
            <w:tcW w:w="1397" w:type="dxa"/>
            <w:tcBorders>
              <w:tl2br w:val="nil"/>
              <w:tr2bl w:val="nil"/>
            </w:tcBorders>
            <w:vAlign w:val="center"/>
          </w:tcPr>
          <w:p>
            <w:pPr>
              <w:widowControl/>
              <w:jc w:val="center"/>
              <w:textAlignment w:val="center"/>
              <w:rPr>
                <w:rFonts w:cs="Times New Roman"/>
                <w:color w:val="000000"/>
                <w:kern w:val="0"/>
                <w:sz w:val="21"/>
                <w:szCs w:val="21"/>
              </w:rPr>
            </w:pPr>
            <w:r>
              <w:rPr>
                <w:rFonts w:cs="Times New Roman"/>
                <w:color w:val="000000"/>
                <w:kern w:val="0"/>
                <w:sz w:val="21"/>
                <w:szCs w:val="21"/>
              </w:rPr>
              <w:t>四川省人民政府办公厅</w:t>
            </w:r>
          </w:p>
        </w:tc>
        <w:tc>
          <w:tcPr>
            <w:tcW w:w="1153" w:type="dxa"/>
            <w:tcBorders>
              <w:tl2br w:val="nil"/>
              <w:tr2bl w:val="nil"/>
            </w:tcBorders>
            <w:vAlign w:val="center"/>
          </w:tcPr>
          <w:p>
            <w:pPr>
              <w:widowControl/>
              <w:jc w:val="center"/>
              <w:textAlignment w:val="center"/>
              <w:rPr>
                <w:rFonts w:cs="Times New Roman"/>
                <w:color w:val="000000"/>
                <w:kern w:val="0"/>
                <w:sz w:val="21"/>
                <w:szCs w:val="21"/>
              </w:rPr>
            </w:pPr>
            <w:r>
              <w:rPr>
                <w:rFonts w:cs="Times New Roman"/>
                <w:color w:val="000000"/>
                <w:kern w:val="0"/>
                <w:sz w:val="21"/>
                <w:szCs w:val="21"/>
              </w:rPr>
              <w:t>107°57′1.1099″</w:t>
            </w:r>
          </w:p>
        </w:tc>
        <w:tc>
          <w:tcPr>
            <w:tcW w:w="1114" w:type="dxa"/>
            <w:tcBorders>
              <w:tl2br w:val="nil"/>
              <w:tr2bl w:val="nil"/>
            </w:tcBorders>
            <w:vAlign w:val="center"/>
          </w:tcPr>
          <w:p>
            <w:pPr>
              <w:widowControl/>
              <w:jc w:val="center"/>
              <w:textAlignment w:val="center"/>
              <w:rPr>
                <w:rFonts w:cs="Times New Roman"/>
                <w:color w:val="000000"/>
                <w:kern w:val="0"/>
                <w:sz w:val="21"/>
                <w:szCs w:val="21"/>
              </w:rPr>
            </w:pPr>
            <w:r>
              <w:rPr>
                <w:rFonts w:cs="Times New Roman"/>
                <w:color w:val="000000"/>
                <w:kern w:val="0"/>
                <w:sz w:val="21"/>
                <w:szCs w:val="21"/>
              </w:rPr>
              <w:t>N31°04′1</w:t>
            </w:r>
            <w:r>
              <w:rPr>
                <w:rFonts w:hint="eastAsia" w:cs="Times New Roman"/>
                <w:color w:val="000000"/>
                <w:kern w:val="0"/>
                <w:sz w:val="21"/>
                <w:szCs w:val="21"/>
              </w:rPr>
              <w:t>6.1368</w:t>
            </w:r>
            <w:r>
              <w:rPr>
                <w:rFonts w:cs="Times New Roman"/>
                <w:color w:val="000000"/>
                <w:kern w:val="0"/>
                <w:sz w:val="21"/>
                <w:szCs w:val="21"/>
              </w:rPr>
              <w:t>″</w:t>
            </w:r>
          </w:p>
        </w:tc>
        <w:tc>
          <w:tcPr>
            <w:tcW w:w="1099" w:type="dxa"/>
            <w:tcBorders>
              <w:tl2br w:val="nil"/>
              <w:tr2bl w:val="nil"/>
            </w:tcBorders>
            <w:vAlign w:val="center"/>
          </w:tcPr>
          <w:p>
            <w:pPr>
              <w:widowControl/>
              <w:jc w:val="center"/>
              <w:textAlignment w:val="center"/>
              <w:rPr>
                <w:rFonts w:cs="Times New Roman"/>
                <w:color w:val="000000"/>
                <w:kern w:val="0"/>
                <w:sz w:val="21"/>
                <w:szCs w:val="21"/>
              </w:rPr>
            </w:pPr>
            <w:r>
              <w:rPr>
                <w:rFonts w:hint="eastAsia" w:cs="Times New Roman"/>
                <w:color w:val="000000"/>
                <w:kern w:val="0"/>
                <w:sz w:val="21"/>
                <w:szCs w:val="21"/>
              </w:rPr>
              <w:t>16</w:t>
            </w:r>
          </w:p>
        </w:tc>
      </w:tr>
    </w:tbl>
    <w:p>
      <w:pPr>
        <w:adjustRightInd w:val="0"/>
        <w:snapToGrid w:val="0"/>
        <w:spacing w:line="360" w:lineRule="auto"/>
        <w:ind w:firstLine="720" w:firstLineChars="300"/>
        <w:rPr>
          <w:rFonts w:cs="Times New Roman"/>
        </w:rPr>
      </w:pPr>
      <w:r>
        <w:rPr>
          <w:rFonts w:hint="eastAsia" w:cs="Times New Roman"/>
        </w:rPr>
        <w:t>一级保护区：宝石水库沙坝河入河口至水库大坝水域，纵深200米范围内的陆域。</w:t>
      </w:r>
    </w:p>
    <w:p>
      <w:pPr>
        <w:adjustRightInd w:val="0"/>
        <w:snapToGrid w:val="0"/>
        <w:spacing w:line="360" w:lineRule="auto"/>
        <w:ind w:firstLine="720" w:firstLineChars="300"/>
        <w:rPr>
          <w:rFonts w:cs="Times New Roman"/>
        </w:rPr>
      </w:pPr>
      <w:r>
        <w:rPr>
          <w:rFonts w:hint="eastAsia" w:cs="Times New Roman"/>
        </w:rPr>
        <w:t>二级保护区：梅家河、中心河入口至一级保护区界的水域和流入水库的其他河流的入口上溯2500米的水域，正常蓄水线以上200米内的陆域以河岸两侧纵深各200米内的陆域。</w:t>
      </w:r>
    </w:p>
    <w:p>
      <w:pPr>
        <w:adjustRightInd w:val="0"/>
        <w:snapToGrid w:val="0"/>
        <w:spacing w:line="360" w:lineRule="auto"/>
        <w:ind w:firstLine="720" w:firstLineChars="300"/>
        <w:rPr>
          <w:rFonts w:cs="Times New Roman"/>
        </w:rPr>
      </w:pPr>
      <w:r>
        <w:rPr>
          <w:rFonts w:hint="eastAsia" w:cs="Times New Roman"/>
        </w:rPr>
        <w:t>准保护区：从二级保护区河道上界起上溯5000米的水域，河岸两侧纵深各200米内的陆域。</w:t>
      </w:r>
    </w:p>
    <w:p>
      <w:pPr>
        <w:autoSpaceDE w:val="0"/>
        <w:autoSpaceDN w:val="0"/>
        <w:adjustRightInd w:val="0"/>
        <w:spacing w:line="360" w:lineRule="auto"/>
        <w:outlineLvl w:val="2"/>
        <w:rPr>
          <w:rFonts w:cs="Times New Roman"/>
          <w:b/>
          <w:kern w:val="0"/>
        </w:rPr>
      </w:pPr>
      <w:r>
        <w:rPr>
          <w:rFonts w:hint="eastAsia" w:cs="Times New Roman"/>
        </w:rPr>
        <w:t xml:space="preserve">  </w:t>
      </w:r>
      <w:bookmarkStart w:id="54" w:name="_Toc1111"/>
      <w:r>
        <w:rPr>
          <w:rFonts w:cs="Times New Roman"/>
          <w:b/>
          <w:kern w:val="0"/>
        </w:rPr>
        <w:t>2.2.</w:t>
      </w:r>
      <w:r>
        <w:rPr>
          <w:rFonts w:hint="eastAsia" w:cs="Times New Roman"/>
          <w:b/>
          <w:kern w:val="0"/>
        </w:rPr>
        <w:t>3</w:t>
      </w:r>
      <w:r>
        <w:rPr>
          <w:rFonts w:cs="Times New Roman"/>
          <w:b/>
          <w:kern w:val="0"/>
        </w:rPr>
        <w:t xml:space="preserve">  原水源</w:t>
      </w:r>
      <w:r>
        <w:rPr>
          <w:rFonts w:hint="eastAsia" w:cs="Times New Roman"/>
          <w:b/>
          <w:kern w:val="0"/>
        </w:rPr>
        <w:t>保护区管理状况</w:t>
      </w:r>
      <w:bookmarkEnd w:id="54"/>
    </w:p>
    <w:p>
      <w:pPr>
        <w:spacing w:line="360" w:lineRule="auto"/>
        <w:ind w:firstLine="720" w:firstLineChars="300"/>
        <w:rPr>
          <w:rFonts w:eastAsia="宋体" w:cs="Times New Roman"/>
        </w:rPr>
      </w:pPr>
      <w:r>
        <w:rPr>
          <w:rFonts w:hint="eastAsia" w:eastAsia="宋体" w:cs="Times New Roman"/>
        </w:rPr>
        <w:t>开江县高度重视饮用水源管理工作，宝石桥水库</w:t>
      </w:r>
      <w:r>
        <w:rPr>
          <w:rFonts w:eastAsia="宋体" w:cs="Times New Roman"/>
        </w:rPr>
        <w:t>水源地</w:t>
      </w:r>
      <w:r>
        <w:rPr>
          <w:rFonts w:hint="eastAsia" w:eastAsia="宋体" w:cs="Times New Roman"/>
        </w:rPr>
        <w:t>已划定保护区，并设置了水源地标志标牌，成立了宝石桥水库水源地环保工作领导小组，形成了由相关部门分工协作与监督，开江县环境保护局为责任主体，开江县自来水有限责任公司进行日常管理的保护机制。</w:t>
      </w:r>
    </w:p>
    <w:p>
      <w:pPr>
        <w:spacing w:line="360" w:lineRule="auto"/>
        <w:ind w:firstLine="720" w:firstLineChars="300"/>
        <w:rPr>
          <w:rFonts w:eastAsia="宋体" w:cs="Times New Roman"/>
        </w:rPr>
      </w:pPr>
      <w:r>
        <w:rPr>
          <w:rFonts w:hint="eastAsia" w:eastAsia="宋体" w:cs="Times New Roman"/>
        </w:rPr>
        <w:t>为确保取水安全，开江县环保局每季度对水厂取水口进行例行监测，监测指标包括《地表水环境质量标准》（GB3238-2002）表1的基本项目。此外，为确保在发生突发性原水水质污染，遇高浊度源水时，能够及时有效地控制和管理公司供水厂制水生产、水质监测与控制、供水调度及信息传递等工作，确保供水水质安全可靠，开江县自来水有限责任公司制定了相应的应急取水预案。</w:t>
      </w:r>
    </w:p>
    <w:p>
      <w:pPr>
        <w:spacing w:line="360" w:lineRule="auto"/>
        <w:ind w:firstLine="720" w:firstLineChars="300"/>
        <w:rPr>
          <w:rFonts w:eastAsia="宋体" w:cs="Times New Roman"/>
        </w:rPr>
      </w:pPr>
      <w:r>
        <w:rPr>
          <w:rFonts w:hint="eastAsia" w:eastAsia="宋体" w:cs="Times New Roman"/>
        </w:rPr>
        <w:t>目前宝石桥水库水域周边设置了隔离防护措施，并在一级保护区、二级保护区边界设置了界碑，但是在保护区内有部分居民住户、部分农田、部分散养畜牧等。均位于饮用水源一级、二级保护区内。目前，一级保护区内的现有农户均为搬迁，保护区内农户所产生的生活污水、农业灌溉回归水均可能排入宝石桥水库，对宝石桥水库水质造成的影响。</w:t>
      </w:r>
    </w:p>
    <w:p>
      <w:pPr>
        <w:spacing w:line="360" w:lineRule="auto"/>
        <w:ind w:firstLine="720" w:firstLineChars="300"/>
        <w:rPr>
          <w:rFonts w:eastAsia="宋体" w:cs="Times New Roman"/>
        </w:rPr>
      </w:pPr>
      <w:r>
        <w:rPr>
          <w:rFonts w:hint="eastAsia" w:eastAsia="宋体" w:cs="Times New Roman"/>
        </w:rPr>
        <w:t>现状的具体情况见下图所示：</w:t>
      </w:r>
    </w:p>
    <w:p>
      <w:pPr>
        <w:spacing w:line="360" w:lineRule="auto"/>
        <w:rPr>
          <w:rFonts w:eastAsia="宋体" w:cs="Times New Roman"/>
        </w:rPr>
      </w:pPr>
      <w:r>
        <w:rPr>
          <w:rFonts w:hint="eastAsia" w:eastAsia="宋体" w:cs="Times New Roman"/>
        </w:rPr>
        <w:drawing>
          <wp:inline distT="0" distB="0" distL="114300" distR="114300">
            <wp:extent cx="2763520" cy="2580005"/>
            <wp:effectExtent l="0" t="0" r="10795" b="17780"/>
            <wp:docPr id="1" name="图片 1" descr="1A7FEEA6230FC2A6A02FFD7BAA56A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A7FEEA6230FC2A6A02FFD7BAA56AAD0"/>
                    <pic:cNvPicPr>
                      <a:picLocks noChangeAspect="1"/>
                    </pic:cNvPicPr>
                  </pic:nvPicPr>
                  <pic:blipFill>
                    <a:blip r:embed="rId7"/>
                    <a:stretch>
                      <a:fillRect/>
                    </a:stretch>
                  </pic:blipFill>
                  <pic:spPr>
                    <a:xfrm rot="5400000">
                      <a:off x="0" y="0"/>
                      <a:ext cx="2763520" cy="2580005"/>
                    </a:xfrm>
                    <a:prstGeom prst="rect">
                      <a:avLst/>
                    </a:prstGeom>
                  </pic:spPr>
                </pic:pic>
              </a:graphicData>
            </a:graphic>
          </wp:inline>
        </w:drawing>
      </w:r>
      <w:r>
        <w:rPr>
          <w:rFonts w:hint="eastAsia" w:eastAsia="宋体" w:cs="Times New Roman"/>
        </w:rPr>
        <w:t xml:space="preserve">  </w:t>
      </w:r>
      <w:r>
        <w:rPr>
          <w:rFonts w:hint="eastAsia" w:eastAsia="宋体" w:cs="Times New Roman"/>
        </w:rPr>
        <w:drawing>
          <wp:inline distT="0" distB="0" distL="114300" distR="114300">
            <wp:extent cx="2736215" cy="2457450"/>
            <wp:effectExtent l="0" t="0" r="0" b="6985"/>
            <wp:docPr id="2" name="图片 2" descr="05DF5A0E5150E86DAE9EF94927BE8B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5DF5A0E5150E86DAE9EF94927BE8B23"/>
                    <pic:cNvPicPr>
                      <a:picLocks noChangeAspect="1"/>
                    </pic:cNvPicPr>
                  </pic:nvPicPr>
                  <pic:blipFill>
                    <a:blip r:embed="rId8"/>
                    <a:stretch>
                      <a:fillRect/>
                    </a:stretch>
                  </pic:blipFill>
                  <pic:spPr>
                    <a:xfrm rot="5400000">
                      <a:off x="0" y="0"/>
                      <a:ext cx="2736215" cy="2457450"/>
                    </a:xfrm>
                    <a:prstGeom prst="rect">
                      <a:avLst/>
                    </a:prstGeom>
                  </pic:spPr>
                </pic:pic>
              </a:graphicData>
            </a:graphic>
          </wp:inline>
        </w:drawing>
      </w:r>
    </w:p>
    <w:p>
      <w:pPr>
        <w:spacing w:line="360" w:lineRule="auto"/>
        <w:ind w:firstLine="1050" w:firstLineChars="500"/>
        <w:rPr>
          <w:rFonts w:eastAsia="宋体" w:cs="Times New Roman"/>
          <w:sz w:val="21"/>
          <w:szCs w:val="21"/>
        </w:rPr>
      </w:pPr>
      <w:r>
        <w:rPr>
          <w:rFonts w:hint="eastAsia" w:eastAsia="宋体" w:cs="Times New Roman"/>
          <w:sz w:val="21"/>
          <w:szCs w:val="21"/>
        </w:rPr>
        <w:t>保护区界碑及隔离防护措施                        取水口构筑物</w:t>
      </w:r>
    </w:p>
    <w:p>
      <w:pPr>
        <w:spacing w:line="360" w:lineRule="auto"/>
        <w:rPr>
          <w:rFonts w:eastAsia="宋体" w:cs="Times New Roman"/>
          <w:sz w:val="21"/>
          <w:szCs w:val="21"/>
        </w:rPr>
      </w:pPr>
      <w:r>
        <w:rPr>
          <w:rFonts w:hint="eastAsia" w:eastAsia="宋体" w:cs="Times New Roman"/>
          <w:sz w:val="21"/>
          <w:szCs w:val="21"/>
        </w:rPr>
        <w:t xml:space="preserve"> </w:t>
      </w:r>
      <w:r>
        <w:rPr>
          <w:rFonts w:hint="eastAsia" w:eastAsia="宋体" w:cs="Times New Roman"/>
          <w:sz w:val="21"/>
          <w:szCs w:val="21"/>
        </w:rPr>
        <w:drawing>
          <wp:inline distT="0" distB="0" distL="114300" distR="114300">
            <wp:extent cx="2525395" cy="2097405"/>
            <wp:effectExtent l="0" t="0" r="8255" b="17145"/>
            <wp:docPr id="5" name="图片 5" descr="2BB92F90E9D80C9E48A19045ECDC7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BB92F90E9D80C9E48A19045ECDC735E"/>
                    <pic:cNvPicPr>
                      <a:picLocks noChangeAspect="1"/>
                    </pic:cNvPicPr>
                  </pic:nvPicPr>
                  <pic:blipFill>
                    <a:blip r:embed="rId9"/>
                    <a:stretch>
                      <a:fillRect/>
                    </a:stretch>
                  </pic:blipFill>
                  <pic:spPr>
                    <a:xfrm>
                      <a:off x="0" y="0"/>
                      <a:ext cx="2525395" cy="2097405"/>
                    </a:xfrm>
                    <a:prstGeom prst="rect">
                      <a:avLst/>
                    </a:prstGeom>
                  </pic:spPr>
                </pic:pic>
              </a:graphicData>
            </a:graphic>
          </wp:inline>
        </w:drawing>
      </w:r>
      <w:r>
        <w:rPr>
          <w:rFonts w:hint="eastAsia" w:eastAsia="宋体" w:cs="Times New Roman"/>
          <w:sz w:val="21"/>
          <w:szCs w:val="21"/>
        </w:rPr>
        <w:t xml:space="preserve">   </w:t>
      </w:r>
      <w:r>
        <w:rPr>
          <w:rFonts w:hint="eastAsia" w:eastAsia="宋体" w:cs="Times New Roman"/>
          <w:sz w:val="21"/>
          <w:szCs w:val="21"/>
        </w:rPr>
        <w:drawing>
          <wp:inline distT="0" distB="0" distL="114300" distR="114300">
            <wp:extent cx="2143760" cy="2282190"/>
            <wp:effectExtent l="0" t="0" r="3810" b="8890"/>
            <wp:docPr id="6" name="图片 6" descr="F9724C6E83FE006517FC450D9B4F2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9724C6E83FE006517FC450D9B4F28CF"/>
                    <pic:cNvPicPr>
                      <a:picLocks noChangeAspect="1"/>
                    </pic:cNvPicPr>
                  </pic:nvPicPr>
                  <pic:blipFill>
                    <a:blip r:embed="rId10"/>
                    <a:stretch>
                      <a:fillRect/>
                    </a:stretch>
                  </pic:blipFill>
                  <pic:spPr>
                    <a:xfrm rot="5400000">
                      <a:off x="0" y="0"/>
                      <a:ext cx="2143760" cy="2282190"/>
                    </a:xfrm>
                    <a:prstGeom prst="rect">
                      <a:avLst/>
                    </a:prstGeom>
                  </pic:spPr>
                </pic:pic>
              </a:graphicData>
            </a:graphic>
          </wp:inline>
        </w:drawing>
      </w:r>
    </w:p>
    <w:p>
      <w:pPr>
        <w:spacing w:line="360" w:lineRule="auto"/>
        <w:ind w:firstLine="1260" w:firstLineChars="600"/>
        <w:rPr>
          <w:rFonts w:eastAsia="宋体" w:cs="Times New Roman"/>
          <w:sz w:val="21"/>
          <w:szCs w:val="21"/>
        </w:rPr>
      </w:pPr>
      <w:r>
        <w:rPr>
          <w:rFonts w:hint="eastAsia" w:eastAsia="宋体" w:cs="Times New Roman"/>
          <w:sz w:val="21"/>
          <w:szCs w:val="21"/>
        </w:rPr>
        <w:t>保护区终点大坝位置                        保护区警示牌</w:t>
      </w:r>
    </w:p>
    <w:p>
      <w:pPr>
        <w:spacing w:line="360" w:lineRule="auto"/>
        <w:rPr>
          <w:rFonts w:eastAsia="宋体" w:cs="Times New Roman"/>
          <w:sz w:val="21"/>
          <w:szCs w:val="21"/>
        </w:rPr>
      </w:pPr>
      <w:r>
        <w:rPr>
          <w:sz w:val="21"/>
        </w:rPr>
        <mc:AlternateContent>
          <mc:Choice Requires="wps">
            <w:drawing>
              <wp:anchor distT="0" distB="0" distL="114300" distR="114300" simplePos="0" relativeHeight="251667456" behindDoc="0" locked="0" layoutInCell="1" allowOverlap="1">
                <wp:simplePos x="0" y="0"/>
                <wp:positionH relativeFrom="column">
                  <wp:posOffset>3009265</wp:posOffset>
                </wp:positionH>
                <wp:positionV relativeFrom="paragraph">
                  <wp:posOffset>2086610</wp:posOffset>
                </wp:positionV>
                <wp:extent cx="2478405" cy="28194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2478405" cy="281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sz w:val="21"/>
                                <w:szCs w:val="21"/>
                              </w:rPr>
                            </w:pPr>
                            <w:r>
                              <w:rPr>
                                <w:rFonts w:hint="eastAsia"/>
                                <w:sz w:val="21"/>
                                <w:szCs w:val="21"/>
                              </w:rPr>
                              <w:t>一级保护区内现有居民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95pt;margin-top:164.3pt;height:22.2pt;width:195.15pt;z-index:251667456;mso-width-relative:page;mso-height-relative:page;" filled="f" stroked="f" coordsize="21600,21600" o:gfxdata="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TDDyTcAAAACwEAAA8AAAAAAAAAAQAgAAAAIgAAAGRycy9kb3ducmV2LnhtbFBLAQIUABQAAAAI&#10;AIdO4kA2R7NQIgIAABoEAAAOAAAAAAAAAAEAIAAAACsBAABkcnMvZTJvRG9jLnhtbFBLBQYAAAAA&#10;BgAGAFkBAAC/BQAAAAA=&#10;">
                <v:fill on="f" focussize="0,0"/>
                <v:stroke on="f" weight="0.5pt"/>
                <v:imagedata o:title=""/>
                <o:lock v:ext="edit" aspectratio="f"/>
                <v:textbox>
                  <w:txbxContent>
                    <w:p>
                      <w:pPr>
                        <w:ind w:firstLine="420" w:firstLineChars="200"/>
                        <w:rPr>
                          <w:sz w:val="21"/>
                          <w:szCs w:val="21"/>
                        </w:rPr>
                      </w:pPr>
                      <w:r>
                        <w:rPr>
                          <w:rFonts w:hint="eastAsia"/>
                          <w:sz w:val="21"/>
                          <w:szCs w:val="21"/>
                        </w:rPr>
                        <w:t>一级保护区内现有居民</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629285</wp:posOffset>
                </wp:positionH>
                <wp:positionV relativeFrom="paragraph">
                  <wp:posOffset>2095500</wp:posOffset>
                </wp:positionV>
                <wp:extent cx="2478405" cy="281940"/>
                <wp:effectExtent l="0" t="0" r="0" b="0"/>
                <wp:wrapNone/>
                <wp:docPr id="38" name="文本框 38"/>
                <wp:cNvGraphicFramePr/>
                <a:graphic xmlns:a="http://schemas.openxmlformats.org/drawingml/2006/main">
                  <a:graphicData uri="http://schemas.microsoft.com/office/word/2010/wordprocessingShape">
                    <wps:wsp>
                      <wps:cNvSpPr txBox="1"/>
                      <wps:spPr>
                        <a:xfrm>
                          <a:off x="1515745" y="9577705"/>
                          <a:ext cx="2478405" cy="281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sz w:val="21"/>
                                <w:szCs w:val="21"/>
                              </w:rPr>
                              <w:t>水源现状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5pt;margin-top:165pt;height:22.2pt;width:195.15pt;z-index:251662336;mso-width-relative:page;mso-height-relative:page;" filled="f" stroked="f" coordsize="21600,21600" o:gfxdata="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44MZq9sAAAAKAQAADwAAAAAAAAABACAAAAAiAAAAZHJzL2Rvd25yZXYueG1s&#10;UEsBAhQAFAAAAAgAh07iQESWLAYuAgAAJgQAAA4AAAAAAAAAAQAgAAAAKgEAAGRycy9lMm9Eb2Mu&#10;eG1sUEsFBgAAAAAGAAYAWQEAAMoFAAAAAA==&#10;">
                <v:fill on="f" focussize="0,0"/>
                <v:stroke on="f" weight="0.5pt"/>
                <v:imagedata o:title=""/>
                <o:lock v:ext="edit" aspectratio="f"/>
                <v:textbox>
                  <w:txbxContent>
                    <w:p>
                      <w:pPr>
                        <w:rPr>
                          <w:sz w:val="21"/>
                          <w:szCs w:val="21"/>
                        </w:rPr>
                      </w:pPr>
                      <w:r>
                        <w:rPr>
                          <w:rFonts w:hint="eastAsia"/>
                          <w:sz w:val="21"/>
                          <w:szCs w:val="21"/>
                        </w:rPr>
                        <w:t>水源现状</w:t>
                      </w:r>
                    </w:p>
                  </w:txbxContent>
                </v:textbox>
              </v:shape>
            </w:pict>
          </mc:Fallback>
        </mc:AlternateContent>
      </w:r>
      <w:r>
        <w:rPr>
          <w:rFonts w:hint="eastAsia" w:eastAsia="宋体" w:cs="Times New Roman"/>
          <w:sz w:val="21"/>
          <w:szCs w:val="21"/>
        </w:rPr>
        <w:drawing>
          <wp:inline distT="0" distB="0" distL="114300" distR="114300">
            <wp:extent cx="2581275" cy="1934845"/>
            <wp:effectExtent l="0" t="0" r="9525" b="8255"/>
            <wp:docPr id="7" name="图片 7" descr="0799B84CD6CC3167BA85AC024AFA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799B84CD6CC3167BA85AC024AFA9012"/>
                    <pic:cNvPicPr>
                      <a:picLocks noChangeAspect="1"/>
                    </pic:cNvPicPr>
                  </pic:nvPicPr>
                  <pic:blipFill>
                    <a:blip r:embed="rId11"/>
                    <a:stretch>
                      <a:fillRect/>
                    </a:stretch>
                  </pic:blipFill>
                  <pic:spPr>
                    <a:xfrm>
                      <a:off x="0" y="0"/>
                      <a:ext cx="2581275" cy="1934845"/>
                    </a:xfrm>
                    <a:prstGeom prst="rect">
                      <a:avLst/>
                    </a:prstGeom>
                  </pic:spPr>
                </pic:pic>
              </a:graphicData>
            </a:graphic>
          </wp:inline>
        </w:drawing>
      </w:r>
      <w:r>
        <w:rPr>
          <w:rFonts w:hint="eastAsia" w:eastAsia="宋体" w:cs="Times New Roman"/>
          <w:sz w:val="21"/>
          <w:szCs w:val="21"/>
        </w:rPr>
        <w:t xml:space="preserve">   </w:t>
      </w:r>
      <w:r>
        <w:rPr>
          <w:rFonts w:hint="eastAsia" w:eastAsia="宋体" w:cs="Times New Roman"/>
          <w:sz w:val="21"/>
          <w:szCs w:val="21"/>
        </w:rPr>
        <w:drawing>
          <wp:inline distT="0" distB="0" distL="114300" distR="114300">
            <wp:extent cx="1991995" cy="2456180"/>
            <wp:effectExtent l="0" t="0" r="1270" b="8255"/>
            <wp:docPr id="37" name="图片 37" descr="93322B99B333BC81195C9B0300DCF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93322B99B333BC81195C9B0300DCF412"/>
                    <pic:cNvPicPr>
                      <a:picLocks noChangeAspect="1"/>
                    </pic:cNvPicPr>
                  </pic:nvPicPr>
                  <pic:blipFill>
                    <a:blip r:embed="rId12"/>
                    <a:stretch>
                      <a:fillRect/>
                    </a:stretch>
                  </pic:blipFill>
                  <pic:spPr>
                    <a:xfrm rot="5400000">
                      <a:off x="0" y="0"/>
                      <a:ext cx="1991995" cy="2456180"/>
                    </a:xfrm>
                    <a:prstGeom prst="rect">
                      <a:avLst/>
                    </a:prstGeom>
                  </pic:spPr>
                </pic:pic>
              </a:graphicData>
            </a:graphic>
          </wp:inline>
        </w:drawing>
      </w:r>
    </w:p>
    <w:p>
      <w:pPr>
        <w:pStyle w:val="3"/>
        <w:spacing w:before="120" w:after="0" w:line="520" w:lineRule="exact"/>
        <w:rPr>
          <w:rFonts w:ascii="Times New Roman" w:hAnsi="Times New Roman" w:eastAsia="宋体" w:cs="Times New Roman"/>
          <w:bCs w:val="0"/>
          <w:kern w:val="0"/>
          <w:szCs w:val="28"/>
        </w:rPr>
      </w:pPr>
      <w:bookmarkStart w:id="55" w:name="_Toc10254"/>
      <w:bookmarkStart w:id="56" w:name="_Toc492740604"/>
      <w:bookmarkStart w:id="57" w:name="_Toc28325"/>
      <w:r>
        <w:rPr>
          <w:rFonts w:ascii="Times New Roman" w:hAnsi="Times New Roman" w:eastAsia="宋体" w:cs="Times New Roman"/>
          <w:bCs w:val="0"/>
          <w:kern w:val="0"/>
          <w:szCs w:val="28"/>
        </w:rPr>
        <w:t>2.3 水质状况</w:t>
      </w:r>
      <w:bookmarkEnd w:id="55"/>
      <w:bookmarkEnd w:id="56"/>
      <w:bookmarkEnd w:id="57"/>
    </w:p>
    <w:p>
      <w:pPr>
        <w:autoSpaceDE w:val="0"/>
        <w:autoSpaceDN w:val="0"/>
        <w:adjustRightInd w:val="0"/>
        <w:spacing w:line="360" w:lineRule="auto"/>
        <w:jc w:val="left"/>
        <w:outlineLvl w:val="2"/>
        <w:rPr>
          <w:rFonts w:cs="Times New Roman"/>
          <w:b/>
          <w:kern w:val="0"/>
        </w:rPr>
      </w:pPr>
      <w:bookmarkStart w:id="58" w:name="_Toc22212"/>
      <w:bookmarkStart w:id="59" w:name="_Toc9889"/>
      <w:bookmarkStart w:id="60" w:name="_Toc23359"/>
      <w:r>
        <w:rPr>
          <w:rFonts w:cs="Times New Roman"/>
          <w:b/>
          <w:kern w:val="0"/>
        </w:rPr>
        <w:t>2.3.1  评价方法</w:t>
      </w:r>
      <w:bookmarkEnd w:id="58"/>
      <w:bookmarkEnd w:id="59"/>
      <w:bookmarkEnd w:id="60"/>
    </w:p>
    <w:p>
      <w:pPr>
        <w:spacing w:line="520" w:lineRule="exact"/>
        <w:ind w:firstLine="456" w:firstLineChars="200"/>
        <w:rPr>
          <w:rFonts w:cs="Times New Roman"/>
          <w:spacing w:val="-6"/>
        </w:rPr>
      </w:pPr>
      <w:r>
        <w:rPr>
          <w:rFonts w:cs="Times New Roman"/>
          <w:spacing w:val="-6"/>
        </w:rPr>
        <w:t>水源地以《地表水环境质量标准》（GB3838-2002</w:t>
      </w:r>
      <w:r>
        <w:rPr>
          <w:rFonts w:cs="Times New Roman"/>
          <w:spacing w:val="-6"/>
          <w:highlight w:val="red"/>
        </w:rPr>
        <w:t>）</w:t>
      </w:r>
      <w:r>
        <w:rPr>
          <w:rFonts w:cs="Times New Roman"/>
          <w:spacing w:val="-6"/>
          <w:highlight w:val="red"/>
        </w:rPr>
        <w:fldChar w:fldCharType="begin"/>
      </w:r>
      <w:r>
        <w:rPr>
          <w:rFonts w:cs="Times New Roman"/>
          <w:spacing w:val="-6"/>
          <w:highlight w:val="red"/>
        </w:rPr>
        <w:instrText xml:space="preserve"> = 2 \* ROMAN \* MERGEFORMAT </w:instrText>
      </w:r>
      <w:r>
        <w:rPr>
          <w:rFonts w:cs="Times New Roman"/>
          <w:spacing w:val="-6"/>
          <w:highlight w:val="red"/>
        </w:rPr>
        <w:fldChar w:fldCharType="separate"/>
      </w:r>
      <w:r>
        <w:rPr>
          <w:rFonts w:cs="Times New Roman"/>
          <w:highlight w:val="red"/>
        </w:rPr>
        <w:t>II</w:t>
      </w:r>
      <w:r>
        <w:rPr>
          <w:rFonts w:cs="Times New Roman"/>
          <w:spacing w:val="-6"/>
          <w:highlight w:val="red"/>
        </w:rPr>
        <w:fldChar w:fldCharType="end"/>
      </w:r>
      <w:r>
        <w:rPr>
          <w:rFonts w:cs="Times New Roman"/>
          <w:spacing w:val="-6"/>
          <w:highlight w:val="red"/>
        </w:rPr>
        <w:t>类水</w:t>
      </w:r>
      <w:r>
        <w:rPr>
          <w:rFonts w:cs="Times New Roman"/>
          <w:spacing w:val="-6"/>
        </w:rPr>
        <w:t>质指标为达标限值。采用单因子评价法对地下水水质状况进行评价，具体计算方法如下：</w:t>
      </w:r>
    </w:p>
    <w:p>
      <w:pPr>
        <w:spacing w:line="520" w:lineRule="exact"/>
        <w:ind w:firstLine="400" w:firstLineChars="200"/>
        <w:rPr>
          <w:rFonts w:cs="Times New Roman"/>
          <w:spacing w:val="-6"/>
        </w:rPr>
      </w:pPr>
      <w:r>
        <w:rPr>
          <w:rFonts w:cs="Times New Roman"/>
          <w:sz w:val="20"/>
          <w:szCs w:val="22"/>
        </w:rPr>
        <w:pict>
          <v:shape id="对象 25" o:spid="_x0000_s1026" o:spt="75" type="#_x0000_t75" style="position:absolute;left:0pt;margin-left:185.35pt;margin-top:10.7pt;height:36.95pt;width:46.05pt;mso-wrap-distance-bottom:0pt;mso-wrap-distance-left:9pt;mso-wrap-distance-right:9pt;mso-wrap-distance-top:0pt;z-index:251661312;mso-width-relative:page;mso-height-relative:page;" o:ole="t" filled="f" o:preferrelative="t" stroked="f" coordsize="21600,21600">
            <v:path/>
            <v:fill on="f" focussize="0,0"/>
            <v:stroke on="f" joinstyle="miter"/>
            <v:imagedata r:id="rId14" o:title=""/>
            <o:lock v:ext="edit" aspectratio="t"/>
            <w10:wrap type="square"/>
          </v:shape>
          <o:OLEObject Type="Embed" ProgID="Equation.3" ShapeID="对象 25" DrawAspect="Content" ObjectID="_1468075725" r:id="rId13">
            <o:LockedField>false</o:LockedField>
          </o:OLEObject>
        </w:pict>
      </w:r>
    </w:p>
    <w:p>
      <w:pPr>
        <w:spacing w:line="520" w:lineRule="exact"/>
        <w:ind w:firstLine="456" w:firstLineChars="200"/>
        <w:rPr>
          <w:rFonts w:cs="Times New Roman"/>
          <w:spacing w:val="-6"/>
        </w:rPr>
      </w:pPr>
    </w:p>
    <w:p>
      <w:pPr>
        <w:spacing w:line="520" w:lineRule="exact"/>
        <w:ind w:firstLine="456" w:firstLineChars="200"/>
        <w:rPr>
          <w:rFonts w:cs="Times New Roman"/>
          <w:spacing w:val="-6"/>
        </w:rPr>
      </w:pPr>
      <w:r>
        <w:rPr>
          <w:rFonts w:cs="Times New Roman"/>
          <w:spacing w:val="-6"/>
        </w:rPr>
        <w:t>式中：S</w:t>
      </w:r>
      <w:r>
        <w:rPr>
          <w:rFonts w:cs="Times New Roman"/>
          <w:spacing w:val="-6"/>
          <w:vertAlign w:val="subscript"/>
        </w:rPr>
        <w:t>ij</w:t>
      </w:r>
      <w:r>
        <w:rPr>
          <w:rFonts w:cs="Times New Roman"/>
          <w:spacing w:val="-6"/>
        </w:rPr>
        <w:t>——i污染物在监测点j的单因子指数；</w:t>
      </w:r>
    </w:p>
    <w:p>
      <w:pPr>
        <w:spacing w:line="520" w:lineRule="exact"/>
        <w:ind w:firstLine="456" w:firstLineChars="200"/>
        <w:rPr>
          <w:rFonts w:cs="Times New Roman"/>
          <w:spacing w:val="-6"/>
        </w:rPr>
      </w:pPr>
      <w:r>
        <w:rPr>
          <w:rFonts w:cs="Times New Roman"/>
          <w:spacing w:val="-6"/>
        </w:rPr>
        <w:t xml:space="preserve">       C</w:t>
      </w:r>
      <w:r>
        <w:rPr>
          <w:rFonts w:cs="Times New Roman"/>
          <w:spacing w:val="-6"/>
          <w:vertAlign w:val="subscript"/>
        </w:rPr>
        <w:t>ij</w:t>
      </w:r>
      <w:r>
        <w:rPr>
          <w:rFonts w:cs="Times New Roman"/>
          <w:spacing w:val="-6"/>
        </w:rPr>
        <w:t>——i污染物在监测点j的地表水浓度值，（mg/L）；</w:t>
      </w:r>
    </w:p>
    <w:p>
      <w:pPr>
        <w:spacing w:line="520" w:lineRule="exact"/>
        <w:ind w:firstLine="456" w:firstLineChars="200"/>
        <w:rPr>
          <w:rFonts w:cs="Times New Roman"/>
          <w:spacing w:val="-6"/>
        </w:rPr>
      </w:pPr>
      <w:r>
        <w:rPr>
          <w:rFonts w:cs="Times New Roman"/>
          <w:spacing w:val="-6"/>
        </w:rPr>
        <w:t xml:space="preserve">       C</w:t>
      </w:r>
      <w:r>
        <w:rPr>
          <w:rFonts w:cs="Times New Roman"/>
          <w:spacing w:val="-6"/>
          <w:vertAlign w:val="subscript"/>
        </w:rPr>
        <w:t>si</w:t>
      </w:r>
      <w:r>
        <w:rPr>
          <w:rFonts w:cs="Times New Roman"/>
          <w:spacing w:val="-6"/>
        </w:rPr>
        <w:t>——i污染物的地表水环境质量标准值，（mg/L）。</w:t>
      </w:r>
    </w:p>
    <w:p>
      <w:pPr>
        <w:spacing w:line="520" w:lineRule="exact"/>
        <w:ind w:firstLine="456" w:firstLineChars="200"/>
        <w:rPr>
          <w:rFonts w:cs="Times New Roman"/>
          <w:spacing w:val="-6"/>
          <w:sz w:val="28"/>
          <w:szCs w:val="28"/>
        </w:rPr>
      </w:pPr>
      <w:r>
        <w:rPr>
          <w:rFonts w:cs="Times New Roman"/>
          <w:spacing w:val="-6"/>
        </w:rPr>
        <w:t>pH的单因子指数公式：</w:t>
      </w:r>
    </w:p>
    <w:p>
      <w:pPr>
        <w:spacing w:line="520" w:lineRule="exact"/>
        <w:ind w:firstLine="5145" w:firstLineChars="2450"/>
        <w:rPr>
          <w:rFonts w:cs="Times New Roman"/>
          <w:spacing w:val="-6"/>
          <w:sz w:val="28"/>
          <w:szCs w:val="28"/>
        </w:rPr>
      </w:pPr>
      <w:r>
        <w:rPr>
          <w:rFonts w:cs="Times New Roman"/>
          <w:sz w:val="21"/>
        </w:rPr>
        <w:pict>
          <v:shape id="对象 22" o:spid="_x0000_s1027" o:spt="75" type="#_x0000_t75" style="position:absolute;left:0pt;margin-left:163.6pt;margin-top:1.95pt;height:34.35pt;width:87.05pt;z-index:251658240;mso-width-relative:page;mso-height-relative:page;" o:ole="t" filled="f" o:preferrelative="t" stroked="f" coordsize="21600,21600">
            <v:path/>
            <v:fill on="f" focussize="0,0"/>
            <v:stroke on="f" joinstyle="miter"/>
            <v:imagedata r:id="rId16" o:title=""/>
            <o:lock v:ext="edit" aspectratio="t"/>
          </v:shape>
          <o:OLEObject Type="Embed" ProgID="Equation.3" ShapeID="对象 22" DrawAspect="Content" ObjectID="_1468075726" r:id="rId15">
            <o:LockedField>false</o:LockedField>
          </o:OLEObject>
        </w:pict>
      </w:r>
      <w:r>
        <w:rPr>
          <w:rFonts w:cs="Times New Roman"/>
          <w:spacing w:val="-6"/>
          <w:sz w:val="28"/>
          <w:szCs w:val="28"/>
        </w:rPr>
        <w:t xml:space="preserve">  (pH</w:t>
      </w:r>
      <w:r>
        <w:rPr>
          <w:rFonts w:cs="Times New Roman"/>
          <w:spacing w:val="-6"/>
          <w:sz w:val="28"/>
          <w:szCs w:val="28"/>
          <w:vertAlign w:val="subscript"/>
        </w:rPr>
        <w:t>j</w:t>
      </w:r>
      <w:r>
        <w:rPr>
          <w:rFonts w:cs="Times New Roman"/>
          <w:spacing w:val="-6"/>
          <w:sz w:val="28"/>
          <w:szCs w:val="28"/>
        </w:rPr>
        <w:t>≤7.0)</w:t>
      </w:r>
    </w:p>
    <w:p>
      <w:pPr>
        <w:spacing w:line="520" w:lineRule="exact"/>
        <w:ind w:firstLine="3885" w:firstLineChars="1850"/>
        <w:rPr>
          <w:rFonts w:cs="Times New Roman"/>
          <w:spacing w:val="-6"/>
          <w:sz w:val="28"/>
          <w:szCs w:val="28"/>
        </w:rPr>
      </w:pPr>
      <w:r>
        <w:rPr>
          <w:rFonts w:cs="Times New Roman"/>
          <w:sz w:val="21"/>
        </w:rPr>
        <w:pict>
          <v:shape id="对象 23" o:spid="_x0000_s1028" o:spt="75" type="#_x0000_t75" style="position:absolute;left:0pt;margin-left:163.6pt;margin-top:24pt;height:34.35pt;width:87.05pt;z-index:251659264;mso-width-relative:page;mso-height-relative:page;" o:ole="t" filled="f" o:preferrelative="t" stroked="f" coordsize="21600,21600">
            <v:path/>
            <v:fill on="f" focussize="0,0"/>
            <v:stroke on="f" joinstyle="miter"/>
            <v:imagedata r:id="rId18" o:title=""/>
            <o:lock v:ext="edit" aspectratio="t"/>
          </v:shape>
          <o:OLEObject Type="Embed" ProgID="Equation.3" ShapeID="对象 23" DrawAspect="Content" ObjectID="_1468075727" r:id="rId17">
            <o:LockedField>false</o:LockedField>
          </o:OLEObject>
        </w:pict>
      </w:r>
    </w:p>
    <w:p>
      <w:pPr>
        <w:spacing w:line="520" w:lineRule="exact"/>
        <w:ind w:firstLine="536" w:firstLineChars="200"/>
        <w:rPr>
          <w:rFonts w:cs="Times New Roman"/>
          <w:spacing w:val="-6"/>
          <w:sz w:val="28"/>
          <w:szCs w:val="28"/>
        </w:rPr>
      </w:pPr>
      <w:r>
        <w:rPr>
          <w:rFonts w:cs="Times New Roman"/>
          <w:spacing w:val="-6"/>
          <w:sz w:val="28"/>
          <w:szCs w:val="28"/>
        </w:rPr>
        <w:t xml:space="preserve">                                      (pH</w:t>
      </w:r>
      <w:r>
        <w:rPr>
          <w:rFonts w:cs="Times New Roman"/>
          <w:spacing w:val="-6"/>
          <w:sz w:val="28"/>
          <w:szCs w:val="28"/>
          <w:vertAlign w:val="subscript"/>
        </w:rPr>
        <w:t>j</w:t>
      </w:r>
      <w:r>
        <w:rPr>
          <w:rFonts w:cs="Times New Roman"/>
          <w:spacing w:val="-6"/>
          <w:sz w:val="28"/>
          <w:szCs w:val="28"/>
        </w:rPr>
        <w:t>＞7.0)</w:t>
      </w:r>
    </w:p>
    <w:p>
      <w:pPr>
        <w:ind w:firstLine="376" w:firstLineChars="200"/>
        <w:rPr>
          <w:rFonts w:cs="Times New Roman"/>
          <w:spacing w:val="-6"/>
          <w:sz w:val="20"/>
          <w:szCs w:val="28"/>
        </w:rPr>
      </w:pPr>
    </w:p>
    <w:p>
      <w:pPr>
        <w:spacing w:line="520" w:lineRule="exact"/>
        <w:ind w:firstLine="456" w:firstLineChars="200"/>
        <w:rPr>
          <w:rFonts w:cs="Times New Roman"/>
          <w:spacing w:val="-6"/>
        </w:rPr>
      </w:pPr>
      <w:r>
        <w:rPr>
          <w:rFonts w:cs="Times New Roman"/>
          <w:spacing w:val="-6"/>
        </w:rPr>
        <w:t>式中：Pp</w:t>
      </w:r>
      <w:r>
        <w:rPr>
          <w:rFonts w:cs="Times New Roman"/>
          <w:spacing w:val="-6"/>
          <w:vertAlign w:val="subscript"/>
        </w:rPr>
        <w:t>H</w:t>
      </w:r>
      <w:r>
        <w:rPr>
          <w:rFonts w:cs="Times New Roman"/>
          <w:spacing w:val="-6"/>
        </w:rPr>
        <w:t>——pH值的单项指数；</w:t>
      </w:r>
    </w:p>
    <w:p>
      <w:pPr>
        <w:spacing w:line="520" w:lineRule="exact"/>
        <w:ind w:firstLine="1140" w:firstLineChars="500"/>
        <w:rPr>
          <w:rFonts w:cs="Times New Roman"/>
          <w:spacing w:val="-6"/>
        </w:rPr>
      </w:pPr>
      <w:r>
        <w:rPr>
          <w:rFonts w:cs="Times New Roman"/>
          <w:spacing w:val="-6"/>
        </w:rPr>
        <w:t>pH</w:t>
      </w:r>
      <w:r>
        <w:rPr>
          <w:rFonts w:cs="Times New Roman"/>
          <w:spacing w:val="-6"/>
          <w:vertAlign w:val="subscript"/>
        </w:rPr>
        <w:t>i</w:t>
      </w:r>
      <w:r>
        <w:rPr>
          <w:rFonts w:cs="Times New Roman"/>
          <w:spacing w:val="-6"/>
        </w:rPr>
        <w:t>——点pH值监测值；</w:t>
      </w:r>
    </w:p>
    <w:p>
      <w:pPr>
        <w:spacing w:line="520" w:lineRule="exact"/>
        <w:ind w:firstLine="1140" w:firstLineChars="500"/>
        <w:rPr>
          <w:rFonts w:cs="Times New Roman"/>
          <w:spacing w:val="-6"/>
        </w:rPr>
      </w:pPr>
      <w:r>
        <w:rPr>
          <w:rFonts w:cs="Times New Roman"/>
          <w:spacing w:val="-6"/>
        </w:rPr>
        <w:t>pH</w:t>
      </w:r>
      <w:r>
        <w:rPr>
          <w:rFonts w:cs="Times New Roman"/>
          <w:spacing w:val="-6"/>
          <w:vertAlign w:val="subscript"/>
        </w:rPr>
        <w:t>su</w:t>
      </w:r>
      <w:r>
        <w:rPr>
          <w:rFonts w:cs="Times New Roman"/>
          <w:spacing w:val="-6"/>
        </w:rPr>
        <w:t>——水质标准中pH值上限；</w:t>
      </w:r>
    </w:p>
    <w:p>
      <w:pPr>
        <w:spacing w:line="520" w:lineRule="exact"/>
        <w:ind w:firstLine="1140" w:firstLineChars="500"/>
        <w:rPr>
          <w:rFonts w:cs="Times New Roman"/>
          <w:spacing w:val="-6"/>
        </w:rPr>
      </w:pPr>
      <w:r>
        <w:rPr>
          <w:rFonts w:cs="Times New Roman"/>
          <w:spacing w:val="-6"/>
        </w:rPr>
        <w:t>pH</w:t>
      </w:r>
      <w:r>
        <w:rPr>
          <w:rFonts w:cs="Times New Roman"/>
          <w:spacing w:val="-6"/>
          <w:vertAlign w:val="subscript"/>
        </w:rPr>
        <w:t>sd</w:t>
      </w:r>
      <w:r>
        <w:rPr>
          <w:rFonts w:cs="Times New Roman"/>
          <w:spacing w:val="-6"/>
        </w:rPr>
        <w:t>——水质标准中pH值下限。</w:t>
      </w:r>
    </w:p>
    <w:p>
      <w:pPr>
        <w:spacing w:line="520" w:lineRule="exact"/>
        <w:ind w:firstLine="456" w:firstLineChars="200"/>
        <w:rPr>
          <w:rFonts w:cs="Times New Roman"/>
          <w:spacing w:val="-6"/>
        </w:rPr>
      </w:pPr>
      <w:r>
        <w:rPr>
          <w:rFonts w:cs="Times New Roman"/>
          <w:spacing w:val="-6"/>
        </w:rPr>
        <w:t>溶解氧的单因子指数模式为：</w:t>
      </w:r>
    </w:p>
    <w:p>
      <w:pPr>
        <w:spacing w:line="520" w:lineRule="exact"/>
        <w:ind w:firstLine="420" w:firstLineChars="200"/>
        <w:rPr>
          <w:rFonts w:cs="Times New Roman"/>
          <w:spacing w:val="-6"/>
          <w:sz w:val="28"/>
          <w:szCs w:val="28"/>
        </w:rPr>
      </w:pPr>
      <w:r>
        <w:rPr>
          <w:rFonts w:cs="Times New Roman"/>
          <w:sz w:val="21"/>
        </w:rPr>
        <w:pict>
          <v:shape id="对象 24" o:spid="_x0000_s1029" o:spt="75" type="#_x0000_t75" style="position:absolute;left:0pt;margin-left:171.1pt;margin-top:10.85pt;height:99.05pt;width:109.1pt;mso-wrap-distance-bottom:0pt;mso-wrap-distance-left:9pt;mso-wrap-distance-right:9pt;mso-wrap-distance-top:0pt;z-index:251660288;mso-width-relative:page;mso-height-relative:page;" o:ole="t" filled="f" o:preferrelative="t" stroked="f" coordsize="21600,21600">
            <v:path/>
            <v:fill on="f" focussize="0,0"/>
            <v:stroke on="f" joinstyle="miter"/>
            <v:imagedata r:id="rId20" o:title=""/>
            <o:lock v:ext="edit" aspectratio="t"/>
            <w10:wrap type="square"/>
          </v:shape>
          <o:OLEObject Type="Embed" ProgID="Equation.3" ShapeID="对象 24" DrawAspect="Content" ObjectID="_1468075728" r:id="rId19">
            <o:LockedField>false</o:LockedField>
          </o:OLEObject>
        </w:pict>
      </w:r>
    </w:p>
    <w:p>
      <w:pPr>
        <w:spacing w:line="520" w:lineRule="exact"/>
        <w:ind w:firstLine="536" w:firstLineChars="200"/>
        <w:rPr>
          <w:rFonts w:cs="Times New Roman"/>
          <w:spacing w:val="-6"/>
          <w:sz w:val="28"/>
          <w:szCs w:val="28"/>
        </w:rPr>
      </w:pPr>
    </w:p>
    <w:p>
      <w:pPr>
        <w:spacing w:line="520" w:lineRule="exact"/>
        <w:ind w:firstLine="536" w:firstLineChars="200"/>
        <w:rPr>
          <w:rFonts w:cs="Times New Roman"/>
          <w:spacing w:val="-6"/>
          <w:sz w:val="28"/>
          <w:szCs w:val="28"/>
        </w:rPr>
      </w:pPr>
    </w:p>
    <w:p>
      <w:pPr>
        <w:spacing w:line="520" w:lineRule="exact"/>
        <w:ind w:firstLine="536" w:firstLineChars="200"/>
        <w:rPr>
          <w:rFonts w:cs="Times New Roman"/>
          <w:spacing w:val="-6"/>
          <w:sz w:val="28"/>
          <w:szCs w:val="28"/>
        </w:rPr>
      </w:pPr>
    </w:p>
    <w:p>
      <w:pPr>
        <w:spacing w:line="520" w:lineRule="exact"/>
        <w:rPr>
          <w:rFonts w:cs="Times New Roman"/>
          <w:spacing w:val="-6"/>
          <w:sz w:val="28"/>
          <w:szCs w:val="28"/>
        </w:rPr>
      </w:pPr>
    </w:p>
    <w:p>
      <w:pPr>
        <w:spacing w:line="520" w:lineRule="exact"/>
        <w:ind w:firstLine="228" w:firstLineChars="100"/>
        <w:rPr>
          <w:rFonts w:cs="Times New Roman"/>
          <w:spacing w:val="-6"/>
        </w:rPr>
      </w:pPr>
      <w:r>
        <w:rPr>
          <w:rFonts w:cs="Times New Roman"/>
          <w:spacing w:val="-6"/>
        </w:rPr>
        <w:t>式中： DO</w:t>
      </w:r>
      <w:r>
        <w:rPr>
          <w:rFonts w:cs="Times New Roman"/>
          <w:spacing w:val="-6"/>
          <w:vertAlign w:val="subscript"/>
        </w:rPr>
        <w:t>f</w:t>
      </w:r>
      <w:r>
        <w:rPr>
          <w:rFonts w:cs="Times New Roman"/>
          <w:spacing w:val="-6"/>
        </w:rPr>
        <w:t>——某水温、气压下河水中的溶解氧饱和值，（mg/L）；</w:t>
      </w:r>
    </w:p>
    <w:p>
      <w:pPr>
        <w:spacing w:line="520" w:lineRule="exact"/>
        <w:ind w:firstLine="456" w:firstLineChars="200"/>
        <w:rPr>
          <w:rFonts w:cs="Times New Roman"/>
          <w:spacing w:val="-6"/>
        </w:rPr>
      </w:pPr>
      <w:r>
        <w:rPr>
          <w:rFonts w:cs="Times New Roman"/>
          <w:spacing w:val="-6"/>
        </w:rPr>
        <w:t xml:space="preserve">        DO</w:t>
      </w:r>
      <w:r>
        <w:rPr>
          <w:rFonts w:cs="Times New Roman"/>
          <w:spacing w:val="-6"/>
          <w:vertAlign w:val="subscript"/>
        </w:rPr>
        <w:t>j</w:t>
      </w:r>
      <w:r>
        <w:rPr>
          <w:rFonts w:cs="Times New Roman"/>
          <w:spacing w:val="-6"/>
        </w:rPr>
        <w:t>——监测点j的溶解氧浓度，（mg/L）；</w:t>
      </w:r>
    </w:p>
    <w:p>
      <w:pPr>
        <w:spacing w:line="520" w:lineRule="exact"/>
        <w:ind w:firstLine="456" w:firstLineChars="200"/>
        <w:rPr>
          <w:rFonts w:cs="Times New Roman"/>
          <w:spacing w:val="-6"/>
        </w:rPr>
      </w:pPr>
      <w:r>
        <w:rPr>
          <w:rFonts w:cs="Times New Roman"/>
          <w:spacing w:val="-6"/>
        </w:rPr>
        <w:t xml:space="preserve">        DO</w:t>
      </w:r>
      <w:r>
        <w:rPr>
          <w:rFonts w:cs="Times New Roman"/>
          <w:spacing w:val="-6"/>
          <w:vertAlign w:val="subscript"/>
        </w:rPr>
        <w:t>s</w:t>
      </w:r>
      <w:r>
        <w:rPr>
          <w:rFonts w:cs="Times New Roman"/>
          <w:spacing w:val="-6"/>
        </w:rPr>
        <w:t>——溶解氧的地表水水质标准，（mg/L）；</w:t>
      </w:r>
    </w:p>
    <w:p>
      <w:pPr>
        <w:spacing w:line="520" w:lineRule="exact"/>
        <w:ind w:firstLine="456" w:firstLineChars="200"/>
        <w:rPr>
          <w:rFonts w:cs="Times New Roman"/>
          <w:spacing w:val="-6"/>
        </w:rPr>
      </w:pPr>
      <w:r>
        <w:rPr>
          <w:rFonts w:cs="Times New Roman"/>
          <w:spacing w:val="-6"/>
        </w:rPr>
        <w:t xml:space="preserve">        T——水温（℃）。</w:t>
      </w:r>
    </w:p>
    <w:p>
      <w:pPr>
        <w:autoSpaceDE w:val="0"/>
        <w:autoSpaceDN w:val="0"/>
        <w:adjustRightInd w:val="0"/>
        <w:spacing w:line="360" w:lineRule="auto"/>
        <w:outlineLvl w:val="2"/>
        <w:rPr>
          <w:rFonts w:cs="Times New Roman"/>
          <w:b/>
          <w:kern w:val="0"/>
        </w:rPr>
      </w:pPr>
      <w:bookmarkStart w:id="61" w:name="_Toc18885"/>
      <w:bookmarkStart w:id="62" w:name="_Toc31428"/>
      <w:bookmarkStart w:id="63" w:name="_Toc4245"/>
      <w:r>
        <w:rPr>
          <w:rFonts w:cs="Times New Roman"/>
          <w:b/>
          <w:kern w:val="0"/>
        </w:rPr>
        <w:t>2.3.2  监测点位及评价指标</w:t>
      </w:r>
      <w:bookmarkEnd w:id="61"/>
      <w:bookmarkEnd w:id="62"/>
      <w:bookmarkEnd w:id="63"/>
    </w:p>
    <w:p>
      <w:pPr>
        <w:spacing w:line="360" w:lineRule="auto"/>
        <w:ind w:firstLine="482" w:firstLineChars="200"/>
        <w:rPr>
          <w:rFonts w:cs="Times New Roman"/>
          <w:spacing w:val="-6"/>
        </w:rPr>
      </w:pPr>
      <w:r>
        <w:rPr>
          <w:rFonts w:cs="Times New Roman"/>
          <w:b/>
          <w:kern w:val="0"/>
        </w:rPr>
        <w:t>监测点位：</w:t>
      </w:r>
      <w:r>
        <w:rPr>
          <w:rFonts w:cs="Times New Roman"/>
          <w:spacing w:val="-6"/>
        </w:rPr>
        <w:t>本次水质评价选取监测点位水源地共1个饮用水水源地取水口，水质监测数据为2018年5月数据。</w:t>
      </w:r>
    </w:p>
    <w:p>
      <w:pPr>
        <w:spacing w:line="360" w:lineRule="auto"/>
        <w:ind w:firstLine="482" w:firstLineChars="200"/>
        <w:rPr>
          <w:rFonts w:cs="Times New Roman"/>
          <w:kern w:val="0"/>
        </w:rPr>
      </w:pPr>
      <w:r>
        <w:rPr>
          <w:rFonts w:cs="Times New Roman"/>
          <w:b/>
          <w:kern w:val="0"/>
        </w:rPr>
        <w:t>评价指标：</w:t>
      </w:r>
      <w:r>
        <w:rPr>
          <w:rFonts w:cs="Times New Roman"/>
          <w:kern w:val="0"/>
        </w:rPr>
        <w:t>水源地水质评价指标为《地表水质量标准》（GB3838-2002）中的水温，pH，硫酸盐，氯化物，铁，锰，铜，锌，挥发酚，阴离子表面活性剂，高锰酸盐指数，硝酸盐，亚硝酸盐，氨氮，氟化物，氰化物，汞，砷，硒，镉，铬，铅，总大肠菌群等共计109项。</w:t>
      </w:r>
    </w:p>
    <w:p>
      <w:pPr>
        <w:autoSpaceDE w:val="0"/>
        <w:autoSpaceDN w:val="0"/>
        <w:adjustRightInd w:val="0"/>
        <w:spacing w:line="360" w:lineRule="auto"/>
        <w:outlineLvl w:val="2"/>
        <w:rPr>
          <w:rFonts w:cs="Times New Roman"/>
          <w:b/>
          <w:kern w:val="0"/>
        </w:rPr>
      </w:pPr>
      <w:bookmarkStart w:id="64" w:name="_Toc31352"/>
      <w:bookmarkStart w:id="65" w:name="_Toc17939"/>
      <w:bookmarkStart w:id="66" w:name="_Toc25320"/>
      <w:r>
        <w:rPr>
          <w:rFonts w:cs="Times New Roman"/>
          <w:b/>
          <w:kern w:val="0"/>
        </w:rPr>
        <w:t>2.3.3  水质现状</w:t>
      </w:r>
      <w:bookmarkEnd w:id="64"/>
      <w:bookmarkEnd w:id="65"/>
      <w:bookmarkEnd w:id="66"/>
    </w:p>
    <w:p>
      <w:pPr>
        <w:spacing w:line="360" w:lineRule="auto"/>
        <w:ind w:firstLine="456" w:firstLineChars="200"/>
        <w:jc w:val="left"/>
        <w:rPr>
          <w:rFonts w:cs="Times New Roman"/>
          <w:spacing w:val="-6"/>
          <w:highlight w:val="red"/>
        </w:rPr>
      </w:pPr>
      <w:r>
        <w:rPr>
          <w:rFonts w:cs="Times New Roman"/>
          <w:spacing w:val="-6"/>
          <w:highlight w:val="red"/>
        </w:rPr>
        <w:t>根据2018年5月</w:t>
      </w:r>
      <w:r>
        <w:rPr>
          <w:rFonts w:hint="eastAsia" w:cs="Times New Roman"/>
          <w:spacing w:val="-6"/>
          <w:highlight w:val="red"/>
        </w:rPr>
        <w:t>宝石桥水库</w:t>
      </w:r>
      <w:r>
        <w:rPr>
          <w:rFonts w:cs="Times New Roman"/>
          <w:spacing w:val="-6"/>
          <w:highlight w:val="red"/>
        </w:rPr>
        <w:t>取水口水质分析结果：</w:t>
      </w:r>
      <w:r>
        <w:rPr>
          <w:rFonts w:cs="Times New Roman"/>
          <w:highlight w:val="red"/>
        </w:rPr>
        <w:t>本次</w:t>
      </w:r>
      <w:r>
        <w:rPr>
          <w:rFonts w:cs="Times New Roman"/>
          <w:kern w:val="0"/>
          <w:highlight w:val="red"/>
        </w:rPr>
        <w:t>开江县</w:t>
      </w:r>
      <w:r>
        <w:rPr>
          <w:rFonts w:hint="eastAsia" w:cs="Times New Roman"/>
          <w:kern w:val="0"/>
          <w:highlight w:val="red"/>
        </w:rPr>
        <w:t>宝石桥水库</w:t>
      </w:r>
      <w:r>
        <w:rPr>
          <w:rFonts w:cs="Times New Roman"/>
          <w:highlight w:val="red"/>
        </w:rPr>
        <w:t>的监测项目溶解氧和总氮为Ⅱ类标准，其余各指标均能达标或者达到</w:t>
      </w:r>
      <w:r>
        <w:rPr>
          <w:rFonts w:cs="Times New Roman"/>
          <w:bCs/>
          <w:kern w:val="0"/>
          <w:highlight w:val="red"/>
        </w:rPr>
        <w:t>III</w:t>
      </w:r>
      <w:r>
        <w:rPr>
          <w:rFonts w:cs="Times New Roman"/>
          <w:highlight w:val="red"/>
        </w:rPr>
        <w:t>类标准。同时开江县疾控中心证明：</w:t>
      </w:r>
      <w:r>
        <w:rPr>
          <w:rFonts w:hint="eastAsia" w:cs="Times New Roman"/>
          <w:highlight w:val="red"/>
        </w:rPr>
        <w:t>宝石桥水库</w:t>
      </w:r>
      <w:r>
        <w:rPr>
          <w:rFonts w:cs="Times New Roman"/>
          <w:highlight w:val="red"/>
        </w:rPr>
        <w:t>流域各村都无与水源有关的地方病史。因此</w:t>
      </w:r>
      <w:r>
        <w:rPr>
          <w:rFonts w:hint="eastAsia" w:cs="Times New Roman"/>
          <w:highlight w:val="red"/>
        </w:rPr>
        <w:t>宝石桥水库</w:t>
      </w:r>
      <w:r>
        <w:rPr>
          <w:rFonts w:cs="Times New Roman"/>
          <w:spacing w:val="-6"/>
          <w:highlight w:val="red"/>
        </w:rPr>
        <w:t>水质状况良好。水质评价结果详见附表1。</w:t>
      </w:r>
    </w:p>
    <w:p>
      <w:pPr>
        <w:pStyle w:val="3"/>
        <w:spacing w:before="0" w:after="0" w:line="360" w:lineRule="auto"/>
        <w:rPr>
          <w:rFonts w:ascii="Times New Roman" w:hAnsi="Times New Roman" w:eastAsia="宋体" w:cs="Times New Roman"/>
          <w:spacing w:val="-6"/>
          <w:sz w:val="24"/>
          <w:szCs w:val="24"/>
        </w:rPr>
      </w:pPr>
      <w:bookmarkStart w:id="67" w:name="_Toc4167"/>
      <w:bookmarkStart w:id="68" w:name="_Toc32184"/>
      <w:r>
        <w:rPr>
          <w:rFonts w:ascii="Times New Roman" w:hAnsi="Times New Roman" w:eastAsia="宋体" w:cs="Times New Roman"/>
          <w:bCs w:val="0"/>
          <w:kern w:val="0"/>
          <w:szCs w:val="28"/>
        </w:rPr>
        <w:t>2.4 现有水厂净化工艺</w:t>
      </w:r>
      <w:bookmarkEnd w:id="67"/>
      <w:bookmarkEnd w:id="68"/>
    </w:p>
    <w:p>
      <w:pPr>
        <w:spacing w:line="360" w:lineRule="auto"/>
        <w:ind w:firstLine="456" w:firstLineChars="200"/>
        <w:jc w:val="left"/>
        <w:rPr>
          <w:rFonts w:cs="Times New Roman"/>
          <w:spacing w:val="-6"/>
        </w:rPr>
      </w:pPr>
      <w:r>
        <w:rPr>
          <w:rFonts w:hint="eastAsia" w:cs="Times New Roman"/>
          <w:spacing w:val="-6"/>
        </w:rPr>
        <w:t>开江县县城自来水主要靠开江县自来水有限责任公司供给，该公司位于开江县新宁镇淙城街222号，设计日处理处理为3万吨，主要为开江县县城及普安镇提供生产、生活用水服务，总服务人口为8万人，其中开江县大约7万人，普安镇大约1万人左右。取水方式采用重力流取水，取水管网为玻钢管、球磨管，管网内径为600mm，管网长度为3.3km。</w:t>
      </w:r>
    </w:p>
    <w:p>
      <w:pPr>
        <w:spacing w:line="360" w:lineRule="auto"/>
        <w:ind w:firstLine="456" w:firstLineChars="200"/>
        <w:jc w:val="left"/>
        <w:rPr>
          <w:rFonts w:cs="Times New Roman"/>
          <w:spacing w:val="-6"/>
        </w:rPr>
      </w:pPr>
      <w:r>
        <w:rPr>
          <w:rFonts w:cs="Times New Roman"/>
          <w:spacing w:val="-6"/>
        </w:rPr>
        <w:t>现有水厂的净水工艺为：原水—管道静态混合—栅条絮凝—斜管沉淀—滤池—紫外线消毒—清水池（次氯酸钠消毒）—重力供水。该工艺为净水处理的常规工艺，技术成熟可靠，管理维护方便。工艺流程如下图所述：</w:t>
      </w:r>
    </w:p>
    <w:p>
      <w:pPr>
        <w:spacing w:line="360" w:lineRule="auto"/>
        <w:jc w:val="left"/>
        <w:rPr>
          <w:rFonts w:cs="Times New Roman"/>
          <w:spacing w:val="-6"/>
        </w:rPr>
      </w:pPr>
      <w:r>
        <w:rPr>
          <w:rFonts w:cs="Times New Roman"/>
          <w:spacing w:val="-6"/>
        </w:rPr>
        <w:object>
          <v:shape id="_x0000_i1025" o:spt="75" type="#_x0000_t75" style="height:110.7pt;width:410.25pt;" o:ole="t" filled="f" o:preferrelative="t" stroked="f" coordsize="21600,21600">
            <v:path/>
            <v:fill on="f" focussize="0,0"/>
            <v:stroke on="f" joinstyle="miter"/>
            <v:imagedata r:id="rId22" o:title=""/>
            <o:lock v:ext="edit" aspectratio="f"/>
            <w10:wrap type="none"/>
            <w10:anchorlock/>
          </v:shape>
          <o:OLEObject Type="Embed" ProgID="Visio.Drawing.11" ShapeID="_x0000_i1025" DrawAspect="Content" ObjectID="_1468075729" r:id="rId21">
            <o:LockedField>false</o:LockedField>
          </o:OLEObject>
        </w:object>
      </w:r>
    </w:p>
    <w:p>
      <w:pPr>
        <w:spacing w:line="360" w:lineRule="auto"/>
        <w:jc w:val="center"/>
        <w:rPr>
          <w:rFonts w:cs="Times New Roman"/>
          <w:b/>
          <w:bCs/>
          <w:spacing w:val="-6"/>
          <w:sz w:val="21"/>
          <w:szCs w:val="21"/>
        </w:rPr>
      </w:pPr>
      <w:r>
        <w:rPr>
          <w:rFonts w:cs="Times New Roman"/>
          <w:b/>
          <w:bCs/>
          <w:spacing w:val="-6"/>
          <w:sz w:val="21"/>
          <w:szCs w:val="21"/>
        </w:rPr>
        <w:t>图2-1  水厂净水工艺流程图</w:t>
      </w:r>
    </w:p>
    <w:p>
      <w:pPr>
        <w:pStyle w:val="3"/>
        <w:spacing w:before="0" w:after="0" w:line="360" w:lineRule="auto"/>
        <w:rPr>
          <w:rFonts w:ascii="Times New Roman" w:hAnsi="Times New Roman" w:eastAsia="宋体" w:cs="Times New Roman"/>
          <w:spacing w:val="-6"/>
          <w:sz w:val="24"/>
          <w:szCs w:val="24"/>
        </w:rPr>
      </w:pPr>
      <w:bookmarkStart w:id="69" w:name="_Toc28693"/>
      <w:bookmarkStart w:id="70" w:name="_Toc10714"/>
      <w:r>
        <w:rPr>
          <w:rFonts w:ascii="Times New Roman" w:hAnsi="Times New Roman" w:eastAsia="宋体" w:cs="Times New Roman"/>
          <w:bCs w:val="0"/>
          <w:kern w:val="0"/>
          <w:szCs w:val="28"/>
        </w:rPr>
        <w:t>2.</w:t>
      </w:r>
      <w:r>
        <w:rPr>
          <w:rFonts w:hint="eastAsia" w:ascii="Times New Roman" w:hAnsi="Times New Roman" w:eastAsia="宋体" w:cs="Times New Roman"/>
          <w:bCs w:val="0"/>
          <w:kern w:val="0"/>
          <w:szCs w:val="28"/>
        </w:rPr>
        <w:t>5</w:t>
      </w:r>
      <w:r>
        <w:rPr>
          <w:rFonts w:hint="eastAsia" w:ascii="Times New Roman" w:hAnsi="Times New Roman" w:eastAsia="宋体" w:cs="Times New Roman"/>
          <w:bCs w:val="0"/>
          <w:kern w:val="0"/>
          <w:szCs w:val="28"/>
          <w:lang w:eastAsia="zh-CN"/>
        </w:rPr>
        <w:t>供</w:t>
      </w:r>
      <w:r>
        <w:rPr>
          <w:rFonts w:hint="eastAsia" w:ascii="Times New Roman" w:hAnsi="Times New Roman" w:eastAsia="宋体" w:cs="Times New Roman"/>
          <w:bCs w:val="0"/>
          <w:kern w:val="0"/>
          <w:szCs w:val="28"/>
        </w:rPr>
        <w:t>水状况及规划</w:t>
      </w:r>
      <w:bookmarkEnd w:id="69"/>
      <w:bookmarkEnd w:id="70"/>
    </w:p>
    <w:p>
      <w:pPr>
        <w:spacing w:line="360" w:lineRule="auto"/>
        <w:ind w:firstLine="482" w:firstLineChars="200"/>
        <w:rPr>
          <w:b/>
          <w:bCs/>
        </w:rPr>
      </w:pPr>
      <w:r>
        <w:rPr>
          <w:b/>
          <w:bCs/>
        </w:rPr>
        <w:t>1</w:t>
      </w:r>
      <w:r>
        <w:rPr>
          <w:rFonts w:hint="eastAsia"/>
          <w:b/>
          <w:bCs/>
        </w:rPr>
        <w:t>、给水现状</w:t>
      </w:r>
    </w:p>
    <w:p>
      <w:pPr>
        <w:adjustRightInd w:val="0"/>
        <w:snapToGrid w:val="0"/>
        <w:spacing w:line="360" w:lineRule="auto"/>
        <w:ind w:firstLine="480" w:firstLineChars="200"/>
      </w:pPr>
      <w:r>
        <w:rPr>
          <w:rFonts w:hint="eastAsia"/>
        </w:rPr>
        <w:t>目前沙坝镇区有自来水厂1处，占地</w:t>
      </w:r>
      <w:r>
        <w:t>3.00</w:t>
      </w:r>
      <w:r>
        <w:rPr>
          <w:rFonts w:hint="eastAsia"/>
        </w:rPr>
        <w:t>亩，设计规模为</w:t>
      </w:r>
      <w:r>
        <w:t>3000m</w:t>
      </w:r>
      <w:r>
        <w:rPr>
          <w:rFonts w:hint="eastAsia"/>
        </w:rPr>
        <w:t>³</w:t>
      </w:r>
      <w:r>
        <w:t>/d</w:t>
      </w:r>
      <w:r>
        <w:rPr>
          <w:rFonts w:hint="eastAsia"/>
        </w:rPr>
        <w:t>，取水点位于沙坝河，取水点可供量为</w:t>
      </w:r>
      <w:r>
        <w:t>10000m</w:t>
      </w:r>
      <w:r>
        <w:rPr>
          <w:rFonts w:hint="eastAsia"/>
        </w:rPr>
        <w:t>³</w:t>
      </w:r>
      <w:r>
        <w:t>/d</w:t>
      </w:r>
      <w:r>
        <w:rPr>
          <w:rFonts w:hint="eastAsia"/>
        </w:rPr>
        <w:t>。目前，梅家镇区已建成供水站1个，设计供水规模为</w:t>
      </w:r>
      <w:r>
        <w:t>400m</w:t>
      </w:r>
      <w:r>
        <w:rPr>
          <w:rFonts w:hint="eastAsia"/>
        </w:rPr>
        <w:t>³</w:t>
      </w:r>
      <w:r>
        <w:t>/d</w:t>
      </w:r>
      <w:r>
        <w:rPr>
          <w:rFonts w:hint="eastAsia"/>
        </w:rPr>
        <w:t>。宝石乡的现状水厂水源为宝石水库地表水，讲治乡的现状水厂水源为宝石水库地表水。目前城镇及附近村庄已使用自来水，其余行政村用水主要采用地下水。</w:t>
      </w:r>
    </w:p>
    <w:p>
      <w:pPr>
        <w:spacing w:line="360" w:lineRule="auto"/>
        <w:ind w:firstLine="456" w:firstLineChars="200"/>
        <w:jc w:val="left"/>
      </w:pPr>
      <w:r>
        <w:rPr>
          <w:rFonts w:hint="eastAsia" w:cs="Times New Roman"/>
          <w:spacing w:val="-6"/>
        </w:rPr>
        <w:t>开江县县城居民供水现状由开江县自来水有限责任公司承担，设计日处理处理为3万吨，总服务人口为8万人，其中开江县大约7万人，普安镇大约1万人左右。取水方式采用重力流取水，取水管网为玻钢管、球磨管，管网内径为600mm，管网长度为3.3km。采用</w:t>
      </w:r>
      <w:r>
        <w:rPr>
          <w:rFonts w:cs="Times New Roman"/>
          <w:spacing w:val="-6"/>
        </w:rPr>
        <w:t>原水—管道静态混合—栅条絮凝—斜管沉淀—滤池—紫外线消毒—清水池（次氯酸钠消毒）—重力供水</w:t>
      </w:r>
      <w:r>
        <w:rPr>
          <w:rFonts w:hint="eastAsia" w:cs="Times New Roman"/>
          <w:spacing w:val="-6"/>
        </w:rPr>
        <w:t>的工艺。</w:t>
      </w:r>
    </w:p>
    <w:p>
      <w:pPr>
        <w:spacing w:line="360" w:lineRule="auto"/>
        <w:ind w:firstLine="482" w:firstLineChars="200"/>
        <w:rPr>
          <w:b/>
          <w:bCs/>
        </w:rPr>
      </w:pPr>
      <w:r>
        <w:rPr>
          <w:rFonts w:hint="eastAsia"/>
          <w:b/>
          <w:bCs/>
        </w:rPr>
        <w:t>2、</w:t>
      </w:r>
      <w:r>
        <w:rPr>
          <w:rFonts w:hint="eastAsia"/>
          <w:b/>
          <w:bCs/>
          <w:lang w:eastAsia="zh-CN"/>
        </w:rPr>
        <w:t>供</w:t>
      </w:r>
      <w:r>
        <w:rPr>
          <w:rFonts w:hint="eastAsia"/>
          <w:b/>
          <w:bCs/>
        </w:rPr>
        <w:t>水规划</w:t>
      </w:r>
    </w:p>
    <w:p>
      <w:pPr>
        <w:adjustRightInd w:val="0"/>
        <w:snapToGrid w:val="0"/>
        <w:spacing w:line="360" w:lineRule="auto"/>
        <w:ind w:firstLine="480" w:firstLineChars="200"/>
      </w:pPr>
      <w:r>
        <w:rPr>
          <w:rFonts w:hint="eastAsia"/>
        </w:rPr>
        <w:t>规划区采用分散与集中供水相结合的方式供给。</w:t>
      </w:r>
    </w:p>
    <w:p>
      <w:pPr>
        <w:adjustRightInd w:val="0"/>
        <w:snapToGrid w:val="0"/>
        <w:spacing w:line="360" w:lineRule="auto"/>
        <w:ind w:firstLine="480" w:firstLineChars="200"/>
      </w:pPr>
      <w:r>
        <w:rPr>
          <w:rFonts w:hint="eastAsia"/>
        </w:rPr>
        <w:t>移民新镇：新镇搬迁改造的居民按照集中取水、统一供水的原则，可结合宝石镇区、讲治镇区综合考虑，对讲治水厂进行扩容，扩建一个覆盖三镇的区域性水厂，降低运行成本。根据用水量预测，水厂设计规模为4800</w:t>
      </w:r>
      <w:r>
        <w:t>m</w:t>
      </w:r>
      <w:r>
        <w:rPr>
          <w:rFonts w:hint="eastAsia"/>
        </w:rPr>
        <w:t>³</w:t>
      </w:r>
      <w:r>
        <w:t>/d</w:t>
      </w:r>
      <w:r>
        <w:rPr>
          <w:rFonts w:hint="eastAsia"/>
        </w:rPr>
        <w:t>，尽量覆盖周边乡村，共享设施。</w:t>
      </w:r>
    </w:p>
    <w:p>
      <w:pPr>
        <w:adjustRightInd w:val="0"/>
        <w:snapToGrid w:val="0"/>
        <w:spacing w:line="360" w:lineRule="auto"/>
        <w:ind w:firstLine="480" w:firstLineChars="200"/>
      </w:pPr>
      <w:r>
        <w:rPr>
          <w:rFonts w:hint="eastAsia"/>
        </w:rPr>
        <w:t>沙坝场乡：仍采用沙坝自来水厂供水，规划考虑沙坝场乡整体用水需求，根据需水量预测，水厂供水能力要求满足350m³/d。梅家乡：保留现状供水设施，在现状基础上扩容改建，根据需水量预测，水厂供水能力要求满足350m³/d。</w:t>
      </w:r>
    </w:p>
    <w:p>
      <w:pPr>
        <w:adjustRightInd w:val="0"/>
        <w:snapToGrid w:val="0"/>
        <w:spacing w:line="360" w:lineRule="auto"/>
        <w:ind w:firstLine="480" w:firstLineChars="200"/>
      </w:pPr>
      <w:r>
        <w:rPr>
          <w:rFonts w:hint="eastAsia"/>
        </w:rPr>
        <w:t>程家沟村：需水量约为150</w:t>
      </w:r>
      <w:r>
        <w:t>m</w:t>
      </w:r>
      <w:r>
        <w:rPr>
          <w:rFonts w:hint="eastAsia"/>
        </w:rPr>
        <w:t>³</w:t>
      </w:r>
      <w:r>
        <w:t>/d</w:t>
      </w:r>
      <w:r>
        <w:rPr>
          <w:rFonts w:hint="eastAsia"/>
        </w:rPr>
        <w:t>，结合水资源需求和自然条件，可考虑兴建水站、蓄水池、引水渠等水利设施从谭家湾水库或山泉水引水。</w:t>
      </w:r>
    </w:p>
    <w:p>
      <w:pPr>
        <w:adjustRightInd w:val="0"/>
        <w:snapToGrid w:val="0"/>
        <w:spacing w:line="360" w:lineRule="auto"/>
        <w:ind w:firstLine="480" w:firstLineChars="200"/>
      </w:pPr>
      <w:r>
        <w:rPr>
          <w:rFonts w:hint="eastAsia"/>
        </w:rPr>
        <w:t>北部村落：保留或改善现状供水设施，有条件的村落可考虑兴建蓄水池、引水渠等水利设施从附近水厂引水，某些分散的居民点可建设分散式贮水净水设施进行供水。</w:t>
      </w:r>
    </w:p>
    <w:p>
      <w:pPr>
        <w:adjustRightInd w:val="0"/>
        <w:snapToGrid w:val="0"/>
        <w:spacing w:line="360" w:lineRule="auto"/>
        <w:ind w:firstLine="480" w:firstLineChars="200"/>
        <w:rPr>
          <w:rFonts w:cs="Times New Roman"/>
          <w:b/>
          <w:bCs/>
          <w:spacing w:val="-6"/>
          <w:sz w:val="21"/>
          <w:szCs w:val="21"/>
        </w:rPr>
      </w:pPr>
      <w:r>
        <w:rPr>
          <w:rFonts w:hint="eastAsia"/>
        </w:rPr>
        <w:t>移民新镇、沙坝镇区和梅家镇区内配水干管形成环网，配水支管为树枝状，形成支环结合的配水管网系统，生产、生活，消防共用给水系统。根据消防用水量确定道路下配水支管不应小于DN100mm，在不能满足压力的不利点，要增加加压设备。在街道上应按规范设置消火栓其间距不大于120m。</w:t>
      </w:r>
    </w:p>
    <w:p>
      <w:pPr>
        <w:pStyle w:val="3"/>
        <w:spacing w:before="0" w:after="0" w:line="360" w:lineRule="auto"/>
        <w:rPr>
          <w:rFonts w:ascii="Times New Roman" w:hAnsi="Times New Roman" w:eastAsia="宋体" w:cs="Times New Roman"/>
          <w:bCs w:val="0"/>
          <w:kern w:val="0"/>
          <w:szCs w:val="28"/>
        </w:rPr>
      </w:pPr>
      <w:bookmarkStart w:id="71" w:name="_Toc23071"/>
      <w:bookmarkStart w:id="72" w:name="_Toc29122"/>
      <w:r>
        <w:rPr>
          <w:rFonts w:ascii="Times New Roman" w:hAnsi="Times New Roman" w:eastAsia="宋体" w:cs="Times New Roman"/>
          <w:bCs w:val="0"/>
          <w:kern w:val="0"/>
          <w:szCs w:val="28"/>
        </w:rPr>
        <w:t>2.</w:t>
      </w:r>
      <w:r>
        <w:rPr>
          <w:rFonts w:hint="eastAsia" w:ascii="Times New Roman" w:hAnsi="Times New Roman" w:eastAsia="宋体" w:cs="Times New Roman"/>
          <w:bCs w:val="0"/>
          <w:kern w:val="0"/>
          <w:szCs w:val="28"/>
        </w:rPr>
        <w:t>6</w:t>
      </w:r>
      <w:r>
        <w:rPr>
          <w:rFonts w:ascii="Times New Roman" w:hAnsi="Times New Roman" w:eastAsia="宋体" w:cs="Times New Roman"/>
          <w:bCs w:val="0"/>
          <w:kern w:val="0"/>
          <w:szCs w:val="28"/>
        </w:rPr>
        <w:t xml:space="preserve"> </w:t>
      </w:r>
      <w:r>
        <w:rPr>
          <w:rFonts w:hint="eastAsia" w:ascii="Times New Roman" w:hAnsi="Times New Roman" w:eastAsia="宋体" w:cs="Times New Roman"/>
          <w:bCs w:val="0"/>
          <w:kern w:val="0"/>
          <w:szCs w:val="28"/>
        </w:rPr>
        <w:t>排水状况及规划</w:t>
      </w:r>
      <w:bookmarkEnd w:id="71"/>
      <w:bookmarkEnd w:id="72"/>
    </w:p>
    <w:p>
      <w:pPr>
        <w:spacing w:line="360" w:lineRule="auto"/>
        <w:ind w:firstLine="482" w:firstLineChars="200"/>
        <w:rPr>
          <w:b/>
          <w:bCs/>
        </w:rPr>
      </w:pPr>
      <w:r>
        <w:rPr>
          <w:b/>
          <w:bCs/>
        </w:rPr>
        <w:t>1</w:t>
      </w:r>
      <w:r>
        <w:rPr>
          <w:rFonts w:hint="eastAsia"/>
          <w:b/>
          <w:bCs/>
        </w:rPr>
        <w:t>、排水现状</w:t>
      </w:r>
    </w:p>
    <w:p>
      <w:pPr>
        <w:autoSpaceDE w:val="0"/>
        <w:autoSpaceDN w:val="0"/>
        <w:adjustRightInd w:val="0"/>
        <w:snapToGrid w:val="0"/>
        <w:spacing w:line="360" w:lineRule="auto"/>
        <w:ind w:firstLine="480" w:firstLineChars="200"/>
      </w:pPr>
      <w:r>
        <w:rPr>
          <w:rFonts w:hint="eastAsia" w:ascii="宋体" w:hAnsi="宋体" w:cs="宋体"/>
          <w:szCs w:val="21"/>
        </w:rPr>
        <w:t>现状排水体制主要为雨污合流制，规划区内除梅家现状有一闲置污水处理厂，设计为</w:t>
      </w:r>
      <w:r>
        <w:rPr>
          <w:rFonts w:hint="eastAsia" w:ascii="宋体" w:hAnsi="宋体"/>
          <w:szCs w:val="21"/>
        </w:rPr>
        <w:t>重力流排水，在城镇主要道路两侧分别敷设有明、暗沟，汇集街道两侧污水和雨水外，其他乡镇无污水收集设施和污水处理设施，以道路暗沟为主。其污水主要是生活污水，</w:t>
      </w:r>
      <w:r>
        <w:rPr>
          <w:rFonts w:hint="eastAsia" w:ascii="宋体" w:hAnsi="宋体" w:cs="宋体"/>
          <w:szCs w:val="21"/>
        </w:rPr>
        <w:t>各行政村的居民点无完善的排水系统，污水为自流排放。</w:t>
      </w:r>
    </w:p>
    <w:p>
      <w:pPr>
        <w:spacing w:line="360" w:lineRule="auto"/>
        <w:ind w:firstLine="482" w:firstLineChars="200"/>
        <w:rPr>
          <w:b/>
          <w:bCs/>
        </w:rPr>
      </w:pPr>
      <w:r>
        <w:rPr>
          <w:rFonts w:hint="eastAsia"/>
          <w:b/>
          <w:bCs/>
        </w:rPr>
        <w:t>2、排水系统</w:t>
      </w:r>
    </w:p>
    <w:p>
      <w:pPr>
        <w:adjustRightInd w:val="0"/>
        <w:snapToGrid w:val="0"/>
        <w:spacing w:line="360" w:lineRule="auto"/>
        <w:ind w:firstLine="480" w:firstLineChars="200"/>
      </w:pPr>
      <w:r>
        <w:rPr>
          <w:rFonts w:hint="eastAsia"/>
        </w:rPr>
        <w:t>沙坝镇区、梅家镇区、移民新镇、程家沟村采用雨污分流制，建设雨污分流管网，雨水经雨水管渠就近排入水体，污水经污水管道收集后送入污水处理厂，采用二级处理达标后排放。其他村落采用雨污合流制，污水经过化粪池处理后再排放。</w:t>
      </w:r>
      <w:r>
        <w:rPr>
          <w:rFonts w:hint="eastAsia" w:ascii="宋体" w:hAnsi="宋体"/>
          <w:szCs w:val="21"/>
        </w:rPr>
        <w:t>居民区的粪便污水应经化粪池三级预处理，医院污水、餐饮及洗车含油污水等，都必须严格进行预处理，达到《污水综合排放标准》（GB8978-88）后，方可排放。移民新镇、沙坝镇区、梅家镇区、程家沟村的污水处理率达85%。</w:t>
      </w:r>
    </w:p>
    <w:p>
      <w:pPr>
        <w:adjustRightInd w:val="0"/>
        <w:snapToGrid w:val="0"/>
        <w:spacing w:line="360" w:lineRule="auto"/>
        <w:ind w:firstLine="480" w:firstLineChars="200"/>
      </w:pPr>
      <w:r>
        <w:rPr>
          <w:rFonts w:hint="eastAsia"/>
        </w:rPr>
        <w:t>移民新镇：移民新镇、宝石乡、讲治镇共同建设一座处理规模为4000</w:t>
      </w:r>
      <w:r>
        <w:t>m</w:t>
      </w:r>
      <w:r>
        <w:rPr>
          <w:rFonts w:hint="eastAsia"/>
        </w:rPr>
        <w:t>³</w:t>
      </w:r>
      <w:r>
        <w:t>/d</w:t>
      </w:r>
      <w:r>
        <w:rPr>
          <w:rFonts w:hint="eastAsia"/>
        </w:rPr>
        <w:t>的污水处理厂，采用二级处理标准，处理移民新镇、宝石镇、讲治镇的污水，将污水经管道收集送入污水处理厂集中处理。</w:t>
      </w:r>
    </w:p>
    <w:p>
      <w:pPr>
        <w:adjustRightInd w:val="0"/>
        <w:snapToGrid w:val="0"/>
        <w:spacing w:line="360" w:lineRule="auto"/>
        <w:ind w:firstLine="480" w:firstLineChars="200"/>
      </w:pPr>
      <w:r>
        <w:rPr>
          <w:rFonts w:hint="eastAsia"/>
        </w:rPr>
        <w:t>沙坝场乡：新建处理规模为300</w:t>
      </w:r>
      <w:r>
        <w:t>m</w:t>
      </w:r>
      <w:r>
        <w:rPr>
          <w:rFonts w:hint="eastAsia"/>
        </w:rPr>
        <w:t>³</w:t>
      </w:r>
      <w:r>
        <w:t>/d</w:t>
      </w:r>
      <w:r>
        <w:rPr>
          <w:rFonts w:hint="eastAsia"/>
        </w:rPr>
        <w:t>的污水处理厂，配套建设污水管网，将污水经管道收集送入污水处理厂处理后，排入梅子桥人工湿地进行生物进化，净化后排入新宁河。</w:t>
      </w:r>
    </w:p>
    <w:p>
      <w:pPr>
        <w:adjustRightInd w:val="0"/>
        <w:snapToGrid w:val="0"/>
        <w:spacing w:line="360" w:lineRule="auto"/>
        <w:ind w:firstLine="480" w:firstLineChars="200"/>
      </w:pPr>
      <w:r>
        <w:rPr>
          <w:rFonts w:hint="eastAsia"/>
        </w:rPr>
        <w:t>梅家乡：对现状污水管道和污水处理厂进行升级改造，提高污水厂处理规模为300</w:t>
      </w:r>
      <w:r>
        <w:t>m</w:t>
      </w:r>
      <w:r>
        <w:rPr>
          <w:rFonts w:hint="eastAsia"/>
        </w:rPr>
        <w:t>³</w:t>
      </w:r>
      <w:r>
        <w:t>/d</w:t>
      </w:r>
      <w:r>
        <w:rPr>
          <w:rFonts w:hint="eastAsia"/>
        </w:rPr>
        <w:t>，采用二级污水处理工艺。污水经污水处理厂处理后，达标排放。</w:t>
      </w:r>
    </w:p>
    <w:p>
      <w:pPr>
        <w:autoSpaceDE w:val="0"/>
        <w:autoSpaceDN w:val="0"/>
        <w:adjustRightInd w:val="0"/>
        <w:snapToGrid w:val="0"/>
        <w:spacing w:line="360" w:lineRule="auto"/>
        <w:ind w:firstLine="480" w:firstLineChars="200"/>
        <w:rPr>
          <w:rFonts w:ascii="宋体" w:hAnsi="宋体"/>
        </w:rPr>
      </w:pPr>
      <w:r>
        <w:rPr>
          <w:rFonts w:hint="eastAsia"/>
        </w:rPr>
        <w:t>程家沟村：新建一座处理规模为150</w:t>
      </w:r>
      <w:r>
        <w:t xml:space="preserve"> m</w:t>
      </w:r>
      <w:r>
        <w:rPr>
          <w:rFonts w:hint="eastAsia"/>
        </w:rPr>
        <w:t>³</w:t>
      </w:r>
      <w:r>
        <w:t>/d</w:t>
      </w:r>
      <w:r>
        <w:rPr>
          <w:rFonts w:hint="eastAsia"/>
        </w:rPr>
        <w:t>的污水处理厂，采用二级处理标准；新建一座库容约5万</w:t>
      </w:r>
      <w:r>
        <w:t>m</w:t>
      </w:r>
      <w:r>
        <w:rPr>
          <w:rFonts w:hint="eastAsia"/>
        </w:rPr>
        <w:t>³的程家沟景观湖。</w:t>
      </w:r>
      <w:r>
        <w:rPr>
          <w:rFonts w:hint="eastAsia" w:ascii="宋体" w:hAnsi="宋体"/>
        </w:rPr>
        <w:t>生活污水经宅前化粪池预处理后</w:t>
      </w:r>
      <w:r>
        <w:rPr>
          <w:rFonts w:hint="eastAsia"/>
        </w:rPr>
        <w:t>经管道收集</w:t>
      </w:r>
      <w:r>
        <w:rPr>
          <w:rFonts w:hint="eastAsia" w:ascii="宋体" w:hAnsi="宋体"/>
        </w:rPr>
        <w:t>，排入污水截流管道，</w:t>
      </w:r>
      <w:r>
        <w:rPr>
          <w:rFonts w:hint="eastAsia"/>
        </w:rPr>
        <w:t xml:space="preserve">送至污水处理厂，达标排放至景观湖，可对湖水进行中水回用。  </w:t>
      </w:r>
    </w:p>
    <w:p>
      <w:pPr>
        <w:adjustRightInd w:val="0"/>
        <w:snapToGrid w:val="0"/>
        <w:spacing w:line="360" w:lineRule="auto"/>
        <w:ind w:firstLine="480" w:firstLineChars="200"/>
      </w:pPr>
      <w:r>
        <w:rPr>
          <w:rFonts w:hint="eastAsia"/>
        </w:rPr>
        <w:t>北部村落：居民点分散的区域逐户修建化粪池，有条件的村落配套污水管道，排入就近污水管道。</w:t>
      </w:r>
    </w:p>
    <w:p>
      <w:pPr>
        <w:spacing w:line="360" w:lineRule="auto"/>
        <w:jc w:val="left"/>
        <w:rPr>
          <w:rFonts w:cs="Times New Roman"/>
          <w:b/>
          <w:bCs/>
          <w:spacing w:val="-6"/>
          <w:sz w:val="21"/>
          <w:szCs w:val="21"/>
        </w:rPr>
      </w:pPr>
    </w:p>
    <w:p>
      <w:pPr>
        <w:pStyle w:val="2"/>
        <w:jc w:val="center"/>
        <w:rPr>
          <w:rFonts w:cs="Times New Roman"/>
        </w:rPr>
      </w:pPr>
      <w:bookmarkStart w:id="73" w:name="_Toc1648"/>
      <w:r>
        <w:rPr>
          <w:rFonts w:cs="Times New Roman"/>
        </w:rPr>
        <w:br w:type="page"/>
      </w:r>
    </w:p>
    <w:p>
      <w:pPr>
        <w:pStyle w:val="2"/>
        <w:jc w:val="center"/>
        <w:rPr>
          <w:rFonts w:cs="Times New Roman"/>
        </w:rPr>
      </w:pPr>
      <w:bookmarkStart w:id="74" w:name="_Toc31251"/>
      <w:bookmarkStart w:id="75" w:name="_Toc29078"/>
      <w:r>
        <w:rPr>
          <w:rFonts w:cs="Times New Roman"/>
        </w:rPr>
        <w:t>3 饮用水水源保护区背景分析</w:t>
      </w:r>
      <w:bookmarkEnd w:id="73"/>
      <w:bookmarkEnd w:id="74"/>
      <w:bookmarkEnd w:id="75"/>
    </w:p>
    <w:p>
      <w:pPr>
        <w:pStyle w:val="3"/>
        <w:spacing w:before="0" w:after="0" w:line="360" w:lineRule="auto"/>
        <w:jc w:val="left"/>
        <w:rPr>
          <w:rFonts w:ascii="Times New Roman" w:hAnsi="Times New Roman" w:cs="Times New Roman"/>
        </w:rPr>
      </w:pPr>
      <w:bookmarkStart w:id="76" w:name="_Toc23578"/>
      <w:bookmarkStart w:id="77" w:name="_Toc5282"/>
      <w:bookmarkStart w:id="78" w:name="_Toc12849"/>
      <w:r>
        <w:rPr>
          <w:rFonts w:ascii="Times New Roman" w:hAnsi="Times New Roman" w:cs="Times New Roman"/>
        </w:rPr>
        <w:t>3.1饮用水水源地保护区所在区域的自然状况</w:t>
      </w:r>
      <w:bookmarkEnd w:id="76"/>
      <w:bookmarkEnd w:id="77"/>
      <w:bookmarkEnd w:id="78"/>
    </w:p>
    <w:p>
      <w:pPr>
        <w:pStyle w:val="4"/>
        <w:spacing w:beforeAutospacing="0" w:afterAutospacing="0" w:line="360" w:lineRule="auto"/>
        <w:rPr>
          <w:rFonts w:ascii="Times New Roman" w:hAnsi="Times New Roman" w:cs="Times New Roman"/>
        </w:rPr>
      </w:pPr>
      <w:bookmarkStart w:id="79" w:name="_Toc3211"/>
      <w:bookmarkStart w:id="80" w:name="_Toc20375"/>
      <w:bookmarkStart w:id="81" w:name="_Toc18708"/>
      <w:bookmarkStart w:id="82" w:name="_Toc5578"/>
      <w:r>
        <w:rPr>
          <w:rFonts w:ascii="Times New Roman" w:hAnsi="Times New Roman" w:cs="Times New Roman"/>
        </w:rPr>
        <w:t>3.1.1地理位置</w:t>
      </w:r>
      <w:bookmarkEnd w:id="79"/>
      <w:bookmarkEnd w:id="80"/>
      <w:bookmarkEnd w:id="81"/>
      <w:bookmarkEnd w:id="82"/>
    </w:p>
    <w:p>
      <w:pPr>
        <w:spacing w:line="360" w:lineRule="auto"/>
        <w:ind w:firstLine="480" w:firstLineChars="200"/>
        <w:rPr>
          <w:rFonts w:cs="Times New Roman"/>
          <w:color w:val="000000"/>
        </w:rPr>
      </w:pPr>
      <w:r>
        <w:rPr>
          <w:rFonts w:hint="eastAsia" w:cs="Times New Roman"/>
          <w:color w:val="000000"/>
        </w:rPr>
        <w:t>（一）开江县</w:t>
      </w:r>
    </w:p>
    <w:p>
      <w:pPr>
        <w:spacing w:line="360" w:lineRule="auto"/>
        <w:ind w:firstLine="480" w:firstLineChars="200"/>
        <w:rPr>
          <w:rFonts w:cs="Times New Roman"/>
          <w:color w:val="000000"/>
        </w:rPr>
      </w:pPr>
      <w:r>
        <w:rPr>
          <w:rFonts w:cs="Times New Roman"/>
          <w:color w:val="000000"/>
        </w:rPr>
        <w:t>开江县，隶属于四川省达州市，地处四川省东部，达州地区东南端，</w:t>
      </w:r>
      <w:r>
        <w:fldChar w:fldCharType="begin"/>
      </w:r>
      <w:r>
        <w:instrText xml:space="preserve"> HYPERLINK "http://baike.baidu.com/view/43698.htm" \t "_blank" </w:instrText>
      </w:r>
      <w:r>
        <w:fldChar w:fldCharType="separate"/>
      </w:r>
      <w:r>
        <w:rPr>
          <w:rFonts w:cs="Times New Roman"/>
          <w:color w:val="000000"/>
        </w:rPr>
        <w:t>大巴山</w:t>
      </w:r>
      <w:r>
        <w:rPr>
          <w:rFonts w:cs="Times New Roman"/>
          <w:color w:val="000000"/>
        </w:rPr>
        <w:fldChar w:fldCharType="end"/>
      </w:r>
      <w:r>
        <w:rPr>
          <w:rFonts w:cs="Times New Roman"/>
          <w:color w:val="000000"/>
        </w:rPr>
        <w:t>南麓，位于渠江支流明月江的两大源头</w:t>
      </w:r>
      <w:r>
        <w:fldChar w:fldCharType="begin"/>
      </w:r>
      <w:r>
        <w:instrText xml:space="preserve"> HYPERLINK "http://baike.baidu.com/view/7724592.htm" \t "_blank" </w:instrText>
      </w:r>
      <w:r>
        <w:fldChar w:fldCharType="separate"/>
      </w:r>
      <w:r>
        <w:rPr>
          <w:rFonts w:cs="Times New Roman"/>
          <w:color w:val="000000"/>
        </w:rPr>
        <w:t>白岩河</w:t>
      </w:r>
      <w:r>
        <w:rPr>
          <w:rFonts w:cs="Times New Roman"/>
          <w:color w:val="000000"/>
        </w:rPr>
        <w:fldChar w:fldCharType="end"/>
      </w:r>
      <w:r>
        <w:rPr>
          <w:rFonts w:cs="Times New Roman"/>
          <w:color w:val="000000"/>
        </w:rPr>
        <w:t>、新宁河流经之地。东连</w:t>
      </w:r>
      <w:r>
        <w:fldChar w:fldCharType="begin"/>
      </w:r>
      <w:r>
        <w:instrText xml:space="preserve"> HYPERLINK "http://baike.baidu.com/view/2470.htm" \t "_blank" </w:instrText>
      </w:r>
      <w:r>
        <w:fldChar w:fldCharType="separate"/>
      </w:r>
      <w:r>
        <w:rPr>
          <w:rFonts w:cs="Times New Roman"/>
          <w:color w:val="000000"/>
        </w:rPr>
        <w:t>开县</w:t>
      </w:r>
      <w:r>
        <w:rPr>
          <w:rFonts w:cs="Times New Roman"/>
          <w:color w:val="000000"/>
        </w:rPr>
        <w:fldChar w:fldCharType="end"/>
      </w:r>
      <w:r>
        <w:rPr>
          <w:rFonts w:cs="Times New Roman"/>
          <w:color w:val="000000"/>
        </w:rPr>
        <w:t>，南临梁平，西接</w:t>
      </w:r>
      <w:r>
        <w:fldChar w:fldCharType="begin"/>
      </w:r>
      <w:r>
        <w:instrText xml:space="preserve"> HYPERLINK "http://baike.baidu.com/view/341499.htm" \t "_blank" </w:instrText>
      </w:r>
      <w:r>
        <w:fldChar w:fldCharType="separate"/>
      </w:r>
      <w:r>
        <w:rPr>
          <w:rFonts w:cs="Times New Roman"/>
          <w:color w:val="000000"/>
        </w:rPr>
        <w:t>达县</w:t>
      </w:r>
      <w:r>
        <w:rPr>
          <w:rFonts w:cs="Times New Roman"/>
          <w:color w:val="000000"/>
        </w:rPr>
        <w:fldChar w:fldCharType="end"/>
      </w:r>
      <w:r>
        <w:rPr>
          <w:rFonts w:cs="Times New Roman"/>
          <w:color w:val="000000"/>
        </w:rPr>
        <w:t>，北依宣汉。县域介于东经107°42′至108°05′、北纬30°47′至31°15′之间。东西宽36.5千米，南北长51.5千米。开江县全境幅员面积1032.55平方千米，截至2013年，开江县辖10镇10乡，194个行政村，21个社区居委会、1512个村民组。</w:t>
      </w:r>
    </w:p>
    <w:p>
      <w:pPr>
        <w:spacing w:line="360" w:lineRule="auto"/>
        <w:ind w:firstLine="480" w:firstLineChars="200"/>
        <w:rPr>
          <w:rFonts w:cs="Times New Roman"/>
          <w:color w:val="000000"/>
        </w:rPr>
      </w:pPr>
      <w:r>
        <w:rPr>
          <w:rFonts w:cs="Times New Roman"/>
          <w:color w:val="000000"/>
        </w:rPr>
        <w:t>10个镇:</w:t>
      </w:r>
      <w:r>
        <w:fldChar w:fldCharType="begin"/>
      </w:r>
      <w:r>
        <w:instrText xml:space="preserve"> HYPERLINK "https://baike.so.com/doc/5364184-8707475.html" \t "https://baike.so.com/doc/_blank" </w:instrText>
      </w:r>
      <w:r>
        <w:fldChar w:fldCharType="separate"/>
      </w:r>
      <w:r>
        <w:rPr>
          <w:rFonts w:cs="Times New Roman"/>
          <w:color w:val="000000"/>
        </w:rPr>
        <w:t>新宁镇</w:t>
      </w:r>
      <w:r>
        <w:rPr>
          <w:rFonts w:cs="Times New Roman"/>
          <w:color w:val="000000"/>
        </w:rPr>
        <w:fldChar w:fldCharType="end"/>
      </w:r>
      <w:r>
        <w:rPr>
          <w:rFonts w:cs="Times New Roman"/>
          <w:color w:val="000000"/>
        </w:rPr>
        <w:t>、</w:t>
      </w:r>
      <w:r>
        <w:fldChar w:fldCharType="begin"/>
      </w:r>
      <w:r>
        <w:instrText xml:space="preserve"> HYPERLINK "https://baike.so.com/doc/5842927-6055762.html" \t "https://baike.so.com/doc/_blank" </w:instrText>
      </w:r>
      <w:r>
        <w:fldChar w:fldCharType="separate"/>
      </w:r>
      <w:r>
        <w:rPr>
          <w:rFonts w:cs="Times New Roman"/>
          <w:color w:val="000000"/>
        </w:rPr>
        <w:t>普安镇</w:t>
      </w:r>
      <w:r>
        <w:rPr>
          <w:rFonts w:cs="Times New Roman"/>
          <w:color w:val="000000"/>
        </w:rPr>
        <w:fldChar w:fldCharType="end"/>
      </w:r>
      <w:r>
        <w:rPr>
          <w:rFonts w:cs="Times New Roman"/>
          <w:color w:val="000000"/>
        </w:rPr>
        <w:t>、</w:t>
      </w:r>
      <w:r>
        <w:fldChar w:fldCharType="begin"/>
      </w:r>
      <w:r>
        <w:instrText xml:space="preserve"> HYPERLINK "https://baike.so.com/doc/6883435-7100926.html" \t "https://baike.so.com/doc/_blank" </w:instrText>
      </w:r>
      <w:r>
        <w:fldChar w:fldCharType="separate"/>
      </w:r>
      <w:r>
        <w:rPr>
          <w:rFonts w:cs="Times New Roman"/>
          <w:color w:val="000000"/>
        </w:rPr>
        <w:t>任市镇</w:t>
      </w:r>
      <w:r>
        <w:rPr>
          <w:rFonts w:cs="Times New Roman"/>
          <w:color w:val="000000"/>
        </w:rPr>
        <w:fldChar w:fldCharType="end"/>
      </w:r>
      <w:r>
        <w:rPr>
          <w:rFonts w:cs="Times New Roman"/>
          <w:color w:val="000000"/>
        </w:rPr>
        <w:t>、回龙镇、</w:t>
      </w:r>
      <w:r>
        <w:fldChar w:fldCharType="begin"/>
      </w:r>
      <w:r>
        <w:instrText xml:space="preserve"> HYPERLINK "https://baike.so.com/doc/7656098-7930193.html" \t "https://baike.so.com/doc/_blank" </w:instrText>
      </w:r>
      <w:r>
        <w:fldChar w:fldCharType="separate"/>
      </w:r>
      <w:r>
        <w:rPr>
          <w:rFonts w:cs="Times New Roman"/>
          <w:color w:val="000000"/>
        </w:rPr>
        <w:t>天师镇</w:t>
      </w:r>
      <w:r>
        <w:rPr>
          <w:rFonts w:cs="Times New Roman"/>
          <w:color w:val="000000"/>
        </w:rPr>
        <w:fldChar w:fldCharType="end"/>
      </w:r>
      <w:r>
        <w:rPr>
          <w:rFonts w:cs="Times New Roman"/>
          <w:color w:val="000000"/>
        </w:rPr>
        <w:t>、永兴镇、</w:t>
      </w:r>
      <w:r>
        <w:fldChar w:fldCharType="begin"/>
      </w:r>
      <w:r>
        <w:instrText xml:space="preserve"> HYPERLINK "https://baike.so.com/doc/5303584-5538400.html" \t "https://baike.so.com/doc/_blank" </w:instrText>
      </w:r>
      <w:r>
        <w:fldChar w:fldCharType="separate"/>
      </w:r>
      <w:r>
        <w:rPr>
          <w:rFonts w:cs="Times New Roman"/>
          <w:color w:val="000000"/>
        </w:rPr>
        <w:t>讲治镇</w:t>
      </w:r>
      <w:r>
        <w:rPr>
          <w:rFonts w:cs="Times New Roman"/>
          <w:color w:val="000000"/>
        </w:rPr>
        <w:fldChar w:fldCharType="end"/>
      </w:r>
      <w:r>
        <w:rPr>
          <w:rFonts w:cs="Times New Roman"/>
          <w:color w:val="000000"/>
        </w:rPr>
        <w:t>、甘棠镇、广福镇、长岭镇</w:t>
      </w:r>
    </w:p>
    <w:p>
      <w:pPr>
        <w:spacing w:line="360" w:lineRule="auto"/>
        <w:ind w:firstLine="480" w:firstLineChars="200"/>
        <w:rPr>
          <w:rFonts w:cs="Times New Roman"/>
          <w:color w:val="000000"/>
        </w:rPr>
      </w:pPr>
      <w:r>
        <w:rPr>
          <w:rFonts w:cs="Times New Roman"/>
          <w:color w:val="000000"/>
        </w:rPr>
        <w:t>10个乡:骑龙乡、长田乡、</w:t>
      </w:r>
      <w:r>
        <w:fldChar w:fldCharType="begin"/>
      </w:r>
      <w:r>
        <w:instrText xml:space="preserve"> HYPERLINK "https://baike.so.com/doc/8152360-8469347.html" \t "https://baike.so.com/doc/_blank" </w:instrText>
      </w:r>
      <w:r>
        <w:fldChar w:fldCharType="separate"/>
      </w:r>
      <w:r>
        <w:rPr>
          <w:rFonts w:cs="Times New Roman"/>
          <w:color w:val="000000"/>
        </w:rPr>
        <w:t>新太乡</w:t>
      </w:r>
      <w:r>
        <w:rPr>
          <w:rFonts w:cs="Times New Roman"/>
          <w:color w:val="000000"/>
        </w:rPr>
        <w:fldChar w:fldCharType="end"/>
      </w:r>
      <w:r>
        <w:rPr>
          <w:rFonts w:cs="Times New Roman"/>
          <w:color w:val="000000"/>
        </w:rPr>
        <w:t>、灵岩乡、</w:t>
      </w:r>
      <w:r>
        <w:fldChar w:fldCharType="begin"/>
      </w:r>
      <w:r>
        <w:instrText xml:space="preserve"> HYPERLINK "https://baike.so.com/doc/1205562-1275324.html" \t "https://baike.so.com/doc/_blank" </w:instrText>
      </w:r>
      <w:r>
        <w:fldChar w:fldCharType="separate"/>
      </w:r>
      <w:r>
        <w:rPr>
          <w:rFonts w:cs="Times New Roman"/>
          <w:color w:val="000000"/>
        </w:rPr>
        <w:t>梅家乡</w:t>
      </w:r>
      <w:r>
        <w:rPr>
          <w:rFonts w:cs="Times New Roman"/>
          <w:color w:val="000000"/>
        </w:rPr>
        <w:fldChar w:fldCharType="end"/>
      </w:r>
      <w:r>
        <w:rPr>
          <w:rFonts w:cs="Times New Roman"/>
          <w:color w:val="000000"/>
        </w:rPr>
        <w:t>、沙坝场乡、新街乡、靖安乡、拔妙乡、宝石乡</w:t>
      </w:r>
    </w:p>
    <w:p>
      <w:pPr>
        <w:adjustRightInd w:val="0"/>
        <w:snapToGrid w:val="0"/>
        <w:spacing w:line="360" w:lineRule="auto"/>
        <w:ind w:firstLine="480" w:firstLineChars="200"/>
      </w:pPr>
      <w:r>
        <w:rPr>
          <w:rFonts w:hint="eastAsia"/>
        </w:rPr>
        <w:t>（二）宝石水库</w:t>
      </w:r>
    </w:p>
    <w:p>
      <w:pPr>
        <w:adjustRightInd w:val="0"/>
        <w:snapToGrid w:val="0"/>
        <w:spacing w:line="360" w:lineRule="auto"/>
        <w:ind w:firstLine="480" w:firstLineChars="200"/>
      </w:pPr>
      <w:r>
        <w:rPr>
          <w:rFonts w:hint="eastAsia"/>
        </w:rPr>
        <w:t>宝石水库地处开江县中东部，位于渠江水系明月江上游的白岩河，发源于开江县与开县交界的毛坪附近，距开江县城</w:t>
      </w:r>
      <w:r>
        <w:t>18</w:t>
      </w:r>
      <w:r>
        <w:rPr>
          <w:rFonts w:hint="eastAsia"/>
        </w:rPr>
        <w:t>km，有柏油公路相通。宝石水库水利是建于</w:t>
      </w:r>
      <w:r>
        <w:t>1958</w:t>
      </w:r>
      <w:r>
        <w:rPr>
          <w:rFonts w:hint="eastAsia"/>
        </w:rPr>
        <w:t>年，以灌溉为主，集城镇生活用水、发电、旅游等多功能为一体的大型水库</w:t>
      </w:r>
      <w:r>
        <w:rPr>
          <w:rFonts w:hint="eastAsia" w:ascii="宋体" w:hAnsi="宋体"/>
        </w:rPr>
        <w:t>，集雨面积162</w:t>
      </w:r>
      <w:r>
        <w:rPr>
          <w:rFonts w:ascii="宋体" w:hAnsi="宋体"/>
        </w:rPr>
        <w:t xml:space="preserve"> km</w:t>
      </w:r>
      <w:r>
        <w:rPr>
          <w:rFonts w:hint="eastAsia" w:ascii="宋体" w:hAnsi="宋体"/>
          <w:vertAlign w:val="superscript"/>
        </w:rPr>
        <w:t>2</w:t>
      </w:r>
      <w:r>
        <w:rPr>
          <w:rFonts w:hint="eastAsia" w:ascii="宋体" w:hAnsi="宋体"/>
        </w:rPr>
        <w:t>，水域面积</w:t>
      </w:r>
      <w:r>
        <w:rPr>
          <w:rFonts w:hint="eastAsia"/>
        </w:rPr>
        <w:t>约8</w:t>
      </w:r>
      <w:r>
        <w:rPr>
          <w:rFonts w:ascii="宋体" w:hAnsi="宋体"/>
        </w:rPr>
        <w:t xml:space="preserve"> km</w:t>
      </w:r>
      <w:r>
        <w:rPr>
          <w:rFonts w:hint="eastAsia" w:ascii="宋体" w:hAnsi="宋体"/>
          <w:vertAlign w:val="superscript"/>
        </w:rPr>
        <w:t>2</w:t>
      </w:r>
      <w:r>
        <w:rPr>
          <w:rFonts w:hint="eastAsia"/>
        </w:rPr>
        <w:t>，库岸线长153km</w:t>
      </w:r>
      <w:r>
        <w:rPr>
          <w:rFonts w:hint="eastAsia"/>
          <w:szCs w:val="28"/>
        </w:rPr>
        <w:t>，</w:t>
      </w:r>
      <w:r>
        <w:rPr>
          <w:rFonts w:hint="eastAsia" w:ascii="宋体" w:hAnsi="宋体"/>
        </w:rPr>
        <w:t>水库</w:t>
      </w:r>
      <w:r>
        <w:rPr>
          <w:rFonts w:hint="eastAsia"/>
        </w:rPr>
        <w:t>正常蓄水位</w:t>
      </w:r>
      <w:r>
        <w:t>481.94</w:t>
      </w:r>
      <w:r>
        <w:rPr>
          <w:rFonts w:hint="eastAsia"/>
        </w:rPr>
        <w:t>m，总库容量</w:t>
      </w:r>
      <w:r>
        <w:t>1.007</w:t>
      </w:r>
      <w:r>
        <w:rPr>
          <w:rFonts w:hint="eastAsia"/>
        </w:rPr>
        <w:t>亿</w:t>
      </w:r>
      <w:r>
        <w:t>m</w:t>
      </w:r>
      <w:r>
        <w:rPr>
          <w:rFonts w:hint="eastAsia"/>
          <w:vertAlign w:val="superscript"/>
        </w:rPr>
        <w:t>3</w:t>
      </w:r>
      <w:r>
        <w:rPr>
          <w:rFonts w:hint="eastAsia"/>
        </w:rPr>
        <w:t>，有效库容</w:t>
      </w:r>
      <w:r>
        <w:t>7190</w:t>
      </w:r>
      <w:r>
        <w:rPr>
          <w:rFonts w:hint="eastAsia"/>
        </w:rPr>
        <w:t>万</w:t>
      </w:r>
      <w:r>
        <w:t>m</w:t>
      </w:r>
      <w:r>
        <w:rPr>
          <w:rFonts w:hint="eastAsia"/>
          <w:vertAlign w:val="superscript"/>
        </w:rPr>
        <w:t>3</w:t>
      </w:r>
      <w:r>
        <w:rPr>
          <w:rFonts w:hint="eastAsia"/>
        </w:rPr>
        <w:t>，设计灌溉面积132.67</w:t>
      </w:r>
      <w:r>
        <w:rPr>
          <w:rFonts w:ascii="宋体" w:hAnsi="宋体"/>
        </w:rPr>
        <w:t>km</w:t>
      </w:r>
      <w:r>
        <w:rPr>
          <w:rFonts w:hint="eastAsia" w:ascii="宋体" w:hAnsi="宋体"/>
          <w:vertAlign w:val="superscript"/>
        </w:rPr>
        <w:t>2</w:t>
      </w:r>
      <w:r>
        <w:rPr>
          <w:rFonts w:hint="eastAsia"/>
        </w:rPr>
        <w:t>，多年平均径流量</w:t>
      </w:r>
      <w:r>
        <w:t>9573</w:t>
      </w:r>
      <w:r>
        <w:rPr>
          <w:rFonts w:hint="eastAsia"/>
        </w:rPr>
        <w:t>万</w:t>
      </w:r>
      <w:r>
        <w:t>m</w:t>
      </w:r>
      <w:r>
        <w:rPr>
          <w:rFonts w:hint="eastAsia"/>
          <w:vertAlign w:val="superscript"/>
        </w:rPr>
        <w:t>3</w:t>
      </w:r>
      <w:r>
        <w:rPr>
          <w:rFonts w:hint="eastAsia"/>
        </w:rPr>
        <w:t>。库内有三条主要河流，其中沙坝河长</w:t>
      </w:r>
      <w:r>
        <w:t>13</w:t>
      </w:r>
      <w:r>
        <w:rPr>
          <w:rFonts w:hint="eastAsia"/>
        </w:rPr>
        <w:t>km，梅家河长</w:t>
      </w:r>
      <w:r>
        <w:t>28</w:t>
      </w:r>
      <w:r>
        <w:rPr>
          <w:rFonts w:hint="eastAsia"/>
        </w:rPr>
        <w:t>km，中心河长</w:t>
      </w:r>
      <w:r>
        <w:t>15</w:t>
      </w:r>
      <w:r>
        <w:rPr>
          <w:rFonts w:hint="eastAsia"/>
        </w:rPr>
        <w:t>km。宝石桥水库供水量</w:t>
      </w:r>
      <w:r>
        <w:t>0.5m</w:t>
      </w:r>
      <w:r>
        <w:rPr>
          <w:vertAlign w:val="superscript"/>
        </w:rPr>
        <w:t>3</w:t>
      </w:r>
      <w:r>
        <w:t>/s</w:t>
      </w:r>
      <w:r>
        <w:rPr>
          <w:rFonts w:hint="eastAsia"/>
        </w:rPr>
        <w:t>，供给城镇水量为</w:t>
      </w:r>
      <w:r>
        <w:t>1000</w:t>
      </w:r>
      <w:r>
        <w:rPr>
          <w:rFonts w:hint="eastAsia"/>
        </w:rPr>
        <w:t>万</w:t>
      </w:r>
      <w:r>
        <w:t>t/a</w:t>
      </w:r>
      <w:r>
        <w:rPr>
          <w:rFonts w:hint="eastAsia"/>
        </w:rPr>
        <w:t>，用于农业灌溉的水量为</w:t>
      </w:r>
      <w:r>
        <w:t>2000</w:t>
      </w:r>
      <w:r>
        <w:rPr>
          <w:rFonts w:hint="eastAsia"/>
        </w:rPr>
        <w:t>万</w:t>
      </w:r>
      <w:r>
        <w:t>t/a</w:t>
      </w:r>
      <w:r>
        <w:rPr>
          <w:rFonts w:hint="eastAsia"/>
        </w:rPr>
        <w:t>，水库年径流深</w:t>
      </w:r>
      <w:r>
        <w:t>590.9mm</w:t>
      </w:r>
      <w:r>
        <w:rPr>
          <w:rFonts w:hint="eastAsia"/>
        </w:rPr>
        <w:t>，多年平均径流总量</w:t>
      </w:r>
      <w:r>
        <w:t>9573</w:t>
      </w:r>
      <w:r>
        <w:rPr>
          <w:rFonts w:hint="eastAsia"/>
        </w:rPr>
        <w:t>万</w:t>
      </w:r>
      <w:r>
        <w:t>m</w:t>
      </w:r>
      <w:r>
        <w:rPr>
          <w:rFonts w:hint="eastAsia"/>
          <w:vertAlign w:val="superscript"/>
        </w:rPr>
        <w:t>3</w:t>
      </w:r>
      <w:r>
        <w:rPr>
          <w:rFonts w:hint="eastAsia"/>
        </w:rPr>
        <w:t>，多年平均输沙量</w:t>
      </w:r>
      <w:r>
        <w:t>61.4</w:t>
      </w:r>
      <w:r>
        <w:rPr>
          <w:rFonts w:hint="eastAsia"/>
        </w:rPr>
        <w:t>万t。</w:t>
      </w:r>
    </w:p>
    <w:p>
      <w:pPr>
        <w:adjustRightInd w:val="0"/>
        <w:snapToGrid w:val="0"/>
        <w:spacing w:line="360" w:lineRule="auto"/>
        <w:ind w:firstLine="480" w:firstLineChars="200"/>
        <w:jc w:val="left"/>
        <w:rPr>
          <w:rFonts w:cs="Times New Roman"/>
        </w:rPr>
      </w:pPr>
      <w:r>
        <w:rPr>
          <w:rFonts w:hint="eastAsia"/>
        </w:rPr>
        <w:t>水库坝址在宝石乡万善桥上游</w:t>
      </w:r>
      <w:r>
        <w:t>300m</w:t>
      </w:r>
      <w:r>
        <w:rPr>
          <w:rFonts w:hint="eastAsia"/>
        </w:rPr>
        <w:t>处，地理坐标为东经</w:t>
      </w:r>
      <w:r>
        <w:t>107</w:t>
      </w:r>
      <w:r>
        <w:rPr>
          <w:rFonts w:hint="eastAsia"/>
        </w:rPr>
        <w:t>°</w:t>
      </w:r>
      <w:r>
        <w:t>58</w:t>
      </w:r>
      <w:r>
        <w:rPr>
          <w:rFonts w:hint="eastAsia"/>
        </w:rPr>
        <w:t>′</w:t>
      </w:r>
      <w:r>
        <w:t>30</w:t>
      </w:r>
      <w:r>
        <w:rPr>
          <w:rFonts w:hint="eastAsia"/>
        </w:rPr>
        <w:t>″，北纬</w:t>
      </w:r>
      <w:r>
        <w:t>30</w:t>
      </w:r>
      <w:r>
        <w:rPr>
          <w:rFonts w:hint="eastAsia"/>
        </w:rPr>
        <w:t>°</w:t>
      </w:r>
      <w:r>
        <w:t>03</w:t>
      </w:r>
      <w:r>
        <w:rPr>
          <w:rFonts w:hint="eastAsia"/>
        </w:rPr>
        <w:t>′</w:t>
      </w:r>
      <w:r>
        <w:t>36</w:t>
      </w:r>
      <w:r>
        <w:rPr>
          <w:rFonts w:hint="eastAsia"/>
        </w:rPr>
        <w:t>″。宝石水库距达州河市机场</w:t>
      </w:r>
      <w:r>
        <w:t>98km</w:t>
      </w:r>
      <w:r>
        <w:rPr>
          <w:rFonts w:hint="eastAsia"/>
        </w:rPr>
        <w:t>，河市机场有直达北京、上海、广州、昆明、深圳等城市的航班；距达州市火车站</w:t>
      </w:r>
      <w:r>
        <w:t>88.4km</w:t>
      </w:r>
      <w:r>
        <w:rPr>
          <w:rFonts w:hint="eastAsia"/>
        </w:rPr>
        <w:t>，距开江火车站</w:t>
      </w:r>
      <w:r>
        <w:rPr>
          <w:sz w:val="24"/>
        </w:rPr>
        <mc:AlternateContent>
          <mc:Choice Requires="wps">
            <w:drawing>
              <wp:anchor distT="0" distB="0" distL="114300" distR="114300" simplePos="0" relativeHeight="251671552" behindDoc="0" locked="0" layoutInCell="1" allowOverlap="1">
                <wp:simplePos x="0" y="0"/>
                <wp:positionH relativeFrom="column">
                  <wp:posOffset>2091690</wp:posOffset>
                </wp:positionH>
                <wp:positionV relativeFrom="paragraph">
                  <wp:posOffset>3244215</wp:posOffset>
                </wp:positionV>
                <wp:extent cx="1720215" cy="311150"/>
                <wp:effectExtent l="0" t="0" r="1905" b="8890"/>
                <wp:wrapNone/>
                <wp:docPr id="26" name="文本框 26"/>
                <wp:cNvGraphicFramePr/>
                <a:graphic xmlns:a="http://schemas.openxmlformats.org/drawingml/2006/main">
                  <a:graphicData uri="http://schemas.microsoft.com/office/word/2010/wordprocessingShape">
                    <wps:wsp>
                      <wps:cNvSpPr txBox="1"/>
                      <wps:spPr>
                        <a:xfrm>
                          <a:off x="3458845" y="4222115"/>
                          <a:ext cx="1720215" cy="31115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FF0000"/>
                                <w:lang w:eastAsia="zh-CN"/>
                              </w:rPr>
                            </w:pPr>
                            <w:r>
                              <w:rPr>
                                <w:rFonts w:hint="eastAsia"/>
                                <w:color w:val="FF0000"/>
                                <w:lang w:eastAsia="zh-CN"/>
                              </w:rPr>
                              <w:t>宝石桥水库所在地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7pt;margin-top:255.45pt;height:24.5pt;width:135.45pt;z-index:251671552;mso-width-relative:page;mso-height-relative:page;" filled="f" stroked="f" coordsize="21600,21600" o:gfxdata="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H+3mB2wAAAAsBAAAPAAAAAAAAAAEAIAAAACIAAABkcnMvZG93bnJldi54bWxQSwECFAAUAAAA&#10;CACHTuJAGCRGI5YCAAAOBQAADgAAAAAAAAABACAAAAAqAQAAZHJzL2Uyb0RvYy54bWxQSwUGAAAA&#10;AAYABgBZAQAAMgYAAAAA&#10;">
                <v:fill on="f" focussize="0,0"/>
                <v:stroke on="f" weight="0.5pt"/>
                <v:imagedata o:title=""/>
                <o:lock v:ext="edit" aspectratio="f"/>
                <v:textbox>
                  <w:txbxContent>
                    <w:p>
                      <w:pPr>
                        <w:rPr>
                          <w:rFonts w:hint="eastAsia" w:eastAsiaTheme="minorEastAsia"/>
                          <w:color w:val="FF0000"/>
                          <w:lang w:eastAsia="zh-CN"/>
                        </w:rPr>
                      </w:pPr>
                      <w:r>
                        <w:rPr>
                          <w:rFonts w:hint="eastAsia"/>
                          <w:color w:val="FF0000"/>
                          <w:lang w:eastAsia="zh-CN"/>
                        </w:rPr>
                        <w:t>宝石桥水库所在地</w:t>
                      </w: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2358390</wp:posOffset>
                </wp:positionH>
                <wp:positionV relativeFrom="paragraph">
                  <wp:posOffset>3513455</wp:posOffset>
                </wp:positionV>
                <wp:extent cx="730250" cy="0"/>
                <wp:effectExtent l="0" t="0" r="0" b="0"/>
                <wp:wrapNone/>
                <wp:docPr id="25" name="直接连接符 25"/>
                <wp:cNvGraphicFramePr/>
                <a:graphic xmlns:a="http://schemas.openxmlformats.org/drawingml/2006/main">
                  <a:graphicData uri="http://schemas.microsoft.com/office/word/2010/wordprocessingShape">
                    <wps:wsp>
                      <wps:cNvCnPr/>
                      <wps:spPr>
                        <a:xfrm flipH="1">
                          <a:off x="3503295" y="4427855"/>
                          <a:ext cx="7302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85.7pt;margin-top:276.65pt;height:0pt;width:57.5pt;z-index:251670528;mso-width-relative:page;mso-height-relative:page;" filled="f" stroked="t" coordsize="21600,21600" o:gfxdata="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rt6K1wAAAAsB&#10;AAAPAAAAAAAAAAEAIAAAACIAAABkcnMvZG93bnJldi54bWxQSwECFAAUAAAACACHTuJAmBQQp+MB&#10;AAB6AwAADgAAAAAAAAABACAAAAAmAQAAZHJzL2Uyb0RvYy54bWxQSwUGAAAAAAYABgBZAQAAewUA&#10;AAAA&#10;">
                <v:fill on="f" focussize="0,0"/>
                <v:stroke weight="0.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3101340</wp:posOffset>
                </wp:positionH>
                <wp:positionV relativeFrom="paragraph">
                  <wp:posOffset>3526155</wp:posOffset>
                </wp:positionV>
                <wp:extent cx="196215" cy="263525"/>
                <wp:effectExtent l="3810" t="2540" r="13335" b="8255"/>
                <wp:wrapNone/>
                <wp:docPr id="24" name="直接连接符 24"/>
                <wp:cNvGraphicFramePr/>
                <a:graphic xmlns:a="http://schemas.openxmlformats.org/drawingml/2006/main">
                  <a:graphicData uri="http://schemas.microsoft.com/office/word/2010/wordprocessingShape">
                    <wps:wsp>
                      <wps:cNvCnPr>
                        <a:stCxn id="22" idx="4"/>
                      </wps:cNvCnPr>
                      <wps:spPr>
                        <a:xfrm flipH="1" flipV="1">
                          <a:off x="4284345" y="4453255"/>
                          <a:ext cx="196215" cy="263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44.2pt;margin-top:277.65pt;height:20.75pt;width:15.45pt;z-index:251669504;mso-width-relative:page;mso-height-relative:page;" filled="f" stroked="t" coordsize="21600,21600" o:gfxdata="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qml4tkAAAALAQAADwAAAAAAAAABACAAAAAiAAAAZHJzL2Rvd25yZXYueG1s&#10;UEsBAhQAFAAAAAgAh07iQCR1Be33AQAAsAMAAA4AAAAAAAAAAQAgAAAAKAEAAGRycy9lMm9Eb2Mu&#10;eG1sUEsFBgAAAAAGAAYAWQEAAJEFAAAAAA==&#10;">
                <v:fill on="f" focussize="0,0"/>
                <v:stroke weight="0.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3221990</wp:posOffset>
                </wp:positionH>
                <wp:positionV relativeFrom="paragraph">
                  <wp:posOffset>3761105</wp:posOffset>
                </wp:positionV>
                <wp:extent cx="75565" cy="75565"/>
                <wp:effectExtent l="19050" t="21590" r="27305" b="24765"/>
                <wp:wrapNone/>
                <wp:docPr id="22" name="五角星 22"/>
                <wp:cNvGraphicFramePr/>
                <a:graphic xmlns:a="http://schemas.openxmlformats.org/drawingml/2006/main">
                  <a:graphicData uri="http://schemas.microsoft.com/office/word/2010/wordprocessingShape">
                    <wps:wsp>
                      <wps:cNvSpPr/>
                      <wps:spPr>
                        <a:xfrm>
                          <a:off x="4385945" y="4751705"/>
                          <a:ext cx="75565" cy="75565"/>
                        </a:xfrm>
                        <a:prstGeom prst="star5">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3.7pt;margin-top:296.15pt;height:5.95pt;width:5.95pt;z-index:251668480;v-text-anchor:middle;mso-width-relative:page;mso-height-relative:page;" fillcolor="#5B9BD5 [3204]" filled="t" stroked="t" coordsize="75565,75565" o:gfxdata="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oqdjLZAAAACwEAAA8AAAAAAAAAAQAgAAAAIgAAAGRycy9kb3ducmV2Lnht&#10;bFBLAQIUABQAAAAIAIdO4kAw+VGMagIAALUEAAAOAAAAAAAAAAEAIAAAACgBAABkcnMvZTJvRG9j&#10;LnhtbFBLBQYAAAAABgAGAFkBAAAEBgAAAAA=&#10;" path="m0,28863l28863,28863,37782,0,46701,28863,75564,28863,52213,46701,61133,75564,37782,57726,14431,75564,23351,46701xe">
                <v:path o:connectlocs="37782,0;0,28863;14431,75564;61133,75564;75564,28863" o:connectangles="247,164,82,82,0"/>
                <v:fill on="t" focussize="0,0"/>
                <v:stroke weight="1pt" color="#FF0000 [3204]" miterlimit="8" joinstyle="miter"/>
                <v:imagedata o:title=""/>
                <o:lock v:ext="edit" aspectratio="f"/>
              </v:shape>
            </w:pict>
          </mc:Fallback>
        </mc:AlternateContent>
      </w:r>
      <w:r>
        <w:t>25km</w:t>
      </w:r>
      <w:r>
        <w:rPr>
          <w:rFonts w:hint="eastAsia"/>
        </w:rPr>
        <w:t>；南侧有万广高速、S202、S102通过，规划区内有X030县道通过，北侧有X028县道通过，对外交通条件较为优越。</w:t>
      </w:r>
      <w:r>
        <w:rPr>
          <w:rFonts w:cs="Times New Roman"/>
        </w:rPr>
        <w:drawing>
          <wp:inline distT="0" distB="0" distL="114300" distR="114300">
            <wp:extent cx="5034280" cy="7172325"/>
            <wp:effectExtent l="0" t="0" r="10160" b="5715"/>
            <wp:docPr id="3" name="图片 3" descr="开江行政区划图(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开江行政区划图(改）"/>
                    <pic:cNvPicPr>
                      <a:picLocks noChangeAspect="1"/>
                    </pic:cNvPicPr>
                  </pic:nvPicPr>
                  <pic:blipFill>
                    <a:blip r:embed="rId23"/>
                    <a:srcRect l="4170" t="3031" b="3691"/>
                    <a:stretch>
                      <a:fillRect/>
                    </a:stretch>
                  </pic:blipFill>
                  <pic:spPr>
                    <a:xfrm>
                      <a:off x="0" y="0"/>
                      <a:ext cx="5034280" cy="7172325"/>
                    </a:xfrm>
                    <a:prstGeom prst="rect">
                      <a:avLst/>
                    </a:prstGeom>
                  </pic:spPr>
                </pic:pic>
              </a:graphicData>
            </a:graphic>
          </wp:inline>
        </w:drawing>
      </w:r>
    </w:p>
    <w:p>
      <w:pPr>
        <w:jc w:val="center"/>
        <w:rPr>
          <w:rFonts w:cs="Times New Roman"/>
          <w:b/>
          <w:sz w:val="22"/>
        </w:rPr>
      </w:pPr>
      <w:r>
        <w:rPr>
          <w:rFonts w:cs="Times New Roman"/>
          <w:b/>
          <w:sz w:val="22"/>
        </w:rPr>
        <w:t>图3-1 开江县行政区划图</w:t>
      </w:r>
    </w:p>
    <w:p>
      <w:pPr>
        <w:pStyle w:val="4"/>
        <w:spacing w:beforeAutospacing="0" w:afterAutospacing="0" w:line="360" w:lineRule="auto"/>
        <w:rPr>
          <w:rFonts w:ascii="Times New Roman" w:hAnsi="Times New Roman" w:cs="Times New Roman"/>
        </w:rPr>
      </w:pPr>
      <w:bookmarkStart w:id="83" w:name="_Toc1909"/>
      <w:bookmarkStart w:id="84" w:name="_Toc30900"/>
      <w:bookmarkStart w:id="85" w:name="_Toc15091"/>
      <w:r>
        <w:rPr>
          <w:rFonts w:ascii="Times New Roman" w:hAnsi="Times New Roman" w:cs="Times New Roman"/>
        </w:rPr>
        <w:t>3.1.2气候特征</w:t>
      </w:r>
      <w:bookmarkEnd w:id="83"/>
      <w:bookmarkEnd w:id="84"/>
      <w:bookmarkEnd w:id="85"/>
    </w:p>
    <w:p>
      <w:pPr>
        <w:spacing w:line="360" w:lineRule="auto"/>
        <w:ind w:firstLine="480" w:firstLineChars="200"/>
        <w:rPr>
          <w:rFonts w:cs="Times New Roman"/>
          <w:color w:val="000000"/>
        </w:rPr>
      </w:pPr>
      <w:bookmarkStart w:id="86" w:name="_Toc30855"/>
      <w:r>
        <w:rPr>
          <w:rFonts w:cs="Times New Roman"/>
          <w:color w:val="000000"/>
        </w:rPr>
        <w:t>开江县属四川盆地中亚热带湿润气候区，气候温和，热量丰富，雨量充沛，多年平均气温16.6℃，最高气温39.8℃，最低气温-4.3℃；月平均最热月7月为27.1℃，最冷月1月为5.4℃。多年平均降雨量为1259.40mm，其中70%降雨集中在5~9月；同时降雨在地区分布上是东北向西南递减，即东北的梅家、沙坝、宝石、讲治雨量较多；拔妙、长岭、广福次之为1250mm左右；天师、骑龙、普安、永兴、靖安、任市、新街及</w:t>
      </w:r>
      <w:r>
        <w:fldChar w:fldCharType="begin"/>
      </w:r>
      <w:r>
        <w:instrText xml:space="preserve"> HYPERLINK "http://baike.baidu.com/view/246993.htm" \t "_blank" </w:instrText>
      </w:r>
      <w:r>
        <w:fldChar w:fldCharType="separate"/>
      </w:r>
      <w:r>
        <w:rPr>
          <w:rFonts w:cs="Times New Roman"/>
          <w:color w:val="000000"/>
        </w:rPr>
        <w:t>西南地区</w:t>
      </w:r>
      <w:r>
        <w:rPr>
          <w:rFonts w:cs="Times New Roman"/>
          <w:color w:val="000000"/>
        </w:rPr>
        <w:fldChar w:fldCharType="end"/>
      </w:r>
      <w:r>
        <w:rPr>
          <w:rFonts w:cs="Times New Roman"/>
          <w:color w:val="000000"/>
        </w:rPr>
        <w:t>雨量较少。多年平均日照时数1386.6小时，无霜期为282.60天，季风气候显著。年总辐射量91.70千卡/平方厘米，年内四季分明，冬季少霜雪，多云雾，日照较少；春季气温回暖快，但不稳定，寒潮活动较频繁；夏热伏旱多，降雨集中，雨热同季，洪涝较严重；秋季降温快，晚秋多阴雨；冬季较温暖，多雾寡照，湿度大。主要气象灾害有暴雨、干旱、低温阴雨、高温、寒潮、雷暴、大风、冰雹等。</w:t>
      </w:r>
    </w:p>
    <w:p>
      <w:pPr>
        <w:spacing w:line="360" w:lineRule="auto"/>
        <w:jc w:val="left"/>
        <w:rPr>
          <w:rFonts w:cs="Times New Roman"/>
          <w:b/>
        </w:rPr>
      </w:pPr>
      <w:r>
        <w:rPr>
          <w:rFonts w:cs="Times New Roman"/>
          <w:b/>
        </w:rPr>
        <w:t>3.1.3</w:t>
      </w:r>
      <w:bookmarkEnd w:id="86"/>
      <w:r>
        <w:rPr>
          <w:rFonts w:hint="eastAsia" w:cs="Times New Roman"/>
          <w:b/>
        </w:rPr>
        <w:t>水文条件</w:t>
      </w:r>
    </w:p>
    <w:p>
      <w:pPr>
        <w:adjustRightInd w:val="0"/>
        <w:snapToGrid w:val="0"/>
        <w:spacing w:line="360" w:lineRule="auto"/>
        <w:ind w:firstLine="480" w:firstLineChars="200"/>
      </w:pPr>
      <w:r>
        <w:rPr>
          <w:rFonts w:hint="eastAsia"/>
        </w:rPr>
        <w:t>开江县位于川东平行岭谷地区，属</w:t>
      </w:r>
      <w:r>
        <w:t>嘉陵江</w:t>
      </w:r>
      <w:r>
        <w:rPr>
          <w:rFonts w:hint="eastAsia"/>
        </w:rPr>
        <w:t>一级</w:t>
      </w:r>
      <w:r>
        <w:t>支流</w:t>
      </w:r>
      <w:r>
        <w:rPr>
          <w:rFonts w:hint="eastAsia"/>
        </w:rPr>
        <w:t>渠江水系</w:t>
      </w:r>
      <w:r>
        <w:t>的</w:t>
      </w:r>
      <w:r>
        <w:rPr>
          <w:rFonts w:hint="eastAsia"/>
        </w:rPr>
        <w:t>一级支流州河流域。境内河流共</w:t>
      </w:r>
      <w:r>
        <w:t>105</w:t>
      </w:r>
      <w:r>
        <w:rPr>
          <w:rFonts w:hint="eastAsia"/>
        </w:rPr>
        <w:t>条，长约</w:t>
      </w:r>
      <w:r>
        <w:t>362.10km</w:t>
      </w:r>
      <w:r>
        <w:rPr>
          <w:rFonts w:hint="eastAsia"/>
        </w:rPr>
        <w:t>，总集雨面积</w:t>
      </w:r>
      <w:r>
        <w:t>1199.72km</w:t>
      </w:r>
      <w:r>
        <w:rPr>
          <w:rFonts w:hint="eastAsia"/>
          <w:vertAlign w:val="superscript"/>
        </w:rPr>
        <w:t>2</w:t>
      </w:r>
      <w:r>
        <w:rPr>
          <w:rFonts w:hint="eastAsia"/>
        </w:rPr>
        <w:t>（其中梁平县境内有</w:t>
      </w:r>
      <w:r>
        <w:t>170.10 km</w:t>
      </w:r>
      <w:r>
        <w:rPr>
          <w:rFonts w:hint="eastAsia"/>
          <w:vertAlign w:val="superscript"/>
        </w:rPr>
        <w:t>2</w:t>
      </w:r>
      <w:r>
        <w:rPr>
          <w:rFonts w:hint="eastAsia"/>
        </w:rPr>
        <w:t>），水资源总量多年平均为</w:t>
      </w:r>
      <w:r>
        <w:t>6.76</w:t>
      </w:r>
      <w:r>
        <w:rPr>
          <w:rFonts w:hint="eastAsia"/>
        </w:rPr>
        <w:t>亿m</w:t>
      </w:r>
      <w:r>
        <w:rPr>
          <w:rFonts w:hint="eastAsia"/>
          <w:vertAlign w:val="superscript"/>
        </w:rPr>
        <w:t>3</w:t>
      </w:r>
      <w:r>
        <w:rPr>
          <w:rFonts w:hint="eastAsia"/>
        </w:rPr>
        <w:t>，其中过境水</w:t>
      </w:r>
      <w:r>
        <w:t>0.94</w:t>
      </w:r>
      <w:r>
        <w:rPr>
          <w:rFonts w:hint="eastAsia"/>
        </w:rPr>
        <w:t>亿m</w:t>
      </w:r>
      <w:r>
        <w:rPr>
          <w:rFonts w:hint="eastAsia"/>
          <w:vertAlign w:val="superscript"/>
        </w:rPr>
        <w:t>3</w:t>
      </w:r>
      <w:r>
        <w:rPr>
          <w:rFonts w:hint="eastAsia"/>
        </w:rPr>
        <w:t>，境内地表水</w:t>
      </w:r>
      <w:r>
        <w:t>5.82</w:t>
      </w:r>
      <w:r>
        <w:rPr>
          <w:rFonts w:hint="eastAsia"/>
        </w:rPr>
        <w:t>亿m</w:t>
      </w:r>
      <w:r>
        <w:rPr>
          <w:rFonts w:hint="eastAsia"/>
          <w:vertAlign w:val="superscript"/>
        </w:rPr>
        <w:t>3</w:t>
      </w:r>
      <w:r>
        <w:rPr>
          <w:rFonts w:hint="eastAsia"/>
        </w:rPr>
        <w:t>，历年人平水量</w:t>
      </w:r>
      <w:r>
        <w:t>1438</w:t>
      </w:r>
      <w:r>
        <w:rPr>
          <w:rFonts w:hint="eastAsia"/>
        </w:rPr>
        <w:t>m</w:t>
      </w:r>
      <w:r>
        <w:rPr>
          <w:rFonts w:hint="eastAsia"/>
          <w:vertAlign w:val="superscript"/>
        </w:rPr>
        <w:t>3</w:t>
      </w:r>
      <w:r>
        <w:rPr>
          <w:rFonts w:hint="eastAsia"/>
        </w:rPr>
        <w:t>，低于四川省平均水平。县境内地下水资源总量约</w:t>
      </w:r>
      <w:r>
        <w:t>4987</w:t>
      </w:r>
      <w:r>
        <w:rPr>
          <w:rFonts w:hint="eastAsia"/>
        </w:rPr>
        <w:t>万m</w:t>
      </w:r>
      <w:r>
        <w:rPr>
          <w:rFonts w:hint="eastAsia"/>
          <w:vertAlign w:val="superscript"/>
        </w:rPr>
        <w:t>3</w:t>
      </w:r>
      <w:r>
        <w:rPr>
          <w:rFonts w:hint="eastAsia"/>
        </w:rPr>
        <w:t>，可开采为</w:t>
      </w:r>
      <w:r>
        <w:t>1973</w:t>
      </w:r>
      <w:r>
        <w:rPr>
          <w:rFonts w:hint="eastAsia"/>
        </w:rPr>
        <w:t>万m</w:t>
      </w:r>
      <w:r>
        <w:rPr>
          <w:rFonts w:hint="eastAsia"/>
          <w:vertAlign w:val="superscript"/>
        </w:rPr>
        <w:t>3</w:t>
      </w:r>
      <w:r>
        <w:rPr>
          <w:rFonts w:hint="eastAsia"/>
        </w:rPr>
        <w:t>／年。其主要河流有白岩河、新宁河、任市河、拔妙河，均源于县境内，属渠江流域片区。这些河流总的特点是，汇水面积小，流量小，水能蕴藏量少，季节性强，境内自然储存水量少，外流多，每遇干旱季节，常有供不应求的矛盾。</w:t>
      </w:r>
    </w:p>
    <w:p>
      <w:pPr>
        <w:pStyle w:val="25"/>
        <w:spacing w:line="360" w:lineRule="auto"/>
        <w:jc w:val="center"/>
        <w:rPr>
          <w:rFonts w:cs="Times New Roman"/>
        </w:rPr>
      </w:pPr>
      <w:r>
        <w:rPr>
          <w:sz w:val="24"/>
        </w:rPr>
        <mc:AlternateContent>
          <mc:Choice Requires="wps">
            <w:drawing>
              <wp:anchor distT="0" distB="0" distL="114300" distR="114300" simplePos="0" relativeHeight="251675648" behindDoc="0" locked="0" layoutInCell="1" allowOverlap="1">
                <wp:simplePos x="0" y="0"/>
                <wp:positionH relativeFrom="column">
                  <wp:posOffset>2294890</wp:posOffset>
                </wp:positionH>
                <wp:positionV relativeFrom="paragraph">
                  <wp:posOffset>2667000</wp:posOffset>
                </wp:positionV>
                <wp:extent cx="1352550" cy="330200"/>
                <wp:effectExtent l="0" t="0" r="0" b="0"/>
                <wp:wrapNone/>
                <wp:docPr id="30" name="文本框 30"/>
                <wp:cNvGraphicFramePr/>
                <a:graphic xmlns:a="http://schemas.openxmlformats.org/drawingml/2006/main">
                  <a:graphicData uri="http://schemas.microsoft.com/office/word/2010/wordprocessingShape">
                    <wps:wsp>
                      <wps:cNvSpPr txBox="1"/>
                      <wps:spPr>
                        <a:xfrm>
                          <a:off x="3535045" y="3536950"/>
                          <a:ext cx="1352550" cy="33020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color w:val="FF0000"/>
                                <w:lang w:eastAsia="zh-CN"/>
                              </w:rPr>
                              <w:t>宝石桥水库所在</w:t>
                            </w:r>
                            <w:r>
                              <w:rPr>
                                <w:rFonts w:hint="eastAsia"/>
                                <w:lang w:eastAsia="zh-CN"/>
                              </w:rPr>
                              <w:t>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7pt;margin-top:210pt;height:26pt;width:106.5pt;z-index:251675648;mso-width-relative:page;mso-height-relative:page;" filled="f" stroked="f" coordsize="21600,21600" o:gfxdata="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RSa1A&#10;2gAAAAsBAAAPAAAAAAAAAAEAIAAAACIAAABkcnMvZG93bnJldi54bWxQSwECFAAUAAAACACHTuJA&#10;cq2nwZECAAAOBQAADgAAAAAAAAABACAAAAApAQAAZHJzL2Uyb0RvYy54bWxQSwUGAAAAAAYABgBZ&#10;AQAALAYAAAAA&#10;">
                <v:fill on="f" focussize="0,0"/>
                <v:stroke on="f" weight="0.5pt"/>
                <v:imagedata o:title=""/>
                <o:lock v:ext="edit" aspectratio="f"/>
                <v:textbox>
                  <w:txbxContent>
                    <w:p>
                      <w:pPr>
                        <w:rPr>
                          <w:rFonts w:hint="eastAsia" w:eastAsiaTheme="minorEastAsia"/>
                          <w:lang w:eastAsia="zh-CN"/>
                        </w:rPr>
                      </w:pPr>
                      <w:r>
                        <w:rPr>
                          <w:rFonts w:hint="eastAsia"/>
                          <w:color w:val="FF0000"/>
                          <w:lang w:eastAsia="zh-CN"/>
                        </w:rPr>
                        <w:t>宝石桥水库所在</w:t>
                      </w:r>
                      <w:r>
                        <w:rPr>
                          <w:rFonts w:hint="eastAsia"/>
                          <w:lang w:eastAsia="zh-CN"/>
                        </w:rPr>
                        <w:t>地</w:t>
                      </w:r>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2307590</wp:posOffset>
                </wp:positionH>
                <wp:positionV relativeFrom="paragraph">
                  <wp:posOffset>2929890</wp:posOffset>
                </wp:positionV>
                <wp:extent cx="1238250" cy="0"/>
                <wp:effectExtent l="0" t="0" r="0" b="0"/>
                <wp:wrapNone/>
                <wp:docPr id="29" name="直接连接符 29"/>
                <wp:cNvGraphicFramePr/>
                <a:graphic xmlns:a="http://schemas.openxmlformats.org/drawingml/2006/main">
                  <a:graphicData uri="http://schemas.microsoft.com/office/word/2010/wordprocessingShape">
                    <wps:wsp>
                      <wps:cNvCnPr/>
                      <wps:spPr>
                        <a:xfrm flipH="1">
                          <a:off x="3452495" y="3844290"/>
                          <a:ext cx="12382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81.7pt;margin-top:230.7pt;height:0pt;width:97.5pt;z-index:251674624;mso-width-relative:page;mso-height-relative:page;" filled="f" stroked="t" coordsize="21600,21600" o:gfxdata="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PZGcXXAAAACwEA&#10;AA8AAAAAAAAAAQAgAAAAIgAAAGRycy9kb3ducmV2LnhtbFBLAQIUABQAAAAIAIdO4kDrNh6C4gEA&#10;AHsDAAAOAAAAAAAAAAEAIAAAACYBAABkcnMvZTJvRG9jLnhtbFBLBQYAAAAABgAGAFkBAAB6BQAA&#10;AAA=&#10;">
                <v:fill on="f" focussize="0,0"/>
                <v:stroke weight="0.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3526790</wp:posOffset>
                </wp:positionH>
                <wp:positionV relativeFrom="paragraph">
                  <wp:posOffset>2929890</wp:posOffset>
                </wp:positionV>
                <wp:extent cx="247650" cy="400050"/>
                <wp:effectExtent l="3810" t="2540" r="7620" b="8890"/>
                <wp:wrapNone/>
                <wp:docPr id="28" name="直接连接符 28"/>
                <wp:cNvGraphicFramePr/>
                <a:graphic xmlns:a="http://schemas.openxmlformats.org/drawingml/2006/main">
                  <a:graphicData uri="http://schemas.microsoft.com/office/word/2010/wordprocessingShape">
                    <wps:wsp>
                      <wps:cNvCnPr>
                        <a:stCxn id="27" idx="0"/>
                      </wps:cNvCnPr>
                      <wps:spPr>
                        <a:xfrm flipH="1" flipV="1">
                          <a:off x="4671695" y="3844290"/>
                          <a:ext cx="247650" cy="400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77.7pt;margin-top:230.7pt;height:31.5pt;width:19.5pt;z-index:251673600;mso-width-relative:page;mso-height-relative:page;" filled="f" stroked="t" coordsize="21600,21600" o:gfxdata="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pqs+71wAAAAsBAAAPAAAAAAAAAAEAIAAAACIAAABkcnMvZG93bnJldi54bWxQ&#10;SwECFAAUAAAACACHTuJAL6FmYPgBAACwAwAADgAAAAAAAAABACAAAAAmAQAAZHJzL2Uyb0RvYy54&#10;bWxQSwUGAAAAAAYABgBZAQAAkAUAAAAA&#10;">
                <v:fill on="f" focussize="0,0"/>
                <v:stroke weight="0.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3710940</wp:posOffset>
                </wp:positionH>
                <wp:positionV relativeFrom="paragraph">
                  <wp:posOffset>3329940</wp:posOffset>
                </wp:positionV>
                <wp:extent cx="127000" cy="126365"/>
                <wp:effectExtent l="19050" t="21590" r="21590" b="19685"/>
                <wp:wrapNone/>
                <wp:docPr id="27" name="五角星 27"/>
                <wp:cNvGraphicFramePr/>
                <a:graphic xmlns:a="http://schemas.openxmlformats.org/drawingml/2006/main">
                  <a:graphicData uri="http://schemas.microsoft.com/office/word/2010/wordprocessingShape">
                    <wps:wsp>
                      <wps:cNvSpPr/>
                      <wps:spPr>
                        <a:xfrm>
                          <a:off x="4855845" y="4345940"/>
                          <a:ext cx="127000" cy="12636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92.2pt;margin-top:262.2pt;height:9.95pt;width:10pt;z-index:251672576;v-text-anchor:middle;mso-width-relative:page;mso-height-relative:page;" fillcolor="#FF0000" filled="t" stroked="t" coordsize="127000,126365" o:gfxdata="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2zN/rXAAAACwEAAA8AAAAAAAAAAQAgAAAAIgAAAGRycy9kb3ducmV2LnhtbFBLAQIUABQA&#10;AAAIAIdO4kBvdydjYwIAALcEAAAOAAAAAAAAAAEAIAAAACYBAABkcnMvZTJvRG9jLnhtbFBLBQYA&#10;AAAABgAGAFkBAAD7BQAAAAA=&#10;" path="m0,48267l48509,48267,63500,0,78490,48267,126999,48267,87754,78097,102745,126364,63500,96533,24254,126364,39245,78097xe">
                <v:path o:connectlocs="63500,0;0,48267;24254,126364;102745,126364;126999,48267" o:connectangles="247,164,82,82,0"/>
                <v:fill on="t" focussize="0,0"/>
                <v:stroke weight="1pt" color="#FF0000 [3204]" miterlimit="8" joinstyle="miter"/>
                <v:imagedata o:title=""/>
                <o:lock v:ext="edit" aspectratio="f"/>
              </v:shape>
            </w:pict>
          </mc:Fallback>
        </mc:AlternateContent>
      </w:r>
      <w:r>
        <w:rPr>
          <w:rFonts w:eastAsia="宋体" w:cs="Times New Roman"/>
          <w:color w:val="000000"/>
        </w:rPr>
        <w:drawing>
          <wp:inline distT="0" distB="0" distL="114300" distR="114300">
            <wp:extent cx="5263515" cy="7442835"/>
            <wp:effectExtent l="0" t="0" r="9525" b="9525"/>
            <wp:docPr id="4" name="图片 4" descr="水系图3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水系图3 Model (1)"/>
                    <pic:cNvPicPr>
                      <a:picLocks noChangeAspect="1"/>
                    </pic:cNvPicPr>
                  </pic:nvPicPr>
                  <pic:blipFill>
                    <a:blip r:embed="rId24"/>
                    <a:stretch>
                      <a:fillRect/>
                    </a:stretch>
                  </pic:blipFill>
                  <pic:spPr>
                    <a:xfrm>
                      <a:off x="0" y="0"/>
                      <a:ext cx="5263515" cy="7442835"/>
                    </a:xfrm>
                    <a:prstGeom prst="rect">
                      <a:avLst/>
                    </a:prstGeom>
                  </pic:spPr>
                </pic:pic>
              </a:graphicData>
            </a:graphic>
          </wp:inline>
        </w:drawing>
      </w:r>
      <w:r>
        <w:rPr>
          <w:rFonts w:cs="Times New Roman"/>
          <w:b/>
          <w:sz w:val="22"/>
        </w:rPr>
        <w:t>图3-2 开江县水系图</w:t>
      </w:r>
    </w:p>
    <w:p>
      <w:pPr>
        <w:pStyle w:val="4"/>
        <w:spacing w:beforeAutospacing="0" w:afterAutospacing="0" w:line="360" w:lineRule="auto"/>
        <w:rPr>
          <w:rFonts w:ascii="Times New Roman" w:hAnsi="Times New Roman" w:cs="Times New Roman"/>
        </w:rPr>
      </w:pPr>
      <w:bookmarkStart w:id="87" w:name="_Toc23358"/>
      <w:bookmarkStart w:id="88" w:name="_Toc609"/>
      <w:bookmarkStart w:id="89" w:name="_Toc3589"/>
      <w:r>
        <w:rPr>
          <w:rFonts w:ascii="Times New Roman" w:hAnsi="Times New Roman" w:cs="Times New Roman"/>
        </w:rPr>
        <w:t>3.1.4地质地貌状况</w:t>
      </w:r>
      <w:bookmarkEnd w:id="87"/>
      <w:bookmarkEnd w:id="88"/>
      <w:bookmarkEnd w:id="89"/>
    </w:p>
    <w:p>
      <w:pPr>
        <w:spacing w:line="360" w:lineRule="auto"/>
        <w:ind w:firstLine="480" w:firstLineChars="200"/>
        <w:rPr>
          <w:rFonts w:cs="Times New Roman"/>
          <w:color w:val="000000"/>
        </w:rPr>
      </w:pPr>
      <w:r>
        <w:rPr>
          <w:rFonts w:cs="Times New Roman"/>
          <w:color w:val="000000"/>
        </w:rPr>
        <w:t>开江县位于川东北平行岭谷区，大巴山脉向南延伸的丘陵体系。境内地形起伏，地势总体上略高于毗邻县，境内分为前、后两厢，形成三低山夹两丘陵的地形。北部、中部、东南部较高，西部较低，平均海拔600m左右。最低点为拔妙乡的后槽口，海拔272m，最高点为灵岩乡半边槽的西侧山顶，海拔1372.80m，相对高差1100.8m。境内地貌属川东褶皱剥蚀—侵蚀低山丘陵谷地貌区。以上升剥蚀低山和丘陵为主。背斜成山，紧密狭窄，向斜为丘，平缓开阔，间有高地平坝。全县地貌分为平坝、台地、低丘、高丘、低山、低中山、山原7种地貌类型。</w:t>
      </w:r>
    </w:p>
    <w:p>
      <w:pPr>
        <w:spacing w:line="360" w:lineRule="auto"/>
        <w:ind w:firstLine="480" w:firstLineChars="200"/>
        <w:rPr>
          <w:rFonts w:cs="Times New Roman"/>
          <w:color w:val="000000"/>
        </w:rPr>
      </w:pPr>
      <w:r>
        <w:rPr>
          <w:rFonts w:hint="eastAsia" w:cs="Times New Roman"/>
          <w:color w:val="000000"/>
        </w:rPr>
        <w:t>宝石桥水库</w:t>
      </w:r>
      <w:r>
        <w:rPr>
          <w:rFonts w:cs="Times New Roman"/>
          <w:color w:val="000000"/>
        </w:rPr>
        <w:t>库区地势北高南低，规划区内东北部丘陵海拔最高为1050m左右，南部泄洪区海拔最低为400m左右。</w:t>
      </w:r>
      <w:r>
        <w:rPr>
          <w:rFonts w:hint="eastAsia" w:cs="Times New Roman"/>
          <w:color w:val="000000"/>
        </w:rPr>
        <w:t>宝石桥水库</w:t>
      </w:r>
      <w:r>
        <w:rPr>
          <w:rFonts w:cs="Times New Roman"/>
          <w:color w:val="000000"/>
        </w:rPr>
        <w:t>北部和中部为丘陵地貌，坡度较大，而南部沿岸及泄洪道外坡度较缓，中心村、沙坝等区域地势稍缓。</w:t>
      </w:r>
      <w:r>
        <w:rPr>
          <w:rFonts w:hint="eastAsia" w:cs="Times New Roman"/>
          <w:color w:val="000000"/>
        </w:rPr>
        <w:t>宝石桥水库</w:t>
      </w:r>
      <w:r>
        <w:rPr>
          <w:rFonts w:cs="Times New Roman"/>
          <w:color w:val="000000"/>
        </w:rPr>
        <w:t>及坝址段在地址构造中均无断裂及褶皱存在，主坝坝基覆盖厚度6~7m，基本以泥岩为主，夹薄层泥质粉砂岩，表面风化深2~4m，下部岩石新鲜完整，地震基本裂度为6度。</w:t>
      </w:r>
    </w:p>
    <w:p>
      <w:pPr>
        <w:pStyle w:val="3"/>
        <w:spacing w:before="0" w:after="0" w:line="360" w:lineRule="auto"/>
        <w:jc w:val="left"/>
        <w:rPr>
          <w:rFonts w:ascii="Times New Roman" w:hAnsi="Times New Roman" w:cs="Times New Roman"/>
        </w:rPr>
      </w:pPr>
      <w:bookmarkStart w:id="90" w:name="_Toc791"/>
      <w:bookmarkStart w:id="91" w:name="_Toc10669"/>
      <w:bookmarkStart w:id="92" w:name="_Toc10990"/>
      <w:r>
        <w:rPr>
          <w:rFonts w:ascii="Times New Roman" w:hAnsi="Times New Roman" w:cs="Times New Roman"/>
        </w:rPr>
        <w:t>3.2社会经济状况</w:t>
      </w:r>
      <w:bookmarkEnd w:id="90"/>
      <w:bookmarkEnd w:id="91"/>
      <w:bookmarkEnd w:id="92"/>
    </w:p>
    <w:p>
      <w:pPr>
        <w:spacing w:line="360" w:lineRule="auto"/>
        <w:ind w:firstLine="480" w:firstLineChars="200"/>
        <w:rPr>
          <w:rFonts w:cs="Times New Roman"/>
          <w:color w:val="000000"/>
        </w:rPr>
      </w:pPr>
      <w:bookmarkStart w:id="93" w:name="_Toc7952"/>
      <w:r>
        <w:rPr>
          <w:rFonts w:cs="Times New Roman"/>
          <w:color w:val="000000"/>
        </w:rPr>
        <w:t>2015年是“十二五”规划收官之年。一年来，在市委、市政府的坚强领导下，县委、县政府带领全县人民，深入贯彻落实党的十八届三中、四中、五中全会精神，牢牢把握“稳中求进”工作总基调，主动适应新常态，积极抢抓新机遇，有效应对新挑战，面对压力，保持定力，精准发力，坚定不移抓发展，全心全意保民生，较好地完成了年度各项目标任务。实现了“十二五”圆满收官，为“十三五”经济社会发展、全面建成小康社会奠定了坚实基础。</w:t>
      </w:r>
    </w:p>
    <w:p>
      <w:pPr>
        <w:spacing w:line="360" w:lineRule="auto"/>
        <w:ind w:firstLine="480" w:firstLineChars="200"/>
        <w:rPr>
          <w:rFonts w:cs="Times New Roman"/>
          <w:color w:val="000000"/>
        </w:rPr>
      </w:pPr>
      <w:r>
        <w:rPr>
          <w:rFonts w:cs="Times New Roman"/>
          <w:color w:val="000000"/>
        </w:rPr>
        <w:t>一、综  合</w:t>
      </w:r>
    </w:p>
    <w:p>
      <w:pPr>
        <w:spacing w:line="360" w:lineRule="auto"/>
        <w:ind w:firstLine="480" w:firstLineChars="200"/>
        <w:rPr>
          <w:rFonts w:cs="Times New Roman"/>
          <w:color w:val="000000"/>
        </w:rPr>
      </w:pPr>
      <w:r>
        <w:rPr>
          <w:rFonts w:cs="Times New Roman"/>
          <w:color w:val="000000"/>
        </w:rPr>
        <w:t>2015年实现(GDP)1040611万元，同比增长4.4%。分产业看，第一产业实现增加值295532万元，增长3.7%；第二产业实现增加值447761万元，增长2.3%；第三产业实现增加值297318万元，增长9.2%，三次产业结构比为28.4:43.03:28.57，三次产业对GDP的贡献率分别为20.4%、26.2%和53.4%，分别拉动GDP增长0.9个百分点、1.2个百分点、2.3个百分点。全县人均GDP23379元，比上年增长2.7%。</w:t>
      </w:r>
    </w:p>
    <w:p>
      <w:pPr>
        <w:spacing w:line="360" w:lineRule="auto"/>
        <w:ind w:firstLine="480" w:firstLineChars="200"/>
        <w:rPr>
          <w:rFonts w:cs="Times New Roman"/>
          <w:color w:val="000000"/>
        </w:rPr>
      </w:pPr>
      <w:r>
        <w:rPr>
          <w:rFonts w:cs="Times New Roman"/>
          <w:color w:val="000000"/>
        </w:rPr>
        <w:t>二、农业</w:t>
      </w:r>
    </w:p>
    <w:p>
      <w:pPr>
        <w:spacing w:line="360" w:lineRule="auto"/>
        <w:ind w:firstLine="480" w:firstLineChars="200"/>
        <w:rPr>
          <w:rFonts w:cs="Times New Roman"/>
          <w:color w:val="000000"/>
        </w:rPr>
      </w:pPr>
      <w:r>
        <w:rPr>
          <w:rFonts w:cs="Times New Roman"/>
          <w:color w:val="000000"/>
        </w:rPr>
        <w:t>2015年全县实现农林牧渔总产值489242万元，增长4.4%。全年粮食产量260999吨，比上年增产6694吨，增长2.6%；全年畜牧业总产值197318万元，增长4.0%；林业生产持续发展。全年完成造林面积1560公顷，年末森林覆盖率39.46%。</w:t>
      </w:r>
    </w:p>
    <w:p>
      <w:pPr>
        <w:spacing w:line="360" w:lineRule="auto"/>
        <w:ind w:firstLine="480" w:firstLineChars="200"/>
        <w:rPr>
          <w:rFonts w:cs="Times New Roman"/>
          <w:color w:val="000000"/>
        </w:rPr>
      </w:pPr>
      <w:r>
        <w:rPr>
          <w:rFonts w:cs="Times New Roman"/>
          <w:color w:val="000000"/>
        </w:rPr>
        <w:t>三、工业和建筑业</w:t>
      </w:r>
    </w:p>
    <w:p>
      <w:pPr>
        <w:spacing w:line="360" w:lineRule="auto"/>
        <w:ind w:firstLine="480" w:firstLineChars="200"/>
        <w:rPr>
          <w:rFonts w:cs="Times New Roman"/>
          <w:color w:val="000000"/>
        </w:rPr>
      </w:pPr>
      <w:r>
        <w:rPr>
          <w:rFonts w:cs="Times New Roman"/>
          <w:color w:val="000000"/>
        </w:rPr>
        <w:t>工业增速放慢。全年全部工业增加值373815万元，增长1.4%，对经济增长的贡献率达到18.2％。建筑业保持较快发展，全年全社会建筑业实现增加值78369万元，增长7.9%。全县共有资质等级的建筑企业8户，实现总产值277472万元，增长19%；利润14966万元，增长8.2%。</w:t>
      </w:r>
    </w:p>
    <w:p>
      <w:pPr>
        <w:spacing w:line="360" w:lineRule="auto"/>
        <w:ind w:firstLine="480" w:firstLineChars="200"/>
        <w:rPr>
          <w:rFonts w:cs="Times New Roman"/>
          <w:color w:val="000000"/>
        </w:rPr>
      </w:pPr>
      <w:r>
        <w:rPr>
          <w:rFonts w:cs="Times New Roman"/>
          <w:color w:val="000000"/>
        </w:rPr>
        <w:t>四、全社会固定资产投资</w:t>
      </w:r>
    </w:p>
    <w:p>
      <w:pPr>
        <w:spacing w:line="360" w:lineRule="auto"/>
        <w:ind w:firstLine="480" w:firstLineChars="200"/>
        <w:rPr>
          <w:rFonts w:cs="Times New Roman"/>
          <w:color w:val="000000"/>
        </w:rPr>
      </w:pPr>
      <w:r>
        <w:rPr>
          <w:rFonts w:cs="Times New Roman"/>
          <w:color w:val="000000"/>
        </w:rPr>
        <w:t>固定资产投资继续保持较快增长。全社会固定资产投资完成1030130万元，增长13%。其中固定资产投资（不含农户投资）990130万元，增长12.7%。房地产开发投资下降。房地产开发经营企业3家，完成投资5379万元，下降66.2%。全年商品房施工面积 202205平方米，下降62.8%；商品房现房销售面积 116302平方米,增长5倍。全年建成投产项目212个，项目建成投产率58.2%，新增固定资产763078万元，增长4%。</w:t>
      </w:r>
    </w:p>
    <w:p>
      <w:pPr>
        <w:spacing w:line="360" w:lineRule="auto"/>
        <w:ind w:firstLine="480" w:firstLineChars="200"/>
        <w:rPr>
          <w:rFonts w:cs="Times New Roman"/>
          <w:color w:val="000000"/>
        </w:rPr>
      </w:pPr>
      <w:r>
        <w:rPr>
          <w:rFonts w:cs="Times New Roman"/>
          <w:color w:val="000000"/>
        </w:rPr>
        <w:t>五、国内贸易和对外经济</w:t>
      </w:r>
    </w:p>
    <w:p>
      <w:pPr>
        <w:spacing w:line="360" w:lineRule="auto"/>
        <w:ind w:firstLine="480" w:firstLineChars="200"/>
        <w:rPr>
          <w:rFonts w:cs="Times New Roman"/>
          <w:color w:val="000000"/>
        </w:rPr>
      </w:pPr>
      <w:r>
        <w:rPr>
          <w:rFonts w:cs="Times New Roman"/>
          <w:color w:val="000000"/>
        </w:rPr>
        <w:t>城乡消费需求旺盛。在国家扩大内需政策的推动下，城乡消费市场持续活跃，以汽车、通讯、服装为主的大类商品销售趋旺。全县累计实现社会消费品零售总额505310.4万元，同比增长13.1%。</w:t>
      </w:r>
    </w:p>
    <w:p>
      <w:pPr>
        <w:spacing w:line="360" w:lineRule="auto"/>
        <w:ind w:firstLine="480" w:firstLineChars="200"/>
        <w:rPr>
          <w:rFonts w:cs="Times New Roman"/>
          <w:color w:val="000000"/>
        </w:rPr>
      </w:pPr>
      <w:r>
        <w:rPr>
          <w:rFonts w:cs="Times New Roman"/>
          <w:color w:val="000000"/>
        </w:rPr>
        <w:t>六、交通运输业</w:t>
      </w:r>
    </w:p>
    <w:p>
      <w:pPr>
        <w:spacing w:line="360" w:lineRule="auto"/>
        <w:ind w:firstLine="480" w:firstLineChars="200"/>
        <w:rPr>
          <w:rFonts w:cs="Times New Roman"/>
          <w:color w:val="000000"/>
        </w:rPr>
      </w:pPr>
      <w:r>
        <w:rPr>
          <w:rFonts w:cs="Times New Roman"/>
          <w:color w:val="000000"/>
        </w:rPr>
        <w:t>交通运输业稳步发展。2015年末，全县境内修建公路总里程192公里，其中，县乡通乡联网、断头路改造120公里，通村公路72公里，100%的乡镇实现通油路、水泥路。交通运输业稳步发展。年末全县境内公路里程1729公里，其中：等级公路(含一、二、三、四级等级公路)通车里程1482公里，高速公路32公里，铁路运营里程17.1公里。全年完成货物周转量18420万吨公里；客运周转量16078万人公里。</w:t>
      </w:r>
    </w:p>
    <w:p>
      <w:pPr>
        <w:spacing w:line="360" w:lineRule="auto"/>
        <w:ind w:firstLine="480" w:firstLineChars="200"/>
        <w:rPr>
          <w:rFonts w:cs="Times New Roman"/>
          <w:color w:val="000000"/>
        </w:rPr>
      </w:pPr>
      <w:r>
        <w:rPr>
          <w:rFonts w:cs="Times New Roman"/>
          <w:color w:val="000000"/>
        </w:rPr>
        <w:t>七、人口、人民生活和社会保障</w:t>
      </w:r>
    </w:p>
    <w:p>
      <w:pPr>
        <w:spacing w:line="360" w:lineRule="auto"/>
        <w:ind w:firstLine="480" w:firstLineChars="200"/>
        <w:rPr>
          <w:rFonts w:cs="Times New Roman"/>
          <w:color w:val="000000"/>
        </w:rPr>
      </w:pPr>
      <w:bookmarkStart w:id="94" w:name="_1181571677"/>
      <w:bookmarkEnd w:id="94"/>
      <w:bookmarkStart w:id="95" w:name="_1213427530"/>
      <w:bookmarkEnd w:id="95"/>
      <w:bookmarkStart w:id="96" w:name="_1175667297"/>
      <w:bookmarkEnd w:id="96"/>
      <w:bookmarkStart w:id="97" w:name="_1175501294"/>
      <w:bookmarkEnd w:id="97"/>
      <w:bookmarkStart w:id="98" w:name="_1175670436"/>
      <w:bookmarkEnd w:id="98"/>
      <w:bookmarkStart w:id="99" w:name="_1175663598"/>
      <w:bookmarkEnd w:id="99"/>
      <w:bookmarkStart w:id="100" w:name="_1175513494"/>
      <w:bookmarkEnd w:id="100"/>
      <w:bookmarkStart w:id="101" w:name="_1213427847"/>
      <w:bookmarkEnd w:id="101"/>
      <w:bookmarkStart w:id="102" w:name="_1175502377"/>
      <w:bookmarkEnd w:id="102"/>
      <w:bookmarkStart w:id="103" w:name="_1213425196"/>
      <w:bookmarkEnd w:id="103"/>
      <w:bookmarkStart w:id="104" w:name="_1186983083"/>
      <w:bookmarkEnd w:id="104"/>
      <w:bookmarkStart w:id="105" w:name="_1181626186"/>
      <w:bookmarkEnd w:id="105"/>
      <w:bookmarkStart w:id="106" w:name="_1175501556"/>
      <w:bookmarkEnd w:id="106"/>
      <w:bookmarkStart w:id="107" w:name="_1202627653"/>
      <w:bookmarkEnd w:id="107"/>
      <w:bookmarkStart w:id="108" w:name="_1175577120"/>
      <w:bookmarkEnd w:id="108"/>
      <w:bookmarkStart w:id="109" w:name="_1175611383"/>
      <w:bookmarkEnd w:id="109"/>
      <w:bookmarkStart w:id="110" w:name="_1181625285"/>
      <w:bookmarkEnd w:id="110"/>
      <w:bookmarkStart w:id="111" w:name="_1181563679"/>
      <w:bookmarkEnd w:id="111"/>
      <w:bookmarkStart w:id="112" w:name="_1181565204"/>
      <w:bookmarkEnd w:id="112"/>
      <w:bookmarkStart w:id="113" w:name="_1175513511"/>
      <w:bookmarkEnd w:id="113"/>
      <w:bookmarkStart w:id="114" w:name="_1213429612"/>
      <w:bookmarkEnd w:id="114"/>
      <w:bookmarkStart w:id="115" w:name="_1179119327"/>
      <w:bookmarkEnd w:id="115"/>
      <w:bookmarkStart w:id="116" w:name="_1175601919"/>
      <w:bookmarkEnd w:id="116"/>
      <w:bookmarkStart w:id="117" w:name="_1175670454"/>
      <w:bookmarkEnd w:id="117"/>
      <w:bookmarkStart w:id="118" w:name="_1175663616"/>
      <w:bookmarkEnd w:id="118"/>
      <w:bookmarkStart w:id="119" w:name="_1179121129"/>
      <w:bookmarkEnd w:id="119"/>
      <w:bookmarkStart w:id="120" w:name="_1175667314"/>
      <w:bookmarkEnd w:id="120"/>
      <w:bookmarkStart w:id="121" w:name="_1178344139"/>
      <w:bookmarkEnd w:id="121"/>
      <w:bookmarkStart w:id="122" w:name="_1181393734"/>
      <w:bookmarkEnd w:id="122"/>
      <w:bookmarkStart w:id="123" w:name="_1181484200"/>
      <w:bookmarkEnd w:id="123"/>
      <w:bookmarkStart w:id="124" w:name="_1181571694"/>
      <w:bookmarkEnd w:id="124"/>
      <w:bookmarkStart w:id="125" w:name="_1179119346"/>
      <w:bookmarkEnd w:id="125"/>
      <w:bookmarkStart w:id="126" w:name="_1181563696"/>
      <w:bookmarkEnd w:id="126"/>
      <w:bookmarkStart w:id="127" w:name="_1175606284"/>
      <w:bookmarkEnd w:id="127"/>
      <w:bookmarkStart w:id="128" w:name="_1181565186"/>
      <w:bookmarkEnd w:id="128"/>
      <w:bookmarkStart w:id="129" w:name="_1181625303"/>
      <w:bookmarkEnd w:id="129"/>
      <w:bookmarkStart w:id="130" w:name="_1186981761"/>
      <w:bookmarkEnd w:id="130"/>
      <w:bookmarkStart w:id="131" w:name="_1181626203"/>
      <w:bookmarkEnd w:id="131"/>
      <w:bookmarkStart w:id="132" w:name="_1181562111"/>
      <w:bookmarkEnd w:id="132"/>
      <w:bookmarkStart w:id="133" w:name="_1213427548"/>
      <w:bookmarkEnd w:id="133"/>
      <w:bookmarkStart w:id="134" w:name="_1186983100"/>
      <w:bookmarkEnd w:id="134"/>
      <w:bookmarkStart w:id="135" w:name="_1213430944"/>
      <w:bookmarkEnd w:id="135"/>
      <w:bookmarkStart w:id="136" w:name="_1213429658"/>
      <w:bookmarkEnd w:id="136"/>
      <w:bookmarkStart w:id="137" w:name="_1213432943"/>
      <w:bookmarkEnd w:id="137"/>
      <w:bookmarkStart w:id="138" w:name="_1213427864"/>
      <w:bookmarkEnd w:id="138"/>
      <w:bookmarkStart w:id="139" w:name="_1175611366"/>
      <w:bookmarkEnd w:id="139"/>
      <w:bookmarkStart w:id="140" w:name="_1175577102"/>
      <w:bookmarkEnd w:id="140"/>
      <w:bookmarkStart w:id="141" w:name="_1181393715"/>
      <w:bookmarkEnd w:id="141"/>
      <w:bookmarkStart w:id="142" w:name="_1175502394"/>
      <w:bookmarkEnd w:id="142"/>
      <w:bookmarkStart w:id="143" w:name="_1213432926"/>
      <w:bookmarkEnd w:id="143"/>
      <w:bookmarkStart w:id="144" w:name="_1179121112"/>
      <w:bookmarkEnd w:id="144"/>
      <w:bookmarkStart w:id="145" w:name="_1175601901"/>
      <w:bookmarkEnd w:id="145"/>
      <w:bookmarkStart w:id="146" w:name="_1181484218"/>
      <w:bookmarkEnd w:id="146"/>
      <w:bookmarkStart w:id="147" w:name="_1213430927"/>
      <w:bookmarkEnd w:id="147"/>
      <w:bookmarkStart w:id="148" w:name="_1175606266"/>
      <w:bookmarkEnd w:id="148"/>
      <w:bookmarkStart w:id="149" w:name="_1178344122"/>
      <w:bookmarkEnd w:id="149"/>
      <w:bookmarkStart w:id="150" w:name="_1186981743"/>
      <w:bookmarkEnd w:id="150"/>
      <w:bookmarkStart w:id="151" w:name="_1181562093"/>
      <w:bookmarkEnd w:id="151"/>
      <w:r>
        <w:rPr>
          <w:rFonts w:cs="Times New Roman"/>
          <w:color w:val="000000"/>
        </w:rPr>
        <w:t>2015年末全县公安户籍总人口为60.3万人，其中非农业人口10.99万人，常住人口44.97万人，其中城镇人口16.41 万人，城镇化率36.5%；全年出生人口8430人，出生人口性别男女比为100.9：100。2015年人口出生率为14.06‰,死亡率为7.33‰，自然增长率为6.73‰。</w:t>
      </w:r>
    </w:p>
    <w:p>
      <w:pPr>
        <w:spacing w:line="360" w:lineRule="auto"/>
        <w:ind w:firstLine="480" w:firstLineChars="200"/>
        <w:rPr>
          <w:rFonts w:cs="Times New Roman"/>
          <w:color w:val="000000"/>
        </w:rPr>
      </w:pPr>
      <w:r>
        <w:rPr>
          <w:rFonts w:cs="Times New Roman"/>
          <w:color w:val="000000"/>
        </w:rPr>
        <w:t>城镇居民收入稳步增加。全年城镇居民人均可支配收入21937元，增加1692元，增长8.4%，其中工资性收入12701元，增长7.9%，经营净收入4007元，增长9.7%，财产性净收入1330元，增长10.4%，转移性净收入3899元，增长7.8%。人均消费支出16529元，增加1359元，增长8.96%。用于食品烟酒、居住、生活用品、交通通讯、医疗保健等方面的费用增加较多：食品烟酒支出增长9.2%，居住支出增长9.7%，生活用品、交通通讯支出分别增长9.1%，医疗保健支出增长8.5%。</w:t>
      </w:r>
    </w:p>
    <w:p>
      <w:pPr>
        <w:spacing w:line="360" w:lineRule="auto"/>
        <w:jc w:val="left"/>
        <w:outlineLvl w:val="1"/>
        <w:rPr>
          <w:rFonts w:cs="Times New Roman"/>
          <w:b/>
        </w:rPr>
      </w:pPr>
      <w:bookmarkStart w:id="152" w:name="_Toc11098"/>
      <w:bookmarkStart w:id="153" w:name="_Toc8023"/>
      <w:r>
        <w:rPr>
          <w:rFonts w:cs="Times New Roman"/>
          <w:b/>
          <w:bCs/>
          <w:sz w:val="28"/>
          <w:szCs w:val="32"/>
        </w:rPr>
        <w:t>3.3土地利用现状及规划</w:t>
      </w:r>
      <w:bookmarkEnd w:id="152"/>
      <w:bookmarkEnd w:id="153"/>
    </w:p>
    <w:p>
      <w:pPr>
        <w:spacing w:line="360" w:lineRule="auto"/>
        <w:ind w:firstLine="480" w:firstLineChars="200"/>
        <w:rPr>
          <w:rFonts w:cs="Times New Roman"/>
          <w:color w:val="000000"/>
        </w:rPr>
      </w:pPr>
      <w:r>
        <w:rPr>
          <w:rFonts w:cs="Times New Roman"/>
          <w:color w:val="000000"/>
        </w:rPr>
        <w:t>规划区涵盖了沙坝场乡和梅家乡全乡，新太乡和灵岩乡南部区域以及讲治镇和宝石乡的局部区域，整个规划区域面积为167.16km²，涉及6个乡镇，31个村庄，共有六种土地利用类型，包括水域与水利用地、村镇建设用地、耕地、林地、园地和道路交通用地，其中，耕地和林地为主要用地类型。</w:t>
      </w:r>
    </w:p>
    <w:p>
      <w:pPr>
        <w:spacing w:line="360" w:lineRule="auto"/>
        <w:ind w:firstLine="422" w:firstLineChars="200"/>
        <w:jc w:val="center"/>
        <w:rPr>
          <w:rFonts w:cs="Times New Roman"/>
          <w:b/>
          <w:bCs/>
          <w:color w:val="000000"/>
          <w:sz w:val="21"/>
          <w:szCs w:val="21"/>
        </w:rPr>
      </w:pPr>
      <w:r>
        <w:rPr>
          <w:rFonts w:cs="Times New Roman"/>
          <w:b/>
          <w:bCs/>
          <w:color w:val="000000"/>
          <w:sz w:val="21"/>
          <w:szCs w:val="21"/>
        </w:rPr>
        <w:t xml:space="preserve">表3-1 </w:t>
      </w:r>
      <w:r>
        <w:rPr>
          <w:rFonts w:hint="eastAsia" w:cs="Times New Roman"/>
          <w:b/>
          <w:bCs/>
          <w:color w:val="000000"/>
          <w:sz w:val="21"/>
          <w:szCs w:val="21"/>
        </w:rPr>
        <w:t xml:space="preserve"> </w:t>
      </w:r>
      <w:r>
        <w:rPr>
          <w:rFonts w:cs="Times New Roman"/>
          <w:b/>
          <w:bCs/>
          <w:color w:val="000000"/>
          <w:sz w:val="21"/>
          <w:szCs w:val="21"/>
        </w:rPr>
        <w:t>土地利用现状表</w:t>
      </w:r>
    </w:p>
    <w:tbl>
      <w:tblPr>
        <w:tblStyle w:val="22"/>
        <w:tblW w:w="823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1583"/>
        <w:gridCol w:w="1478"/>
        <w:gridCol w:w="1583"/>
        <w:gridCol w:w="14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08" w:type="dxa"/>
            <w:vMerge w:val="restart"/>
            <w:tcBorders>
              <w:tl2br w:val="nil"/>
              <w:tr2bl w:val="nil"/>
            </w:tcBorders>
            <w:vAlign w:val="center"/>
          </w:tcPr>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napToGrid w:val="0"/>
              <w:ind w:firstLine="422"/>
              <w:jc w:val="center"/>
              <w:rPr>
                <w:rFonts w:cs="Times New Roman"/>
                <w:b/>
                <w:sz w:val="21"/>
                <w:szCs w:val="21"/>
              </w:rPr>
            </w:pPr>
            <w:r>
              <w:rPr>
                <w:rFonts w:cs="Times New Roman"/>
                <w:b/>
                <w:sz w:val="21"/>
                <w:szCs w:val="21"/>
              </w:rPr>
              <w:t>土地类型</w:t>
            </w:r>
          </w:p>
        </w:tc>
        <w:tc>
          <w:tcPr>
            <w:tcW w:w="3061" w:type="dxa"/>
            <w:gridSpan w:val="2"/>
            <w:tcBorders>
              <w:tl2br w:val="nil"/>
              <w:tr2bl w:val="nil"/>
            </w:tcBorders>
            <w:vAlign w:val="center"/>
          </w:tcPr>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napToGrid w:val="0"/>
              <w:ind w:firstLine="422"/>
              <w:jc w:val="center"/>
              <w:rPr>
                <w:rFonts w:cs="Times New Roman"/>
                <w:b/>
                <w:sz w:val="21"/>
                <w:szCs w:val="21"/>
              </w:rPr>
            </w:pPr>
            <w:r>
              <w:rPr>
                <w:rFonts w:cs="Times New Roman"/>
                <w:b/>
                <w:sz w:val="21"/>
                <w:szCs w:val="21"/>
              </w:rPr>
              <w:t>现状</w:t>
            </w:r>
          </w:p>
        </w:tc>
        <w:tc>
          <w:tcPr>
            <w:tcW w:w="3061" w:type="dxa"/>
            <w:gridSpan w:val="2"/>
            <w:tcBorders>
              <w:tl2br w:val="nil"/>
              <w:tr2bl w:val="nil"/>
            </w:tcBorders>
            <w:vAlign w:val="center"/>
          </w:tcPr>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napToGrid w:val="0"/>
              <w:ind w:firstLine="422"/>
              <w:jc w:val="center"/>
              <w:rPr>
                <w:rFonts w:cs="Times New Roman"/>
                <w:b/>
                <w:sz w:val="21"/>
                <w:szCs w:val="21"/>
              </w:rPr>
            </w:pPr>
            <w:r>
              <w:rPr>
                <w:rFonts w:cs="Times New Roman"/>
                <w:b/>
                <w:sz w:val="21"/>
                <w:szCs w:val="21"/>
              </w:rPr>
              <w:t>规划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08" w:type="dxa"/>
            <w:vMerge w:val="continue"/>
            <w:tcBorders>
              <w:tl2br w:val="nil"/>
              <w:tr2bl w:val="nil"/>
            </w:tcBorders>
            <w:vAlign w:val="center"/>
          </w:tcPr>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napToGrid w:val="0"/>
              <w:ind w:firstLine="420"/>
              <w:jc w:val="center"/>
              <w:rPr>
                <w:rFonts w:cs="Times New Roman"/>
                <w:sz w:val="21"/>
                <w:szCs w:val="21"/>
              </w:rPr>
            </w:pPr>
          </w:p>
        </w:tc>
        <w:tc>
          <w:tcPr>
            <w:tcW w:w="1583" w:type="dxa"/>
            <w:tcBorders>
              <w:tl2br w:val="nil"/>
              <w:tr2bl w:val="nil"/>
            </w:tcBorders>
            <w:vAlign w:val="center"/>
          </w:tcPr>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napToGrid w:val="0"/>
              <w:ind w:firstLine="420"/>
              <w:jc w:val="center"/>
              <w:rPr>
                <w:rFonts w:cs="Times New Roman"/>
                <w:sz w:val="21"/>
                <w:szCs w:val="21"/>
              </w:rPr>
            </w:pPr>
            <w:r>
              <w:rPr>
                <w:rFonts w:cs="Times New Roman"/>
                <w:sz w:val="21"/>
                <w:szCs w:val="21"/>
              </w:rPr>
              <w:t>面积(km²)</w:t>
            </w:r>
          </w:p>
        </w:tc>
        <w:tc>
          <w:tcPr>
            <w:tcW w:w="1478" w:type="dxa"/>
            <w:tcBorders>
              <w:tl2br w:val="nil"/>
              <w:tr2bl w:val="nil"/>
            </w:tcBorders>
            <w:vAlign w:val="center"/>
          </w:tcPr>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napToGrid w:val="0"/>
              <w:ind w:firstLine="420"/>
              <w:jc w:val="center"/>
              <w:rPr>
                <w:rFonts w:cs="Times New Roman"/>
                <w:sz w:val="21"/>
                <w:szCs w:val="21"/>
              </w:rPr>
            </w:pPr>
            <w:r>
              <w:rPr>
                <w:rFonts w:cs="Times New Roman"/>
                <w:sz w:val="21"/>
                <w:szCs w:val="21"/>
              </w:rPr>
              <w:t>比例(％)</w:t>
            </w:r>
          </w:p>
        </w:tc>
        <w:tc>
          <w:tcPr>
            <w:tcW w:w="1583" w:type="dxa"/>
            <w:tcBorders>
              <w:tl2br w:val="nil"/>
              <w:tr2bl w:val="nil"/>
            </w:tcBorders>
            <w:vAlign w:val="center"/>
          </w:tcPr>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napToGrid w:val="0"/>
              <w:ind w:firstLine="420"/>
              <w:jc w:val="center"/>
              <w:rPr>
                <w:rFonts w:cs="Times New Roman"/>
                <w:sz w:val="21"/>
                <w:szCs w:val="21"/>
              </w:rPr>
            </w:pPr>
            <w:r>
              <w:rPr>
                <w:rFonts w:cs="Times New Roman"/>
                <w:sz w:val="21"/>
                <w:szCs w:val="21"/>
              </w:rPr>
              <w:t>面积(km²)</w:t>
            </w:r>
          </w:p>
        </w:tc>
        <w:tc>
          <w:tcPr>
            <w:tcW w:w="1478" w:type="dxa"/>
            <w:tcBorders>
              <w:tl2br w:val="nil"/>
              <w:tr2bl w:val="nil"/>
            </w:tcBorders>
            <w:vAlign w:val="center"/>
          </w:tcPr>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napToGrid w:val="0"/>
              <w:ind w:firstLine="420"/>
              <w:jc w:val="center"/>
              <w:rPr>
                <w:rFonts w:cs="Times New Roman"/>
                <w:sz w:val="21"/>
                <w:szCs w:val="21"/>
              </w:rPr>
            </w:pPr>
            <w:r>
              <w:rPr>
                <w:rFonts w:cs="Times New Roman"/>
                <w:sz w:val="21"/>
                <w:szCs w:val="21"/>
              </w:rPr>
              <w:t>比例(％)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08" w:type="dxa"/>
            <w:tcBorders>
              <w:tl2br w:val="nil"/>
              <w:tr2bl w:val="nil"/>
            </w:tcBorders>
            <w:vAlign w:val="center"/>
          </w:tcPr>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napToGrid w:val="0"/>
              <w:ind w:firstLine="420"/>
              <w:jc w:val="center"/>
              <w:rPr>
                <w:rFonts w:cs="Times New Roman"/>
                <w:sz w:val="21"/>
                <w:szCs w:val="21"/>
              </w:rPr>
            </w:pPr>
            <w:r>
              <w:rPr>
                <w:rFonts w:cs="Times New Roman"/>
                <w:sz w:val="21"/>
                <w:szCs w:val="21"/>
              </w:rPr>
              <w:t>水域与水利用地</w:t>
            </w:r>
          </w:p>
        </w:tc>
        <w:tc>
          <w:tcPr>
            <w:tcW w:w="1583"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7.08</w:t>
            </w:r>
          </w:p>
        </w:tc>
        <w:tc>
          <w:tcPr>
            <w:tcW w:w="1478"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4.24%</w:t>
            </w:r>
          </w:p>
        </w:tc>
        <w:tc>
          <w:tcPr>
            <w:tcW w:w="1583"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7.09</w:t>
            </w:r>
          </w:p>
        </w:tc>
        <w:tc>
          <w:tcPr>
            <w:tcW w:w="1478"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4.24%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08" w:type="dxa"/>
            <w:tcBorders>
              <w:tl2br w:val="nil"/>
              <w:tr2bl w:val="nil"/>
            </w:tcBorders>
            <w:vAlign w:val="center"/>
          </w:tcPr>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napToGrid w:val="0"/>
              <w:ind w:firstLine="420"/>
              <w:jc w:val="center"/>
              <w:rPr>
                <w:rFonts w:cs="Times New Roman"/>
                <w:sz w:val="21"/>
                <w:szCs w:val="21"/>
              </w:rPr>
            </w:pPr>
            <w:r>
              <w:rPr>
                <w:rFonts w:cs="Times New Roman"/>
                <w:sz w:val="21"/>
                <w:szCs w:val="21"/>
              </w:rPr>
              <w:t>林地</w:t>
            </w:r>
          </w:p>
        </w:tc>
        <w:tc>
          <w:tcPr>
            <w:tcW w:w="1583"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76.88</w:t>
            </w:r>
          </w:p>
        </w:tc>
        <w:tc>
          <w:tcPr>
            <w:tcW w:w="1478"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45.99%</w:t>
            </w:r>
          </w:p>
        </w:tc>
        <w:tc>
          <w:tcPr>
            <w:tcW w:w="1583"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103.17</w:t>
            </w:r>
          </w:p>
        </w:tc>
        <w:tc>
          <w:tcPr>
            <w:tcW w:w="1478"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61.72%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08" w:type="dxa"/>
            <w:tcBorders>
              <w:tl2br w:val="nil"/>
              <w:tr2bl w:val="nil"/>
            </w:tcBorders>
            <w:vAlign w:val="center"/>
          </w:tcPr>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napToGrid w:val="0"/>
              <w:ind w:firstLine="420"/>
              <w:jc w:val="center"/>
              <w:rPr>
                <w:rFonts w:cs="Times New Roman"/>
                <w:sz w:val="21"/>
                <w:szCs w:val="21"/>
              </w:rPr>
            </w:pPr>
            <w:r>
              <w:rPr>
                <w:rFonts w:cs="Times New Roman"/>
                <w:sz w:val="21"/>
                <w:szCs w:val="21"/>
              </w:rPr>
              <w:t>耕地</w:t>
            </w:r>
          </w:p>
        </w:tc>
        <w:tc>
          <w:tcPr>
            <w:tcW w:w="1583"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75.86</w:t>
            </w:r>
          </w:p>
        </w:tc>
        <w:tc>
          <w:tcPr>
            <w:tcW w:w="1478"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45.38%</w:t>
            </w:r>
          </w:p>
        </w:tc>
        <w:tc>
          <w:tcPr>
            <w:tcW w:w="1583"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48.46</w:t>
            </w:r>
          </w:p>
        </w:tc>
        <w:tc>
          <w:tcPr>
            <w:tcW w:w="1478"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28.99%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08" w:type="dxa"/>
            <w:tcBorders>
              <w:tl2br w:val="nil"/>
              <w:tr2bl w:val="nil"/>
            </w:tcBorders>
            <w:vAlign w:val="center"/>
          </w:tcPr>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napToGrid w:val="0"/>
              <w:ind w:firstLine="420"/>
              <w:jc w:val="center"/>
              <w:rPr>
                <w:rFonts w:cs="Times New Roman"/>
                <w:sz w:val="21"/>
                <w:szCs w:val="21"/>
              </w:rPr>
            </w:pPr>
            <w:r>
              <w:rPr>
                <w:rFonts w:cs="Times New Roman"/>
                <w:sz w:val="21"/>
                <w:szCs w:val="21"/>
              </w:rPr>
              <w:t>园地</w:t>
            </w:r>
          </w:p>
        </w:tc>
        <w:tc>
          <w:tcPr>
            <w:tcW w:w="1583"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0.82</w:t>
            </w:r>
          </w:p>
        </w:tc>
        <w:tc>
          <w:tcPr>
            <w:tcW w:w="1478"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0.49%</w:t>
            </w:r>
          </w:p>
        </w:tc>
        <w:tc>
          <w:tcPr>
            <w:tcW w:w="1583"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0.24</w:t>
            </w:r>
          </w:p>
        </w:tc>
        <w:tc>
          <w:tcPr>
            <w:tcW w:w="1478"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08" w:type="dxa"/>
            <w:tcBorders>
              <w:tl2br w:val="nil"/>
              <w:tr2bl w:val="nil"/>
            </w:tcBorders>
            <w:vAlign w:val="center"/>
          </w:tcPr>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napToGrid w:val="0"/>
              <w:ind w:firstLine="420"/>
              <w:jc w:val="center"/>
              <w:rPr>
                <w:rFonts w:cs="Times New Roman"/>
                <w:sz w:val="21"/>
                <w:szCs w:val="21"/>
              </w:rPr>
            </w:pPr>
            <w:r>
              <w:rPr>
                <w:rFonts w:cs="Times New Roman"/>
                <w:sz w:val="21"/>
                <w:szCs w:val="21"/>
              </w:rPr>
              <w:t>村镇建设用地</w:t>
            </w:r>
          </w:p>
        </w:tc>
        <w:tc>
          <w:tcPr>
            <w:tcW w:w="1583"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6.05</w:t>
            </w:r>
          </w:p>
        </w:tc>
        <w:tc>
          <w:tcPr>
            <w:tcW w:w="1478"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3.62%</w:t>
            </w:r>
          </w:p>
        </w:tc>
        <w:tc>
          <w:tcPr>
            <w:tcW w:w="1583"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6.63</w:t>
            </w:r>
          </w:p>
        </w:tc>
        <w:tc>
          <w:tcPr>
            <w:tcW w:w="1478"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3.97%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08" w:type="dxa"/>
            <w:tcBorders>
              <w:tl2br w:val="nil"/>
              <w:tr2bl w:val="nil"/>
            </w:tcBorders>
            <w:vAlign w:val="center"/>
          </w:tcPr>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napToGrid w:val="0"/>
              <w:ind w:firstLine="420"/>
              <w:jc w:val="center"/>
              <w:rPr>
                <w:rFonts w:cs="Times New Roman"/>
                <w:sz w:val="21"/>
                <w:szCs w:val="21"/>
              </w:rPr>
            </w:pPr>
            <w:r>
              <w:rPr>
                <w:rFonts w:cs="Times New Roman"/>
                <w:sz w:val="21"/>
                <w:szCs w:val="21"/>
              </w:rPr>
              <w:t>道路用地</w:t>
            </w:r>
          </w:p>
        </w:tc>
        <w:tc>
          <w:tcPr>
            <w:tcW w:w="1583"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0.47</w:t>
            </w:r>
          </w:p>
        </w:tc>
        <w:tc>
          <w:tcPr>
            <w:tcW w:w="1478"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0.28%</w:t>
            </w:r>
          </w:p>
        </w:tc>
        <w:tc>
          <w:tcPr>
            <w:tcW w:w="1583"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0.88</w:t>
            </w:r>
          </w:p>
        </w:tc>
        <w:tc>
          <w:tcPr>
            <w:tcW w:w="1478"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0.53%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08" w:type="dxa"/>
            <w:tcBorders>
              <w:tl2br w:val="nil"/>
              <w:tr2bl w:val="nil"/>
            </w:tcBorders>
            <w:vAlign w:val="center"/>
          </w:tcPr>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napToGrid w:val="0"/>
              <w:ind w:firstLine="420"/>
              <w:jc w:val="center"/>
              <w:rPr>
                <w:rFonts w:cs="Times New Roman"/>
                <w:sz w:val="21"/>
                <w:szCs w:val="21"/>
              </w:rPr>
            </w:pPr>
            <w:r>
              <w:rPr>
                <w:rFonts w:cs="Times New Roman"/>
                <w:sz w:val="21"/>
                <w:szCs w:val="21"/>
              </w:rPr>
              <w:t>商业服务用地</w:t>
            </w:r>
          </w:p>
        </w:tc>
        <w:tc>
          <w:tcPr>
            <w:tcW w:w="1583"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0.00</w:t>
            </w:r>
          </w:p>
        </w:tc>
        <w:tc>
          <w:tcPr>
            <w:tcW w:w="1478"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0.00%</w:t>
            </w:r>
          </w:p>
        </w:tc>
        <w:tc>
          <w:tcPr>
            <w:tcW w:w="1583"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0.69</w:t>
            </w:r>
          </w:p>
        </w:tc>
        <w:tc>
          <w:tcPr>
            <w:tcW w:w="1478"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0.41%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08" w:type="dxa"/>
            <w:tcBorders>
              <w:tl2br w:val="nil"/>
              <w:tr2bl w:val="nil"/>
            </w:tcBorders>
            <w:vAlign w:val="center"/>
          </w:tcPr>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napToGrid w:val="0"/>
              <w:ind w:firstLine="420"/>
              <w:jc w:val="center"/>
              <w:rPr>
                <w:rFonts w:cs="Times New Roman"/>
                <w:sz w:val="21"/>
                <w:szCs w:val="21"/>
              </w:rPr>
            </w:pPr>
            <w:r>
              <w:rPr>
                <w:rFonts w:cs="Times New Roman"/>
                <w:sz w:val="21"/>
                <w:szCs w:val="21"/>
              </w:rPr>
              <w:t>总面积</w:t>
            </w:r>
          </w:p>
        </w:tc>
        <w:tc>
          <w:tcPr>
            <w:tcW w:w="1583"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167.16</w:t>
            </w:r>
          </w:p>
        </w:tc>
        <w:tc>
          <w:tcPr>
            <w:tcW w:w="1478"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100.00%</w:t>
            </w:r>
          </w:p>
        </w:tc>
        <w:tc>
          <w:tcPr>
            <w:tcW w:w="1583"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167.16</w:t>
            </w:r>
          </w:p>
        </w:tc>
        <w:tc>
          <w:tcPr>
            <w:tcW w:w="1478" w:type="dxa"/>
            <w:tcBorders>
              <w:tl2br w:val="nil"/>
              <w:tr2bl w:val="nil"/>
            </w:tcBorders>
            <w:vAlign w:val="center"/>
          </w:tcPr>
          <w:p>
            <w:pPr>
              <w:adjustRightInd w:val="0"/>
              <w:snapToGrid w:val="0"/>
              <w:ind w:firstLine="420"/>
              <w:jc w:val="center"/>
              <w:rPr>
                <w:rFonts w:cs="Times New Roman"/>
                <w:sz w:val="21"/>
                <w:szCs w:val="21"/>
              </w:rPr>
            </w:pPr>
            <w:r>
              <w:rPr>
                <w:rFonts w:cs="Times New Roman"/>
                <w:sz w:val="21"/>
                <w:szCs w:val="21"/>
              </w:rPr>
              <w:t>100.00%</w:t>
            </w:r>
          </w:p>
        </w:tc>
      </w:tr>
    </w:tbl>
    <w:p>
      <w:pPr>
        <w:spacing w:line="360" w:lineRule="auto"/>
        <w:ind w:firstLine="480" w:firstLineChars="200"/>
        <w:rPr>
          <w:rFonts w:cs="Times New Roman"/>
          <w:color w:val="000000"/>
        </w:rPr>
      </w:pPr>
      <w:r>
        <w:rPr>
          <w:rFonts w:cs="Times New Roman"/>
          <w:color w:val="000000"/>
        </w:rPr>
        <w:t>现状村镇建设用地较少，占总用地的3.62%，规划区内的村镇建设用地除沙坝场乡、梅家乡等乡镇建设用地较为集中外，其余村庄多零散分布于规划区内，建筑均为自然形成的民居，层数低，密度小。</w:t>
      </w:r>
    </w:p>
    <w:p>
      <w:pPr>
        <w:spacing w:line="360" w:lineRule="auto"/>
        <w:ind w:firstLine="480" w:firstLineChars="200"/>
        <w:rPr>
          <w:rFonts w:cs="Times New Roman"/>
          <w:color w:val="000000"/>
        </w:rPr>
      </w:pPr>
      <w:r>
        <w:rPr>
          <w:rFonts w:cs="Times New Roman"/>
          <w:color w:val="000000"/>
        </w:rPr>
        <w:t>现状林地占总用地的45.99%，南部区域分布相对零散，多为块状散布于耕地间，北部区域多呈片状布局，其中人工林占整个林地的93.65％，灌木林地次之，占7.48％，落叶阔叶林最少，仅占林地的0.11％。现状园地园地占总用地的0.49%，集中于北部的黑沟村、中部斑竹溪村及水库中央金岛。现状耕地有75.86km</w:t>
      </w:r>
      <w:r>
        <w:rPr>
          <w:rFonts w:cs="Times New Roman"/>
          <w:color w:val="000000"/>
          <w:vertAlign w:val="superscript"/>
        </w:rPr>
        <w:t>2</w:t>
      </w:r>
      <w:r>
        <w:rPr>
          <w:rFonts w:cs="Times New Roman"/>
          <w:color w:val="000000"/>
        </w:rPr>
        <w:t>，占总用地面积的45.38%，这些耕地遍布整个规划区，主要分布在坝区各个村庄周边，形态较为零散，与林地相互交错。</w:t>
      </w:r>
    </w:p>
    <w:p>
      <w:pPr>
        <w:spacing w:line="360" w:lineRule="auto"/>
        <w:ind w:firstLine="480" w:firstLineChars="200"/>
        <w:rPr>
          <w:rFonts w:cs="Times New Roman"/>
          <w:color w:val="000000"/>
        </w:rPr>
      </w:pPr>
      <w:r>
        <w:rPr>
          <w:rFonts w:cs="Times New Roman"/>
          <w:color w:val="000000"/>
        </w:rPr>
        <w:t>同时，规划区内道路交通用地不足，除省道、高速公路等过境交通外，规划区内道路体系不甚完善，路面较窄，且道路通达性较差。</w:t>
      </w:r>
    </w:p>
    <w:p>
      <w:pPr>
        <w:spacing w:line="360" w:lineRule="auto"/>
        <w:ind w:firstLine="480" w:firstLineChars="200"/>
        <w:rPr>
          <w:rFonts w:cs="Times New Roman"/>
          <w:color w:val="000000"/>
        </w:rPr>
      </w:pPr>
      <w:r>
        <w:rPr>
          <w:rFonts w:cs="Times New Roman"/>
          <w:color w:val="000000"/>
        </w:rPr>
        <w:t>另外，水域及水利设施用地主要为</w:t>
      </w:r>
      <w:r>
        <w:rPr>
          <w:rFonts w:hint="eastAsia" w:cs="Times New Roman"/>
          <w:color w:val="000000"/>
        </w:rPr>
        <w:t>宝石桥水库</w:t>
      </w:r>
      <w:r>
        <w:rPr>
          <w:rFonts w:cs="Times New Roman"/>
          <w:color w:val="000000"/>
        </w:rPr>
        <w:t>水域，占总用地的4.24%，包括整个</w:t>
      </w:r>
      <w:r>
        <w:rPr>
          <w:rFonts w:hint="eastAsia" w:cs="Times New Roman"/>
          <w:color w:val="000000"/>
        </w:rPr>
        <w:t>宝石水库</w:t>
      </w:r>
      <w:r>
        <w:rPr>
          <w:rFonts w:cs="Times New Roman"/>
          <w:color w:val="000000"/>
        </w:rPr>
        <w:t>水域、坝区的一些小型池塘、主坝、副坝等水利设施以及水库的泄洪道，</w:t>
      </w:r>
      <w:r>
        <w:rPr>
          <w:rFonts w:hint="eastAsia" w:cs="Times New Roman"/>
          <w:color w:val="000000"/>
        </w:rPr>
        <w:t>宝石水库</w:t>
      </w:r>
      <w:r>
        <w:rPr>
          <w:rFonts w:cs="Times New Roman"/>
          <w:color w:val="000000"/>
        </w:rPr>
        <w:t>水域形态呈枝状分布，依据地形分为三个主要支流，整个</w:t>
      </w:r>
      <w:r>
        <w:rPr>
          <w:rFonts w:hint="eastAsia" w:cs="Times New Roman"/>
          <w:color w:val="000000"/>
        </w:rPr>
        <w:t>宝石水库</w:t>
      </w:r>
      <w:r>
        <w:rPr>
          <w:rFonts w:cs="Times New Roman"/>
          <w:color w:val="000000"/>
        </w:rPr>
        <w:t>水域是规划区空间的重要构成，并且，</w:t>
      </w:r>
      <w:r>
        <w:rPr>
          <w:rFonts w:hint="eastAsia" w:cs="Times New Roman"/>
          <w:color w:val="000000"/>
        </w:rPr>
        <w:t>宝石水库</w:t>
      </w:r>
      <w:r>
        <w:rPr>
          <w:rFonts w:cs="Times New Roman"/>
          <w:color w:val="000000"/>
        </w:rPr>
        <w:t>作为饮用水源在规划区内占有极为重要的地位。</w:t>
      </w:r>
    </w:p>
    <w:p>
      <w:pPr>
        <w:spacing w:line="360" w:lineRule="auto"/>
        <w:ind w:firstLine="480" w:firstLineChars="200"/>
        <w:rPr>
          <w:rFonts w:cs="Times New Roman"/>
          <w:color w:val="000000"/>
        </w:rPr>
      </w:pPr>
      <w:r>
        <w:rPr>
          <w:rFonts w:cs="Times New Roman"/>
          <w:color w:val="000000"/>
        </w:rPr>
        <w:t>与此同时，规划区内除政府机关用地外，沿街有少部分商业用地，但是整个规划区内的商业服务用地配套不足，不利于规划区内城镇的建设与发展以及水库的管理与保护。</w:t>
      </w:r>
    </w:p>
    <w:bookmarkEnd w:id="93"/>
    <w:p>
      <w:pPr>
        <w:pStyle w:val="2"/>
        <w:spacing w:line="360" w:lineRule="auto"/>
        <w:jc w:val="center"/>
        <w:rPr>
          <w:rFonts w:cs="Times New Roman"/>
        </w:rPr>
      </w:pPr>
      <w:bookmarkStart w:id="154" w:name="_Toc7976"/>
      <w:r>
        <w:rPr>
          <w:rFonts w:cs="Times New Roman"/>
        </w:rPr>
        <w:br w:type="page"/>
      </w:r>
      <w:bookmarkEnd w:id="154"/>
      <w:bookmarkStart w:id="155" w:name="_Toc26343"/>
      <w:bookmarkStart w:id="156" w:name="_Toc28077"/>
      <w:bookmarkStart w:id="157" w:name="_Toc16467"/>
      <w:r>
        <w:rPr>
          <w:rFonts w:hint="eastAsia" w:cs="Times New Roman"/>
        </w:rPr>
        <w:t>4</w:t>
      </w:r>
      <w:r>
        <w:rPr>
          <w:rFonts w:cs="Times New Roman"/>
        </w:rPr>
        <w:t xml:space="preserve"> </w:t>
      </w:r>
      <w:bookmarkEnd w:id="155"/>
      <w:r>
        <w:rPr>
          <w:rFonts w:cs="Times New Roman"/>
        </w:rPr>
        <w:t>水源地环境状况</w:t>
      </w:r>
      <w:bookmarkEnd w:id="156"/>
      <w:bookmarkEnd w:id="157"/>
    </w:p>
    <w:p>
      <w:pPr>
        <w:pStyle w:val="3"/>
        <w:spacing w:before="0" w:after="0" w:line="360" w:lineRule="auto"/>
        <w:jc w:val="left"/>
        <w:rPr>
          <w:rFonts w:ascii="Times New Roman" w:hAnsi="Times New Roman" w:cs="Times New Roman"/>
        </w:rPr>
      </w:pPr>
      <w:bookmarkStart w:id="158" w:name="_Toc8242"/>
      <w:bookmarkStart w:id="159" w:name="_Toc11159"/>
      <w:bookmarkStart w:id="160" w:name="_Toc27034"/>
      <w:r>
        <w:rPr>
          <w:rFonts w:hint="eastAsia" w:ascii="Times New Roman" w:hAnsi="Times New Roman" w:cs="Times New Roman"/>
        </w:rPr>
        <w:t>4</w:t>
      </w:r>
      <w:r>
        <w:rPr>
          <w:rFonts w:ascii="Times New Roman" w:hAnsi="Times New Roman" w:cs="Times New Roman"/>
        </w:rPr>
        <w:t>.1水环境风险识别</w:t>
      </w:r>
      <w:bookmarkEnd w:id="158"/>
      <w:bookmarkEnd w:id="159"/>
      <w:bookmarkEnd w:id="160"/>
    </w:p>
    <w:p>
      <w:pPr>
        <w:pStyle w:val="4"/>
        <w:spacing w:beforeAutospacing="0" w:afterAutospacing="0" w:line="360" w:lineRule="auto"/>
        <w:rPr>
          <w:rFonts w:ascii="Times New Roman" w:hAnsi="Times New Roman" w:cs="Times New Roman"/>
        </w:rPr>
      </w:pPr>
      <w:bookmarkStart w:id="161" w:name="_Toc17071"/>
      <w:bookmarkStart w:id="162" w:name="_Toc1758"/>
      <w:bookmarkStart w:id="163" w:name="_Toc2989"/>
      <w:bookmarkStart w:id="164" w:name="_Toc5528"/>
      <w:r>
        <w:rPr>
          <w:rFonts w:hint="eastAsia" w:ascii="Times New Roman" w:hAnsi="Times New Roman" w:cs="Times New Roman"/>
        </w:rPr>
        <w:t>4</w:t>
      </w:r>
      <w:r>
        <w:rPr>
          <w:rFonts w:ascii="Times New Roman" w:hAnsi="Times New Roman" w:cs="Times New Roman"/>
        </w:rPr>
        <w:t>.1.1农业面源污染源</w:t>
      </w:r>
      <w:bookmarkEnd w:id="161"/>
      <w:bookmarkEnd w:id="162"/>
      <w:bookmarkEnd w:id="163"/>
      <w:bookmarkEnd w:id="164"/>
    </w:p>
    <w:p>
      <w:pPr>
        <w:spacing w:line="360" w:lineRule="auto"/>
        <w:ind w:firstLine="480" w:firstLineChars="200"/>
        <w:rPr>
          <w:rFonts w:cs="Times New Roman"/>
          <w:b/>
          <w:sz w:val="21"/>
        </w:rPr>
      </w:pPr>
      <w:bookmarkStart w:id="165" w:name="_Toc32153"/>
      <w:r>
        <w:rPr>
          <w:rFonts w:cs="Times New Roman"/>
        </w:rPr>
        <w:t>根据调查，四川省开江县县城</w:t>
      </w:r>
      <w:r>
        <w:rPr>
          <w:rFonts w:hint="eastAsia" w:cs="Times New Roman"/>
        </w:rPr>
        <w:t>宝石桥水库</w:t>
      </w:r>
      <w:r>
        <w:rPr>
          <w:rFonts w:cs="Times New Roman"/>
        </w:rPr>
        <w:t>集中式饮用水源地保护区项目区共有耕地约113794亩。主要种植水稻和玉米为主，经济作物主要有花生、油菜等。2015年规划区内化肥年耗用量25034.68t。每亩农田的平均施肥量达到220kg，按照《全国水环境容量核定技术指南》中推荐，标准农田源强系数为：COD10.0kg/亩.年、TN2.0kg/亩.年。对于非标准农田，根据坡度、农田类型、土壤类型、年降雨量、化肥施用量等对应源强修正系数进行修正，修正系数见表14。根据流域农田的情况综合修正系数为2.25，修正后得出源强系数为COD22.5kg/亩.年、TN4.50kg/亩.年、TP0.45kg/亩.年。考虑规划区地势，农田径流系数按0.25计，计算得农田径流污染负荷量见下表。</w:t>
      </w:r>
    </w:p>
    <w:p>
      <w:pPr>
        <w:numPr>
          <w:ilvl w:val="0"/>
          <w:numId w:val="2"/>
        </w:numPr>
        <w:jc w:val="center"/>
        <w:rPr>
          <w:rFonts w:cs="Times New Roman"/>
          <w:b/>
          <w:bCs/>
          <w:color w:val="000000"/>
          <w:sz w:val="21"/>
          <w:szCs w:val="21"/>
        </w:rPr>
      </w:pPr>
      <w:r>
        <w:rPr>
          <w:rFonts w:cs="Times New Roman"/>
          <w:b/>
          <w:bCs/>
          <w:color w:val="000000"/>
          <w:sz w:val="21"/>
          <w:szCs w:val="21"/>
        </w:rPr>
        <w:t>农田径流污染负荷量</w:t>
      </w:r>
    </w:p>
    <w:tbl>
      <w:tblPr>
        <w:tblStyle w:val="22"/>
        <w:tblW w:w="8312" w:type="dxa"/>
        <w:jc w:val="center"/>
        <w:tblInd w:w="10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418"/>
        <w:gridCol w:w="938"/>
        <w:gridCol w:w="1100"/>
        <w:gridCol w:w="940"/>
        <w:gridCol w:w="928"/>
        <w:gridCol w:w="928"/>
        <w:gridCol w:w="11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38" w:type="dxa"/>
            <w:vMerge w:val="restart"/>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名称</w:t>
            </w:r>
          </w:p>
        </w:tc>
        <w:tc>
          <w:tcPr>
            <w:tcW w:w="1418" w:type="dxa"/>
            <w:vMerge w:val="restart"/>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耕地总面积</w:t>
            </w:r>
          </w:p>
        </w:tc>
        <w:tc>
          <w:tcPr>
            <w:tcW w:w="2978" w:type="dxa"/>
            <w:gridSpan w:val="3"/>
            <w:tcBorders>
              <w:tl2br w:val="nil"/>
              <w:tr2bl w:val="nil"/>
            </w:tcBorders>
            <w:vAlign w:val="center"/>
          </w:tcPr>
          <w:p>
            <w:pPr>
              <w:tabs>
                <w:tab w:val="center" w:pos="4870"/>
              </w:tabs>
              <w:adjustRightInd w:val="0"/>
              <w:snapToGrid w:val="0"/>
              <w:ind w:firstLine="420" w:firstLineChars="200"/>
              <w:jc w:val="center"/>
              <w:rPr>
                <w:rFonts w:cs="Times New Roman"/>
                <w:sz w:val="21"/>
                <w:szCs w:val="21"/>
              </w:rPr>
            </w:pPr>
            <w:r>
              <w:rPr>
                <w:rFonts w:cs="Times New Roman"/>
                <w:sz w:val="21"/>
                <w:szCs w:val="21"/>
              </w:rPr>
              <w:t>污染物排放量（t/a）</w:t>
            </w:r>
          </w:p>
        </w:tc>
        <w:tc>
          <w:tcPr>
            <w:tcW w:w="2978" w:type="dxa"/>
            <w:gridSpan w:val="3"/>
            <w:tcBorders>
              <w:tl2br w:val="nil"/>
              <w:tr2bl w:val="nil"/>
            </w:tcBorders>
            <w:vAlign w:val="center"/>
          </w:tcPr>
          <w:p>
            <w:pPr>
              <w:tabs>
                <w:tab w:val="center" w:pos="4870"/>
              </w:tabs>
              <w:adjustRightInd w:val="0"/>
              <w:snapToGrid w:val="0"/>
              <w:ind w:firstLine="420" w:firstLineChars="200"/>
              <w:jc w:val="center"/>
              <w:rPr>
                <w:rFonts w:cs="Times New Roman"/>
                <w:sz w:val="21"/>
                <w:szCs w:val="21"/>
              </w:rPr>
            </w:pPr>
            <w:r>
              <w:rPr>
                <w:rFonts w:cs="Times New Roman"/>
                <w:sz w:val="21"/>
                <w:szCs w:val="21"/>
              </w:rPr>
              <w:t>污染物流失量（t/a）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38" w:type="dxa"/>
            <w:vMerge w:val="continue"/>
            <w:tcBorders>
              <w:tl2br w:val="nil"/>
              <w:tr2bl w:val="nil"/>
            </w:tcBorders>
            <w:vAlign w:val="center"/>
          </w:tcPr>
          <w:p>
            <w:pPr>
              <w:adjustRightInd w:val="0"/>
              <w:snapToGrid w:val="0"/>
              <w:jc w:val="center"/>
              <w:rPr>
                <w:rFonts w:cs="Times New Roman"/>
                <w:sz w:val="21"/>
                <w:szCs w:val="21"/>
              </w:rPr>
            </w:pPr>
          </w:p>
        </w:tc>
        <w:tc>
          <w:tcPr>
            <w:tcW w:w="1418" w:type="dxa"/>
            <w:vMerge w:val="continue"/>
            <w:tcBorders>
              <w:tl2br w:val="nil"/>
              <w:tr2bl w:val="nil"/>
            </w:tcBorders>
            <w:vAlign w:val="center"/>
          </w:tcPr>
          <w:p>
            <w:pPr>
              <w:adjustRightInd w:val="0"/>
              <w:snapToGrid w:val="0"/>
              <w:jc w:val="center"/>
              <w:rPr>
                <w:rFonts w:cs="Times New Roman"/>
                <w:sz w:val="21"/>
                <w:szCs w:val="21"/>
              </w:rPr>
            </w:pPr>
          </w:p>
        </w:tc>
        <w:tc>
          <w:tcPr>
            <w:tcW w:w="938"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COD</w:t>
            </w:r>
          </w:p>
        </w:tc>
        <w:tc>
          <w:tcPr>
            <w:tcW w:w="1100"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TN</w:t>
            </w:r>
          </w:p>
        </w:tc>
        <w:tc>
          <w:tcPr>
            <w:tcW w:w="940"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TP</w:t>
            </w:r>
          </w:p>
        </w:tc>
        <w:tc>
          <w:tcPr>
            <w:tcW w:w="928"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COD</w:t>
            </w:r>
          </w:p>
        </w:tc>
        <w:tc>
          <w:tcPr>
            <w:tcW w:w="928"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TN</w:t>
            </w:r>
          </w:p>
        </w:tc>
        <w:tc>
          <w:tcPr>
            <w:tcW w:w="1122"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38"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规划区</w:t>
            </w:r>
          </w:p>
        </w:tc>
        <w:tc>
          <w:tcPr>
            <w:tcW w:w="1418"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113794</w:t>
            </w:r>
          </w:p>
        </w:tc>
        <w:tc>
          <w:tcPr>
            <w:tcW w:w="938"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2560</w:t>
            </w:r>
          </w:p>
        </w:tc>
        <w:tc>
          <w:tcPr>
            <w:tcW w:w="1100"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512.1</w:t>
            </w:r>
          </w:p>
        </w:tc>
        <w:tc>
          <w:tcPr>
            <w:tcW w:w="940"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51.2</w:t>
            </w:r>
          </w:p>
        </w:tc>
        <w:tc>
          <w:tcPr>
            <w:tcW w:w="928"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640</w:t>
            </w:r>
          </w:p>
        </w:tc>
        <w:tc>
          <w:tcPr>
            <w:tcW w:w="928"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128</w:t>
            </w:r>
          </w:p>
        </w:tc>
        <w:tc>
          <w:tcPr>
            <w:tcW w:w="1122"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12.8</w:t>
            </w:r>
          </w:p>
        </w:tc>
      </w:tr>
    </w:tbl>
    <w:p>
      <w:pPr>
        <w:spacing w:line="360" w:lineRule="auto"/>
        <w:ind w:firstLine="480" w:firstLineChars="200"/>
        <w:rPr>
          <w:rFonts w:cs="Times New Roman"/>
        </w:rPr>
      </w:pPr>
      <w:r>
        <w:rPr>
          <w:rFonts w:cs="Times New Roman"/>
        </w:rPr>
        <w:t>由上表的估算可知，库区范围内农田径流污染负荷分别为COD640t/a、TN 128t/a、TP12.8t/a。</w:t>
      </w:r>
    </w:p>
    <w:p>
      <w:pPr>
        <w:numPr>
          <w:ilvl w:val="0"/>
          <w:numId w:val="2"/>
        </w:numPr>
        <w:jc w:val="center"/>
        <w:rPr>
          <w:rFonts w:cs="Times New Roman"/>
          <w:b/>
          <w:bCs/>
          <w:sz w:val="21"/>
          <w:szCs w:val="21"/>
        </w:rPr>
      </w:pPr>
      <w:r>
        <w:rPr>
          <w:rFonts w:cs="Times New Roman"/>
          <w:b/>
          <w:bCs/>
          <w:color w:val="000000"/>
          <w:sz w:val="21"/>
          <w:szCs w:val="21"/>
        </w:rPr>
        <w:t xml:space="preserve"> 开江县城集中式饮用水水源地农业污染源调查表</w:t>
      </w:r>
    </w:p>
    <w:tbl>
      <w:tblPr>
        <w:tblStyle w:val="21"/>
        <w:tblW w:w="855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6"/>
        <w:gridCol w:w="930"/>
        <w:gridCol w:w="1515"/>
        <w:gridCol w:w="915"/>
        <w:gridCol w:w="1185"/>
        <w:gridCol w:w="1260"/>
        <w:gridCol w:w="21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jc w:val="center"/>
        </w:trPr>
        <w:tc>
          <w:tcPr>
            <w:tcW w:w="596"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序号</w:t>
            </w:r>
          </w:p>
        </w:tc>
        <w:tc>
          <w:tcPr>
            <w:tcW w:w="930"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乡镇</w:t>
            </w:r>
          </w:p>
        </w:tc>
        <w:tc>
          <w:tcPr>
            <w:tcW w:w="151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水源地名称</w:t>
            </w:r>
          </w:p>
        </w:tc>
        <w:tc>
          <w:tcPr>
            <w:tcW w:w="91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水源地</w:t>
            </w:r>
          </w:p>
          <w:p>
            <w:pPr>
              <w:pStyle w:val="24"/>
              <w:jc w:val="center"/>
              <w:rPr>
                <w:rFonts w:ascii="Times New Roman" w:hAnsi="Times New Roman" w:cs="Times New Roman"/>
                <w:sz w:val="21"/>
                <w:szCs w:val="21"/>
              </w:rPr>
            </w:pPr>
            <w:r>
              <w:rPr>
                <w:rFonts w:ascii="Times New Roman" w:hAnsi="Times New Roman" w:cs="Times New Roman"/>
                <w:sz w:val="21"/>
                <w:szCs w:val="21"/>
              </w:rPr>
              <w:t>类型</w:t>
            </w:r>
          </w:p>
        </w:tc>
        <w:tc>
          <w:tcPr>
            <w:tcW w:w="118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服务人口</w:t>
            </w:r>
          </w:p>
          <w:p>
            <w:pPr>
              <w:pStyle w:val="24"/>
              <w:jc w:val="center"/>
              <w:rPr>
                <w:rFonts w:ascii="Times New Roman" w:hAnsi="Times New Roman" w:cs="Times New Roman"/>
                <w:sz w:val="21"/>
                <w:szCs w:val="21"/>
              </w:rPr>
            </w:pPr>
            <w:r>
              <w:rPr>
                <w:rFonts w:ascii="Times New Roman" w:hAnsi="Times New Roman" w:cs="Times New Roman"/>
                <w:sz w:val="21"/>
                <w:szCs w:val="21"/>
              </w:rPr>
              <w:t>（人）</w:t>
            </w:r>
          </w:p>
        </w:tc>
        <w:tc>
          <w:tcPr>
            <w:tcW w:w="1260"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农业污染源</w:t>
            </w:r>
          </w:p>
        </w:tc>
        <w:tc>
          <w:tcPr>
            <w:tcW w:w="215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采取的措施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596"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1</w:t>
            </w:r>
          </w:p>
        </w:tc>
        <w:tc>
          <w:tcPr>
            <w:tcW w:w="930"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宝石乡</w:t>
            </w:r>
          </w:p>
        </w:tc>
        <w:tc>
          <w:tcPr>
            <w:tcW w:w="151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开江县</w:t>
            </w:r>
            <w:r>
              <w:rPr>
                <w:rFonts w:hint="eastAsia" w:ascii="Times New Roman" w:hAnsi="Times New Roman" w:cs="Times New Roman"/>
                <w:sz w:val="21"/>
                <w:szCs w:val="21"/>
              </w:rPr>
              <w:t>宝石桥水库</w:t>
            </w:r>
          </w:p>
        </w:tc>
        <w:tc>
          <w:tcPr>
            <w:tcW w:w="91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地表水</w:t>
            </w:r>
          </w:p>
        </w:tc>
        <w:tc>
          <w:tcPr>
            <w:tcW w:w="118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100000</w:t>
            </w:r>
          </w:p>
        </w:tc>
        <w:tc>
          <w:tcPr>
            <w:tcW w:w="1260"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有</w:t>
            </w:r>
          </w:p>
        </w:tc>
        <w:tc>
          <w:tcPr>
            <w:tcW w:w="215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一级保护区</w:t>
            </w:r>
            <w:r>
              <w:rPr>
                <w:rFonts w:hint="eastAsia" w:ascii="Times New Roman" w:hAnsi="Times New Roman" w:cs="Times New Roman"/>
                <w:sz w:val="21"/>
                <w:szCs w:val="21"/>
              </w:rPr>
              <w:t>、二级保护区</w:t>
            </w:r>
            <w:r>
              <w:rPr>
                <w:rFonts w:ascii="Times New Roman" w:hAnsi="Times New Roman" w:cs="Times New Roman"/>
                <w:sz w:val="21"/>
                <w:szCs w:val="21"/>
              </w:rPr>
              <w:t>内禁止从事农业活动</w:t>
            </w:r>
          </w:p>
        </w:tc>
      </w:tr>
    </w:tbl>
    <w:p>
      <w:pPr>
        <w:pStyle w:val="4"/>
        <w:spacing w:beforeAutospacing="0" w:afterAutospacing="0" w:line="360" w:lineRule="auto"/>
        <w:rPr>
          <w:rFonts w:ascii="Times New Roman" w:hAnsi="Times New Roman" w:cs="Times New Roman"/>
        </w:rPr>
      </w:pPr>
      <w:bookmarkStart w:id="166" w:name="_Toc1717"/>
      <w:bookmarkStart w:id="167" w:name="_Toc11375"/>
      <w:bookmarkStart w:id="168" w:name="_Toc25730"/>
      <w:r>
        <w:rPr>
          <w:rFonts w:hint="eastAsia" w:ascii="Times New Roman" w:hAnsi="Times New Roman" w:cs="Times New Roman"/>
        </w:rPr>
        <w:t>4</w:t>
      </w:r>
      <w:r>
        <w:rPr>
          <w:rFonts w:ascii="Times New Roman" w:hAnsi="Times New Roman" w:cs="Times New Roman"/>
        </w:rPr>
        <w:t>.1.2工业污染源</w:t>
      </w:r>
      <w:bookmarkEnd w:id="165"/>
      <w:bookmarkEnd w:id="166"/>
      <w:bookmarkEnd w:id="167"/>
      <w:bookmarkEnd w:id="168"/>
    </w:p>
    <w:p>
      <w:pPr>
        <w:spacing w:line="360" w:lineRule="auto"/>
        <w:ind w:firstLine="480" w:firstLineChars="200"/>
        <w:rPr>
          <w:rFonts w:cs="Times New Roman"/>
        </w:rPr>
      </w:pPr>
      <w:r>
        <w:rPr>
          <w:rFonts w:cs="Times New Roman"/>
        </w:rPr>
        <w:t>根据《饮用水源保护区保护与发展规划》数据结合现场调查，</w:t>
      </w:r>
      <w:r>
        <w:rPr>
          <w:rFonts w:hint="eastAsia" w:cs="Times New Roman"/>
        </w:rPr>
        <w:t>宝石桥水库</w:t>
      </w:r>
      <w:r>
        <w:rPr>
          <w:rFonts w:cs="Times New Roman"/>
        </w:rPr>
        <w:t>规划范围内共有6家工业企业。废水排放量较大的企业为开江县沙坝场桥头酒厂和梅家乡邓学友酒厂，其排放量分别为0.42万吨/年和0.38万吨/年，各工业点源废水及污染物排放量见表5-4：</w:t>
      </w:r>
    </w:p>
    <w:p>
      <w:pPr>
        <w:numPr>
          <w:ilvl w:val="0"/>
          <w:numId w:val="2"/>
        </w:numPr>
        <w:jc w:val="center"/>
        <w:rPr>
          <w:rFonts w:cs="Times New Roman"/>
          <w:b/>
          <w:bCs/>
          <w:color w:val="000000"/>
          <w:sz w:val="21"/>
          <w:szCs w:val="21"/>
        </w:rPr>
      </w:pPr>
      <w:r>
        <w:rPr>
          <w:rFonts w:cs="Times New Roman"/>
          <w:b/>
          <w:bCs/>
          <w:color w:val="000000"/>
          <w:sz w:val="21"/>
          <w:szCs w:val="21"/>
        </w:rPr>
        <w:t xml:space="preserve">   规划区工业污染物排放统计表</w:t>
      </w:r>
    </w:p>
    <w:tbl>
      <w:tblPr>
        <w:tblStyle w:val="21"/>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08"/>
        <w:gridCol w:w="1755"/>
        <w:gridCol w:w="1610"/>
        <w:gridCol w:w="16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508" w:type="dxa"/>
            <w:vMerge w:val="restart"/>
            <w:tcBorders>
              <w:tl2br w:val="nil"/>
              <w:tr2bl w:val="nil"/>
            </w:tcBorders>
            <w:vAlign w:val="center"/>
          </w:tcPr>
          <w:p>
            <w:pPr>
              <w:tabs>
                <w:tab w:val="center" w:pos="4870"/>
              </w:tabs>
              <w:adjustRightInd w:val="0"/>
              <w:snapToGrid w:val="0"/>
              <w:jc w:val="center"/>
              <w:rPr>
                <w:rFonts w:cs="Times New Roman"/>
                <w:b/>
                <w:bCs/>
              </w:rPr>
            </w:pPr>
            <w:r>
              <w:rPr>
                <w:rFonts w:cs="Times New Roman"/>
                <w:b/>
                <w:bCs/>
              </w:rPr>
              <w:t>企业名称</w:t>
            </w:r>
          </w:p>
        </w:tc>
        <w:tc>
          <w:tcPr>
            <w:tcW w:w="1755" w:type="dxa"/>
            <w:vMerge w:val="restart"/>
            <w:tcBorders>
              <w:tl2br w:val="nil"/>
              <w:tr2bl w:val="nil"/>
            </w:tcBorders>
            <w:vAlign w:val="center"/>
          </w:tcPr>
          <w:p>
            <w:pPr>
              <w:tabs>
                <w:tab w:val="center" w:pos="4870"/>
              </w:tabs>
              <w:adjustRightInd w:val="0"/>
              <w:snapToGrid w:val="0"/>
              <w:jc w:val="center"/>
              <w:rPr>
                <w:rFonts w:cs="Times New Roman"/>
                <w:b/>
                <w:bCs/>
              </w:rPr>
            </w:pPr>
            <w:r>
              <w:rPr>
                <w:rFonts w:cs="Times New Roman"/>
                <w:b/>
                <w:bCs/>
              </w:rPr>
              <w:t>废水排放量（吨/年）</w:t>
            </w:r>
          </w:p>
        </w:tc>
        <w:tc>
          <w:tcPr>
            <w:tcW w:w="3253" w:type="dxa"/>
            <w:gridSpan w:val="2"/>
            <w:tcBorders>
              <w:tl2br w:val="nil"/>
              <w:tr2bl w:val="nil"/>
            </w:tcBorders>
            <w:vAlign w:val="center"/>
          </w:tcPr>
          <w:p>
            <w:pPr>
              <w:tabs>
                <w:tab w:val="center" w:pos="4870"/>
              </w:tabs>
              <w:adjustRightInd w:val="0"/>
              <w:snapToGrid w:val="0"/>
              <w:jc w:val="center"/>
              <w:rPr>
                <w:rFonts w:cs="Times New Roman"/>
                <w:b/>
                <w:bCs/>
              </w:rPr>
            </w:pPr>
            <w:r>
              <w:rPr>
                <w:rFonts w:cs="Times New Roman"/>
                <w:b/>
                <w:bCs/>
              </w:rPr>
              <w:t>主要污染物排放量（吨/年）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508" w:type="dxa"/>
            <w:vMerge w:val="continue"/>
            <w:tcBorders>
              <w:tl2br w:val="nil"/>
              <w:tr2bl w:val="nil"/>
            </w:tcBorders>
            <w:vAlign w:val="center"/>
          </w:tcPr>
          <w:p>
            <w:pPr>
              <w:adjustRightInd w:val="0"/>
              <w:snapToGrid w:val="0"/>
              <w:jc w:val="center"/>
              <w:rPr>
                <w:rFonts w:cs="Times New Roman"/>
                <w:b/>
                <w:bCs/>
              </w:rPr>
            </w:pPr>
          </w:p>
        </w:tc>
        <w:tc>
          <w:tcPr>
            <w:tcW w:w="1755" w:type="dxa"/>
            <w:vMerge w:val="continue"/>
            <w:tcBorders>
              <w:tl2br w:val="nil"/>
              <w:tr2bl w:val="nil"/>
            </w:tcBorders>
            <w:vAlign w:val="center"/>
          </w:tcPr>
          <w:p>
            <w:pPr>
              <w:adjustRightInd w:val="0"/>
              <w:snapToGrid w:val="0"/>
              <w:jc w:val="center"/>
              <w:rPr>
                <w:rFonts w:cs="Times New Roman"/>
                <w:b/>
                <w:bCs/>
              </w:rPr>
            </w:pPr>
          </w:p>
        </w:tc>
        <w:tc>
          <w:tcPr>
            <w:tcW w:w="1610" w:type="dxa"/>
            <w:tcBorders>
              <w:tl2br w:val="nil"/>
              <w:tr2bl w:val="nil"/>
            </w:tcBorders>
            <w:vAlign w:val="center"/>
          </w:tcPr>
          <w:p>
            <w:pPr>
              <w:tabs>
                <w:tab w:val="center" w:pos="4870"/>
              </w:tabs>
              <w:adjustRightInd w:val="0"/>
              <w:snapToGrid w:val="0"/>
              <w:jc w:val="center"/>
              <w:rPr>
                <w:rFonts w:cs="Times New Roman"/>
                <w:b/>
                <w:bCs/>
              </w:rPr>
            </w:pPr>
            <w:r>
              <w:rPr>
                <w:rFonts w:cs="Times New Roman"/>
                <w:b/>
                <w:bCs/>
              </w:rPr>
              <w:t>COD</w:t>
            </w:r>
          </w:p>
        </w:tc>
        <w:tc>
          <w:tcPr>
            <w:tcW w:w="1643" w:type="dxa"/>
            <w:tcBorders>
              <w:tl2br w:val="nil"/>
              <w:tr2bl w:val="nil"/>
            </w:tcBorders>
            <w:vAlign w:val="center"/>
          </w:tcPr>
          <w:p>
            <w:pPr>
              <w:tabs>
                <w:tab w:val="center" w:pos="4870"/>
              </w:tabs>
              <w:adjustRightInd w:val="0"/>
              <w:snapToGrid w:val="0"/>
              <w:jc w:val="center"/>
              <w:rPr>
                <w:rFonts w:cs="Times New Roman"/>
                <w:b/>
                <w:bCs/>
              </w:rPr>
            </w:pPr>
            <w:r>
              <w:rPr>
                <w:rFonts w:cs="Times New Roman"/>
                <w:b/>
                <w:bCs/>
              </w:rPr>
              <w:t>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508" w:type="dxa"/>
            <w:tcBorders>
              <w:tl2br w:val="nil"/>
              <w:tr2bl w:val="nil"/>
            </w:tcBorders>
            <w:vAlign w:val="center"/>
          </w:tcPr>
          <w:p>
            <w:pPr>
              <w:tabs>
                <w:tab w:val="center" w:pos="4870"/>
              </w:tabs>
              <w:adjustRightInd w:val="0"/>
              <w:snapToGrid w:val="0"/>
              <w:jc w:val="center"/>
              <w:rPr>
                <w:rFonts w:cs="Times New Roman"/>
              </w:rPr>
            </w:pPr>
            <w:r>
              <w:rPr>
                <w:rFonts w:cs="Times New Roman"/>
              </w:rPr>
              <w:t>开江县沙坝场桥头酒厂</w:t>
            </w:r>
          </w:p>
        </w:tc>
        <w:tc>
          <w:tcPr>
            <w:tcW w:w="1755" w:type="dxa"/>
            <w:tcBorders>
              <w:tl2br w:val="nil"/>
              <w:tr2bl w:val="nil"/>
            </w:tcBorders>
            <w:vAlign w:val="center"/>
          </w:tcPr>
          <w:p>
            <w:pPr>
              <w:tabs>
                <w:tab w:val="center" w:pos="4870"/>
              </w:tabs>
              <w:adjustRightInd w:val="0"/>
              <w:snapToGrid w:val="0"/>
              <w:jc w:val="center"/>
              <w:rPr>
                <w:rFonts w:cs="Times New Roman"/>
              </w:rPr>
            </w:pPr>
            <w:r>
              <w:rPr>
                <w:rFonts w:cs="Times New Roman"/>
              </w:rPr>
              <w:t>4226</w:t>
            </w:r>
          </w:p>
        </w:tc>
        <w:tc>
          <w:tcPr>
            <w:tcW w:w="1610" w:type="dxa"/>
            <w:tcBorders>
              <w:tl2br w:val="nil"/>
              <w:tr2bl w:val="nil"/>
            </w:tcBorders>
            <w:vAlign w:val="center"/>
          </w:tcPr>
          <w:p>
            <w:pPr>
              <w:tabs>
                <w:tab w:val="center" w:pos="4870"/>
              </w:tabs>
              <w:adjustRightInd w:val="0"/>
              <w:snapToGrid w:val="0"/>
              <w:jc w:val="center"/>
              <w:rPr>
                <w:rFonts w:cs="Times New Roman"/>
              </w:rPr>
            </w:pPr>
            <w:r>
              <w:rPr>
                <w:rFonts w:cs="Times New Roman"/>
              </w:rPr>
              <w:t>20.65</w:t>
            </w:r>
          </w:p>
        </w:tc>
        <w:tc>
          <w:tcPr>
            <w:tcW w:w="1643" w:type="dxa"/>
            <w:tcBorders>
              <w:tl2br w:val="nil"/>
              <w:tr2bl w:val="nil"/>
            </w:tcBorders>
            <w:vAlign w:val="center"/>
          </w:tcPr>
          <w:p>
            <w:pPr>
              <w:tabs>
                <w:tab w:val="center" w:pos="4870"/>
              </w:tabs>
              <w:adjustRightInd w:val="0"/>
              <w:snapToGrid w:val="0"/>
              <w:jc w:val="center"/>
              <w:rPr>
                <w:rFonts w:cs="Times New Roman"/>
              </w:rPr>
            </w:pPr>
            <w:r>
              <w:rPr>
                <w:rFonts w:cs="Times New Roman"/>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508" w:type="dxa"/>
            <w:tcBorders>
              <w:tl2br w:val="nil"/>
              <w:tr2bl w:val="nil"/>
            </w:tcBorders>
            <w:vAlign w:val="center"/>
          </w:tcPr>
          <w:p>
            <w:pPr>
              <w:tabs>
                <w:tab w:val="center" w:pos="4870"/>
              </w:tabs>
              <w:adjustRightInd w:val="0"/>
              <w:snapToGrid w:val="0"/>
              <w:jc w:val="center"/>
              <w:rPr>
                <w:rFonts w:cs="Times New Roman"/>
              </w:rPr>
            </w:pPr>
            <w:r>
              <w:rPr>
                <w:rFonts w:cs="Times New Roman"/>
              </w:rPr>
              <w:t>开江县沙坝场粮管所酒厂</w:t>
            </w:r>
          </w:p>
        </w:tc>
        <w:tc>
          <w:tcPr>
            <w:tcW w:w="1755" w:type="dxa"/>
            <w:tcBorders>
              <w:tl2br w:val="nil"/>
              <w:tr2bl w:val="nil"/>
            </w:tcBorders>
            <w:vAlign w:val="center"/>
          </w:tcPr>
          <w:p>
            <w:pPr>
              <w:tabs>
                <w:tab w:val="center" w:pos="4870"/>
              </w:tabs>
              <w:adjustRightInd w:val="0"/>
              <w:snapToGrid w:val="0"/>
              <w:jc w:val="center"/>
              <w:rPr>
                <w:rFonts w:cs="Times New Roman"/>
              </w:rPr>
            </w:pPr>
            <w:r>
              <w:rPr>
                <w:rFonts w:cs="Times New Roman"/>
              </w:rPr>
              <w:t>1509</w:t>
            </w:r>
          </w:p>
        </w:tc>
        <w:tc>
          <w:tcPr>
            <w:tcW w:w="1610" w:type="dxa"/>
            <w:tcBorders>
              <w:tl2br w:val="nil"/>
              <w:tr2bl w:val="nil"/>
            </w:tcBorders>
            <w:vAlign w:val="center"/>
          </w:tcPr>
          <w:p>
            <w:pPr>
              <w:tabs>
                <w:tab w:val="center" w:pos="4870"/>
              </w:tabs>
              <w:adjustRightInd w:val="0"/>
              <w:snapToGrid w:val="0"/>
              <w:jc w:val="center"/>
              <w:rPr>
                <w:rFonts w:cs="Times New Roman"/>
              </w:rPr>
            </w:pPr>
            <w:r>
              <w:rPr>
                <w:rFonts w:cs="Times New Roman"/>
              </w:rPr>
              <w:t>7.37</w:t>
            </w:r>
          </w:p>
        </w:tc>
        <w:tc>
          <w:tcPr>
            <w:tcW w:w="1643" w:type="dxa"/>
            <w:tcBorders>
              <w:tl2br w:val="nil"/>
              <w:tr2bl w:val="nil"/>
            </w:tcBorders>
            <w:vAlign w:val="center"/>
          </w:tcPr>
          <w:p>
            <w:pPr>
              <w:tabs>
                <w:tab w:val="center" w:pos="4870"/>
              </w:tabs>
              <w:adjustRightInd w:val="0"/>
              <w:snapToGrid w:val="0"/>
              <w:jc w:val="center"/>
              <w:rPr>
                <w:rFonts w:cs="Times New Roman"/>
              </w:rPr>
            </w:pPr>
            <w:r>
              <w:rPr>
                <w:rFonts w:cs="Times New Roman"/>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508" w:type="dxa"/>
            <w:tcBorders>
              <w:tl2br w:val="nil"/>
              <w:tr2bl w:val="nil"/>
            </w:tcBorders>
            <w:vAlign w:val="center"/>
          </w:tcPr>
          <w:p>
            <w:pPr>
              <w:tabs>
                <w:tab w:val="center" w:pos="4870"/>
              </w:tabs>
              <w:adjustRightInd w:val="0"/>
              <w:snapToGrid w:val="0"/>
              <w:jc w:val="center"/>
              <w:rPr>
                <w:rFonts w:cs="Times New Roman"/>
              </w:rPr>
            </w:pPr>
            <w:r>
              <w:rPr>
                <w:rFonts w:cs="Times New Roman"/>
              </w:rPr>
              <w:t>开江县宝石乡黄林捌酒厂</w:t>
            </w:r>
          </w:p>
        </w:tc>
        <w:tc>
          <w:tcPr>
            <w:tcW w:w="1755" w:type="dxa"/>
            <w:tcBorders>
              <w:tl2br w:val="nil"/>
              <w:tr2bl w:val="nil"/>
            </w:tcBorders>
            <w:vAlign w:val="center"/>
          </w:tcPr>
          <w:p>
            <w:pPr>
              <w:tabs>
                <w:tab w:val="center" w:pos="4870"/>
              </w:tabs>
              <w:adjustRightInd w:val="0"/>
              <w:snapToGrid w:val="0"/>
              <w:jc w:val="center"/>
              <w:rPr>
                <w:rFonts w:cs="Times New Roman"/>
              </w:rPr>
            </w:pPr>
            <w:r>
              <w:rPr>
                <w:rFonts w:cs="Times New Roman"/>
              </w:rPr>
              <w:t>1906</w:t>
            </w:r>
          </w:p>
        </w:tc>
        <w:tc>
          <w:tcPr>
            <w:tcW w:w="1610" w:type="dxa"/>
            <w:tcBorders>
              <w:tl2br w:val="nil"/>
              <w:tr2bl w:val="nil"/>
            </w:tcBorders>
            <w:vAlign w:val="center"/>
          </w:tcPr>
          <w:p>
            <w:pPr>
              <w:tabs>
                <w:tab w:val="center" w:pos="4870"/>
              </w:tabs>
              <w:adjustRightInd w:val="0"/>
              <w:snapToGrid w:val="0"/>
              <w:jc w:val="center"/>
              <w:rPr>
                <w:rFonts w:cs="Times New Roman"/>
              </w:rPr>
            </w:pPr>
            <w:r>
              <w:rPr>
                <w:rFonts w:cs="Times New Roman"/>
              </w:rPr>
              <w:t>0.39</w:t>
            </w:r>
          </w:p>
        </w:tc>
        <w:tc>
          <w:tcPr>
            <w:tcW w:w="1643" w:type="dxa"/>
            <w:tcBorders>
              <w:tl2br w:val="nil"/>
              <w:tr2bl w:val="nil"/>
            </w:tcBorders>
            <w:vAlign w:val="center"/>
          </w:tcPr>
          <w:p>
            <w:pPr>
              <w:tabs>
                <w:tab w:val="center" w:pos="4870"/>
              </w:tabs>
              <w:adjustRightInd w:val="0"/>
              <w:snapToGrid w:val="0"/>
              <w:jc w:val="center"/>
              <w:rPr>
                <w:rFonts w:cs="Times New Roman"/>
              </w:rPr>
            </w:pPr>
            <w:r>
              <w:rPr>
                <w:rFonts w:cs="Times New Roma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508" w:type="dxa"/>
            <w:tcBorders>
              <w:tl2br w:val="nil"/>
              <w:tr2bl w:val="nil"/>
            </w:tcBorders>
            <w:vAlign w:val="center"/>
          </w:tcPr>
          <w:p>
            <w:pPr>
              <w:tabs>
                <w:tab w:val="center" w:pos="4870"/>
              </w:tabs>
              <w:adjustRightInd w:val="0"/>
              <w:snapToGrid w:val="0"/>
              <w:jc w:val="center"/>
              <w:rPr>
                <w:rFonts w:cs="Times New Roman"/>
              </w:rPr>
            </w:pPr>
            <w:r>
              <w:rPr>
                <w:rFonts w:cs="Times New Roman"/>
              </w:rPr>
              <w:t>开江县宝石乡袁维财酒厂</w:t>
            </w:r>
          </w:p>
        </w:tc>
        <w:tc>
          <w:tcPr>
            <w:tcW w:w="1755" w:type="dxa"/>
            <w:tcBorders>
              <w:tl2br w:val="nil"/>
              <w:tr2bl w:val="nil"/>
            </w:tcBorders>
            <w:vAlign w:val="center"/>
          </w:tcPr>
          <w:p>
            <w:pPr>
              <w:tabs>
                <w:tab w:val="center" w:pos="4870"/>
              </w:tabs>
              <w:adjustRightInd w:val="0"/>
              <w:snapToGrid w:val="0"/>
              <w:jc w:val="center"/>
              <w:rPr>
                <w:rFonts w:cs="Times New Roman"/>
              </w:rPr>
            </w:pPr>
            <w:r>
              <w:rPr>
                <w:rFonts w:cs="Times New Roman"/>
              </w:rPr>
              <w:t>1906</w:t>
            </w:r>
          </w:p>
        </w:tc>
        <w:tc>
          <w:tcPr>
            <w:tcW w:w="1610" w:type="dxa"/>
            <w:tcBorders>
              <w:tl2br w:val="nil"/>
              <w:tr2bl w:val="nil"/>
            </w:tcBorders>
            <w:vAlign w:val="center"/>
          </w:tcPr>
          <w:p>
            <w:pPr>
              <w:tabs>
                <w:tab w:val="center" w:pos="4870"/>
              </w:tabs>
              <w:adjustRightInd w:val="0"/>
              <w:snapToGrid w:val="0"/>
              <w:jc w:val="center"/>
              <w:rPr>
                <w:rFonts w:cs="Times New Roman"/>
              </w:rPr>
            </w:pPr>
            <w:r>
              <w:rPr>
                <w:rFonts w:cs="Times New Roman"/>
              </w:rPr>
              <w:t>0.39</w:t>
            </w:r>
          </w:p>
        </w:tc>
        <w:tc>
          <w:tcPr>
            <w:tcW w:w="1643" w:type="dxa"/>
            <w:tcBorders>
              <w:tl2br w:val="nil"/>
              <w:tr2bl w:val="nil"/>
            </w:tcBorders>
            <w:vAlign w:val="center"/>
          </w:tcPr>
          <w:p>
            <w:pPr>
              <w:tabs>
                <w:tab w:val="center" w:pos="4870"/>
              </w:tabs>
              <w:adjustRightInd w:val="0"/>
              <w:snapToGrid w:val="0"/>
              <w:jc w:val="center"/>
              <w:rPr>
                <w:rFonts w:cs="Times New Roman"/>
              </w:rPr>
            </w:pPr>
            <w:r>
              <w:rPr>
                <w:rFonts w:cs="Times New Roma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508" w:type="dxa"/>
            <w:tcBorders>
              <w:tl2br w:val="nil"/>
              <w:tr2bl w:val="nil"/>
            </w:tcBorders>
            <w:vAlign w:val="center"/>
          </w:tcPr>
          <w:p>
            <w:pPr>
              <w:tabs>
                <w:tab w:val="center" w:pos="4870"/>
              </w:tabs>
              <w:adjustRightInd w:val="0"/>
              <w:snapToGrid w:val="0"/>
              <w:jc w:val="center"/>
              <w:rPr>
                <w:rFonts w:cs="Times New Roman"/>
              </w:rPr>
            </w:pPr>
            <w:r>
              <w:rPr>
                <w:rFonts w:cs="Times New Roman"/>
              </w:rPr>
              <w:t>开江县梅家乡邓学友酒厂</w:t>
            </w:r>
          </w:p>
        </w:tc>
        <w:tc>
          <w:tcPr>
            <w:tcW w:w="1755" w:type="dxa"/>
            <w:tcBorders>
              <w:tl2br w:val="nil"/>
              <w:tr2bl w:val="nil"/>
            </w:tcBorders>
            <w:vAlign w:val="center"/>
          </w:tcPr>
          <w:p>
            <w:pPr>
              <w:tabs>
                <w:tab w:val="center" w:pos="4870"/>
              </w:tabs>
              <w:adjustRightInd w:val="0"/>
              <w:snapToGrid w:val="0"/>
              <w:jc w:val="center"/>
              <w:rPr>
                <w:rFonts w:cs="Times New Roman"/>
              </w:rPr>
            </w:pPr>
            <w:r>
              <w:rPr>
                <w:rFonts w:cs="Times New Roman"/>
              </w:rPr>
              <w:t>3843</w:t>
            </w:r>
          </w:p>
        </w:tc>
        <w:tc>
          <w:tcPr>
            <w:tcW w:w="1610" w:type="dxa"/>
            <w:tcBorders>
              <w:tl2br w:val="nil"/>
              <w:tr2bl w:val="nil"/>
            </w:tcBorders>
            <w:vAlign w:val="center"/>
          </w:tcPr>
          <w:p>
            <w:pPr>
              <w:tabs>
                <w:tab w:val="center" w:pos="4870"/>
              </w:tabs>
              <w:adjustRightInd w:val="0"/>
              <w:snapToGrid w:val="0"/>
              <w:jc w:val="center"/>
              <w:rPr>
                <w:rFonts w:cs="Times New Roman"/>
              </w:rPr>
            </w:pPr>
            <w:r>
              <w:rPr>
                <w:rFonts w:cs="Times New Roman"/>
              </w:rPr>
              <w:t>18.78</w:t>
            </w:r>
          </w:p>
        </w:tc>
        <w:tc>
          <w:tcPr>
            <w:tcW w:w="1643" w:type="dxa"/>
            <w:tcBorders>
              <w:tl2br w:val="nil"/>
              <w:tr2bl w:val="nil"/>
            </w:tcBorders>
            <w:vAlign w:val="center"/>
          </w:tcPr>
          <w:p>
            <w:pPr>
              <w:tabs>
                <w:tab w:val="center" w:pos="4870"/>
              </w:tabs>
              <w:adjustRightInd w:val="0"/>
              <w:snapToGrid w:val="0"/>
              <w:jc w:val="center"/>
              <w:rPr>
                <w:rFonts w:cs="Times New Roman"/>
              </w:rPr>
            </w:pPr>
            <w:r>
              <w:rPr>
                <w:rFonts w:cs="Times New Roman"/>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508" w:type="dxa"/>
            <w:tcBorders>
              <w:tl2br w:val="nil"/>
              <w:tr2bl w:val="nil"/>
            </w:tcBorders>
            <w:vAlign w:val="center"/>
          </w:tcPr>
          <w:p>
            <w:pPr>
              <w:tabs>
                <w:tab w:val="center" w:pos="4870"/>
              </w:tabs>
              <w:adjustRightInd w:val="0"/>
              <w:snapToGrid w:val="0"/>
              <w:jc w:val="center"/>
              <w:rPr>
                <w:rFonts w:cs="Times New Roman"/>
              </w:rPr>
            </w:pPr>
            <w:r>
              <w:rPr>
                <w:rFonts w:cs="Times New Roman"/>
              </w:rPr>
              <w:t>开江县梅家乡蒋宗桃酒厂</w:t>
            </w:r>
          </w:p>
        </w:tc>
        <w:tc>
          <w:tcPr>
            <w:tcW w:w="1755" w:type="dxa"/>
            <w:tcBorders>
              <w:tl2br w:val="nil"/>
              <w:tr2bl w:val="nil"/>
            </w:tcBorders>
            <w:vAlign w:val="center"/>
          </w:tcPr>
          <w:p>
            <w:pPr>
              <w:tabs>
                <w:tab w:val="center" w:pos="4870"/>
              </w:tabs>
              <w:adjustRightInd w:val="0"/>
              <w:snapToGrid w:val="0"/>
              <w:jc w:val="center"/>
              <w:rPr>
                <w:rFonts w:cs="Times New Roman"/>
              </w:rPr>
            </w:pPr>
            <w:r>
              <w:rPr>
                <w:rFonts w:cs="Times New Roman"/>
              </w:rPr>
              <w:t>1225</w:t>
            </w:r>
          </w:p>
        </w:tc>
        <w:tc>
          <w:tcPr>
            <w:tcW w:w="1610" w:type="dxa"/>
            <w:tcBorders>
              <w:tl2br w:val="nil"/>
              <w:tr2bl w:val="nil"/>
            </w:tcBorders>
            <w:vAlign w:val="center"/>
          </w:tcPr>
          <w:p>
            <w:pPr>
              <w:tabs>
                <w:tab w:val="center" w:pos="4870"/>
              </w:tabs>
              <w:adjustRightInd w:val="0"/>
              <w:snapToGrid w:val="0"/>
              <w:jc w:val="center"/>
              <w:rPr>
                <w:rFonts w:cs="Times New Roman"/>
              </w:rPr>
            </w:pPr>
            <w:r>
              <w:rPr>
                <w:rFonts w:cs="Times New Roman"/>
              </w:rPr>
              <w:t>5.9</w:t>
            </w:r>
          </w:p>
        </w:tc>
        <w:tc>
          <w:tcPr>
            <w:tcW w:w="1643" w:type="dxa"/>
            <w:tcBorders>
              <w:tl2br w:val="nil"/>
              <w:tr2bl w:val="nil"/>
            </w:tcBorders>
            <w:vAlign w:val="center"/>
          </w:tcPr>
          <w:p>
            <w:pPr>
              <w:tabs>
                <w:tab w:val="center" w:pos="4870"/>
              </w:tabs>
              <w:adjustRightInd w:val="0"/>
              <w:snapToGrid w:val="0"/>
              <w:jc w:val="center"/>
              <w:rPr>
                <w:rFonts w:cs="Times New Roman"/>
              </w:rPr>
            </w:pPr>
            <w:r>
              <w:rPr>
                <w:rFonts w:cs="Times New Roma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508" w:type="dxa"/>
            <w:tcBorders>
              <w:tl2br w:val="nil"/>
              <w:tr2bl w:val="nil"/>
            </w:tcBorders>
            <w:vAlign w:val="center"/>
          </w:tcPr>
          <w:p>
            <w:pPr>
              <w:tabs>
                <w:tab w:val="center" w:pos="4870"/>
              </w:tabs>
              <w:adjustRightInd w:val="0"/>
              <w:snapToGrid w:val="0"/>
              <w:jc w:val="center"/>
              <w:rPr>
                <w:rFonts w:cs="Times New Roman"/>
              </w:rPr>
            </w:pPr>
            <w:r>
              <w:rPr>
                <w:rFonts w:cs="Times New Roman"/>
              </w:rPr>
              <w:t>合计</w:t>
            </w:r>
          </w:p>
        </w:tc>
        <w:tc>
          <w:tcPr>
            <w:tcW w:w="1755" w:type="dxa"/>
            <w:tcBorders>
              <w:tl2br w:val="nil"/>
              <w:tr2bl w:val="nil"/>
            </w:tcBorders>
            <w:vAlign w:val="center"/>
          </w:tcPr>
          <w:p>
            <w:pPr>
              <w:tabs>
                <w:tab w:val="center" w:pos="4870"/>
              </w:tabs>
              <w:adjustRightInd w:val="0"/>
              <w:snapToGrid w:val="0"/>
              <w:jc w:val="center"/>
              <w:rPr>
                <w:rFonts w:cs="Times New Roman"/>
              </w:rPr>
            </w:pPr>
            <w:r>
              <w:rPr>
                <w:rFonts w:cs="Times New Roman"/>
              </w:rPr>
              <w:t>14615</w:t>
            </w:r>
          </w:p>
        </w:tc>
        <w:tc>
          <w:tcPr>
            <w:tcW w:w="1610" w:type="dxa"/>
            <w:tcBorders>
              <w:tl2br w:val="nil"/>
              <w:tr2bl w:val="nil"/>
            </w:tcBorders>
            <w:vAlign w:val="center"/>
          </w:tcPr>
          <w:p>
            <w:pPr>
              <w:tabs>
                <w:tab w:val="center" w:pos="4870"/>
              </w:tabs>
              <w:adjustRightInd w:val="0"/>
              <w:snapToGrid w:val="0"/>
              <w:jc w:val="center"/>
              <w:rPr>
                <w:rFonts w:cs="Times New Roman"/>
              </w:rPr>
            </w:pPr>
            <w:r>
              <w:rPr>
                <w:rFonts w:cs="Times New Roman"/>
              </w:rPr>
              <w:t>53.48</w:t>
            </w:r>
          </w:p>
        </w:tc>
        <w:tc>
          <w:tcPr>
            <w:tcW w:w="1643" w:type="dxa"/>
            <w:tcBorders>
              <w:tl2br w:val="nil"/>
              <w:tr2bl w:val="nil"/>
            </w:tcBorders>
            <w:vAlign w:val="center"/>
          </w:tcPr>
          <w:p>
            <w:pPr>
              <w:tabs>
                <w:tab w:val="center" w:pos="4870"/>
              </w:tabs>
              <w:adjustRightInd w:val="0"/>
              <w:snapToGrid w:val="0"/>
              <w:jc w:val="center"/>
              <w:rPr>
                <w:rFonts w:cs="Times New Roman"/>
              </w:rPr>
            </w:pPr>
            <w:r>
              <w:rPr>
                <w:rFonts w:cs="Times New Roman"/>
              </w:rPr>
              <w:t>0.45</w:t>
            </w:r>
          </w:p>
        </w:tc>
      </w:tr>
    </w:tbl>
    <w:p>
      <w:pPr>
        <w:numPr>
          <w:ilvl w:val="0"/>
          <w:numId w:val="2"/>
        </w:numPr>
        <w:jc w:val="center"/>
        <w:rPr>
          <w:rFonts w:cs="Times New Roman"/>
          <w:b/>
          <w:bCs/>
          <w:sz w:val="21"/>
          <w:szCs w:val="21"/>
        </w:rPr>
      </w:pPr>
      <w:bookmarkStart w:id="169" w:name="_Toc1421"/>
      <w:bookmarkStart w:id="170" w:name="_Toc3178"/>
      <w:bookmarkStart w:id="171" w:name="_Toc23407"/>
      <w:r>
        <w:rPr>
          <w:rFonts w:cs="Times New Roman"/>
          <w:b/>
          <w:bCs/>
          <w:color w:val="000000"/>
          <w:sz w:val="21"/>
          <w:szCs w:val="21"/>
        </w:rPr>
        <w:t xml:space="preserve"> 开江县城集中式饮用水水源地</w:t>
      </w:r>
      <w:r>
        <w:rPr>
          <w:rFonts w:hint="eastAsia" w:cs="Times New Roman"/>
          <w:b/>
          <w:bCs/>
          <w:color w:val="000000"/>
          <w:sz w:val="21"/>
          <w:szCs w:val="21"/>
        </w:rPr>
        <w:t>工业</w:t>
      </w:r>
      <w:r>
        <w:rPr>
          <w:rFonts w:cs="Times New Roman"/>
          <w:b/>
          <w:bCs/>
          <w:color w:val="000000"/>
          <w:sz w:val="21"/>
          <w:szCs w:val="21"/>
        </w:rPr>
        <w:t>污染源调查表</w:t>
      </w:r>
    </w:p>
    <w:tbl>
      <w:tblPr>
        <w:tblStyle w:val="21"/>
        <w:tblW w:w="855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6"/>
        <w:gridCol w:w="930"/>
        <w:gridCol w:w="1515"/>
        <w:gridCol w:w="915"/>
        <w:gridCol w:w="1185"/>
        <w:gridCol w:w="1260"/>
        <w:gridCol w:w="21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jc w:val="center"/>
        </w:trPr>
        <w:tc>
          <w:tcPr>
            <w:tcW w:w="596" w:type="dxa"/>
            <w:tcBorders>
              <w:tl2br w:val="nil"/>
              <w:tr2bl w:val="nil"/>
            </w:tcBorders>
            <w:vAlign w:val="center"/>
          </w:tcPr>
          <w:p>
            <w:pPr>
              <w:pStyle w:val="24"/>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930" w:type="dxa"/>
            <w:tcBorders>
              <w:tl2br w:val="nil"/>
              <w:tr2bl w:val="nil"/>
            </w:tcBorders>
            <w:vAlign w:val="center"/>
          </w:tcPr>
          <w:p>
            <w:pPr>
              <w:pStyle w:val="24"/>
              <w:jc w:val="center"/>
              <w:rPr>
                <w:rFonts w:ascii="Times New Roman" w:hAnsi="Times New Roman" w:cs="Times New Roman"/>
                <w:b/>
                <w:bCs/>
                <w:sz w:val="21"/>
                <w:szCs w:val="21"/>
              </w:rPr>
            </w:pPr>
            <w:r>
              <w:rPr>
                <w:rFonts w:ascii="Times New Roman" w:hAnsi="Times New Roman" w:cs="Times New Roman"/>
                <w:b/>
                <w:bCs/>
                <w:sz w:val="21"/>
                <w:szCs w:val="21"/>
              </w:rPr>
              <w:t>乡镇</w:t>
            </w:r>
          </w:p>
        </w:tc>
        <w:tc>
          <w:tcPr>
            <w:tcW w:w="1515" w:type="dxa"/>
            <w:tcBorders>
              <w:tl2br w:val="nil"/>
              <w:tr2bl w:val="nil"/>
            </w:tcBorders>
            <w:vAlign w:val="center"/>
          </w:tcPr>
          <w:p>
            <w:pPr>
              <w:pStyle w:val="24"/>
              <w:jc w:val="center"/>
              <w:rPr>
                <w:rFonts w:ascii="Times New Roman" w:hAnsi="Times New Roman" w:cs="Times New Roman"/>
                <w:b/>
                <w:bCs/>
                <w:sz w:val="21"/>
                <w:szCs w:val="21"/>
              </w:rPr>
            </w:pPr>
            <w:r>
              <w:rPr>
                <w:rFonts w:ascii="Times New Roman" w:hAnsi="Times New Roman" w:cs="Times New Roman"/>
                <w:b/>
                <w:bCs/>
                <w:sz w:val="21"/>
                <w:szCs w:val="21"/>
              </w:rPr>
              <w:t>水源地名称</w:t>
            </w:r>
          </w:p>
        </w:tc>
        <w:tc>
          <w:tcPr>
            <w:tcW w:w="915" w:type="dxa"/>
            <w:tcBorders>
              <w:tl2br w:val="nil"/>
              <w:tr2bl w:val="nil"/>
            </w:tcBorders>
            <w:vAlign w:val="center"/>
          </w:tcPr>
          <w:p>
            <w:pPr>
              <w:pStyle w:val="24"/>
              <w:jc w:val="center"/>
              <w:rPr>
                <w:rFonts w:ascii="Times New Roman" w:hAnsi="Times New Roman" w:cs="Times New Roman"/>
                <w:b/>
                <w:bCs/>
                <w:sz w:val="21"/>
                <w:szCs w:val="21"/>
              </w:rPr>
            </w:pPr>
            <w:r>
              <w:rPr>
                <w:rFonts w:ascii="Times New Roman" w:hAnsi="Times New Roman" w:cs="Times New Roman"/>
                <w:b/>
                <w:bCs/>
                <w:sz w:val="21"/>
                <w:szCs w:val="21"/>
              </w:rPr>
              <w:t>水源地</w:t>
            </w:r>
          </w:p>
          <w:p>
            <w:pPr>
              <w:pStyle w:val="24"/>
              <w:jc w:val="center"/>
              <w:rPr>
                <w:rFonts w:ascii="Times New Roman" w:hAnsi="Times New Roman" w:cs="Times New Roman"/>
                <w:b/>
                <w:bCs/>
                <w:sz w:val="21"/>
                <w:szCs w:val="21"/>
              </w:rPr>
            </w:pPr>
            <w:r>
              <w:rPr>
                <w:rFonts w:ascii="Times New Roman" w:hAnsi="Times New Roman" w:cs="Times New Roman"/>
                <w:b/>
                <w:bCs/>
                <w:sz w:val="21"/>
                <w:szCs w:val="21"/>
              </w:rPr>
              <w:t>类型</w:t>
            </w:r>
          </w:p>
        </w:tc>
        <w:tc>
          <w:tcPr>
            <w:tcW w:w="1185" w:type="dxa"/>
            <w:tcBorders>
              <w:tl2br w:val="nil"/>
              <w:tr2bl w:val="nil"/>
            </w:tcBorders>
            <w:vAlign w:val="center"/>
          </w:tcPr>
          <w:p>
            <w:pPr>
              <w:pStyle w:val="24"/>
              <w:jc w:val="center"/>
              <w:rPr>
                <w:rFonts w:ascii="Times New Roman" w:hAnsi="Times New Roman" w:cs="Times New Roman"/>
                <w:b/>
                <w:bCs/>
                <w:sz w:val="21"/>
                <w:szCs w:val="21"/>
              </w:rPr>
            </w:pPr>
            <w:r>
              <w:rPr>
                <w:rFonts w:ascii="Times New Roman" w:hAnsi="Times New Roman" w:cs="Times New Roman"/>
                <w:b/>
                <w:bCs/>
                <w:sz w:val="21"/>
                <w:szCs w:val="21"/>
              </w:rPr>
              <w:t>服务人口</w:t>
            </w:r>
          </w:p>
          <w:p>
            <w:pPr>
              <w:pStyle w:val="24"/>
              <w:jc w:val="center"/>
              <w:rPr>
                <w:rFonts w:ascii="Times New Roman" w:hAnsi="Times New Roman" w:cs="Times New Roman"/>
                <w:b/>
                <w:bCs/>
                <w:sz w:val="21"/>
                <w:szCs w:val="21"/>
              </w:rPr>
            </w:pPr>
            <w:r>
              <w:rPr>
                <w:rFonts w:ascii="Times New Roman" w:hAnsi="Times New Roman" w:cs="Times New Roman"/>
                <w:b/>
                <w:bCs/>
                <w:sz w:val="21"/>
                <w:szCs w:val="21"/>
              </w:rPr>
              <w:t>（人）</w:t>
            </w:r>
          </w:p>
        </w:tc>
        <w:tc>
          <w:tcPr>
            <w:tcW w:w="1260" w:type="dxa"/>
            <w:tcBorders>
              <w:tl2br w:val="nil"/>
              <w:tr2bl w:val="nil"/>
            </w:tcBorders>
            <w:vAlign w:val="center"/>
          </w:tcPr>
          <w:p>
            <w:pPr>
              <w:pStyle w:val="24"/>
              <w:jc w:val="center"/>
              <w:rPr>
                <w:rFonts w:ascii="Times New Roman" w:hAnsi="Times New Roman" w:cs="Times New Roman"/>
                <w:b/>
                <w:bCs/>
                <w:sz w:val="21"/>
                <w:szCs w:val="21"/>
              </w:rPr>
            </w:pPr>
            <w:r>
              <w:rPr>
                <w:rFonts w:hint="eastAsia" w:ascii="Times New Roman" w:hAnsi="Times New Roman" w:cs="Times New Roman"/>
                <w:b/>
                <w:bCs/>
                <w:sz w:val="21"/>
                <w:szCs w:val="21"/>
              </w:rPr>
              <w:t>工业</w:t>
            </w:r>
          </w:p>
          <w:p>
            <w:pPr>
              <w:pStyle w:val="24"/>
              <w:jc w:val="center"/>
              <w:rPr>
                <w:rFonts w:ascii="Times New Roman" w:hAnsi="Times New Roman" w:cs="Times New Roman"/>
                <w:b/>
                <w:bCs/>
                <w:sz w:val="21"/>
                <w:szCs w:val="21"/>
              </w:rPr>
            </w:pPr>
            <w:r>
              <w:rPr>
                <w:rFonts w:ascii="Times New Roman" w:hAnsi="Times New Roman" w:cs="Times New Roman"/>
                <w:b/>
                <w:bCs/>
                <w:sz w:val="21"/>
                <w:szCs w:val="21"/>
              </w:rPr>
              <w:t>污染源</w:t>
            </w:r>
          </w:p>
        </w:tc>
        <w:tc>
          <w:tcPr>
            <w:tcW w:w="2155" w:type="dxa"/>
            <w:tcBorders>
              <w:tl2br w:val="nil"/>
              <w:tr2bl w:val="nil"/>
            </w:tcBorders>
            <w:vAlign w:val="center"/>
          </w:tcPr>
          <w:p>
            <w:pPr>
              <w:pStyle w:val="24"/>
              <w:jc w:val="center"/>
              <w:rPr>
                <w:rFonts w:ascii="Times New Roman" w:hAnsi="Times New Roman" w:cs="Times New Roman"/>
                <w:b/>
                <w:bCs/>
                <w:sz w:val="21"/>
                <w:szCs w:val="21"/>
              </w:rPr>
            </w:pPr>
            <w:r>
              <w:rPr>
                <w:rFonts w:ascii="Times New Roman" w:hAnsi="Times New Roman" w:cs="Times New Roman"/>
                <w:b/>
                <w:bCs/>
                <w:sz w:val="21"/>
                <w:szCs w:val="21"/>
              </w:rPr>
              <w:t>采取的措施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596"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1</w:t>
            </w:r>
          </w:p>
        </w:tc>
        <w:tc>
          <w:tcPr>
            <w:tcW w:w="930"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宝石乡</w:t>
            </w:r>
          </w:p>
        </w:tc>
        <w:tc>
          <w:tcPr>
            <w:tcW w:w="151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开江县</w:t>
            </w:r>
            <w:r>
              <w:rPr>
                <w:rFonts w:hint="eastAsia" w:ascii="Times New Roman" w:hAnsi="Times New Roman" w:cs="Times New Roman"/>
                <w:sz w:val="21"/>
                <w:szCs w:val="21"/>
              </w:rPr>
              <w:t>宝石桥水库</w:t>
            </w:r>
          </w:p>
        </w:tc>
        <w:tc>
          <w:tcPr>
            <w:tcW w:w="91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地表水</w:t>
            </w:r>
          </w:p>
        </w:tc>
        <w:tc>
          <w:tcPr>
            <w:tcW w:w="118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100000</w:t>
            </w:r>
          </w:p>
        </w:tc>
        <w:tc>
          <w:tcPr>
            <w:tcW w:w="1260"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有</w:t>
            </w:r>
          </w:p>
        </w:tc>
        <w:tc>
          <w:tcPr>
            <w:tcW w:w="215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一级保护区内</w:t>
            </w:r>
            <w:r>
              <w:rPr>
                <w:rFonts w:hint="eastAsia" w:ascii="Times New Roman" w:hAnsi="Times New Roman" w:cs="Times New Roman"/>
                <w:sz w:val="21"/>
                <w:szCs w:val="21"/>
              </w:rPr>
              <w:t>、二级保护区内、准保护区内</w:t>
            </w:r>
            <w:r>
              <w:rPr>
                <w:rFonts w:ascii="Times New Roman" w:hAnsi="Times New Roman" w:cs="Times New Roman"/>
                <w:sz w:val="21"/>
                <w:szCs w:val="21"/>
              </w:rPr>
              <w:t>禁止从事</w:t>
            </w:r>
            <w:r>
              <w:rPr>
                <w:rFonts w:hint="eastAsia" w:ascii="Times New Roman" w:hAnsi="Times New Roman" w:cs="Times New Roman"/>
                <w:sz w:val="21"/>
                <w:szCs w:val="21"/>
              </w:rPr>
              <w:t>工业</w:t>
            </w:r>
          </w:p>
        </w:tc>
      </w:tr>
    </w:tbl>
    <w:p>
      <w:pPr>
        <w:rPr>
          <w:rFonts w:cs="Times New Roman"/>
        </w:rPr>
      </w:pPr>
    </w:p>
    <w:p>
      <w:pPr>
        <w:pStyle w:val="4"/>
        <w:spacing w:beforeAutospacing="0" w:afterAutospacing="0" w:line="360" w:lineRule="auto"/>
        <w:rPr>
          <w:rFonts w:ascii="Times New Roman" w:hAnsi="Times New Roman" w:cs="Times New Roman"/>
        </w:rPr>
      </w:pPr>
      <w:bookmarkStart w:id="172" w:name="_Toc29958"/>
      <w:r>
        <w:rPr>
          <w:rFonts w:hint="eastAsia" w:ascii="Times New Roman" w:hAnsi="Times New Roman" w:cs="Times New Roman"/>
        </w:rPr>
        <w:t>4</w:t>
      </w:r>
      <w:r>
        <w:rPr>
          <w:rFonts w:ascii="Times New Roman" w:hAnsi="Times New Roman" w:cs="Times New Roman"/>
        </w:rPr>
        <w:t>.1.3畜牧业污染源</w:t>
      </w:r>
      <w:bookmarkEnd w:id="169"/>
      <w:bookmarkEnd w:id="170"/>
      <w:bookmarkEnd w:id="171"/>
      <w:bookmarkEnd w:id="172"/>
    </w:p>
    <w:p>
      <w:pPr>
        <w:spacing w:line="360" w:lineRule="auto"/>
        <w:ind w:firstLine="480" w:firstLineChars="200"/>
        <w:rPr>
          <w:rFonts w:cs="Times New Roman"/>
        </w:rPr>
      </w:pPr>
      <w:bookmarkStart w:id="173" w:name="_Toc29965"/>
      <w:r>
        <w:rPr>
          <w:rFonts w:cs="Times New Roman"/>
        </w:rPr>
        <w:t>根据调查，本次涉及划分保护区的水源地都没有发展水产品养殖。</w:t>
      </w:r>
    </w:p>
    <w:p>
      <w:pPr>
        <w:tabs>
          <w:tab w:val="center" w:pos="4870"/>
        </w:tabs>
        <w:adjustRightInd w:val="0"/>
        <w:snapToGrid w:val="0"/>
        <w:spacing w:line="360" w:lineRule="auto"/>
        <w:ind w:firstLine="480" w:firstLineChars="200"/>
        <w:rPr>
          <w:rFonts w:cs="Times New Roman"/>
        </w:rPr>
      </w:pPr>
      <w:r>
        <w:rPr>
          <w:rFonts w:cs="Times New Roman"/>
        </w:rPr>
        <w:t>库区范围内畜禽养殖主要采用散养和规模化畜禽养的形式。污染负荷大，流失进入水体后，可增加水体的富营养化程度，对水体污染严重。根据《农村能源生态工程设计施工与使用规范》和《全国总量核算技术方法》，畜禽粪便排污系数见下表。</w:t>
      </w:r>
    </w:p>
    <w:p>
      <w:pPr>
        <w:numPr>
          <w:ilvl w:val="0"/>
          <w:numId w:val="2"/>
        </w:numPr>
        <w:jc w:val="center"/>
        <w:rPr>
          <w:rFonts w:cs="Times New Roman"/>
          <w:b/>
          <w:bCs/>
          <w:color w:val="000000"/>
          <w:sz w:val="21"/>
          <w:szCs w:val="21"/>
        </w:rPr>
      </w:pPr>
      <w:r>
        <w:rPr>
          <w:rFonts w:cs="Times New Roman"/>
          <w:b/>
          <w:bCs/>
          <w:color w:val="000000"/>
          <w:sz w:val="21"/>
          <w:szCs w:val="21"/>
        </w:rPr>
        <w:t>畜禽粪便排污系数</w:t>
      </w:r>
    </w:p>
    <w:tbl>
      <w:tblPr>
        <w:tblStyle w:val="2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1482"/>
        <w:gridCol w:w="1165"/>
        <w:gridCol w:w="1165"/>
        <w:gridCol w:w="1055"/>
        <w:gridCol w:w="1129"/>
        <w:gridCol w:w="11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878" w:type="dxa"/>
            <w:gridSpan w:val="2"/>
            <w:tcBorders>
              <w:tl2br w:val="nil"/>
              <w:tr2bl w:val="nil"/>
            </w:tcBorders>
            <w:vAlign w:val="center"/>
          </w:tcPr>
          <w:p>
            <w:pPr>
              <w:tabs>
                <w:tab w:val="center" w:pos="4870"/>
              </w:tabs>
              <w:adjustRightInd w:val="0"/>
              <w:snapToGrid w:val="0"/>
              <w:jc w:val="center"/>
              <w:rPr>
                <w:rFonts w:cs="Times New Roman"/>
                <w:b/>
                <w:sz w:val="21"/>
                <w:szCs w:val="21"/>
              </w:rPr>
            </w:pPr>
            <w:r>
              <w:rPr>
                <w:rFonts w:cs="Times New Roman"/>
                <w:b/>
                <w:sz w:val="21"/>
                <w:szCs w:val="21"/>
              </w:rPr>
              <w:t>项目</w:t>
            </w:r>
          </w:p>
        </w:tc>
        <w:tc>
          <w:tcPr>
            <w:tcW w:w="1165" w:type="dxa"/>
            <w:tcBorders>
              <w:tl2br w:val="nil"/>
              <w:tr2bl w:val="nil"/>
            </w:tcBorders>
            <w:vAlign w:val="center"/>
          </w:tcPr>
          <w:p>
            <w:pPr>
              <w:tabs>
                <w:tab w:val="center" w:pos="4870"/>
              </w:tabs>
              <w:adjustRightInd w:val="0"/>
              <w:snapToGrid w:val="0"/>
              <w:jc w:val="center"/>
              <w:rPr>
                <w:rFonts w:cs="Times New Roman"/>
                <w:b/>
                <w:sz w:val="21"/>
                <w:szCs w:val="21"/>
              </w:rPr>
            </w:pPr>
            <w:r>
              <w:rPr>
                <w:rFonts w:cs="Times New Roman"/>
                <w:b/>
                <w:sz w:val="21"/>
                <w:szCs w:val="21"/>
              </w:rPr>
              <w:t>猪</w:t>
            </w:r>
          </w:p>
        </w:tc>
        <w:tc>
          <w:tcPr>
            <w:tcW w:w="1165" w:type="dxa"/>
            <w:tcBorders>
              <w:tl2br w:val="nil"/>
              <w:tr2bl w:val="nil"/>
            </w:tcBorders>
            <w:vAlign w:val="center"/>
          </w:tcPr>
          <w:p>
            <w:pPr>
              <w:tabs>
                <w:tab w:val="center" w:pos="4870"/>
              </w:tabs>
              <w:adjustRightInd w:val="0"/>
              <w:snapToGrid w:val="0"/>
              <w:jc w:val="center"/>
              <w:rPr>
                <w:rFonts w:cs="Times New Roman"/>
                <w:b/>
                <w:sz w:val="21"/>
                <w:szCs w:val="21"/>
              </w:rPr>
            </w:pPr>
            <w:r>
              <w:rPr>
                <w:rFonts w:cs="Times New Roman"/>
                <w:b/>
                <w:sz w:val="21"/>
                <w:szCs w:val="21"/>
              </w:rPr>
              <w:t>牛</w:t>
            </w:r>
          </w:p>
        </w:tc>
        <w:tc>
          <w:tcPr>
            <w:tcW w:w="1055" w:type="dxa"/>
            <w:tcBorders>
              <w:tl2br w:val="nil"/>
              <w:tr2bl w:val="nil"/>
            </w:tcBorders>
            <w:vAlign w:val="center"/>
          </w:tcPr>
          <w:p>
            <w:pPr>
              <w:tabs>
                <w:tab w:val="center" w:pos="4870"/>
              </w:tabs>
              <w:adjustRightInd w:val="0"/>
              <w:snapToGrid w:val="0"/>
              <w:jc w:val="center"/>
              <w:rPr>
                <w:rFonts w:cs="Times New Roman"/>
                <w:b/>
                <w:sz w:val="21"/>
                <w:szCs w:val="21"/>
              </w:rPr>
            </w:pPr>
            <w:r>
              <w:rPr>
                <w:rFonts w:cs="Times New Roman"/>
                <w:b/>
                <w:sz w:val="21"/>
                <w:szCs w:val="21"/>
              </w:rPr>
              <w:t>羊</w:t>
            </w:r>
          </w:p>
        </w:tc>
        <w:tc>
          <w:tcPr>
            <w:tcW w:w="1129" w:type="dxa"/>
            <w:tcBorders>
              <w:tl2br w:val="nil"/>
              <w:tr2bl w:val="nil"/>
            </w:tcBorders>
            <w:vAlign w:val="center"/>
          </w:tcPr>
          <w:p>
            <w:pPr>
              <w:tabs>
                <w:tab w:val="center" w:pos="4870"/>
              </w:tabs>
              <w:adjustRightInd w:val="0"/>
              <w:snapToGrid w:val="0"/>
              <w:jc w:val="center"/>
              <w:rPr>
                <w:rFonts w:cs="Times New Roman"/>
                <w:b/>
                <w:sz w:val="21"/>
                <w:szCs w:val="21"/>
              </w:rPr>
            </w:pPr>
            <w:r>
              <w:rPr>
                <w:rFonts w:cs="Times New Roman"/>
                <w:b/>
                <w:sz w:val="21"/>
                <w:szCs w:val="21"/>
              </w:rPr>
              <w:t>鸡</w:t>
            </w:r>
          </w:p>
        </w:tc>
        <w:tc>
          <w:tcPr>
            <w:tcW w:w="1124" w:type="dxa"/>
            <w:tcBorders>
              <w:tl2br w:val="nil"/>
              <w:tr2bl w:val="nil"/>
            </w:tcBorders>
            <w:vAlign w:val="center"/>
          </w:tcPr>
          <w:p>
            <w:pPr>
              <w:tabs>
                <w:tab w:val="center" w:pos="4870"/>
              </w:tabs>
              <w:adjustRightInd w:val="0"/>
              <w:snapToGrid w:val="0"/>
              <w:jc w:val="center"/>
              <w:rPr>
                <w:rFonts w:cs="Times New Roman"/>
                <w:b/>
                <w:sz w:val="21"/>
                <w:szCs w:val="21"/>
              </w:rPr>
            </w:pPr>
            <w:r>
              <w:rPr>
                <w:rFonts w:cs="Times New Roman"/>
                <w:b/>
                <w:sz w:val="21"/>
                <w:szCs w:val="21"/>
              </w:rPr>
              <w:t>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878" w:type="dxa"/>
            <w:gridSpan w:val="2"/>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粪便产生量（kg/只.d）</w:t>
            </w:r>
          </w:p>
        </w:tc>
        <w:tc>
          <w:tcPr>
            <w:tcW w:w="1165"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3</w:t>
            </w:r>
          </w:p>
        </w:tc>
        <w:tc>
          <w:tcPr>
            <w:tcW w:w="1165"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18</w:t>
            </w:r>
          </w:p>
        </w:tc>
        <w:tc>
          <w:tcPr>
            <w:tcW w:w="1055"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w:t>
            </w:r>
          </w:p>
        </w:tc>
        <w:tc>
          <w:tcPr>
            <w:tcW w:w="1129"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0.1</w:t>
            </w:r>
          </w:p>
        </w:tc>
        <w:tc>
          <w:tcPr>
            <w:tcW w:w="1124"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96" w:type="dxa"/>
            <w:vMerge w:val="restart"/>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污染物产生量（g/只.d）</w:t>
            </w:r>
          </w:p>
        </w:tc>
        <w:tc>
          <w:tcPr>
            <w:tcW w:w="1482"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COD</w:t>
            </w:r>
          </w:p>
        </w:tc>
        <w:tc>
          <w:tcPr>
            <w:tcW w:w="1165"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90</w:t>
            </w:r>
          </w:p>
        </w:tc>
        <w:tc>
          <w:tcPr>
            <w:tcW w:w="1165"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665</w:t>
            </w:r>
          </w:p>
        </w:tc>
        <w:tc>
          <w:tcPr>
            <w:tcW w:w="1055"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90</w:t>
            </w:r>
          </w:p>
        </w:tc>
        <w:tc>
          <w:tcPr>
            <w:tcW w:w="1129"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2</w:t>
            </w:r>
          </w:p>
        </w:tc>
        <w:tc>
          <w:tcPr>
            <w:tcW w:w="1124"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96" w:type="dxa"/>
            <w:vMerge w:val="continue"/>
            <w:tcBorders>
              <w:tl2br w:val="nil"/>
              <w:tr2bl w:val="nil"/>
            </w:tcBorders>
            <w:vAlign w:val="center"/>
          </w:tcPr>
          <w:p>
            <w:pPr>
              <w:adjustRightInd w:val="0"/>
              <w:snapToGrid w:val="0"/>
              <w:jc w:val="center"/>
              <w:rPr>
                <w:rFonts w:cs="Times New Roman"/>
                <w:sz w:val="21"/>
                <w:szCs w:val="21"/>
              </w:rPr>
            </w:pPr>
          </w:p>
        </w:tc>
        <w:tc>
          <w:tcPr>
            <w:tcW w:w="1482"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TN</w:t>
            </w:r>
          </w:p>
        </w:tc>
        <w:tc>
          <w:tcPr>
            <w:tcW w:w="1165"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5.7</w:t>
            </w:r>
          </w:p>
        </w:tc>
        <w:tc>
          <w:tcPr>
            <w:tcW w:w="1165"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42.6</w:t>
            </w:r>
          </w:p>
        </w:tc>
        <w:tc>
          <w:tcPr>
            <w:tcW w:w="1055"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5.7</w:t>
            </w:r>
          </w:p>
        </w:tc>
        <w:tc>
          <w:tcPr>
            <w:tcW w:w="1129"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0.3</w:t>
            </w:r>
          </w:p>
        </w:tc>
        <w:tc>
          <w:tcPr>
            <w:tcW w:w="1124"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96" w:type="dxa"/>
            <w:vMerge w:val="continue"/>
            <w:tcBorders>
              <w:tl2br w:val="nil"/>
              <w:tr2bl w:val="nil"/>
            </w:tcBorders>
            <w:vAlign w:val="center"/>
          </w:tcPr>
          <w:p>
            <w:pPr>
              <w:adjustRightInd w:val="0"/>
              <w:snapToGrid w:val="0"/>
              <w:jc w:val="center"/>
              <w:rPr>
                <w:rFonts w:cs="Times New Roman"/>
                <w:sz w:val="21"/>
                <w:szCs w:val="21"/>
              </w:rPr>
            </w:pPr>
          </w:p>
        </w:tc>
        <w:tc>
          <w:tcPr>
            <w:tcW w:w="1482"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TP</w:t>
            </w:r>
          </w:p>
        </w:tc>
        <w:tc>
          <w:tcPr>
            <w:tcW w:w="1165"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2.0</w:t>
            </w:r>
          </w:p>
        </w:tc>
        <w:tc>
          <w:tcPr>
            <w:tcW w:w="1165"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15.5</w:t>
            </w:r>
          </w:p>
        </w:tc>
        <w:tc>
          <w:tcPr>
            <w:tcW w:w="1055"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2.0</w:t>
            </w:r>
          </w:p>
        </w:tc>
        <w:tc>
          <w:tcPr>
            <w:tcW w:w="1129"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0.1</w:t>
            </w:r>
          </w:p>
        </w:tc>
        <w:tc>
          <w:tcPr>
            <w:tcW w:w="1124"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0.1</w:t>
            </w:r>
          </w:p>
        </w:tc>
      </w:tr>
    </w:tbl>
    <w:p>
      <w:pPr>
        <w:tabs>
          <w:tab w:val="center" w:pos="4870"/>
        </w:tabs>
        <w:adjustRightInd w:val="0"/>
        <w:snapToGrid w:val="0"/>
        <w:ind w:firstLine="480" w:firstLineChars="200"/>
        <w:rPr>
          <w:rFonts w:cs="Times New Roman"/>
        </w:rPr>
      </w:pPr>
      <w:r>
        <w:rPr>
          <w:rFonts w:cs="Times New Roman"/>
        </w:rPr>
        <w:t xml:space="preserve">项目区内畜禽粪便污染物排放量及污染负荷见下表。  </w:t>
      </w:r>
    </w:p>
    <w:p>
      <w:pPr>
        <w:numPr>
          <w:ilvl w:val="0"/>
          <w:numId w:val="2"/>
        </w:numPr>
        <w:jc w:val="center"/>
        <w:rPr>
          <w:rFonts w:cs="Times New Roman"/>
          <w:b/>
          <w:bCs/>
          <w:color w:val="000000"/>
          <w:sz w:val="21"/>
          <w:szCs w:val="21"/>
        </w:rPr>
      </w:pPr>
      <w:r>
        <w:rPr>
          <w:rFonts w:cs="Times New Roman"/>
          <w:b/>
          <w:bCs/>
          <w:color w:val="000000"/>
          <w:sz w:val="21"/>
          <w:szCs w:val="21"/>
        </w:rPr>
        <w:t xml:space="preserve"> 污染物估算情况</w:t>
      </w:r>
    </w:p>
    <w:tbl>
      <w:tblPr>
        <w:tblStyle w:val="2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444"/>
        <w:gridCol w:w="1115"/>
        <w:gridCol w:w="1161"/>
        <w:gridCol w:w="1298"/>
        <w:gridCol w:w="1042"/>
        <w:gridCol w:w="892"/>
        <w:gridCol w:w="8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restart"/>
            <w:tcBorders>
              <w:tl2br w:val="nil"/>
              <w:tr2bl w:val="nil"/>
            </w:tcBorders>
            <w:vAlign w:val="center"/>
          </w:tcPr>
          <w:p>
            <w:pPr>
              <w:tabs>
                <w:tab w:val="center" w:pos="4870"/>
              </w:tabs>
              <w:adjustRightInd w:val="0"/>
              <w:snapToGrid w:val="0"/>
              <w:jc w:val="center"/>
              <w:rPr>
                <w:rFonts w:cs="Times New Roman"/>
                <w:b/>
                <w:bCs/>
                <w:sz w:val="21"/>
                <w:szCs w:val="21"/>
              </w:rPr>
            </w:pPr>
            <w:r>
              <w:rPr>
                <w:rFonts w:cs="Times New Roman"/>
                <w:b/>
                <w:bCs/>
                <w:sz w:val="21"/>
                <w:szCs w:val="21"/>
              </w:rPr>
              <w:t>序号</w:t>
            </w:r>
          </w:p>
        </w:tc>
        <w:tc>
          <w:tcPr>
            <w:tcW w:w="1444" w:type="dxa"/>
            <w:vMerge w:val="restart"/>
            <w:tcBorders>
              <w:tl2br w:val="nil"/>
              <w:tr2bl w:val="nil"/>
            </w:tcBorders>
            <w:vAlign w:val="center"/>
          </w:tcPr>
          <w:p>
            <w:pPr>
              <w:tabs>
                <w:tab w:val="center" w:pos="4870"/>
              </w:tabs>
              <w:adjustRightInd w:val="0"/>
              <w:snapToGrid w:val="0"/>
              <w:jc w:val="center"/>
              <w:rPr>
                <w:rFonts w:cs="Times New Roman"/>
                <w:b/>
                <w:bCs/>
                <w:sz w:val="21"/>
                <w:szCs w:val="21"/>
              </w:rPr>
            </w:pPr>
            <w:r>
              <w:rPr>
                <w:rFonts w:cs="Times New Roman"/>
                <w:b/>
                <w:bCs/>
                <w:sz w:val="21"/>
                <w:szCs w:val="21"/>
              </w:rPr>
              <w:t>类别</w:t>
            </w:r>
          </w:p>
        </w:tc>
        <w:tc>
          <w:tcPr>
            <w:tcW w:w="1115" w:type="dxa"/>
            <w:vMerge w:val="restart"/>
            <w:tcBorders>
              <w:tl2br w:val="nil"/>
              <w:tr2bl w:val="nil"/>
            </w:tcBorders>
            <w:vAlign w:val="center"/>
          </w:tcPr>
          <w:p>
            <w:pPr>
              <w:tabs>
                <w:tab w:val="center" w:pos="4870"/>
              </w:tabs>
              <w:adjustRightInd w:val="0"/>
              <w:snapToGrid w:val="0"/>
              <w:jc w:val="center"/>
              <w:rPr>
                <w:rFonts w:cs="Times New Roman"/>
                <w:b/>
                <w:bCs/>
                <w:sz w:val="21"/>
                <w:szCs w:val="21"/>
              </w:rPr>
            </w:pPr>
            <w:r>
              <w:rPr>
                <w:rFonts w:cs="Times New Roman"/>
                <w:b/>
                <w:bCs/>
                <w:sz w:val="21"/>
                <w:szCs w:val="21"/>
              </w:rPr>
              <w:t>数量</w:t>
            </w:r>
          </w:p>
        </w:tc>
        <w:tc>
          <w:tcPr>
            <w:tcW w:w="1161" w:type="dxa"/>
            <w:vMerge w:val="restart"/>
            <w:tcBorders>
              <w:tl2br w:val="nil"/>
              <w:tr2bl w:val="nil"/>
            </w:tcBorders>
            <w:vAlign w:val="center"/>
          </w:tcPr>
          <w:p>
            <w:pPr>
              <w:tabs>
                <w:tab w:val="center" w:pos="4870"/>
              </w:tabs>
              <w:adjustRightInd w:val="0"/>
              <w:snapToGrid w:val="0"/>
              <w:jc w:val="center"/>
              <w:rPr>
                <w:rFonts w:cs="Times New Roman"/>
                <w:b/>
                <w:bCs/>
                <w:sz w:val="21"/>
                <w:szCs w:val="21"/>
              </w:rPr>
            </w:pPr>
            <w:r>
              <w:rPr>
                <w:rFonts w:cs="Times New Roman"/>
                <w:b/>
                <w:bCs/>
                <w:sz w:val="21"/>
                <w:szCs w:val="21"/>
              </w:rPr>
              <w:t>单位日生产量（kg）</w:t>
            </w:r>
          </w:p>
        </w:tc>
        <w:tc>
          <w:tcPr>
            <w:tcW w:w="1298" w:type="dxa"/>
            <w:vMerge w:val="restart"/>
            <w:tcBorders>
              <w:tl2br w:val="nil"/>
              <w:tr2bl w:val="nil"/>
            </w:tcBorders>
            <w:vAlign w:val="center"/>
          </w:tcPr>
          <w:p>
            <w:pPr>
              <w:tabs>
                <w:tab w:val="center" w:pos="4870"/>
              </w:tabs>
              <w:adjustRightInd w:val="0"/>
              <w:snapToGrid w:val="0"/>
              <w:jc w:val="center"/>
              <w:rPr>
                <w:rFonts w:cs="Times New Roman"/>
                <w:b/>
                <w:bCs/>
                <w:sz w:val="21"/>
                <w:szCs w:val="21"/>
              </w:rPr>
            </w:pPr>
            <w:r>
              <w:rPr>
                <w:rFonts w:cs="Times New Roman"/>
                <w:b/>
                <w:bCs/>
                <w:sz w:val="21"/>
                <w:szCs w:val="21"/>
              </w:rPr>
              <w:t>粪便产生量（t/a）</w:t>
            </w:r>
          </w:p>
        </w:tc>
        <w:tc>
          <w:tcPr>
            <w:tcW w:w="2755" w:type="dxa"/>
            <w:gridSpan w:val="3"/>
            <w:tcBorders>
              <w:tl2br w:val="nil"/>
              <w:tr2bl w:val="nil"/>
            </w:tcBorders>
            <w:vAlign w:val="center"/>
          </w:tcPr>
          <w:p>
            <w:pPr>
              <w:tabs>
                <w:tab w:val="center" w:pos="4870"/>
              </w:tabs>
              <w:adjustRightInd w:val="0"/>
              <w:snapToGrid w:val="0"/>
              <w:jc w:val="center"/>
              <w:rPr>
                <w:rFonts w:cs="Times New Roman"/>
                <w:b/>
                <w:bCs/>
                <w:sz w:val="21"/>
                <w:szCs w:val="21"/>
              </w:rPr>
            </w:pPr>
            <w:r>
              <w:rPr>
                <w:rFonts w:cs="Times New Roman"/>
                <w:b/>
                <w:bCs/>
                <w:sz w:val="21"/>
                <w:szCs w:val="21"/>
              </w:rPr>
              <w:t>污染负荷（t/a）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continue"/>
            <w:tcBorders>
              <w:tl2br w:val="nil"/>
              <w:tr2bl w:val="nil"/>
            </w:tcBorders>
            <w:vAlign w:val="center"/>
          </w:tcPr>
          <w:p>
            <w:pPr>
              <w:adjustRightInd w:val="0"/>
              <w:snapToGrid w:val="0"/>
              <w:jc w:val="center"/>
              <w:rPr>
                <w:rFonts w:cs="Times New Roman"/>
                <w:b/>
                <w:bCs/>
                <w:sz w:val="21"/>
                <w:szCs w:val="21"/>
              </w:rPr>
            </w:pPr>
          </w:p>
        </w:tc>
        <w:tc>
          <w:tcPr>
            <w:tcW w:w="1444" w:type="dxa"/>
            <w:vMerge w:val="continue"/>
            <w:tcBorders>
              <w:tl2br w:val="nil"/>
              <w:tr2bl w:val="nil"/>
            </w:tcBorders>
            <w:vAlign w:val="center"/>
          </w:tcPr>
          <w:p>
            <w:pPr>
              <w:adjustRightInd w:val="0"/>
              <w:snapToGrid w:val="0"/>
              <w:jc w:val="center"/>
              <w:rPr>
                <w:rFonts w:cs="Times New Roman"/>
                <w:b/>
                <w:bCs/>
                <w:sz w:val="21"/>
                <w:szCs w:val="21"/>
              </w:rPr>
            </w:pPr>
          </w:p>
        </w:tc>
        <w:tc>
          <w:tcPr>
            <w:tcW w:w="1115" w:type="dxa"/>
            <w:vMerge w:val="continue"/>
            <w:tcBorders>
              <w:tl2br w:val="nil"/>
              <w:tr2bl w:val="nil"/>
            </w:tcBorders>
            <w:vAlign w:val="center"/>
          </w:tcPr>
          <w:p>
            <w:pPr>
              <w:adjustRightInd w:val="0"/>
              <w:snapToGrid w:val="0"/>
              <w:jc w:val="center"/>
              <w:rPr>
                <w:rFonts w:cs="Times New Roman"/>
                <w:b/>
                <w:bCs/>
                <w:sz w:val="21"/>
                <w:szCs w:val="21"/>
              </w:rPr>
            </w:pPr>
          </w:p>
        </w:tc>
        <w:tc>
          <w:tcPr>
            <w:tcW w:w="1161" w:type="dxa"/>
            <w:vMerge w:val="continue"/>
            <w:tcBorders>
              <w:tl2br w:val="nil"/>
              <w:tr2bl w:val="nil"/>
            </w:tcBorders>
            <w:vAlign w:val="center"/>
          </w:tcPr>
          <w:p>
            <w:pPr>
              <w:adjustRightInd w:val="0"/>
              <w:snapToGrid w:val="0"/>
              <w:jc w:val="center"/>
              <w:rPr>
                <w:rFonts w:cs="Times New Roman"/>
                <w:b/>
                <w:bCs/>
                <w:sz w:val="21"/>
                <w:szCs w:val="21"/>
              </w:rPr>
            </w:pPr>
          </w:p>
        </w:tc>
        <w:tc>
          <w:tcPr>
            <w:tcW w:w="1298" w:type="dxa"/>
            <w:vMerge w:val="continue"/>
            <w:tcBorders>
              <w:tl2br w:val="nil"/>
              <w:tr2bl w:val="nil"/>
            </w:tcBorders>
            <w:vAlign w:val="center"/>
          </w:tcPr>
          <w:p>
            <w:pPr>
              <w:adjustRightInd w:val="0"/>
              <w:snapToGrid w:val="0"/>
              <w:jc w:val="center"/>
              <w:rPr>
                <w:rFonts w:cs="Times New Roman"/>
                <w:b/>
                <w:bCs/>
                <w:sz w:val="21"/>
                <w:szCs w:val="21"/>
              </w:rPr>
            </w:pPr>
          </w:p>
        </w:tc>
        <w:tc>
          <w:tcPr>
            <w:tcW w:w="1042" w:type="dxa"/>
            <w:tcBorders>
              <w:tl2br w:val="nil"/>
              <w:tr2bl w:val="nil"/>
            </w:tcBorders>
            <w:vAlign w:val="center"/>
          </w:tcPr>
          <w:p>
            <w:pPr>
              <w:tabs>
                <w:tab w:val="center" w:pos="4870"/>
              </w:tabs>
              <w:adjustRightInd w:val="0"/>
              <w:snapToGrid w:val="0"/>
              <w:jc w:val="center"/>
              <w:rPr>
                <w:rFonts w:cs="Times New Roman"/>
                <w:b/>
                <w:bCs/>
                <w:sz w:val="21"/>
                <w:szCs w:val="21"/>
              </w:rPr>
            </w:pPr>
            <w:r>
              <w:rPr>
                <w:rFonts w:cs="Times New Roman"/>
                <w:b/>
                <w:bCs/>
                <w:sz w:val="21"/>
                <w:szCs w:val="21"/>
              </w:rPr>
              <w:t>COD</w:t>
            </w:r>
          </w:p>
        </w:tc>
        <w:tc>
          <w:tcPr>
            <w:tcW w:w="892" w:type="dxa"/>
            <w:tcBorders>
              <w:tl2br w:val="nil"/>
              <w:tr2bl w:val="nil"/>
            </w:tcBorders>
            <w:vAlign w:val="center"/>
          </w:tcPr>
          <w:p>
            <w:pPr>
              <w:tabs>
                <w:tab w:val="center" w:pos="4870"/>
              </w:tabs>
              <w:adjustRightInd w:val="0"/>
              <w:snapToGrid w:val="0"/>
              <w:jc w:val="center"/>
              <w:rPr>
                <w:rFonts w:cs="Times New Roman"/>
                <w:b/>
                <w:bCs/>
                <w:sz w:val="21"/>
                <w:szCs w:val="21"/>
              </w:rPr>
            </w:pPr>
            <w:r>
              <w:rPr>
                <w:rFonts w:cs="Times New Roman"/>
                <w:b/>
                <w:bCs/>
                <w:sz w:val="21"/>
                <w:szCs w:val="21"/>
              </w:rPr>
              <w:t>TN</w:t>
            </w:r>
          </w:p>
        </w:tc>
        <w:tc>
          <w:tcPr>
            <w:tcW w:w="821" w:type="dxa"/>
            <w:tcBorders>
              <w:tl2br w:val="nil"/>
              <w:tr2bl w:val="nil"/>
            </w:tcBorders>
            <w:vAlign w:val="center"/>
          </w:tcPr>
          <w:p>
            <w:pPr>
              <w:tabs>
                <w:tab w:val="center" w:pos="4870"/>
              </w:tabs>
              <w:adjustRightInd w:val="0"/>
              <w:snapToGrid w:val="0"/>
              <w:jc w:val="center"/>
              <w:rPr>
                <w:rFonts w:cs="Times New Roman"/>
                <w:b/>
                <w:bCs/>
                <w:sz w:val="21"/>
                <w:szCs w:val="21"/>
              </w:rPr>
            </w:pPr>
            <w:r>
              <w:rPr>
                <w:rFonts w:cs="Times New Roman"/>
                <w:b/>
                <w:bCs/>
                <w:sz w:val="21"/>
                <w:szCs w:val="21"/>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w:t>
            </w:r>
          </w:p>
        </w:tc>
        <w:tc>
          <w:tcPr>
            <w:tcW w:w="1444"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牛</w:t>
            </w:r>
          </w:p>
        </w:tc>
        <w:tc>
          <w:tcPr>
            <w:tcW w:w="1115"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2647</w:t>
            </w:r>
          </w:p>
        </w:tc>
        <w:tc>
          <w:tcPr>
            <w:tcW w:w="1161"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18</w:t>
            </w:r>
          </w:p>
        </w:tc>
        <w:tc>
          <w:tcPr>
            <w:tcW w:w="1298"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17390.8</w:t>
            </w:r>
          </w:p>
        </w:tc>
        <w:tc>
          <w:tcPr>
            <w:tcW w:w="1042"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642.5</w:t>
            </w:r>
          </w:p>
        </w:tc>
        <w:tc>
          <w:tcPr>
            <w:tcW w:w="892"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41.16</w:t>
            </w:r>
          </w:p>
        </w:tc>
        <w:tc>
          <w:tcPr>
            <w:tcW w:w="821"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14.98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2</w:t>
            </w:r>
          </w:p>
        </w:tc>
        <w:tc>
          <w:tcPr>
            <w:tcW w:w="1444"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猪</w:t>
            </w:r>
          </w:p>
        </w:tc>
        <w:tc>
          <w:tcPr>
            <w:tcW w:w="1115"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11253</w:t>
            </w:r>
          </w:p>
        </w:tc>
        <w:tc>
          <w:tcPr>
            <w:tcW w:w="1161"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3</w:t>
            </w:r>
          </w:p>
        </w:tc>
        <w:tc>
          <w:tcPr>
            <w:tcW w:w="1298"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12322</w:t>
            </w:r>
          </w:p>
        </w:tc>
        <w:tc>
          <w:tcPr>
            <w:tcW w:w="1042"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369.7</w:t>
            </w:r>
          </w:p>
        </w:tc>
        <w:tc>
          <w:tcPr>
            <w:tcW w:w="892"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23.41</w:t>
            </w:r>
          </w:p>
        </w:tc>
        <w:tc>
          <w:tcPr>
            <w:tcW w:w="821"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8.21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3</w:t>
            </w:r>
          </w:p>
        </w:tc>
        <w:tc>
          <w:tcPr>
            <w:tcW w:w="1444"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羊</w:t>
            </w:r>
          </w:p>
        </w:tc>
        <w:tc>
          <w:tcPr>
            <w:tcW w:w="1115"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7183</w:t>
            </w:r>
          </w:p>
        </w:tc>
        <w:tc>
          <w:tcPr>
            <w:tcW w:w="1161"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w:t>
            </w:r>
          </w:p>
        </w:tc>
        <w:tc>
          <w:tcPr>
            <w:tcW w:w="1298"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2621.8</w:t>
            </w:r>
          </w:p>
        </w:tc>
        <w:tc>
          <w:tcPr>
            <w:tcW w:w="1042"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235.96</w:t>
            </w:r>
          </w:p>
        </w:tc>
        <w:tc>
          <w:tcPr>
            <w:tcW w:w="892"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14.94</w:t>
            </w:r>
          </w:p>
        </w:tc>
        <w:tc>
          <w:tcPr>
            <w:tcW w:w="821"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5.24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4</w:t>
            </w:r>
          </w:p>
        </w:tc>
        <w:tc>
          <w:tcPr>
            <w:tcW w:w="1444"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鸡</w:t>
            </w:r>
          </w:p>
        </w:tc>
        <w:tc>
          <w:tcPr>
            <w:tcW w:w="1115"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78607</w:t>
            </w:r>
          </w:p>
        </w:tc>
        <w:tc>
          <w:tcPr>
            <w:tcW w:w="1161"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0.1</w:t>
            </w:r>
          </w:p>
        </w:tc>
        <w:tc>
          <w:tcPr>
            <w:tcW w:w="1298"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2869.2</w:t>
            </w:r>
          </w:p>
        </w:tc>
        <w:tc>
          <w:tcPr>
            <w:tcW w:w="1042"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57.38</w:t>
            </w:r>
          </w:p>
        </w:tc>
        <w:tc>
          <w:tcPr>
            <w:tcW w:w="892"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8.6</w:t>
            </w:r>
          </w:p>
        </w:tc>
        <w:tc>
          <w:tcPr>
            <w:tcW w:w="821"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2.87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5</w:t>
            </w:r>
          </w:p>
        </w:tc>
        <w:tc>
          <w:tcPr>
            <w:tcW w:w="1444"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鸭</w:t>
            </w:r>
          </w:p>
        </w:tc>
        <w:tc>
          <w:tcPr>
            <w:tcW w:w="1115"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30109</w:t>
            </w:r>
          </w:p>
        </w:tc>
        <w:tc>
          <w:tcPr>
            <w:tcW w:w="1161"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0.1</w:t>
            </w:r>
          </w:p>
        </w:tc>
        <w:tc>
          <w:tcPr>
            <w:tcW w:w="1298"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1098.98</w:t>
            </w:r>
          </w:p>
        </w:tc>
        <w:tc>
          <w:tcPr>
            <w:tcW w:w="1042"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21.98</w:t>
            </w:r>
          </w:p>
        </w:tc>
        <w:tc>
          <w:tcPr>
            <w:tcW w:w="892"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3.3</w:t>
            </w:r>
          </w:p>
        </w:tc>
        <w:tc>
          <w:tcPr>
            <w:tcW w:w="821"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87" w:type="dxa"/>
            <w:gridSpan w:val="2"/>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合计</w:t>
            </w:r>
          </w:p>
        </w:tc>
        <w:tc>
          <w:tcPr>
            <w:tcW w:w="1115"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129799</w:t>
            </w:r>
          </w:p>
        </w:tc>
        <w:tc>
          <w:tcPr>
            <w:tcW w:w="1161"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22.2</w:t>
            </w:r>
          </w:p>
        </w:tc>
        <w:tc>
          <w:tcPr>
            <w:tcW w:w="1298"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36302.78</w:t>
            </w:r>
          </w:p>
        </w:tc>
        <w:tc>
          <w:tcPr>
            <w:tcW w:w="1042"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1327.52</w:t>
            </w:r>
          </w:p>
        </w:tc>
        <w:tc>
          <w:tcPr>
            <w:tcW w:w="892"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91.41</w:t>
            </w:r>
          </w:p>
        </w:tc>
        <w:tc>
          <w:tcPr>
            <w:tcW w:w="821"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32.4</w:t>
            </w:r>
          </w:p>
        </w:tc>
      </w:tr>
    </w:tbl>
    <w:p>
      <w:pPr>
        <w:spacing w:line="360" w:lineRule="auto"/>
        <w:ind w:firstLine="480" w:firstLineChars="200"/>
        <w:jc w:val="left"/>
        <w:rPr>
          <w:rFonts w:cs="Times New Roman"/>
        </w:rPr>
      </w:pPr>
      <w:r>
        <w:rPr>
          <w:rFonts w:cs="Times New Roman"/>
        </w:rPr>
        <w:t>由上表的估算可知，规划区域内畜禽生粪便污染物排放量为36302.78 t/a、COD1327.52 t/a、TN91.41 t/a、TP32.4 t/a。</w:t>
      </w:r>
    </w:p>
    <w:p>
      <w:pPr>
        <w:numPr>
          <w:ilvl w:val="0"/>
          <w:numId w:val="2"/>
        </w:numPr>
        <w:jc w:val="center"/>
        <w:rPr>
          <w:rFonts w:cs="Times New Roman"/>
          <w:b/>
          <w:bCs/>
          <w:sz w:val="21"/>
          <w:szCs w:val="21"/>
        </w:rPr>
      </w:pPr>
      <w:r>
        <w:rPr>
          <w:rFonts w:cs="Times New Roman"/>
          <w:b/>
          <w:bCs/>
          <w:color w:val="000000"/>
          <w:sz w:val="21"/>
          <w:szCs w:val="21"/>
        </w:rPr>
        <w:t xml:space="preserve"> 开江县城集中式饮用水水源地畜牧业污染源调查表</w:t>
      </w:r>
    </w:p>
    <w:tbl>
      <w:tblPr>
        <w:tblStyle w:val="21"/>
        <w:tblW w:w="855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6"/>
        <w:gridCol w:w="930"/>
        <w:gridCol w:w="1515"/>
        <w:gridCol w:w="915"/>
        <w:gridCol w:w="1185"/>
        <w:gridCol w:w="1260"/>
        <w:gridCol w:w="21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jc w:val="center"/>
        </w:trPr>
        <w:tc>
          <w:tcPr>
            <w:tcW w:w="596" w:type="dxa"/>
            <w:tcBorders>
              <w:tl2br w:val="nil"/>
              <w:tr2bl w:val="nil"/>
            </w:tcBorders>
            <w:vAlign w:val="center"/>
          </w:tcPr>
          <w:p>
            <w:pPr>
              <w:pStyle w:val="24"/>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930" w:type="dxa"/>
            <w:tcBorders>
              <w:tl2br w:val="nil"/>
              <w:tr2bl w:val="nil"/>
            </w:tcBorders>
            <w:vAlign w:val="center"/>
          </w:tcPr>
          <w:p>
            <w:pPr>
              <w:pStyle w:val="24"/>
              <w:jc w:val="center"/>
              <w:rPr>
                <w:rFonts w:ascii="Times New Roman" w:hAnsi="Times New Roman" w:cs="Times New Roman"/>
                <w:b/>
                <w:bCs/>
                <w:sz w:val="21"/>
                <w:szCs w:val="21"/>
              </w:rPr>
            </w:pPr>
            <w:r>
              <w:rPr>
                <w:rFonts w:ascii="Times New Roman" w:hAnsi="Times New Roman" w:cs="Times New Roman"/>
                <w:b/>
                <w:bCs/>
                <w:sz w:val="21"/>
                <w:szCs w:val="21"/>
              </w:rPr>
              <w:t>乡镇</w:t>
            </w:r>
          </w:p>
        </w:tc>
        <w:tc>
          <w:tcPr>
            <w:tcW w:w="1515" w:type="dxa"/>
            <w:tcBorders>
              <w:tl2br w:val="nil"/>
              <w:tr2bl w:val="nil"/>
            </w:tcBorders>
            <w:vAlign w:val="center"/>
          </w:tcPr>
          <w:p>
            <w:pPr>
              <w:pStyle w:val="24"/>
              <w:jc w:val="center"/>
              <w:rPr>
                <w:rFonts w:ascii="Times New Roman" w:hAnsi="Times New Roman" w:cs="Times New Roman"/>
                <w:b/>
                <w:bCs/>
                <w:sz w:val="21"/>
                <w:szCs w:val="21"/>
              </w:rPr>
            </w:pPr>
            <w:r>
              <w:rPr>
                <w:rFonts w:ascii="Times New Roman" w:hAnsi="Times New Roman" w:cs="Times New Roman"/>
                <w:b/>
                <w:bCs/>
                <w:sz w:val="21"/>
                <w:szCs w:val="21"/>
              </w:rPr>
              <w:t>水源地名称</w:t>
            </w:r>
          </w:p>
        </w:tc>
        <w:tc>
          <w:tcPr>
            <w:tcW w:w="915" w:type="dxa"/>
            <w:tcBorders>
              <w:tl2br w:val="nil"/>
              <w:tr2bl w:val="nil"/>
            </w:tcBorders>
            <w:vAlign w:val="center"/>
          </w:tcPr>
          <w:p>
            <w:pPr>
              <w:pStyle w:val="24"/>
              <w:jc w:val="center"/>
              <w:rPr>
                <w:rFonts w:ascii="Times New Roman" w:hAnsi="Times New Roman" w:cs="Times New Roman"/>
                <w:b/>
                <w:bCs/>
                <w:sz w:val="21"/>
                <w:szCs w:val="21"/>
              </w:rPr>
            </w:pPr>
            <w:r>
              <w:rPr>
                <w:rFonts w:ascii="Times New Roman" w:hAnsi="Times New Roman" w:cs="Times New Roman"/>
                <w:b/>
                <w:bCs/>
                <w:sz w:val="21"/>
                <w:szCs w:val="21"/>
              </w:rPr>
              <w:t>水源地</w:t>
            </w:r>
          </w:p>
          <w:p>
            <w:pPr>
              <w:pStyle w:val="24"/>
              <w:jc w:val="center"/>
              <w:rPr>
                <w:rFonts w:ascii="Times New Roman" w:hAnsi="Times New Roman" w:cs="Times New Roman"/>
                <w:b/>
                <w:bCs/>
                <w:sz w:val="21"/>
                <w:szCs w:val="21"/>
              </w:rPr>
            </w:pPr>
            <w:r>
              <w:rPr>
                <w:rFonts w:ascii="Times New Roman" w:hAnsi="Times New Roman" w:cs="Times New Roman"/>
                <w:b/>
                <w:bCs/>
                <w:sz w:val="21"/>
                <w:szCs w:val="21"/>
              </w:rPr>
              <w:t>类型</w:t>
            </w:r>
          </w:p>
        </w:tc>
        <w:tc>
          <w:tcPr>
            <w:tcW w:w="1185" w:type="dxa"/>
            <w:tcBorders>
              <w:tl2br w:val="nil"/>
              <w:tr2bl w:val="nil"/>
            </w:tcBorders>
            <w:vAlign w:val="center"/>
          </w:tcPr>
          <w:p>
            <w:pPr>
              <w:pStyle w:val="24"/>
              <w:jc w:val="center"/>
              <w:rPr>
                <w:rFonts w:ascii="Times New Roman" w:hAnsi="Times New Roman" w:cs="Times New Roman"/>
                <w:b/>
                <w:bCs/>
                <w:sz w:val="21"/>
                <w:szCs w:val="21"/>
              </w:rPr>
            </w:pPr>
            <w:r>
              <w:rPr>
                <w:rFonts w:ascii="Times New Roman" w:hAnsi="Times New Roman" w:cs="Times New Roman"/>
                <w:b/>
                <w:bCs/>
                <w:sz w:val="21"/>
                <w:szCs w:val="21"/>
              </w:rPr>
              <w:t>服务人口</w:t>
            </w:r>
          </w:p>
          <w:p>
            <w:pPr>
              <w:pStyle w:val="24"/>
              <w:jc w:val="center"/>
              <w:rPr>
                <w:rFonts w:ascii="Times New Roman" w:hAnsi="Times New Roman" w:cs="Times New Roman"/>
                <w:b/>
                <w:bCs/>
                <w:sz w:val="21"/>
                <w:szCs w:val="21"/>
              </w:rPr>
            </w:pPr>
            <w:r>
              <w:rPr>
                <w:rFonts w:ascii="Times New Roman" w:hAnsi="Times New Roman" w:cs="Times New Roman"/>
                <w:b/>
                <w:bCs/>
                <w:sz w:val="21"/>
                <w:szCs w:val="21"/>
              </w:rPr>
              <w:t>（人）</w:t>
            </w:r>
          </w:p>
        </w:tc>
        <w:tc>
          <w:tcPr>
            <w:tcW w:w="1260" w:type="dxa"/>
            <w:tcBorders>
              <w:tl2br w:val="nil"/>
              <w:tr2bl w:val="nil"/>
            </w:tcBorders>
            <w:vAlign w:val="center"/>
          </w:tcPr>
          <w:p>
            <w:pPr>
              <w:pStyle w:val="24"/>
              <w:jc w:val="center"/>
              <w:rPr>
                <w:rFonts w:ascii="Times New Roman" w:hAnsi="Times New Roman" w:cs="Times New Roman"/>
                <w:b/>
                <w:bCs/>
                <w:sz w:val="21"/>
                <w:szCs w:val="21"/>
              </w:rPr>
            </w:pPr>
            <w:r>
              <w:rPr>
                <w:rFonts w:ascii="Times New Roman" w:hAnsi="Times New Roman" w:cs="Times New Roman"/>
                <w:b/>
                <w:bCs/>
                <w:sz w:val="21"/>
                <w:szCs w:val="21"/>
              </w:rPr>
              <w:t>农业</w:t>
            </w:r>
          </w:p>
          <w:p>
            <w:pPr>
              <w:pStyle w:val="24"/>
              <w:jc w:val="center"/>
              <w:rPr>
                <w:rFonts w:ascii="Times New Roman" w:hAnsi="Times New Roman" w:cs="Times New Roman"/>
                <w:b/>
                <w:bCs/>
                <w:sz w:val="21"/>
                <w:szCs w:val="21"/>
              </w:rPr>
            </w:pPr>
            <w:r>
              <w:rPr>
                <w:rFonts w:ascii="Times New Roman" w:hAnsi="Times New Roman" w:cs="Times New Roman"/>
                <w:b/>
                <w:bCs/>
                <w:sz w:val="21"/>
                <w:szCs w:val="21"/>
              </w:rPr>
              <w:t>污染源</w:t>
            </w:r>
          </w:p>
        </w:tc>
        <w:tc>
          <w:tcPr>
            <w:tcW w:w="2155" w:type="dxa"/>
            <w:tcBorders>
              <w:tl2br w:val="nil"/>
              <w:tr2bl w:val="nil"/>
            </w:tcBorders>
            <w:vAlign w:val="center"/>
          </w:tcPr>
          <w:p>
            <w:pPr>
              <w:pStyle w:val="24"/>
              <w:jc w:val="center"/>
              <w:rPr>
                <w:rFonts w:ascii="Times New Roman" w:hAnsi="Times New Roman" w:cs="Times New Roman"/>
                <w:b/>
                <w:bCs/>
                <w:sz w:val="21"/>
                <w:szCs w:val="21"/>
              </w:rPr>
            </w:pPr>
            <w:r>
              <w:rPr>
                <w:rFonts w:ascii="Times New Roman" w:hAnsi="Times New Roman" w:cs="Times New Roman"/>
                <w:b/>
                <w:bCs/>
                <w:sz w:val="21"/>
                <w:szCs w:val="21"/>
              </w:rPr>
              <w:t>采取的措施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596"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1</w:t>
            </w:r>
          </w:p>
        </w:tc>
        <w:tc>
          <w:tcPr>
            <w:tcW w:w="930"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宝石乡</w:t>
            </w:r>
          </w:p>
        </w:tc>
        <w:tc>
          <w:tcPr>
            <w:tcW w:w="151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开江县</w:t>
            </w:r>
            <w:r>
              <w:rPr>
                <w:rFonts w:hint="eastAsia" w:ascii="Times New Roman" w:hAnsi="Times New Roman" w:cs="Times New Roman"/>
                <w:sz w:val="21"/>
                <w:szCs w:val="21"/>
              </w:rPr>
              <w:t>宝石桥水库</w:t>
            </w:r>
          </w:p>
        </w:tc>
        <w:tc>
          <w:tcPr>
            <w:tcW w:w="91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地表水</w:t>
            </w:r>
          </w:p>
        </w:tc>
        <w:tc>
          <w:tcPr>
            <w:tcW w:w="118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100000</w:t>
            </w:r>
          </w:p>
        </w:tc>
        <w:tc>
          <w:tcPr>
            <w:tcW w:w="1260"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有</w:t>
            </w:r>
          </w:p>
        </w:tc>
        <w:tc>
          <w:tcPr>
            <w:tcW w:w="215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一级保护区内禁止从事农业种植活动</w:t>
            </w:r>
          </w:p>
        </w:tc>
      </w:tr>
    </w:tbl>
    <w:p>
      <w:pPr>
        <w:spacing w:line="360" w:lineRule="auto"/>
        <w:ind w:firstLine="480" w:firstLineChars="200"/>
        <w:rPr>
          <w:rFonts w:cs="Times New Roman"/>
          <w:kern w:val="0"/>
        </w:rPr>
      </w:pPr>
      <w:r>
        <w:rPr>
          <w:rFonts w:cs="Times New Roman"/>
        </w:rPr>
        <w:t>陆域一级、二级以及准保护区内，没有规模化畜牧业养殖场，大部分水源地周围都是当地牧民自己的牲畜，主要是牛、羊等，牲畜的活动会产生粪便，粪便是水源地主要的污染源。建议采取的措施是一级保护区内禁止从事牧业活动。</w:t>
      </w:r>
    </w:p>
    <w:p>
      <w:pPr>
        <w:pStyle w:val="4"/>
        <w:spacing w:beforeAutospacing="0" w:afterAutospacing="0" w:line="360" w:lineRule="auto"/>
        <w:rPr>
          <w:rFonts w:ascii="Times New Roman" w:hAnsi="Times New Roman" w:cs="Times New Roman"/>
        </w:rPr>
      </w:pPr>
      <w:bookmarkStart w:id="174" w:name="_Toc1502"/>
      <w:bookmarkStart w:id="175" w:name="_Toc4331"/>
      <w:bookmarkStart w:id="176" w:name="_Toc5615"/>
      <w:r>
        <w:rPr>
          <w:rFonts w:hint="eastAsia" w:ascii="Times New Roman" w:hAnsi="Times New Roman" w:cs="Times New Roman"/>
        </w:rPr>
        <w:t>4</w:t>
      </w:r>
      <w:r>
        <w:rPr>
          <w:rFonts w:ascii="Times New Roman" w:hAnsi="Times New Roman" w:cs="Times New Roman"/>
        </w:rPr>
        <w:t>.1.4城镇生活污水、生活垃圾、雨水</w:t>
      </w:r>
      <w:bookmarkEnd w:id="173"/>
      <w:bookmarkEnd w:id="174"/>
      <w:bookmarkEnd w:id="175"/>
      <w:bookmarkEnd w:id="176"/>
    </w:p>
    <w:p>
      <w:pPr>
        <w:spacing w:line="360" w:lineRule="auto"/>
        <w:ind w:firstLine="482" w:firstLineChars="200"/>
        <w:rPr>
          <w:rFonts w:cs="Times New Roman"/>
          <w:b/>
          <w:bCs/>
        </w:rPr>
      </w:pPr>
      <w:bookmarkStart w:id="177" w:name="_Toc25859"/>
      <w:r>
        <w:rPr>
          <w:rFonts w:cs="Times New Roman"/>
          <w:b/>
          <w:bCs/>
        </w:rPr>
        <w:t>1、乡镇生活污染分析</w:t>
      </w:r>
    </w:p>
    <w:p>
      <w:pPr>
        <w:spacing w:line="360" w:lineRule="auto"/>
        <w:ind w:firstLine="480" w:firstLineChars="200"/>
        <w:rPr>
          <w:rFonts w:cs="Times New Roman"/>
        </w:rPr>
      </w:pPr>
      <w:r>
        <w:rPr>
          <w:rFonts w:cs="Times New Roman"/>
        </w:rPr>
        <w:t>规划区范围内共有乡镇6个，包括梅家乡、沙坝场乡、宝石乡、讲治乡、灵岩乡和新太乡都属于人口居住聚集的地方。生活污水和生活垃圾的产生量较大。</w:t>
      </w:r>
    </w:p>
    <w:p>
      <w:pPr>
        <w:spacing w:line="360" w:lineRule="auto"/>
        <w:ind w:firstLine="480" w:firstLineChars="200"/>
        <w:rPr>
          <w:rFonts w:cs="Times New Roman"/>
        </w:rPr>
      </w:pPr>
      <w:r>
        <w:rPr>
          <w:rFonts w:cs="Times New Roman"/>
        </w:rPr>
        <w:t>（1）乡镇水污染现状</w:t>
      </w:r>
    </w:p>
    <w:p>
      <w:pPr>
        <w:spacing w:line="360" w:lineRule="auto"/>
        <w:ind w:firstLine="480" w:firstLineChars="200"/>
        <w:rPr>
          <w:rFonts w:cs="Times New Roman"/>
        </w:rPr>
      </w:pPr>
      <w:r>
        <w:rPr>
          <w:rFonts w:cs="Times New Roman"/>
        </w:rPr>
        <w:t>根据乡镇人口数量、人均污水量及污染物的排放系数，估算各乡镇生活污水产生量、污染物排放量。根据《四川省用水定额标准》中规定的居民生活污水和排污系数，同时结合现场调查情况，取乡镇居民生活污水排放系数如</w:t>
      </w:r>
      <w:r>
        <w:rPr>
          <w:rFonts w:hint="eastAsia" w:cs="Times New Roman"/>
        </w:rPr>
        <w:t>下表</w:t>
      </w:r>
      <w:r>
        <w:rPr>
          <w:rFonts w:cs="Times New Roman"/>
        </w:rPr>
        <w:t>所示，污染物产排估算情况见下表。</w:t>
      </w:r>
    </w:p>
    <w:p>
      <w:pPr>
        <w:numPr>
          <w:ilvl w:val="0"/>
          <w:numId w:val="2"/>
        </w:numPr>
        <w:jc w:val="center"/>
        <w:rPr>
          <w:rFonts w:cs="Times New Roman"/>
          <w:b/>
          <w:bCs/>
          <w:color w:val="000000"/>
          <w:sz w:val="21"/>
          <w:szCs w:val="21"/>
        </w:rPr>
      </w:pPr>
      <w:r>
        <w:rPr>
          <w:rFonts w:cs="Times New Roman"/>
          <w:b/>
          <w:bCs/>
          <w:color w:val="000000"/>
          <w:sz w:val="21"/>
          <w:szCs w:val="21"/>
        </w:rPr>
        <w:t xml:space="preserve"> 乡镇居民生活污水排放系数</w:t>
      </w:r>
    </w:p>
    <w:tbl>
      <w:tblPr>
        <w:tblStyle w:val="2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41"/>
        <w:gridCol w:w="2039"/>
        <w:gridCol w:w="2038"/>
        <w:gridCol w:w="19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41" w:type="dxa"/>
            <w:tcBorders>
              <w:tl2br w:val="nil"/>
              <w:tr2bl w:val="nil"/>
            </w:tcBorders>
            <w:vAlign w:val="center"/>
          </w:tcPr>
          <w:p>
            <w:pPr>
              <w:tabs>
                <w:tab w:val="center" w:pos="4870"/>
              </w:tabs>
              <w:adjustRightInd w:val="0"/>
              <w:snapToGrid w:val="0"/>
              <w:jc w:val="center"/>
              <w:rPr>
                <w:rFonts w:cs="Times New Roman"/>
                <w:b/>
                <w:sz w:val="21"/>
                <w:szCs w:val="21"/>
              </w:rPr>
            </w:pPr>
            <w:r>
              <w:rPr>
                <w:rFonts w:cs="Times New Roman"/>
                <w:b/>
                <w:sz w:val="21"/>
                <w:szCs w:val="21"/>
              </w:rPr>
              <w:t>生活污水排放量（L/人.d）</w:t>
            </w:r>
          </w:p>
        </w:tc>
        <w:tc>
          <w:tcPr>
            <w:tcW w:w="2039" w:type="dxa"/>
            <w:tcBorders>
              <w:tl2br w:val="nil"/>
              <w:tr2bl w:val="nil"/>
            </w:tcBorders>
            <w:vAlign w:val="center"/>
          </w:tcPr>
          <w:p>
            <w:pPr>
              <w:tabs>
                <w:tab w:val="center" w:pos="4870"/>
              </w:tabs>
              <w:adjustRightInd w:val="0"/>
              <w:snapToGrid w:val="0"/>
              <w:ind w:firstLine="422" w:firstLineChars="200"/>
              <w:jc w:val="center"/>
              <w:rPr>
                <w:rFonts w:cs="Times New Roman"/>
                <w:b/>
                <w:sz w:val="21"/>
                <w:szCs w:val="21"/>
              </w:rPr>
            </w:pPr>
            <w:r>
              <w:rPr>
                <w:rFonts w:cs="Times New Roman"/>
                <w:b/>
                <w:sz w:val="21"/>
                <w:szCs w:val="21"/>
              </w:rPr>
              <w:t>COD(g/人.d)</w:t>
            </w:r>
          </w:p>
        </w:tc>
        <w:tc>
          <w:tcPr>
            <w:tcW w:w="2038" w:type="dxa"/>
            <w:tcBorders>
              <w:tl2br w:val="nil"/>
              <w:tr2bl w:val="nil"/>
            </w:tcBorders>
            <w:vAlign w:val="center"/>
          </w:tcPr>
          <w:p>
            <w:pPr>
              <w:tabs>
                <w:tab w:val="center" w:pos="4870"/>
              </w:tabs>
              <w:adjustRightInd w:val="0"/>
              <w:snapToGrid w:val="0"/>
              <w:ind w:firstLine="422" w:firstLineChars="200"/>
              <w:jc w:val="center"/>
              <w:rPr>
                <w:rFonts w:cs="Times New Roman"/>
                <w:b/>
                <w:sz w:val="21"/>
                <w:szCs w:val="21"/>
              </w:rPr>
            </w:pPr>
            <w:r>
              <w:rPr>
                <w:rFonts w:cs="Times New Roman"/>
                <w:b/>
                <w:sz w:val="21"/>
                <w:szCs w:val="21"/>
              </w:rPr>
              <w:t>TN(g/人.d)</w:t>
            </w:r>
          </w:p>
        </w:tc>
        <w:tc>
          <w:tcPr>
            <w:tcW w:w="1998" w:type="dxa"/>
            <w:tcBorders>
              <w:tl2br w:val="nil"/>
              <w:tr2bl w:val="nil"/>
            </w:tcBorders>
            <w:vAlign w:val="center"/>
          </w:tcPr>
          <w:p>
            <w:pPr>
              <w:tabs>
                <w:tab w:val="center" w:pos="4870"/>
              </w:tabs>
              <w:adjustRightInd w:val="0"/>
              <w:snapToGrid w:val="0"/>
              <w:ind w:firstLine="422" w:firstLineChars="200"/>
              <w:jc w:val="center"/>
              <w:rPr>
                <w:rFonts w:cs="Times New Roman"/>
                <w:b/>
                <w:sz w:val="21"/>
                <w:szCs w:val="21"/>
              </w:rPr>
            </w:pPr>
            <w:r>
              <w:rPr>
                <w:rFonts w:cs="Times New Roman"/>
                <w:b/>
                <w:sz w:val="21"/>
                <w:szCs w:val="21"/>
              </w:rPr>
              <w:t>TP(g/人.d)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41"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100</w:t>
            </w:r>
          </w:p>
        </w:tc>
        <w:tc>
          <w:tcPr>
            <w:tcW w:w="2039"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53</w:t>
            </w:r>
          </w:p>
        </w:tc>
        <w:tc>
          <w:tcPr>
            <w:tcW w:w="2038"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2.56</w:t>
            </w:r>
          </w:p>
        </w:tc>
        <w:tc>
          <w:tcPr>
            <w:tcW w:w="1998"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0.51</w:t>
            </w:r>
          </w:p>
        </w:tc>
      </w:tr>
    </w:tbl>
    <w:p>
      <w:pPr>
        <w:tabs>
          <w:tab w:val="center" w:pos="4870"/>
        </w:tabs>
        <w:ind w:firstLine="422" w:firstLineChars="200"/>
        <w:jc w:val="center"/>
        <w:rPr>
          <w:rFonts w:cs="Times New Roman"/>
          <w:b/>
          <w:sz w:val="21"/>
          <w:szCs w:val="21"/>
        </w:rPr>
      </w:pPr>
    </w:p>
    <w:p>
      <w:pPr>
        <w:numPr>
          <w:ilvl w:val="0"/>
          <w:numId w:val="2"/>
        </w:numPr>
        <w:jc w:val="center"/>
        <w:rPr>
          <w:rFonts w:cs="Times New Roman"/>
          <w:b/>
          <w:bCs/>
          <w:color w:val="000000"/>
          <w:sz w:val="21"/>
          <w:szCs w:val="21"/>
        </w:rPr>
      </w:pPr>
      <w:r>
        <w:rPr>
          <w:rFonts w:cs="Times New Roman"/>
          <w:b/>
          <w:bCs/>
          <w:color w:val="000000"/>
          <w:sz w:val="21"/>
          <w:szCs w:val="21"/>
        </w:rPr>
        <w:t xml:space="preserve"> </w:t>
      </w:r>
      <w:r>
        <w:rPr>
          <w:rFonts w:hint="eastAsia" w:cs="Times New Roman"/>
          <w:b/>
          <w:bCs/>
          <w:color w:val="000000"/>
          <w:sz w:val="21"/>
          <w:szCs w:val="21"/>
        </w:rPr>
        <w:t>宝石桥水库</w:t>
      </w:r>
      <w:r>
        <w:rPr>
          <w:rFonts w:cs="Times New Roman"/>
          <w:b/>
          <w:bCs/>
          <w:color w:val="000000"/>
          <w:sz w:val="21"/>
          <w:szCs w:val="21"/>
        </w:rPr>
        <w:t>库区及上游村镇生活污水污染物产生情况</w:t>
      </w:r>
    </w:p>
    <w:tbl>
      <w:tblPr>
        <w:tblStyle w:val="2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1209"/>
        <w:gridCol w:w="1470"/>
        <w:gridCol w:w="1594"/>
        <w:gridCol w:w="1450"/>
        <w:gridCol w:w="14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46" w:type="dxa"/>
            <w:vMerge w:val="restart"/>
            <w:tcBorders>
              <w:tl2br w:val="nil"/>
              <w:tr2bl w:val="nil"/>
            </w:tcBorders>
            <w:vAlign w:val="center"/>
          </w:tcPr>
          <w:p>
            <w:pPr>
              <w:tabs>
                <w:tab w:val="center" w:pos="4870"/>
              </w:tabs>
              <w:adjustRightInd w:val="0"/>
              <w:snapToGrid w:val="0"/>
              <w:jc w:val="center"/>
              <w:rPr>
                <w:rFonts w:cs="Times New Roman"/>
                <w:b/>
                <w:sz w:val="21"/>
                <w:szCs w:val="21"/>
              </w:rPr>
            </w:pPr>
            <w:r>
              <w:rPr>
                <w:rFonts w:cs="Times New Roman"/>
                <w:b/>
                <w:sz w:val="21"/>
                <w:szCs w:val="21"/>
              </w:rPr>
              <w:t>乡镇</w:t>
            </w:r>
          </w:p>
        </w:tc>
        <w:tc>
          <w:tcPr>
            <w:tcW w:w="1209" w:type="dxa"/>
            <w:vMerge w:val="restart"/>
            <w:tcBorders>
              <w:tl2br w:val="nil"/>
              <w:tr2bl w:val="nil"/>
            </w:tcBorders>
            <w:vAlign w:val="center"/>
          </w:tcPr>
          <w:p>
            <w:pPr>
              <w:tabs>
                <w:tab w:val="center" w:pos="4870"/>
              </w:tabs>
              <w:adjustRightInd w:val="0"/>
              <w:snapToGrid w:val="0"/>
              <w:jc w:val="center"/>
              <w:rPr>
                <w:rFonts w:cs="Times New Roman"/>
                <w:b/>
                <w:sz w:val="21"/>
                <w:szCs w:val="21"/>
              </w:rPr>
            </w:pPr>
            <w:r>
              <w:rPr>
                <w:rFonts w:cs="Times New Roman"/>
                <w:b/>
                <w:sz w:val="21"/>
                <w:szCs w:val="21"/>
              </w:rPr>
              <w:t>人口</w:t>
            </w:r>
          </w:p>
        </w:tc>
        <w:tc>
          <w:tcPr>
            <w:tcW w:w="1470" w:type="dxa"/>
            <w:vMerge w:val="restart"/>
            <w:tcBorders>
              <w:tl2br w:val="nil"/>
              <w:tr2bl w:val="nil"/>
            </w:tcBorders>
            <w:vAlign w:val="center"/>
          </w:tcPr>
          <w:p>
            <w:pPr>
              <w:tabs>
                <w:tab w:val="center" w:pos="4870"/>
              </w:tabs>
              <w:adjustRightInd w:val="0"/>
              <w:snapToGrid w:val="0"/>
              <w:jc w:val="center"/>
              <w:rPr>
                <w:rFonts w:cs="Times New Roman"/>
                <w:b/>
                <w:sz w:val="21"/>
                <w:szCs w:val="21"/>
              </w:rPr>
            </w:pPr>
            <w:r>
              <w:rPr>
                <w:rFonts w:cs="Times New Roman"/>
                <w:b/>
                <w:sz w:val="21"/>
                <w:szCs w:val="21"/>
              </w:rPr>
              <w:t>生活污水产生量（t/a）</w:t>
            </w:r>
          </w:p>
        </w:tc>
        <w:tc>
          <w:tcPr>
            <w:tcW w:w="4491" w:type="dxa"/>
            <w:gridSpan w:val="3"/>
            <w:tcBorders>
              <w:tl2br w:val="nil"/>
              <w:tr2bl w:val="nil"/>
            </w:tcBorders>
            <w:vAlign w:val="center"/>
          </w:tcPr>
          <w:p>
            <w:pPr>
              <w:tabs>
                <w:tab w:val="center" w:pos="4870"/>
              </w:tabs>
              <w:adjustRightInd w:val="0"/>
              <w:snapToGrid w:val="0"/>
              <w:ind w:firstLine="422" w:firstLineChars="200"/>
              <w:jc w:val="center"/>
              <w:rPr>
                <w:rFonts w:cs="Times New Roman"/>
                <w:b/>
                <w:sz w:val="21"/>
                <w:szCs w:val="21"/>
              </w:rPr>
            </w:pPr>
            <w:r>
              <w:rPr>
                <w:rFonts w:cs="Times New Roman"/>
                <w:b/>
                <w:sz w:val="21"/>
                <w:szCs w:val="21"/>
              </w:rPr>
              <w:t>污染物产生量（t/a）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trPr>
        <w:tc>
          <w:tcPr>
            <w:tcW w:w="1346" w:type="dxa"/>
            <w:vMerge w:val="continue"/>
            <w:tcBorders>
              <w:tl2br w:val="nil"/>
              <w:tr2bl w:val="nil"/>
            </w:tcBorders>
            <w:vAlign w:val="center"/>
          </w:tcPr>
          <w:p>
            <w:pPr>
              <w:adjustRightInd w:val="0"/>
              <w:snapToGrid w:val="0"/>
              <w:jc w:val="center"/>
              <w:rPr>
                <w:rFonts w:cs="Times New Roman"/>
                <w:sz w:val="21"/>
                <w:szCs w:val="21"/>
              </w:rPr>
            </w:pPr>
          </w:p>
        </w:tc>
        <w:tc>
          <w:tcPr>
            <w:tcW w:w="1209" w:type="dxa"/>
            <w:vMerge w:val="continue"/>
            <w:tcBorders>
              <w:tl2br w:val="nil"/>
              <w:tr2bl w:val="nil"/>
            </w:tcBorders>
            <w:vAlign w:val="center"/>
          </w:tcPr>
          <w:p>
            <w:pPr>
              <w:adjustRightInd w:val="0"/>
              <w:snapToGrid w:val="0"/>
              <w:jc w:val="center"/>
              <w:rPr>
                <w:rFonts w:cs="Times New Roman"/>
                <w:sz w:val="21"/>
                <w:szCs w:val="21"/>
              </w:rPr>
            </w:pPr>
          </w:p>
        </w:tc>
        <w:tc>
          <w:tcPr>
            <w:tcW w:w="1470" w:type="dxa"/>
            <w:vMerge w:val="continue"/>
            <w:tcBorders>
              <w:tl2br w:val="nil"/>
              <w:tr2bl w:val="nil"/>
            </w:tcBorders>
            <w:vAlign w:val="center"/>
          </w:tcPr>
          <w:p>
            <w:pPr>
              <w:adjustRightInd w:val="0"/>
              <w:snapToGrid w:val="0"/>
              <w:jc w:val="center"/>
              <w:rPr>
                <w:rFonts w:cs="Times New Roman"/>
                <w:sz w:val="21"/>
                <w:szCs w:val="21"/>
              </w:rPr>
            </w:pPr>
          </w:p>
        </w:tc>
        <w:tc>
          <w:tcPr>
            <w:tcW w:w="1594"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COD</w:t>
            </w:r>
          </w:p>
        </w:tc>
        <w:tc>
          <w:tcPr>
            <w:tcW w:w="1450"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TN</w:t>
            </w:r>
          </w:p>
        </w:tc>
        <w:tc>
          <w:tcPr>
            <w:tcW w:w="1447"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46"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梅家乡</w:t>
            </w:r>
          </w:p>
        </w:tc>
        <w:tc>
          <w:tcPr>
            <w:tcW w:w="1209"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16985</w:t>
            </w:r>
          </w:p>
        </w:tc>
        <w:tc>
          <w:tcPr>
            <w:tcW w:w="1470"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495962</w:t>
            </w:r>
          </w:p>
        </w:tc>
        <w:tc>
          <w:tcPr>
            <w:tcW w:w="1594"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328.57</w:t>
            </w:r>
          </w:p>
        </w:tc>
        <w:tc>
          <w:tcPr>
            <w:tcW w:w="1450"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15.87</w:t>
            </w:r>
          </w:p>
        </w:tc>
        <w:tc>
          <w:tcPr>
            <w:tcW w:w="1447"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3.16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46"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沙坝场乡</w:t>
            </w:r>
          </w:p>
        </w:tc>
        <w:tc>
          <w:tcPr>
            <w:tcW w:w="1209"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14633</w:t>
            </w:r>
          </w:p>
        </w:tc>
        <w:tc>
          <w:tcPr>
            <w:tcW w:w="1470"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427283.6</w:t>
            </w:r>
          </w:p>
        </w:tc>
        <w:tc>
          <w:tcPr>
            <w:tcW w:w="1594"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283.08</w:t>
            </w:r>
          </w:p>
        </w:tc>
        <w:tc>
          <w:tcPr>
            <w:tcW w:w="1450"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13.67</w:t>
            </w:r>
          </w:p>
        </w:tc>
        <w:tc>
          <w:tcPr>
            <w:tcW w:w="1447"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2.72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46"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宝石乡</w:t>
            </w:r>
          </w:p>
        </w:tc>
        <w:tc>
          <w:tcPr>
            <w:tcW w:w="1209"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8175</w:t>
            </w:r>
          </w:p>
        </w:tc>
        <w:tc>
          <w:tcPr>
            <w:tcW w:w="1470"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238710</w:t>
            </w:r>
          </w:p>
        </w:tc>
        <w:tc>
          <w:tcPr>
            <w:tcW w:w="1594"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158.15</w:t>
            </w:r>
          </w:p>
        </w:tc>
        <w:tc>
          <w:tcPr>
            <w:tcW w:w="1450"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7.64</w:t>
            </w:r>
          </w:p>
        </w:tc>
        <w:tc>
          <w:tcPr>
            <w:tcW w:w="1447"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1.52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46"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讲治乡</w:t>
            </w:r>
          </w:p>
        </w:tc>
        <w:tc>
          <w:tcPr>
            <w:tcW w:w="1209"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3526</w:t>
            </w:r>
          </w:p>
        </w:tc>
        <w:tc>
          <w:tcPr>
            <w:tcW w:w="1470"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102959.2</w:t>
            </w:r>
          </w:p>
        </w:tc>
        <w:tc>
          <w:tcPr>
            <w:tcW w:w="1594"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68.21</w:t>
            </w:r>
          </w:p>
        </w:tc>
        <w:tc>
          <w:tcPr>
            <w:tcW w:w="1450"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3.29</w:t>
            </w:r>
          </w:p>
        </w:tc>
        <w:tc>
          <w:tcPr>
            <w:tcW w:w="1447"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0.66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46"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灵岩乡</w:t>
            </w:r>
          </w:p>
        </w:tc>
        <w:tc>
          <w:tcPr>
            <w:tcW w:w="1209"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6537</w:t>
            </w:r>
          </w:p>
        </w:tc>
        <w:tc>
          <w:tcPr>
            <w:tcW w:w="1470"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190880.4</w:t>
            </w:r>
          </w:p>
        </w:tc>
        <w:tc>
          <w:tcPr>
            <w:tcW w:w="1594"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126.46</w:t>
            </w:r>
          </w:p>
        </w:tc>
        <w:tc>
          <w:tcPr>
            <w:tcW w:w="1450"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6.11</w:t>
            </w:r>
          </w:p>
        </w:tc>
        <w:tc>
          <w:tcPr>
            <w:tcW w:w="1447"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46"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新太乡</w:t>
            </w:r>
          </w:p>
        </w:tc>
        <w:tc>
          <w:tcPr>
            <w:tcW w:w="1209"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4683</w:t>
            </w:r>
          </w:p>
        </w:tc>
        <w:tc>
          <w:tcPr>
            <w:tcW w:w="1470" w:type="dxa"/>
            <w:tcBorders>
              <w:tl2br w:val="nil"/>
              <w:tr2bl w:val="nil"/>
            </w:tcBorders>
            <w:vAlign w:val="center"/>
          </w:tcPr>
          <w:p>
            <w:pPr>
              <w:adjustRightInd w:val="0"/>
              <w:snapToGrid w:val="0"/>
              <w:jc w:val="center"/>
              <w:rPr>
                <w:rFonts w:cs="Times New Roman"/>
                <w:sz w:val="21"/>
                <w:szCs w:val="21"/>
              </w:rPr>
            </w:pPr>
            <w:r>
              <w:rPr>
                <w:rFonts w:cs="Times New Roman"/>
                <w:sz w:val="21"/>
                <w:szCs w:val="21"/>
              </w:rPr>
              <w:t>136743.6</w:t>
            </w:r>
          </w:p>
        </w:tc>
        <w:tc>
          <w:tcPr>
            <w:tcW w:w="1594"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90.59</w:t>
            </w:r>
          </w:p>
        </w:tc>
        <w:tc>
          <w:tcPr>
            <w:tcW w:w="1450"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4.38</w:t>
            </w:r>
          </w:p>
        </w:tc>
        <w:tc>
          <w:tcPr>
            <w:tcW w:w="1447"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0.87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46"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合计</w:t>
            </w:r>
          </w:p>
        </w:tc>
        <w:tc>
          <w:tcPr>
            <w:tcW w:w="1209"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54539</w:t>
            </w:r>
          </w:p>
        </w:tc>
        <w:tc>
          <w:tcPr>
            <w:tcW w:w="1470"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1592538.8</w:t>
            </w:r>
          </w:p>
        </w:tc>
        <w:tc>
          <w:tcPr>
            <w:tcW w:w="1594"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1055</w:t>
            </w:r>
          </w:p>
        </w:tc>
        <w:tc>
          <w:tcPr>
            <w:tcW w:w="1450"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51</w:t>
            </w:r>
          </w:p>
        </w:tc>
        <w:tc>
          <w:tcPr>
            <w:tcW w:w="1447" w:type="dxa"/>
            <w:tcBorders>
              <w:tl2br w:val="nil"/>
              <w:tr2bl w:val="nil"/>
            </w:tcBorders>
            <w:vAlign w:val="center"/>
          </w:tcPr>
          <w:p>
            <w:pPr>
              <w:tabs>
                <w:tab w:val="center" w:pos="4870"/>
              </w:tabs>
              <w:adjustRightInd w:val="0"/>
              <w:snapToGrid w:val="0"/>
              <w:jc w:val="center"/>
              <w:rPr>
                <w:rFonts w:cs="Times New Roman"/>
                <w:sz w:val="21"/>
                <w:szCs w:val="21"/>
              </w:rPr>
            </w:pPr>
            <w:r>
              <w:rPr>
                <w:rFonts w:cs="Times New Roman"/>
                <w:sz w:val="21"/>
                <w:szCs w:val="21"/>
              </w:rPr>
              <w:t>10.15</w:t>
            </w:r>
          </w:p>
        </w:tc>
      </w:tr>
    </w:tbl>
    <w:p>
      <w:pPr>
        <w:spacing w:line="360" w:lineRule="auto"/>
        <w:ind w:firstLine="720" w:firstLineChars="300"/>
        <w:rPr>
          <w:rFonts w:cs="Times New Roman"/>
        </w:rPr>
      </w:pPr>
      <w:r>
        <w:rPr>
          <w:rFonts w:cs="Times New Roman"/>
        </w:rPr>
        <w:t>废水产生量及污染物负荷分别为1592538.8t/a、COD 1055t/a、TN51t/a、TP10.15t/a。由于乡镇产生生活污水在排放前基本未经过处理，且通过沟渠进入农田，后进入各条河流，最终汇流至</w:t>
      </w:r>
      <w:r>
        <w:rPr>
          <w:rFonts w:hint="eastAsia" w:cs="Times New Roman"/>
        </w:rPr>
        <w:t>宝石桥水库</w:t>
      </w:r>
      <w:r>
        <w:rPr>
          <w:rFonts w:cs="Times New Roman"/>
        </w:rPr>
        <w:t>。</w:t>
      </w:r>
    </w:p>
    <w:p>
      <w:pPr>
        <w:spacing w:line="360" w:lineRule="auto"/>
        <w:ind w:firstLine="480" w:firstLineChars="200"/>
        <w:rPr>
          <w:rFonts w:cs="Times New Roman"/>
          <w:highlight w:val="red"/>
        </w:rPr>
      </w:pPr>
      <w:r>
        <w:rPr>
          <w:rFonts w:cs="Times New Roman"/>
          <w:highlight w:val="red"/>
        </w:rPr>
        <w:t>根据调查，四川省开江县县城</w:t>
      </w:r>
      <w:r>
        <w:rPr>
          <w:rFonts w:hint="eastAsia" w:cs="Times New Roman"/>
          <w:highlight w:val="red"/>
        </w:rPr>
        <w:t>宝石桥水库</w:t>
      </w:r>
      <w:r>
        <w:rPr>
          <w:rFonts w:cs="Times New Roman"/>
          <w:highlight w:val="red"/>
        </w:rPr>
        <w:t>集中式饮用水源地保护区周边遇到降雨，就会产生地表水</w:t>
      </w:r>
      <w:r>
        <w:rPr>
          <w:rFonts w:hint="eastAsia" w:cs="Times New Roman"/>
          <w:highlight w:val="red"/>
        </w:rPr>
        <w:t>，</w:t>
      </w:r>
      <w:r>
        <w:rPr>
          <w:rFonts w:cs="Times New Roman"/>
          <w:highlight w:val="red"/>
        </w:rPr>
        <w:t>而地表水就会进入水源地河流，降雨产生的地表流水，会携带原先地表的物质进入河流，如果地表存在污染源，这样就会顺着地表水流进入河流，引起河流水质的变化。而根据调查，能引起水质变化的污染源，主要是地表的牧业引起的粪便，因此，建议一级保护区内禁止有居民居住，禁止从事牧业活动。</w:t>
      </w:r>
    </w:p>
    <w:p>
      <w:pPr>
        <w:spacing w:line="360" w:lineRule="auto"/>
        <w:ind w:firstLine="480" w:firstLineChars="200"/>
        <w:rPr>
          <w:rFonts w:cs="Times New Roman"/>
        </w:rPr>
      </w:pPr>
      <w:r>
        <w:rPr>
          <w:rFonts w:cs="Times New Roman"/>
        </w:rPr>
        <w:t>四川省开江县县城</w:t>
      </w:r>
      <w:r>
        <w:rPr>
          <w:rFonts w:hint="eastAsia" w:cs="Times New Roman"/>
        </w:rPr>
        <w:t>宝石桥水库</w:t>
      </w:r>
      <w:r>
        <w:rPr>
          <w:rFonts w:cs="Times New Roman"/>
        </w:rPr>
        <w:t>集中式饮用水源地保护区的生活污水及地表雨调查情况见下表。</w:t>
      </w:r>
    </w:p>
    <w:p>
      <w:pPr>
        <w:numPr>
          <w:ilvl w:val="0"/>
          <w:numId w:val="2"/>
        </w:numPr>
        <w:jc w:val="center"/>
        <w:rPr>
          <w:rFonts w:cs="Times New Roman"/>
          <w:b/>
          <w:bCs/>
          <w:color w:val="000000"/>
          <w:sz w:val="21"/>
          <w:szCs w:val="21"/>
        </w:rPr>
      </w:pPr>
      <w:r>
        <w:rPr>
          <w:rFonts w:cs="Times New Roman"/>
          <w:b/>
          <w:bCs/>
          <w:color w:val="000000"/>
          <w:sz w:val="21"/>
          <w:szCs w:val="21"/>
        </w:rPr>
        <w:t>开江县</w:t>
      </w:r>
      <w:r>
        <w:rPr>
          <w:rFonts w:hint="eastAsia" w:cs="Times New Roman"/>
          <w:b/>
          <w:bCs/>
          <w:color w:val="000000"/>
          <w:sz w:val="21"/>
          <w:szCs w:val="21"/>
        </w:rPr>
        <w:t>宝石桥水库</w:t>
      </w:r>
      <w:r>
        <w:rPr>
          <w:rFonts w:cs="Times New Roman"/>
          <w:b/>
          <w:bCs/>
          <w:color w:val="000000"/>
          <w:sz w:val="21"/>
          <w:szCs w:val="21"/>
        </w:rPr>
        <w:t>集中式饮用水水源地城镇生活污水、地表水及雨水调查表</w:t>
      </w:r>
    </w:p>
    <w:tbl>
      <w:tblPr>
        <w:tblStyle w:val="21"/>
        <w:tblW w:w="849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0"/>
        <w:gridCol w:w="900"/>
        <w:gridCol w:w="1545"/>
        <w:gridCol w:w="930"/>
        <w:gridCol w:w="1065"/>
        <w:gridCol w:w="675"/>
        <w:gridCol w:w="990"/>
        <w:gridCol w:w="19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jc w:val="center"/>
        </w:trPr>
        <w:tc>
          <w:tcPr>
            <w:tcW w:w="400"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序号</w:t>
            </w:r>
          </w:p>
        </w:tc>
        <w:tc>
          <w:tcPr>
            <w:tcW w:w="900"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乡镇</w:t>
            </w:r>
          </w:p>
        </w:tc>
        <w:tc>
          <w:tcPr>
            <w:tcW w:w="154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水源地名称</w:t>
            </w:r>
          </w:p>
        </w:tc>
        <w:tc>
          <w:tcPr>
            <w:tcW w:w="930"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水源地</w:t>
            </w:r>
          </w:p>
          <w:p>
            <w:pPr>
              <w:pStyle w:val="24"/>
              <w:jc w:val="center"/>
              <w:rPr>
                <w:rFonts w:ascii="Times New Roman" w:hAnsi="Times New Roman" w:cs="Times New Roman"/>
                <w:sz w:val="21"/>
                <w:szCs w:val="21"/>
              </w:rPr>
            </w:pPr>
            <w:r>
              <w:rPr>
                <w:rFonts w:ascii="Times New Roman" w:hAnsi="Times New Roman" w:cs="Times New Roman"/>
                <w:sz w:val="21"/>
                <w:szCs w:val="21"/>
              </w:rPr>
              <w:t>类型</w:t>
            </w:r>
          </w:p>
        </w:tc>
        <w:tc>
          <w:tcPr>
            <w:tcW w:w="106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服务人口</w:t>
            </w:r>
          </w:p>
          <w:p>
            <w:pPr>
              <w:pStyle w:val="24"/>
              <w:jc w:val="center"/>
              <w:rPr>
                <w:rFonts w:ascii="Times New Roman" w:hAnsi="Times New Roman" w:cs="Times New Roman"/>
                <w:sz w:val="21"/>
                <w:szCs w:val="21"/>
              </w:rPr>
            </w:pPr>
            <w:r>
              <w:rPr>
                <w:rFonts w:ascii="Times New Roman" w:hAnsi="Times New Roman" w:cs="Times New Roman"/>
                <w:sz w:val="21"/>
                <w:szCs w:val="21"/>
              </w:rPr>
              <w:t>（人）</w:t>
            </w:r>
          </w:p>
        </w:tc>
        <w:tc>
          <w:tcPr>
            <w:tcW w:w="67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生活污水</w:t>
            </w:r>
          </w:p>
        </w:tc>
        <w:tc>
          <w:tcPr>
            <w:tcW w:w="990"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地表水、雨水</w:t>
            </w:r>
          </w:p>
        </w:tc>
        <w:tc>
          <w:tcPr>
            <w:tcW w:w="1989"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采取的措施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400"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1</w:t>
            </w:r>
          </w:p>
        </w:tc>
        <w:tc>
          <w:tcPr>
            <w:tcW w:w="900"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宝石乡</w:t>
            </w:r>
          </w:p>
        </w:tc>
        <w:tc>
          <w:tcPr>
            <w:tcW w:w="154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开江县</w:t>
            </w:r>
            <w:r>
              <w:rPr>
                <w:rFonts w:hint="eastAsia" w:ascii="Times New Roman" w:hAnsi="Times New Roman" w:cs="Times New Roman"/>
                <w:sz w:val="21"/>
                <w:szCs w:val="21"/>
              </w:rPr>
              <w:t>宝石桥水库</w:t>
            </w:r>
          </w:p>
        </w:tc>
        <w:tc>
          <w:tcPr>
            <w:tcW w:w="930"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地表水</w:t>
            </w:r>
          </w:p>
        </w:tc>
        <w:tc>
          <w:tcPr>
            <w:tcW w:w="106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100000</w:t>
            </w:r>
          </w:p>
        </w:tc>
        <w:tc>
          <w:tcPr>
            <w:tcW w:w="675"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有</w:t>
            </w:r>
          </w:p>
        </w:tc>
        <w:tc>
          <w:tcPr>
            <w:tcW w:w="990"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有</w:t>
            </w:r>
          </w:p>
        </w:tc>
        <w:tc>
          <w:tcPr>
            <w:tcW w:w="1989" w:type="dxa"/>
            <w:tcBorders>
              <w:tl2br w:val="nil"/>
              <w:tr2bl w:val="nil"/>
            </w:tcBorders>
            <w:vAlign w:val="center"/>
          </w:tcPr>
          <w:p>
            <w:pPr>
              <w:pStyle w:val="24"/>
              <w:jc w:val="center"/>
              <w:rPr>
                <w:rFonts w:ascii="Times New Roman" w:hAnsi="Times New Roman" w:cs="Times New Roman"/>
                <w:sz w:val="21"/>
                <w:szCs w:val="21"/>
              </w:rPr>
            </w:pPr>
            <w:r>
              <w:rPr>
                <w:rFonts w:ascii="Times New Roman" w:hAnsi="Times New Roman" w:cs="Times New Roman"/>
                <w:sz w:val="21"/>
                <w:szCs w:val="21"/>
              </w:rPr>
              <w:t>一级保护区内禁止有居住居民，禁止从事畜牧业活动</w:t>
            </w:r>
          </w:p>
        </w:tc>
      </w:tr>
    </w:tbl>
    <w:p>
      <w:pPr>
        <w:spacing w:line="360" w:lineRule="auto"/>
        <w:ind w:firstLine="482" w:firstLineChars="200"/>
        <w:rPr>
          <w:rFonts w:cs="Times New Roman"/>
          <w:b/>
          <w:bCs/>
        </w:rPr>
      </w:pPr>
      <w:r>
        <w:rPr>
          <w:rFonts w:cs="Times New Roman"/>
          <w:b/>
          <w:bCs/>
        </w:rPr>
        <w:t>2、乡镇生活垃圾污染现状</w:t>
      </w:r>
    </w:p>
    <w:p>
      <w:pPr>
        <w:tabs>
          <w:tab w:val="center" w:pos="4870"/>
        </w:tabs>
        <w:adjustRightInd w:val="0"/>
        <w:snapToGrid w:val="0"/>
        <w:spacing w:line="360" w:lineRule="auto"/>
        <w:ind w:firstLine="480" w:firstLineChars="200"/>
        <w:rPr>
          <w:rFonts w:cs="Times New Roman"/>
          <w:b/>
          <w:sz w:val="21"/>
          <w:szCs w:val="21"/>
        </w:rPr>
      </w:pPr>
      <w:r>
        <w:rPr>
          <w:rFonts w:cs="Times New Roman"/>
        </w:rPr>
        <w:t>目前，规划区范围内6乡镇缺乏生活垃圾集中、清运设施及处置机制，部分生活垃圾被村民直接堆放在河道旁甚至倒入河内。参照相关资料及现场调查数据，乡镇垃圾污染系数为：人均日产产生生活垃圾1kg计算，COD4g/人.d、TN0.7g/人.d、TP0.15/人.d。计算得到2015年乡镇生活垃圾污染物产生量如</w:t>
      </w:r>
      <w:r>
        <w:rPr>
          <w:rFonts w:hint="eastAsia" w:cs="Times New Roman"/>
        </w:rPr>
        <w:t>下表</w:t>
      </w:r>
      <w:r>
        <w:rPr>
          <w:rFonts w:cs="Times New Roman"/>
        </w:rPr>
        <w:t>。</w:t>
      </w:r>
    </w:p>
    <w:p>
      <w:pPr>
        <w:numPr>
          <w:ilvl w:val="0"/>
          <w:numId w:val="2"/>
        </w:numPr>
        <w:jc w:val="center"/>
        <w:rPr>
          <w:rFonts w:cs="Times New Roman"/>
          <w:b/>
          <w:bCs/>
          <w:color w:val="000000"/>
          <w:sz w:val="21"/>
          <w:szCs w:val="21"/>
        </w:rPr>
      </w:pPr>
      <w:r>
        <w:rPr>
          <w:rFonts w:cs="Times New Roman"/>
          <w:b/>
          <w:bCs/>
          <w:color w:val="000000"/>
          <w:sz w:val="21"/>
          <w:szCs w:val="21"/>
        </w:rPr>
        <w:t xml:space="preserve"> 乡镇生活垃圾产生情况</w:t>
      </w:r>
    </w:p>
    <w:tbl>
      <w:tblPr>
        <w:tblStyle w:val="22"/>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74"/>
        <w:gridCol w:w="1926"/>
        <w:gridCol w:w="1850"/>
        <w:gridCol w:w="1187"/>
        <w:gridCol w:w="10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42" w:type="dxa"/>
            <w:vMerge w:val="restart"/>
            <w:tcBorders>
              <w:tl2br w:val="nil"/>
              <w:tr2bl w:val="nil"/>
            </w:tcBorders>
            <w:vAlign w:val="center"/>
          </w:tcPr>
          <w:p>
            <w:pPr>
              <w:tabs>
                <w:tab w:val="center" w:pos="4870"/>
              </w:tabs>
              <w:adjustRightInd w:val="0"/>
              <w:snapToGrid w:val="0"/>
              <w:jc w:val="center"/>
              <w:rPr>
                <w:rFonts w:cs="Times New Roman"/>
                <w:b/>
              </w:rPr>
            </w:pPr>
            <w:r>
              <w:rPr>
                <w:rFonts w:cs="Times New Roman"/>
                <w:b/>
              </w:rPr>
              <w:t>乡镇</w:t>
            </w:r>
          </w:p>
        </w:tc>
        <w:tc>
          <w:tcPr>
            <w:tcW w:w="1274" w:type="dxa"/>
            <w:vMerge w:val="restart"/>
            <w:tcBorders>
              <w:tl2br w:val="nil"/>
              <w:tr2bl w:val="nil"/>
            </w:tcBorders>
            <w:vAlign w:val="center"/>
          </w:tcPr>
          <w:p>
            <w:pPr>
              <w:tabs>
                <w:tab w:val="center" w:pos="4870"/>
              </w:tabs>
              <w:adjustRightInd w:val="0"/>
              <w:snapToGrid w:val="0"/>
              <w:jc w:val="center"/>
              <w:rPr>
                <w:rFonts w:cs="Times New Roman"/>
                <w:b/>
              </w:rPr>
            </w:pPr>
            <w:r>
              <w:rPr>
                <w:rFonts w:cs="Times New Roman"/>
                <w:b/>
              </w:rPr>
              <w:t>2015年人口数</w:t>
            </w:r>
          </w:p>
        </w:tc>
        <w:tc>
          <w:tcPr>
            <w:tcW w:w="1926" w:type="dxa"/>
            <w:vMerge w:val="restart"/>
            <w:tcBorders>
              <w:tl2br w:val="nil"/>
              <w:tr2bl w:val="nil"/>
            </w:tcBorders>
            <w:vAlign w:val="center"/>
          </w:tcPr>
          <w:p>
            <w:pPr>
              <w:tabs>
                <w:tab w:val="center" w:pos="4870"/>
              </w:tabs>
              <w:adjustRightInd w:val="0"/>
              <w:snapToGrid w:val="0"/>
              <w:jc w:val="center"/>
              <w:rPr>
                <w:rFonts w:cs="Times New Roman"/>
                <w:b/>
              </w:rPr>
            </w:pPr>
            <w:r>
              <w:rPr>
                <w:rFonts w:cs="Times New Roman"/>
                <w:b/>
              </w:rPr>
              <w:t>生活垃圾产生量（t/a）</w:t>
            </w:r>
          </w:p>
        </w:tc>
        <w:tc>
          <w:tcPr>
            <w:tcW w:w="4074" w:type="dxa"/>
            <w:gridSpan w:val="3"/>
            <w:tcBorders>
              <w:tl2br w:val="nil"/>
              <w:tr2bl w:val="nil"/>
            </w:tcBorders>
            <w:vAlign w:val="center"/>
          </w:tcPr>
          <w:p>
            <w:pPr>
              <w:tabs>
                <w:tab w:val="center" w:pos="4870"/>
              </w:tabs>
              <w:adjustRightInd w:val="0"/>
              <w:snapToGrid w:val="0"/>
              <w:jc w:val="center"/>
              <w:rPr>
                <w:rFonts w:cs="Times New Roman"/>
                <w:b/>
              </w:rPr>
            </w:pPr>
            <w:r>
              <w:rPr>
                <w:rFonts w:cs="Times New Roman"/>
                <w:b/>
              </w:rPr>
              <w:t>污染物产生量（t/a）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42" w:type="dxa"/>
            <w:vMerge w:val="continue"/>
            <w:tcBorders>
              <w:tl2br w:val="nil"/>
              <w:tr2bl w:val="nil"/>
            </w:tcBorders>
            <w:vAlign w:val="center"/>
          </w:tcPr>
          <w:p>
            <w:pPr>
              <w:adjustRightInd w:val="0"/>
              <w:snapToGrid w:val="0"/>
              <w:jc w:val="center"/>
              <w:rPr>
                <w:rFonts w:cs="Times New Roman"/>
              </w:rPr>
            </w:pPr>
          </w:p>
        </w:tc>
        <w:tc>
          <w:tcPr>
            <w:tcW w:w="1274" w:type="dxa"/>
            <w:vMerge w:val="continue"/>
            <w:tcBorders>
              <w:tl2br w:val="nil"/>
              <w:tr2bl w:val="nil"/>
            </w:tcBorders>
            <w:vAlign w:val="center"/>
          </w:tcPr>
          <w:p>
            <w:pPr>
              <w:adjustRightInd w:val="0"/>
              <w:snapToGrid w:val="0"/>
              <w:jc w:val="center"/>
              <w:rPr>
                <w:rFonts w:cs="Times New Roman"/>
              </w:rPr>
            </w:pPr>
          </w:p>
        </w:tc>
        <w:tc>
          <w:tcPr>
            <w:tcW w:w="1926" w:type="dxa"/>
            <w:vMerge w:val="continue"/>
            <w:tcBorders>
              <w:tl2br w:val="nil"/>
              <w:tr2bl w:val="nil"/>
            </w:tcBorders>
            <w:vAlign w:val="center"/>
          </w:tcPr>
          <w:p>
            <w:pPr>
              <w:adjustRightInd w:val="0"/>
              <w:snapToGrid w:val="0"/>
              <w:jc w:val="center"/>
              <w:rPr>
                <w:rFonts w:cs="Times New Roman"/>
              </w:rPr>
            </w:pPr>
          </w:p>
        </w:tc>
        <w:tc>
          <w:tcPr>
            <w:tcW w:w="1850" w:type="dxa"/>
            <w:tcBorders>
              <w:tl2br w:val="nil"/>
              <w:tr2bl w:val="nil"/>
            </w:tcBorders>
            <w:vAlign w:val="center"/>
          </w:tcPr>
          <w:p>
            <w:pPr>
              <w:tabs>
                <w:tab w:val="center" w:pos="4870"/>
              </w:tabs>
              <w:adjustRightInd w:val="0"/>
              <w:snapToGrid w:val="0"/>
              <w:jc w:val="center"/>
              <w:rPr>
                <w:rFonts w:cs="Times New Roman"/>
              </w:rPr>
            </w:pPr>
            <w:r>
              <w:rPr>
                <w:rFonts w:cs="Times New Roman"/>
              </w:rPr>
              <w:t>COD</w:t>
            </w:r>
          </w:p>
        </w:tc>
        <w:tc>
          <w:tcPr>
            <w:tcW w:w="1187" w:type="dxa"/>
            <w:tcBorders>
              <w:tl2br w:val="nil"/>
              <w:tr2bl w:val="nil"/>
            </w:tcBorders>
            <w:vAlign w:val="center"/>
          </w:tcPr>
          <w:p>
            <w:pPr>
              <w:tabs>
                <w:tab w:val="center" w:pos="4870"/>
              </w:tabs>
              <w:adjustRightInd w:val="0"/>
              <w:snapToGrid w:val="0"/>
              <w:jc w:val="center"/>
              <w:rPr>
                <w:rFonts w:cs="Times New Roman"/>
              </w:rPr>
            </w:pPr>
            <w:r>
              <w:rPr>
                <w:rFonts w:cs="Times New Roman"/>
              </w:rPr>
              <w:t>TN</w:t>
            </w:r>
          </w:p>
        </w:tc>
        <w:tc>
          <w:tcPr>
            <w:tcW w:w="1037" w:type="dxa"/>
            <w:tcBorders>
              <w:tl2br w:val="nil"/>
              <w:tr2bl w:val="nil"/>
            </w:tcBorders>
            <w:vAlign w:val="center"/>
          </w:tcPr>
          <w:p>
            <w:pPr>
              <w:tabs>
                <w:tab w:val="center" w:pos="4870"/>
              </w:tabs>
              <w:adjustRightInd w:val="0"/>
              <w:snapToGrid w:val="0"/>
              <w:jc w:val="center"/>
              <w:rPr>
                <w:rFonts w:cs="Times New Roman"/>
              </w:rPr>
            </w:pPr>
            <w:r>
              <w:rPr>
                <w:rFonts w:cs="Times New Roman"/>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42" w:type="dxa"/>
            <w:tcBorders>
              <w:tl2br w:val="nil"/>
              <w:tr2bl w:val="nil"/>
            </w:tcBorders>
            <w:vAlign w:val="center"/>
          </w:tcPr>
          <w:p>
            <w:pPr>
              <w:tabs>
                <w:tab w:val="center" w:pos="4870"/>
              </w:tabs>
              <w:adjustRightInd w:val="0"/>
              <w:snapToGrid w:val="0"/>
              <w:jc w:val="center"/>
              <w:rPr>
                <w:rFonts w:cs="Times New Roman"/>
              </w:rPr>
            </w:pPr>
            <w:r>
              <w:rPr>
                <w:rFonts w:cs="Times New Roman"/>
              </w:rPr>
              <w:t>梅家乡</w:t>
            </w:r>
          </w:p>
        </w:tc>
        <w:tc>
          <w:tcPr>
            <w:tcW w:w="1274" w:type="dxa"/>
            <w:tcBorders>
              <w:tl2br w:val="nil"/>
              <w:tr2bl w:val="nil"/>
            </w:tcBorders>
            <w:vAlign w:val="center"/>
          </w:tcPr>
          <w:p>
            <w:pPr>
              <w:tabs>
                <w:tab w:val="center" w:pos="4870"/>
              </w:tabs>
              <w:adjustRightInd w:val="0"/>
              <w:snapToGrid w:val="0"/>
              <w:jc w:val="center"/>
              <w:rPr>
                <w:rFonts w:cs="Times New Roman"/>
              </w:rPr>
            </w:pPr>
            <w:r>
              <w:rPr>
                <w:rFonts w:cs="Times New Roman"/>
              </w:rPr>
              <w:t>16985</w:t>
            </w:r>
          </w:p>
        </w:tc>
        <w:tc>
          <w:tcPr>
            <w:tcW w:w="1926" w:type="dxa"/>
            <w:tcBorders>
              <w:tl2br w:val="nil"/>
              <w:tr2bl w:val="nil"/>
            </w:tcBorders>
            <w:vAlign w:val="center"/>
          </w:tcPr>
          <w:p>
            <w:pPr>
              <w:tabs>
                <w:tab w:val="center" w:pos="4870"/>
              </w:tabs>
              <w:adjustRightInd w:val="0"/>
              <w:snapToGrid w:val="0"/>
              <w:jc w:val="center"/>
              <w:rPr>
                <w:rFonts w:cs="Times New Roman"/>
              </w:rPr>
            </w:pPr>
            <w:r>
              <w:rPr>
                <w:rFonts w:cs="Times New Roman"/>
              </w:rPr>
              <w:t>6199.53</w:t>
            </w:r>
          </w:p>
        </w:tc>
        <w:tc>
          <w:tcPr>
            <w:tcW w:w="1850" w:type="dxa"/>
            <w:tcBorders>
              <w:tl2br w:val="nil"/>
              <w:tr2bl w:val="nil"/>
            </w:tcBorders>
            <w:vAlign w:val="center"/>
          </w:tcPr>
          <w:p>
            <w:pPr>
              <w:tabs>
                <w:tab w:val="center" w:pos="4870"/>
              </w:tabs>
              <w:adjustRightInd w:val="0"/>
              <w:snapToGrid w:val="0"/>
              <w:jc w:val="center"/>
              <w:rPr>
                <w:rFonts w:cs="Times New Roman"/>
              </w:rPr>
            </w:pPr>
            <w:r>
              <w:rPr>
                <w:rFonts w:cs="Times New Roman"/>
              </w:rPr>
              <w:t>24.80</w:t>
            </w:r>
          </w:p>
        </w:tc>
        <w:tc>
          <w:tcPr>
            <w:tcW w:w="1187" w:type="dxa"/>
            <w:tcBorders>
              <w:tl2br w:val="nil"/>
              <w:tr2bl w:val="nil"/>
            </w:tcBorders>
            <w:vAlign w:val="center"/>
          </w:tcPr>
          <w:p>
            <w:pPr>
              <w:tabs>
                <w:tab w:val="center" w:pos="4870"/>
              </w:tabs>
              <w:adjustRightInd w:val="0"/>
              <w:snapToGrid w:val="0"/>
              <w:jc w:val="center"/>
              <w:rPr>
                <w:rFonts w:cs="Times New Roman"/>
              </w:rPr>
            </w:pPr>
            <w:r>
              <w:rPr>
                <w:rFonts w:cs="Times New Roman"/>
              </w:rPr>
              <w:t>4.34</w:t>
            </w:r>
          </w:p>
        </w:tc>
        <w:tc>
          <w:tcPr>
            <w:tcW w:w="1037" w:type="dxa"/>
            <w:tcBorders>
              <w:tl2br w:val="nil"/>
              <w:tr2bl w:val="nil"/>
            </w:tcBorders>
            <w:vAlign w:val="center"/>
          </w:tcPr>
          <w:p>
            <w:pPr>
              <w:tabs>
                <w:tab w:val="center" w:pos="4870"/>
              </w:tabs>
              <w:adjustRightInd w:val="0"/>
              <w:snapToGrid w:val="0"/>
              <w:jc w:val="center"/>
              <w:rPr>
                <w:rFonts w:cs="Times New Roman"/>
              </w:rPr>
            </w:pPr>
            <w:r>
              <w:rPr>
                <w:rFonts w:cs="Times New Roman"/>
              </w:rPr>
              <w:t>0.93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42" w:type="dxa"/>
            <w:tcBorders>
              <w:tl2br w:val="nil"/>
              <w:tr2bl w:val="nil"/>
            </w:tcBorders>
            <w:vAlign w:val="center"/>
          </w:tcPr>
          <w:p>
            <w:pPr>
              <w:tabs>
                <w:tab w:val="center" w:pos="4870"/>
              </w:tabs>
              <w:adjustRightInd w:val="0"/>
              <w:snapToGrid w:val="0"/>
              <w:jc w:val="center"/>
              <w:rPr>
                <w:rFonts w:cs="Times New Roman"/>
              </w:rPr>
            </w:pPr>
            <w:r>
              <w:rPr>
                <w:rFonts w:cs="Times New Roman"/>
              </w:rPr>
              <w:t>沙坝场乡</w:t>
            </w:r>
          </w:p>
        </w:tc>
        <w:tc>
          <w:tcPr>
            <w:tcW w:w="1274" w:type="dxa"/>
            <w:tcBorders>
              <w:tl2br w:val="nil"/>
              <w:tr2bl w:val="nil"/>
            </w:tcBorders>
            <w:vAlign w:val="center"/>
          </w:tcPr>
          <w:p>
            <w:pPr>
              <w:tabs>
                <w:tab w:val="center" w:pos="4870"/>
              </w:tabs>
              <w:adjustRightInd w:val="0"/>
              <w:snapToGrid w:val="0"/>
              <w:jc w:val="center"/>
              <w:rPr>
                <w:rFonts w:cs="Times New Roman"/>
              </w:rPr>
            </w:pPr>
            <w:r>
              <w:rPr>
                <w:rFonts w:cs="Times New Roman"/>
              </w:rPr>
              <w:t>14633</w:t>
            </w:r>
          </w:p>
        </w:tc>
        <w:tc>
          <w:tcPr>
            <w:tcW w:w="1926" w:type="dxa"/>
            <w:tcBorders>
              <w:tl2br w:val="nil"/>
              <w:tr2bl w:val="nil"/>
            </w:tcBorders>
            <w:vAlign w:val="center"/>
          </w:tcPr>
          <w:p>
            <w:pPr>
              <w:tabs>
                <w:tab w:val="center" w:pos="4870"/>
              </w:tabs>
              <w:adjustRightInd w:val="0"/>
              <w:snapToGrid w:val="0"/>
              <w:jc w:val="center"/>
              <w:rPr>
                <w:rFonts w:cs="Times New Roman"/>
              </w:rPr>
            </w:pPr>
            <w:r>
              <w:rPr>
                <w:rFonts w:cs="Times New Roman"/>
              </w:rPr>
              <w:t>5341.05</w:t>
            </w:r>
          </w:p>
        </w:tc>
        <w:tc>
          <w:tcPr>
            <w:tcW w:w="1850" w:type="dxa"/>
            <w:tcBorders>
              <w:tl2br w:val="nil"/>
              <w:tr2bl w:val="nil"/>
            </w:tcBorders>
            <w:vAlign w:val="center"/>
          </w:tcPr>
          <w:p>
            <w:pPr>
              <w:tabs>
                <w:tab w:val="center" w:pos="4870"/>
              </w:tabs>
              <w:adjustRightInd w:val="0"/>
              <w:snapToGrid w:val="0"/>
              <w:jc w:val="center"/>
              <w:rPr>
                <w:rFonts w:cs="Times New Roman"/>
              </w:rPr>
            </w:pPr>
            <w:r>
              <w:rPr>
                <w:rFonts w:cs="Times New Roman"/>
              </w:rPr>
              <w:t>21.36</w:t>
            </w:r>
          </w:p>
        </w:tc>
        <w:tc>
          <w:tcPr>
            <w:tcW w:w="1187" w:type="dxa"/>
            <w:tcBorders>
              <w:tl2br w:val="nil"/>
              <w:tr2bl w:val="nil"/>
            </w:tcBorders>
            <w:vAlign w:val="center"/>
          </w:tcPr>
          <w:p>
            <w:pPr>
              <w:tabs>
                <w:tab w:val="center" w:pos="4870"/>
              </w:tabs>
              <w:adjustRightInd w:val="0"/>
              <w:snapToGrid w:val="0"/>
              <w:jc w:val="center"/>
              <w:rPr>
                <w:rFonts w:cs="Times New Roman"/>
              </w:rPr>
            </w:pPr>
            <w:r>
              <w:rPr>
                <w:rFonts w:cs="Times New Roman"/>
              </w:rPr>
              <w:t>3.74</w:t>
            </w:r>
          </w:p>
        </w:tc>
        <w:tc>
          <w:tcPr>
            <w:tcW w:w="1037" w:type="dxa"/>
            <w:tcBorders>
              <w:tl2br w:val="nil"/>
              <w:tr2bl w:val="nil"/>
            </w:tcBorders>
            <w:vAlign w:val="center"/>
          </w:tcPr>
          <w:p>
            <w:pPr>
              <w:adjustRightInd w:val="0"/>
              <w:snapToGrid w:val="0"/>
              <w:jc w:val="center"/>
              <w:rPr>
                <w:rFonts w:cs="Times New Roman"/>
              </w:rPr>
            </w:pPr>
            <w:r>
              <w:rPr>
                <w:rFonts w:cs="Times New Roman"/>
              </w:rPr>
              <w:t>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42" w:type="dxa"/>
            <w:tcBorders>
              <w:tl2br w:val="nil"/>
              <w:tr2bl w:val="nil"/>
            </w:tcBorders>
            <w:vAlign w:val="center"/>
          </w:tcPr>
          <w:p>
            <w:pPr>
              <w:tabs>
                <w:tab w:val="center" w:pos="4870"/>
              </w:tabs>
              <w:adjustRightInd w:val="0"/>
              <w:snapToGrid w:val="0"/>
              <w:jc w:val="center"/>
              <w:rPr>
                <w:rFonts w:cs="Times New Roman"/>
              </w:rPr>
            </w:pPr>
            <w:r>
              <w:rPr>
                <w:rFonts w:cs="Times New Roman"/>
              </w:rPr>
              <w:t>宝石乡</w:t>
            </w:r>
          </w:p>
        </w:tc>
        <w:tc>
          <w:tcPr>
            <w:tcW w:w="1274" w:type="dxa"/>
            <w:tcBorders>
              <w:tl2br w:val="nil"/>
              <w:tr2bl w:val="nil"/>
            </w:tcBorders>
            <w:vAlign w:val="center"/>
          </w:tcPr>
          <w:p>
            <w:pPr>
              <w:tabs>
                <w:tab w:val="center" w:pos="4870"/>
              </w:tabs>
              <w:adjustRightInd w:val="0"/>
              <w:snapToGrid w:val="0"/>
              <w:jc w:val="center"/>
              <w:rPr>
                <w:rFonts w:cs="Times New Roman"/>
              </w:rPr>
            </w:pPr>
            <w:r>
              <w:rPr>
                <w:rFonts w:cs="Times New Roman"/>
              </w:rPr>
              <w:t>8175</w:t>
            </w:r>
          </w:p>
        </w:tc>
        <w:tc>
          <w:tcPr>
            <w:tcW w:w="1926" w:type="dxa"/>
            <w:tcBorders>
              <w:tl2br w:val="nil"/>
              <w:tr2bl w:val="nil"/>
            </w:tcBorders>
            <w:vAlign w:val="center"/>
          </w:tcPr>
          <w:p>
            <w:pPr>
              <w:tabs>
                <w:tab w:val="center" w:pos="4870"/>
              </w:tabs>
              <w:adjustRightInd w:val="0"/>
              <w:snapToGrid w:val="0"/>
              <w:jc w:val="center"/>
              <w:rPr>
                <w:rFonts w:cs="Times New Roman"/>
              </w:rPr>
            </w:pPr>
            <w:r>
              <w:rPr>
                <w:rFonts w:cs="Times New Roman"/>
              </w:rPr>
              <w:t>2983.88</w:t>
            </w:r>
          </w:p>
        </w:tc>
        <w:tc>
          <w:tcPr>
            <w:tcW w:w="1850" w:type="dxa"/>
            <w:tcBorders>
              <w:tl2br w:val="nil"/>
              <w:tr2bl w:val="nil"/>
            </w:tcBorders>
            <w:vAlign w:val="center"/>
          </w:tcPr>
          <w:p>
            <w:pPr>
              <w:tabs>
                <w:tab w:val="center" w:pos="4870"/>
              </w:tabs>
              <w:adjustRightInd w:val="0"/>
              <w:snapToGrid w:val="0"/>
              <w:jc w:val="center"/>
              <w:rPr>
                <w:rFonts w:cs="Times New Roman"/>
              </w:rPr>
            </w:pPr>
            <w:r>
              <w:rPr>
                <w:rFonts w:cs="Times New Roman"/>
              </w:rPr>
              <w:t>11.94</w:t>
            </w:r>
          </w:p>
        </w:tc>
        <w:tc>
          <w:tcPr>
            <w:tcW w:w="1187" w:type="dxa"/>
            <w:tcBorders>
              <w:tl2br w:val="nil"/>
              <w:tr2bl w:val="nil"/>
            </w:tcBorders>
            <w:vAlign w:val="center"/>
          </w:tcPr>
          <w:p>
            <w:pPr>
              <w:tabs>
                <w:tab w:val="center" w:pos="4870"/>
              </w:tabs>
              <w:adjustRightInd w:val="0"/>
              <w:snapToGrid w:val="0"/>
              <w:jc w:val="center"/>
              <w:rPr>
                <w:rFonts w:cs="Times New Roman"/>
              </w:rPr>
            </w:pPr>
            <w:r>
              <w:rPr>
                <w:rFonts w:cs="Times New Roman"/>
              </w:rPr>
              <w:t>2.09</w:t>
            </w:r>
          </w:p>
        </w:tc>
        <w:tc>
          <w:tcPr>
            <w:tcW w:w="1037" w:type="dxa"/>
            <w:tcBorders>
              <w:tl2br w:val="nil"/>
              <w:tr2bl w:val="nil"/>
            </w:tcBorders>
            <w:vAlign w:val="center"/>
          </w:tcPr>
          <w:p>
            <w:pPr>
              <w:adjustRightInd w:val="0"/>
              <w:snapToGrid w:val="0"/>
              <w:jc w:val="center"/>
              <w:rPr>
                <w:rFonts w:cs="Times New Roman"/>
              </w:rPr>
            </w:pPr>
            <w:r>
              <w:rPr>
                <w:rFonts w:cs="Times New Roman"/>
              </w:rPr>
              <w:t>0.45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42" w:type="dxa"/>
            <w:tcBorders>
              <w:tl2br w:val="nil"/>
              <w:tr2bl w:val="nil"/>
            </w:tcBorders>
            <w:vAlign w:val="center"/>
          </w:tcPr>
          <w:p>
            <w:pPr>
              <w:tabs>
                <w:tab w:val="center" w:pos="4870"/>
              </w:tabs>
              <w:adjustRightInd w:val="0"/>
              <w:snapToGrid w:val="0"/>
              <w:jc w:val="center"/>
              <w:rPr>
                <w:rFonts w:cs="Times New Roman"/>
              </w:rPr>
            </w:pPr>
            <w:r>
              <w:rPr>
                <w:rFonts w:cs="Times New Roman"/>
              </w:rPr>
              <w:t>讲治乡</w:t>
            </w:r>
          </w:p>
        </w:tc>
        <w:tc>
          <w:tcPr>
            <w:tcW w:w="1274" w:type="dxa"/>
            <w:tcBorders>
              <w:tl2br w:val="nil"/>
              <w:tr2bl w:val="nil"/>
            </w:tcBorders>
            <w:vAlign w:val="center"/>
          </w:tcPr>
          <w:p>
            <w:pPr>
              <w:tabs>
                <w:tab w:val="center" w:pos="4870"/>
              </w:tabs>
              <w:adjustRightInd w:val="0"/>
              <w:snapToGrid w:val="0"/>
              <w:jc w:val="center"/>
              <w:rPr>
                <w:rFonts w:cs="Times New Roman"/>
              </w:rPr>
            </w:pPr>
            <w:r>
              <w:rPr>
                <w:rFonts w:cs="Times New Roman"/>
              </w:rPr>
              <w:t>3526</w:t>
            </w:r>
          </w:p>
        </w:tc>
        <w:tc>
          <w:tcPr>
            <w:tcW w:w="1926" w:type="dxa"/>
            <w:tcBorders>
              <w:tl2br w:val="nil"/>
              <w:tr2bl w:val="nil"/>
            </w:tcBorders>
            <w:vAlign w:val="center"/>
          </w:tcPr>
          <w:p>
            <w:pPr>
              <w:tabs>
                <w:tab w:val="center" w:pos="4870"/>
              </w:tabs>
              <w:adjustRightInd w:val="0"/>
              <w:snapToGrid w:val="0"/>
              <w:jc w:val="center"/>
              <w:rPr>
                <w:rFonts w:cs="Times New Roman"/>
              </w:rPr>
            </w:pPr>
            <w:r>
              <w:rPr>
                <w:rFonts w:cs="Times New Roman"/>
              </w:rPr>
              <w:t>1286.99</w:t>
            </w:r>
          </w:p>
        </w:tc>
        <w:tc>
          <w:tcPr>
            <w:tcW w:w="1850" w:type="dxa"/>
            <w:tcBorders>
              <w:tl2br w:val="nil"/>
              <w:tr2bl w:val="nil"/>
            </w:tcBorders>
            <w:vAlign w:val="center"/>
          </w:tcPr>
          <w:p>
            <w:pPr>
              <w:tabs>
                <w:tab w:val="center" w:pos="4870"/>
              </w:tabs>
              <w:adjustRightInd w:val="0"/>
              <w:snapToGrid w:val="0"/>
              <w:jc w:val="center"/>
              <w:rPr>
                <w:rFonts w:cs="Times New Roman"/>
              </w:rPr>
            </w:pPr>
            <w:r>
              <w:rPr>
                <w:rFonts w:cs="Times New Roman"/>
              </w:rPr>
              <w:t>5.15</w:t>
            </w:r>
          </w:p>
        </w:tc>
        <w:tc>
          <w:tcPr>
            <w:tcW w:w="1187" w:type="dxa"/>
            <w:tcBorders>
              <w:tl2br w:val="nil"/>
              <w:tr2bl w:val="nil"/>
            </w:tcBorders>
            <w:vAlign w:val="center"/>
          </w:tcPr>
          <w:p>
            <w:pPr>
              <w:tabs>
                <w:tab w:val="center" w:pos="4870"/>
              </w:tabs>
              <w:adjustRightInd w:val="0"/>
              <w:snapToGrid w:val="0"/>
              <w:jc w:val="center"/>
              <w:rPr>
                <w:rFonts w:cs="Times New Roman"/>
              </w:rPr>
            </w:pPr>
            <w:r>
              <w:rPr>
                <w:rFonts w:cs="Times New Roman"/>
              </w:rPr>
              <w:t>0.90</w:t>
            </w:r>
          </w:p>
        </w:tc>
        <w:tc>
          <w:tcPr>
            <w:tcW w:w="1037" w:type="dxa"/>
            <w:tcBorders>
              <w:tl2br w:val="nil"/>
              <w:tr2bl w:val="nil"/>
            </w:tcBorders>
            <w:vAlign w:val="center"/>
          </w:tcPr>
          <w:p>
            <w:pPr>
              <w:adjustRightInd w:val="0"/>
              <w:snapToGrid w:val="0"/>
              <w:jc w:val="center"/>
              <w:rPr>
                <w:rFonts w:cs="Times New Roman"/>
              </w:rPr>
            </w:pPr>
            <w:r>
              <w:rPr>
                <w:rFonts w:cs="Times New Roman"/>
              </w:rPr>
              <w:t>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42" w:type="dxa"/>
            <w:tcBorders>
              <w:tl2br w:val="nil"/>
              <w:tr2bl w:val="nil"/>
            </w:tcBorders>
            <w:vAlign w:val="center"/>
          </w:tcPr>
          <w:p>
            <w:pPr>
              <w:tabs>
                <w:tab w:val="center" w:pos="4870"/>
              </w:tabs>
              <w:adjustRightInd w:val="0"/>
              <w:snapToGrid w:val="0"/>
              <w:jc w:val="center"/>
              <w:rPr>
                <w:rFonts w:cs="Times New Roman"/>
              </w:rPr>
            </w:pPr>
            <w:r>
              <w:rPr>
                <w:rFonts w:cs="Times New Roman"/>
              </w:rPr>
              <w:t>灵岩乡</w:t>
            </w:r>
          </w:p>
        </w:tc>
        <w:tc>
          <w:tcPr>
            <w:tcW w:w="1274" w:type="dxa"/>
            <w:tcBorders>
              <w:tl2br w:val="nil"/>
              <w:tr2bl w:val="nil"/>
            </w:tcBorders>
            <w:vAlign w:val="center"/>
          </w:tcPr>
          <w:p>
            <w:pPr>
              <w:tabs>
                <w:tab w:val="center" w:pos="4870"/>
              </w:tabs>
              <w:adjustRightInd w:val="0"/>
              <w:snapToGrid w:val="0"/>
              <w:jc w:val="center"/>
              <w:rPr>
                <w:rFonts w:cs="Times New Roman"/>
              </w:rPr>
            </w:pPr>
            <w:r>
              <w:rPr>
                <w:rFonts w:cs="Times New Roman"/>
              </w:rPr>
              <w:t>6537</w:t>
            </w:r>
          </w:p>
        </w:tc>
        <w:tc>
          <w:tcPr>
            <w:tcW w:w="1926" w:type="dxa"/>
            <w:tcBorders>
              <w:tl2br w:val="nil"/>
              <w:tr2bl w:val="nil"/>
            </w:tcBorders>
            <w:vAlign w:val="center"/>
          </w:tcPr>
          <w:p>
            <w:pPr>
              <w:tabs>
                <w:tab w:val="center" w:pos="4870"/>
              </w:tabs>
              <w:adjustRightInd w:val="0"/>
              <w:snapToGrid w:val="0"/>
              <w:jc w:val="center"/>
              <w:rPr>
                <w:rFonts w:cs="Times New Roman"/>
              </w:rPr>
            </w:pPr>
            <w:r>
              <w:rPr>
                <w:rFonts w:cs="Times New Roman"/>
              </w:rPr>
              <w:t>2386.01</w:t>
            </w:r>
          </w:p>
        </w:tc>
        <w:tc>
          <w:tcPr>
            <w:tcW w:w="1850" w:type="dxa"/>
            <w:tcBorders>
              <w:tl2br w:val="nil"/>
              <w:tr2bl w:val="nil"/>
            </w:tcBorders>
            <w:vAlign w:val="center"/>
          </w:tcPr>
          <w:p>
            <w:pPr>
              <w:tabs>
                <w:tab w:val="center" w:pos="4870"/>
              </w:tabs>
              <w:adjustRightInd w:val="0"/>
              <w:snapToGrid w:val="0"/>
              <w:jc w:val="center"/>
              <w:rPr>
                <w:rFonts w:cs="Times New Roman"/>
              </w:rPr>
            </w:pPr>
            <w:r>
              <w:rPr>
                <w:rFonts w:cs="Times New Roman"/>
              </w:rPr>
              <w:t>9.54</w:t>
            </w:r>
          </w:p>
        </w:tc>
        <w:tc>
          <w:tcPr>
            <w:tcW w:w="1187" w:type="dxa"/>
            <w:tcBorders>
              <w:tl2br w:val="nil"/>
              <w:tr2bl w:val="nil"/>
            </w:tcBorders>
            <w:vAlign w:val="center"/>
          </w:tcPr>
          <w:p>
            <w:pPr>
              <w:tabs>
                <w:tab w:val="center" w:pos="4870"/>
              </w:tabs>
              <w:adjustRightInd w:val="0"/>
              <w:snapToGrid w:val="0"/>
              <w:jc w:val="center"/>
              <w:rPr>
                <w:rFonts w:cs="Times New Roman"/>
              </w:rPr>
            </w:pPr>
            <w:r>
              <w:rPr>
                <w:rFonts w:cs="Times New Roman"/>
              </w:rPr>
              <w:t>1.67</w:t>
            </w:r>
          </w:p>
        </w:tc>
        <w:tc>
          <w:tcPr>
            <w:tcW w:w="1037" w:type="dxa"/>
            <w:tcBorders>
              <w:tl2br w:val="nil"/>
              <w:tr2bl w:val="nil"/>
            </w:tcBorders>
            <w:vAlign w:val="center"/>
          </w:tcPr>
          <w:p>
            <w:pPr>
              <w:adjustRightInd w:val="0"/>
              <w:snapToGrid w:val="0"/>
              <w:jc w:val="center"/>
              <w:rPr>
                <w:rFonts w:cs="Times New Roman"/>
              </w:rPr>
            </w:pPr>
            <w:r>
              <w:rPr>
                <w:rFonts w:cs="Times New Roman"/>
              </w:rPr>
              <w:t>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42" w:type="dxa"/>
            <w:tcBorders>
              <w:tl2br w:val="nil"/>
              <w:tr2bl w:val="nil"/>
            </w:tcBorders>
            <w:vAlign w:val="center"/>
          </w:tcPr>
          <w:p>
            <w:pPr>
              <w:tabs>
                <w:tab w:val="center" w:pos="4870"/>
              </w:tabs>
              <w:adjustRightInd w:val="0"/>
              <w:snapToGrid w:val="0"/>
              <w:jc w:val="center"/>
              <w:rPr>
                <w:rFonts w:cs="Times New Roman"/>
              </w:rPr>
            </w:pPr>
            <w:r>
              <w:rPr>
                <w:rFonts w:cs="Times New Roman"/>
              </w:rPr>
              <w:t>新太乡</w:t>
            </w:r>
          </w:p>
        </w:tc>
        <w:tc>
          <w:tcPr>
            <w:tcW w:w="1274" w:type="dxa"/>
            <w:tcBorders>
              <w:tl2br w:val="nil"/>
              <w:tr2bl w:val="nil"/>
            </w:tcBorders>
            <w:vAlign w:val="center"/>
          </w:tcPr>
          <w:p>
            <w:pPr>
              <w:tabs>
                <w:tab w:val="center" w:pos="4870"/>
              </w:tabs>
              <w:adjustRightInd w:val="0"/>
              <w:snapToGrid w:val="0"/>
              <w:jc w:val="center"/>
              <w:rPr>
                <w:rFonts w:cs="Times New Roman"/>
              </w:rPr>
            </w:pPr>
            <w:r>
              <w:rPr>
                <w:rFonts w:cs="Times New Roman"/>
              </w:rPr>
              <w:t>4683</w:t>
            </w:r>
          </w:p>
        </w:tc>
        <w:tc>
          <w:tcPr>
            <w:tcW w:w="1926" w:type="dxa"/>
            <w:tcBorders>
              <w:tl2br w:val="nil"/>
              <w:tr2bl w:val="nil"/>
            </w:tcBorders>
            <w:vAlign w:val="center"/>
          </w:tcPr>
          <w:p>
            <w:pPr>
              <w:tabs>
                <w:tab w:val="center" w:pos="4870"/>
              </w:tabs>
              <w:adjustRightInd w:val="0"/>
              <w:snapToGrid w:val="0"/>
              <w:jc w:val="center"/>
              <w:rPr>
                <w:rFonts w:cs="Times New Roman"/>
              </w:rPr>
            </w:pPr>
            <w:r>
              <w:rPr>
                <w:rFonts w:cs="Times New Roman"/>
              </w:rPr>
              <w:t>1709.30</w:t>
            </w:r>
          </w:p>
        </w:tc>
        <w:tc>
          <w:tcPr>
            <w:tcW w:w="1850" w:type="dxa"/>
            <w:tcBorders>
              <w:tl2br w:val="nil"/>
              <w:tr2bl w:val="nil"/>
            </w:tcBorders>
            <w:vAlign w:val="center"/>
          </w:tcPr>
          <w:p>
            <w:pPr>
              <w:tabs>
                <w:tab w:val="center" w:pos="4870"/>
              </w:tabs>
              <w:adjustRightInd w:val="0"/>
              <w:snapToGrid w:val="0"/>
              <w:jc w:val="center"/>
              <w:rPr>
                <w:rFonts w:cs="Times New Roman"/>
              </w:rPr>
            </w:pPr>
            <w:r>
              <w:rPr>
                <w:rFonts w:cs="Times New Roman"/>
              </w:rPr>
              <w:t>6.84</w:t>
            </w:r>
          </w:p>
        </w:tc>
        <w:tc>
          <w:tcPr>
            <w:tcW w:w="1187" w:type="dxa"/>
            <w:tcBorders>
              <w:tl2br w:val="nil"/>
              <w:tr2bl w:val="nil"/>
            </w:tcBorders>
            <w:vAlign w:val="center"/>
          </w:tcPr>
          <w:p>
            <w:pPr>
              <w:tabs>
                <w:tab w:val="center" w:pos="4870"/>
              </w:tabs>
              <w:adjustRightInd w:val="0"/>
              <w:snapToGrid w:val="0"/>
              <w:jc w:val="center"/>
              <w:rPr>
                <w:rFonts w:cs="Times New Roman"/>
              </w:rPr>
            </w:pPr>
            <w:r>
              <w:rPr>
                <w:rFonts w:cs="Times New Roman"/>
              </w:rPr>
              <w:t>1.20</w:t>
            </w:r>
          </w:p>
        </w:tc>
        <w:tc>
          <w:tcPr>
            <w:tcW w:w="1037" w:type="dxa"/>
            <w:tcBorders>
              <w:tl2br w:val="nil"/>
              <w:tr2bl w:val="nil"/>
            </w:tcBorders>
            <w:vAlign w:val="center"/>
          </w:tcPr>
          <w:p>
            <w:pPr>
              <w:adjustRightInd w:val="0"/>
              <w:snapToGrid w:val="0"/>
              <w:jc w:val="center"/>
              <w:rPr>
                <w:rFonts w:cs="Times New Roman"/>
              </w:rPr>
            </w:pPr>
            <w:r>
              <w:rPr>
                <w:rFonts w:cs="Times New Roman"/>
              </w:rPr>
              <w:t>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42" w:type="dxa"/>
            <w:tcBorders>
              <w:tl2br w:val="nil"/>
              <w:tr2bl w:val="nil"/>
            </w:tcBorders>
            <w:vAlign w:val="center"/>
          </w:tcPr>
          <w:p>
            <w:pPr>
              <w:tabs>
                <w:tab w:val="center" w:pos="4870"/>
              </w:tabs>
              <w:adjustRightInd w:val="0"/>
              <w:snapToGrid w:val="0"/>
              <w:jc w:val="center"/>
              <w:rPr>
                <w:rFonts w:cs="Times New Roman"/>
              </w:rPr>
            </w:pPr>
            <w:r>
              <w:rPr>
                <w:rFonts w:cs="Times New Roman"/>
              </w:rPr>
              <w:t>合计</w:t>
            </w:r>
          </w:p>
        </w:tc>
        <w:tc>
          <w:tcPr>
            <w:tcW w:w="1274" w:type="dxa"/>
            <w:tcBorders>
              <w:tl2br w:val="nil"/>
              <w:tr2bl w:val="nil"/>
            </w:tcBorders>
            <w:vAlign w:val="center"/>
          </w:tcPr>
          <w:p>
            <w:pPr>
              <w:tabs>
                <w:tab w:val="center" w:pos="4870"/>
              </w:tabs>
              <w:adjustRightInd w:val="0"/>
              <w:snapToGrid w:val="0"/>
              <w:jc w:val="center"/>
              <w:rPr>
                <w:rFonts w:cs="Times New Roman"/>
              </w:rPr>
            </w:pPr>
            <w:r>
              <w:rPr>
                <w:rFonts w:cs="Times New Roman"/>
              </w:rPr>
              <w:t>26430</w:t>
            </w:r>
          </w:p>
        </w:tc>
        <w:tc>
          <w:tcPr>
            <w:tcW w:w="1926" w:type="dxa"/>
            <w:tcBorders>
              <w:tl2br w:val="nil"/>
              <w:tr2bl w:val="nil"/>
            </w:tcBorders>
            <w:vAlign w:val="center"/>
          </w:tcPr>
          <w:p>
            <w:pPr>
              <w:tabs>
                <w:tab w:val="center" w:pos="4870"/>
              </w:tabs>
              <w:adjustRightInd w:val="0"/>
              <w:snapToGrid w:val="0"/>
              <w:jc w:val="center"/>
              <w:rPr>
                <w:rFonts w:cs="Times New Roman"/>
              </w:rPr>
            </w:pPr>
            <w:r>
              <w:rPr>
                <w:rFonts w:cs="Times New Roman"/>
              </w:rPr>
              <w:t>19906.76</w:t>
            </w:r>
          </w:p>
        </w:tc>
        <w:tc>
          <w:tcPr>
            <w:tcW w:w="1850" w:type="dxa"/>
            <w:tcBorders>
              <w:tl2br w:val="nil"/>
              <w:tr2bl w:val="nil"/>
            </w:tcBorders>
            <w:vAlign w:val="center"/>
          </w:tcPr>
          <w:tbl>
            <w:tblPr>
              <w:tblStyle w:val="21"/>
              <w:tblW w:w="1635" w:type="dxa"/>
              <w:tblInd w:w="0" w:type="dxa"/>
              <w:tblLayout w:type="fixed"/>
              <w:tblCellMar>
                <w:top w:w="0" w:type="dxa"/>
                <w:left w:w="108" w:type="dxa"/>
                <w:bottom w:w="0" w:type="dxa"/>
                <w:right w:w="108" w:type="dxa"/>
              </w:tblCellMar>
            </w:tblPr>
            <w:tblGrid>
              <w:gridCol w:w="1635"/>
            </w:tblGrid>
            <w:tr>
              <w:tblPrEx>
                <w:tblLayout w:type="fixed"/>
                <w:tblCellMar>
                  <w:top w:w="0" w:type="dxa"/>
                  <w:left w:w="108" w:type="dxa"/>
                  <w:bottom w:w="0" w:type="dxa"/>
                  <w:right w:w="108" w:type="dxa"/>
                </w:tblCellMar>
              </w:tblPrEx>
              <w:trPr>
                <w:trHeight w:val="349" w:hRule="atLeast"/>
              </w:trPr>
              <w:tc>
                <w:tcPr>
                  <w:tcW w:w="1635" w:type="dxa"/>
                  <w:vAlign w:val="center"/>
                </w:tcPr>
                <w:p>
                  <w:pPr>
                    <w:tabs>
                      <w:tab w:val="center" w:pos="4870"/>
                    </w:tabs>
                    <w:adjustRightInd w:val="0"/>
                    <w:snapToGrid w:val="0"/>
                    <w:jc w:val="center"/>
                    <w:rPr>
                      <w:rFonts w:cs="Times New Roman"/>
                    </w:rPr>
                  </w:pPr>
                  <w:r>
                    <w:rPr>
                      <w:rFonts w:cs="Times New Roman"/>
                    </w:rPr>
                    <w:t>79.63</w:t>
                  </w:r>
                </w:p>
              </w:tc>
            </w:tr>
          </w:tbl>
          <w:p>
            <w:pPr>
              <w:tabs>
                <w:tab w:val="center" w:pos="4870"/>
              </w:tabs>
              <w:adjustRightInd w:val="0"/>
              <w:snapToGrid w:val="0"/>
              <w:jc w:val="center"/>
              <w:rPr>
                <w:rFonts w:cs="Times New Roman"/>
              </w:rPr>
            </w:pPr>
          </w:p>
        </w:tc>
        <w:tc>
          <w:tcPr>
            <w:tcW w:w="1187" w:type="dxa"/>
            <w:tcBorders>
              <w:tl2br w:val="nil"/>
              <w:tr2bl w:val="nil"/>
            </w:tcBorders>
            <w:vAlign w:val="center"/>
          </w:tcPr>
          <w:p>
            <w:pPr>
              <w:tabs>
                <w:tab w:val="center" w:pos="4870"/>
              </w:tabs>
              <w:adjustRightInd w:val="0"/>
              <w:snapToGrid w:val="0"/>
              <w:jc w:val="center"/>
              <w:rPr>
                <w:rFonts w:cs="Times New Roman"/>
              </w:rPr>
            </w:pPr>
            <w:r>
              <w:rPr>
                <w:rFonts w:cs="Times New Roman"/>
              </w:rPr>
              <w:t>13.94</w:t>
            </w:r>
          </w:p>
        </w:tc>
        <w:tc>
          <w:tcPr>
            <w:tcW w:w="1037" w:type="dxa"/>
            <w:tcBorders>
              <w:tl2br w:val="nil"/>
              <w:tr2bl w:val="nil"/>
            </w:tcBorders>
            <w:vAlign w:val="center"/>
          </w:tcPr>
          <w:p>
            <w:pPr>
              <w:tabs>
                <w:tab w:val="center" w:pos="4870"/>
              </w:tabs>
              <w:adjustRightInd w:val="0"/>
              <w:snapToGrid w:val="0"/>
              <w:jc w:val="center"/>
              <w:rPr>
                <w:rFonts w:cs="Times New Roman"/>
              </w:rPr>
            </w:pPr>
            <w:r>
              <w:rPr>
                <w:rFonts w:cs="Times New Roman"/>
              </w:rPr>
              <w:t>2.99</w:t>
            </w:r>
          </w:p>
        </w:tc>
      </w:tr>
    </w:tbl>
    <w:p>
      <w:pPr>
        <w:spacing w:line="360" w:lineRule="auto"/>
        <w:ind w:firstLine="480" w:firstLineChars="200"/>
        <w:rPr>
          <w:rFonts w:cs="Times New Roman"/>
        </w:rPr>
      </w:pPr>
      <w:r>
        <w:rPr>
          <w:rFonts w:cs="Times New Roman"/>
        </w:rPr>
        <w:t>乡镇生活垃圾污染物产生量及污染负荷为19906.76t/a、COD79.63t/a、TN13.94t/a、TP2.99 t/a。</w:t>
      </w:r>
    </w:p>
    <w:p>
      <w:pPr>
        <w:pStyle w:val="4"/>
        <w:spacing w:beforeAutospacing="0" w:afterAutospacing="0" w:line="360" w:lineRule="auto"/>
        <w:rPr>
          <w:rFonts w:ascii="Times New Roman" w:hAnsi="Times New Roman" w:cs="Times New Roman"/>
        </w:rPr>
      </w:pPr>
      <w:bookmarkStart w:id="178" w:name="_Toc1715"/>
      <w:bookmarkStart w:id="179" w:name="_Toc30741"/>
      <w:bookmarkStart w:id="180" w:name="_Toc26259"/>
      <w:r>
        <w:rPr>
          <w:rFonts w:hint="eastAsia" w:ascii="Times New Roman" w:hAnsi="Times New Roman" w:cs="Times New Roman"/>
        </w:rPr>
        <w:t>4</w:t>
      </w:r>
      <w:r>
        <w:rPr>
          <w:rFonts w:ascii="Times New Roman" w:hAnsi="Times New Roman" w:cs="Times New Roman"/>
        </w:rPr>
        <w:t>.1.5航运污染源</w:t>
      </w:r>
      <w:bookmarkEnd w:id="177"/>
      <w:bookmarkEnd w:id="178"/>
      <w:bookmarkEnd w:id="179"/>
      <w:bookmarkEnd w:id="180"/>
    </w:p>
    <w:p>
      <w:pPr>
        <w:spacing w:line="360" w:lineRule="auto"/>
        <w:ind w:firstLine="480" w:firstLineChars="200"/>
        <w:rPr>
          <w:rFonts w:cs="Times New Roman"/>
        </w:rPr>
      </w:pPr>
      <w:r>
        <w:rPr>
          <w:rFonts w:cs="Times New Roman"/>
        </w:rPr>
        <w:t>根据调查，四川省开江县县城</w:t>
      </w:r>
      <w:r>
        <w:rPr>
          <w:rFonts w:hint="eastAsia" w:cs="Times New Roman"/>
        </w:rPr>
        <w:t>宝石桥水库</w:t>
      </w:r>
      <w:r>
        <w:rPr>
          <w:rFonts w:cs="Times New Roman"/>
        </w:rPr>
        <w:t>集中式饮用水源地保护区内无航运，不存在航运污染源。</w:t>
      </w:r>
    </w:p>
    <w:p>
      <w:pPr>
        <w:pStyle w:val="4"/>
        <w:spacing w:beforeAutospacing="0" w:afterAutospacing="0" w:line="360" w:lineRule="auto"/>
        <w:rPr>
          <w:rFonts w:ascii="Times New Roman" w:hAnsi="Times New Roman" w:cs="Times New Roman"/>
        </w:rPr>
      </w:pPr>
      <w:bookmarkStart w:id="181" w:name="_Toc7200"/>
      <w:bookmarkStart w:id="182" w:name="_Toc3632"/>
      <w:bookmarkStart w:id="183" w:name="_Toc22254"/>
      <w:bookmarkStart w:id="184" w:name="_Toc2465"/>
      <w:r>
        <w:rPr>
          <w:rFonts w:hint="eastAsia" w:ascii="Times New Roman" w:hAnsi="Times New Roman" w:cs="Times New Roman"/>
        </w:rPr>
        <w:t>4</w:t>
      </w:r>
      <w:r>
        <w:rPr>
          <w:rFonts w:ascii="Times New Roman" w:hAnsi="Times New Roman" w:cs="Times New Roman"/>
        </w:rPr>
        <w:t>.1.6交通运输风险</w:t>
      </w:r>
      <w:bookmarkEnd w:id="181"/>
      <w:bookmarkEnd w:id="182"/>
      <w:bookmarkEnd w:id="183"/>
      <w:bookmarkEnd w:id="184"/>
    </w:p>
    <w:p>
      <w:pPr>
        <w:spacing w:line="360" w:lineRule="auto"/>
        <w:ind w:firstLine="480" w:firstLineChars="200"/>
        <w:rPr>
          <w:rFonts w:cs="Times New Roman"/>
        </w:rPr>
      </w:pPr>
      <w:r>
        <w:rPr>
          <w:rFonts w:cs="Times New Roman"/>
        </w:rPr>
        <w:t>根据调查，四川省开江县县城</w:t>
      </w:r>
      <w:r>
        <w:rPr>
          <w:rFonts w:hint="eastAsia" w:cs="Times New Roman"/>
        </w:rPr>
        <w:t>宝石桥水库</w:t>
      </w:r>
      <w:r>
        <w:rPr>
          <w:rFonts w:cs="Times New Roman"/>
        </w:rPr>
        <w:t>集中式饮用水源地保护区内均无水上交通运输，无水上交通运输风险。开江县陆路交通运输情况如表5-</w:t>
      </w:r>
      <w:r>
        <w:rPr>
          <w:rFonts w:hint="eastAsia" w:cs="Times New Roman"/>
        </w:rPr>
        <w:t>13</w:t>
      </w:r>
      <w:r>
        <w:rPr>
          <w:rFonts w:cs="Times New Roman"/>
        </w:rPr>
        <w:t>所示。</w:t>
      </w:r>
    </w:p>
    <w:p>
      <w:pPr>
        <w:numPr>
          <w:ilvl w:val="0"/>
          <w:numId w:val="2"/>
        </w:numPr>
        <w:jc w:val="center"/>
        <w:rPr>
          <w:rFonts w:cs="Times New Roman"/>
          <w:b/>
          <w:bCs/>
          <w:color w:val="000000"/>
          <w:sz w:val="21"/>
          <w:szCs w:val="21"/>
        </w:rPr>
      </w:pPr>
      <w:r>
        <w:rPr>
          <w:rFonts w:cs="Times New Roman"/>
          <w:b/>
          <w:bCs/>
          <w:color w:val="000000"/>
          <w:sz w:val="21"/>
          <w:szCs w:val="21"/>
        </w:rPr>
        <w:t xml:space="preserve"> 开江县</w:t>
      </w:r>
      <w:r>
        <w:rPr>
          <w:rFonts w:hint="eastAsia" w:cs="Times New Roman"/>
          <w:b/>
          <w:bCs/>
          <w:color w:val="000000"/>
          <w:sz w:val="21"/>
          <w:szCs w:val="21"/>
        </w:rPr>
        <w:t>宝石桥水库</w:t>
      </w:r>
      <w:r>
        <w:rPr>
          <w:rFonts w:cs="Times New Roman"/>
          <w:b/>
          <w:bCs/>
          <w:color w:val="000000"/>
          <w:sz w:val="21"/>
          <w:szCs w:val="21"/>
        </w:rPr>
        <w:t>集中式饮用水水源地交通运输情况调查表</w:t>
      </w:r>
    </w:p>
    <w:tbl>
      <w:tblPr>
        <w:tblStyle w:val="21"/>
        <w:tblW w:w="849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3"/>
        <w:gridCol w:w="975"/>
        <w:gridCol w:w="1590"/>
        <w:gridCol w:w="1215"/>
        <w:gridCol w:w="1632"/>
        <w:gridCol w:w="936"/>
        <w:gridCol w:w="913"/>
        <w:gridCol w:w="8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jc w:val="center"/>
        </w:trPr>
        <w:tc>
          <w:tcPr>
            <w:tcW w:w="383"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975"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乡镇</w:t>
            </w:r>
          </w:p>
        </w:tc>
        <w:tc>
          <w:tcPr>
            <w:tcW w:w="1590"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水源地名称</w:t>
            </w:r>
          </w:p>
        </w:tc>
        <w:tc>
          <w:tcPr>
            <w:tcW w:w="1215"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水源地</w:t>
            </w:r>
          </w:p>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类型</w:t>
            </w:r>
          </w:p>
        </w:tc>
        <w:tc>
          <w:tcPr>
            <w:tcW w:w="1632"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服务人口</w:t>
            </w:r>
          </w:p>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（人）</w:t>
            </w:r>
          </w:p>
        </w:tc>
        <w:tc>
          <w:tcPr>
            <w:tcW w:w="936"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国道</w:t>
            </w:r>
          </w:p>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通过</w:t>
            </w:r>
          </w:p>
        </w:tc>
        <w:tc>
          <w:tcPr>
            <w:tcW w:w="913"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省道</w:t>
            </w:r>
          </w:p>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通过</w:t>
            </w:r>
          </w:p>
        </w:tc>
        <w:tc>
          <w:tcPr>
            <w:tcW w:w="846"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乡镇</w:t>
            </w:r>
          </w:p>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公路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3"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sz w:val="21"/>
                <w:szCs w:val="21"/>
              </w:rPr>
              <w:t>1</w:t>
            </w:r>
          </w:p>
        </w:tc>
        <w:tc>
          <w:tcPr>
            <w:tcW w:w="975" w:type="dxa"/>
            <w:tcBorders>
              <w:tl2br w:val="nil"/>
              <w:tr2bl w:val="nil"/>
            </w:tcBorders>
            <w:vAlign w:val="center"/>
          </w:tcPr>
          <w:p>
            <w:pPr>
              <w:pStyle w:val="24"/>
              <w:jc w:val="center"/>
              <w:rPr>
                <w:rFonts w:ascii="Times New Roman" w:hAnsi="Times New Roman" w:cs="Times New Roman"/>
                <w:color w:val="auto"/>
                <w:sz w:val="21"/>
                <w:szCs w:val="21"/>
              </w:rPr>
            </w:pPr>
            <w:r>
              <w:rPr>
                <w:rFonts w:hint="eastAsia" w:ascii="Times New Roman" w:hAnsi="Times New Roman" w:cs="Times New Roman"/>
                <w:sz w:val="21"/>
                <w:szCs w:val="21"/>
              </w:rPr>
              <w:t>宝石乡</w:t>
            </w:r>
          </w:p>
        </w:tc>
        <w:tc>
          <w:tcPr>
            <w:tcW w:w="1590"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sz w:val="21"/>
                <w:szCs w:val="21"/>
              </w:rPr>
              <w:t>开江县</w:t>
            </w:r>
            <w:r>
              <w:rPr>
                <w:rFonts w:hint="eastAsia" w:ascii="Times New Roman" w:hAnsi="Times New Roman" w:cs="Times New Roman"/>
                <w:sz w:val="21"/>
                <w:szCs w:val="21"/>
              </w:rPr>
              <w:t>宝石桥水库</w:t>
            </w:r>
          </w:p>
        </w:tc>
        <w:tc>
          <w:tcPr>
            <w:tcW w:w="1215"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sz w:val="21"/>
                <w:szCs w:val="21"/>
              </w:rPr>
              <w:t>地表水</w:t>
            </w:r>
          </w:p>
        </w:tc>
        <w:tc>
          <w:tcPr>
            <w:tcW w:w="1632"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sz w:val="21"/>
                <w:szCs w:val="21"/>
              </w:rPr>
              <w:t>100000</w:t>
            </w:r>
          </w:p>
        </w:tc>
        <w:tc>
          <w:tcPr>
            <w:tcW w:w="936" w:type="dxa"/>
            <w:tcBorders>
              <w:tl2br w:val="nil"/>
              <w:tr2bl w:val="nil"/>
            </w:tcBorders>
            <w:vAlign w:val="center"/>
          </w:tcPr>
          <w:p>
            <w:pPr>
              <w:pStyle w:val="24"/>
              <w:jc w:val="center"/>
              <w:rPr>
                <w:rFonts w:ascii="Times New Roman" w:hAnsi="Times New Roman" w:cs="Times New Roman"/>
                <w:color w:val="auto"/>
                <w:sz w:val="21"/>
                <w:szCs w:val="21"/>
              </w:rPr>
            </w:pPr>
            <w:r>
              <w:rPr>
                <w:rFonts w:ascii="Times New Roman" w:hAnsi="Times New Roman" w:cs="Times New Roman"/>
                <w:color w:val="auto"/>
                <w:sz w:val="21"/>
                <w:szCs w:val="21"/>
              </w:rPr>
              <w:t>无</w:t>
            </w:r>
          </w:p>
        </w:tc>
        <w:tc>
          <w:tcPr>
            <w:tcW w:w="913" w:type="dxa"/>
            <w:tcBorders>
              <w:tl2br w:val="nil"/>
              <w:tr2bl w:val="nil"/>
            </w:tcBorders>
            <w:vAlign w:val="center"/>
          </w:tcPr>
          <w:p>
            <w:pPr>
              <w:pStyle w:val="24"/>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有</w:t>
            </w:r>
          </w:p>
          <w:p>
            <w:pPr>
              <w:pStyle w:val="24"/>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X030</w:t>
            </w:r>
          </w:p>
        </w:tc>
        <w:tc>
          <w:tcPr>
            <w:tcW w:w="846" w:type="dxa"/>
            <w:tcBorders>
              <w:tl2br w:val="nil"/>
              <w:tr2bl w:val="nil"/>
            </w:tcBorders>
            <w:vAlign w:val="center"/>
          </w:tcPr>
          <w:p>
            <w:pPr>
              <w:pStyle w:val="24"/>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有</w:t>
            </w:r>
          </w:p>
        </w:tc>
      </w:tr>
    </w:tbl>
    <w:p>
      <w:pPr>
        <w:pStyle w:val="4"/>
        <w:spacing w:beforeAutospacing="0" w:afterAutospacing="0" w:line="360" w:lineRule="auto"/>
        <w:rPr>
          <w:rFonts w:ascii="Times New Roman" w:hAnsi="Times New Roman" w:cs="Times New Roman"/>
        </w:rPr>
      </w:pPr>
      <w:bookmarkStart w:id="185" w:name="_Toc20981"/>
      <w:bookmarkStart w:id="186" w:name="_Toc26652"/>
      <w:bookmarkStart w:id="187" w:name="_Toc27004"/>
      <w:bookmarkStart w:id="188" w:name="_Toc11305"/>
      <w:r>
        <w:rPr>
          <w:rFonts w:hint="eastAsia" w:ascii="Times New Roman" w:hAnsi="Times New Roman" w:cs="Times New Roman"/>
        </w:rPr>
        <w:t>4</w:t>
      </w:r>
      <w:r>
        <w:rPr>
          <w:rFonts w:ascii="Times New Roman" w:hAnsi="Times New Roman" w:cs="Times New Roman"/>
        </w:rPr>
        <w:t>.1.7地质灾害</w:t>
      </w:r>
      <w:bookmarkEnd w:id="185"/>
      <w:bookmarkEnd w:id="186"/>
      <w:bookmarkEnd w:id="187"/>
      <w:bookmarkEnd w:id="188"/>
    </w:p>
    <w:p>
      <w:pPr>
        <w:spacing w:line="360" w:lineRule="auto"/>
        <w:ind w:firstLine="480" w:firstLineChars="200"/>
        <w:rPr>
          <w:rFonts w:cs="Times New Roman"/>
        </w:rPr>
      </w:pPr>
      <w:bookmarkStart w:id="189" w:name="_Toc21048"/>
      <w:r>
        <w:rPr>
          <w:rFonts w:cs="Times New Roman"/>
        </w:rPr>
        <w:t>在发生时间上，地质灾害主要发生于雨季—5月至10月，这与降雨量的月际变化规律相一致。</w:t>
      </w:r>
    </w:p>
    <w:p>
      <w:pPr>
        <w:spacing w:line="360" w:lineRule="auto"/>
        <w:ind w:firstLine="480" w:firstLineChars="200"/>
        <w:rPr>
          <w:rFonts w:cs="Times New Roman"/>
        </w:rPr>
      </w:pPr>
      <w:r>
        <w:rPr>
          <w:rFonts w:cs="Times New Roman"/>
        </w:rPr>
        <w:t>库区地势多以山地、深丘为主，沟壑纵横，地形较为复杂，有地质灾害点95个，其点多、面广，突发性强、危害较重，是</w:t>
      </w:r>
      <w:r>
        <w:rPr>
          <w:rFonts w:hint="eastAsia" w:cs="Times New Roman"/>
          <w:lang w:eastAsia="zh-CN"/>
        </w:rPr>
        <w:t>开江县</w:t>
      </w:r>
      <w:r>
        <w:rPr>
          <w:rFonts w:cs="Times New Roman"/>
        </w:rPr>
        <w:t>地质灾害频发地带。植被多为中幼、中龄林和低效林，防护能力较差。库区农业集中在上游三条河流域和沿水库周边，水土流失较为严重。库区有旱山村15个，占全县60个旱山村的25%，是</w:t>
      </w:r>
      <w:r>
        <w:rPr>
          <w:rFonts w:hint="eastAsia" w:cs="Times New Roman"/>
          <w:lang w:eastAsia="zh-CN"/>
        </w:rPr>
        <w:t>开江县</w:t>
      </w:r>
      <w:r>
        <w:rPr>
          <w:rFonts w:cs="Times New Roman"/>
        </w:rPr>
        <w:t>旱灾最频繁、最严重的区域。春夏交际之间降水较频繁，会爆发山洪，由于地形多为山地，引起泥石流、山体滑坡等灾害。</w:t>
      </w:r>
    </w:p>
    <w:p>
      <w:pPr>
        <w:spacing w:line="360" w:lineRule="auto"/>
        <w:ind w:firstLine="480" w:firstLineChars="200"/>
        <w:rPr>
          <w:rFonts w:cs="Times New Roman"/>
        </w:rPr>
      </w:pPr>
      <w:r>
        <w:rPr>
          <w:rFonts w:cs="Times New Roman"/>
        </w:rPr>
        <w:t>梅家乡辖区绝大部分处于低山、深丘地区，地质灾害隐患点分布最多；沙坝场乡、宝石乡、的部分地域处于低山区，地灾点分布较多；讲治镇的大部分分布在中浅丘区，地质灾害点较少。</w:t>
      </w:r>
    </w:p>
    <w:p>
      <w:pPr>
        <w:pStyle w:val="4"/>
        <w:spacing w:beforeAutospacing="0" w:afterAutospacing="0" w:line="360" w:lineRule="auto"/>
        <w:rPr>
          <w:rFonts w:ascii="Times New Roman" w:hAnsi="Times New Roman" w:cs="Times New Roman"/>
        </w:rPr>
      </w:pPr>
      <w:bookmarkStart w:id="190" w:name="_Toc19412"/>
      <w:bookmarkStart w:id="191" w:name="_Toc193"/>
      <w:bookmarkStart w:id="192" w:name="_Toc12178"/>
      <w:r>
        <w:rPr>
          <w:rFonts w:hint="eastAsia" w:ascii="Times New Roman" w:hAnsi="Times New Roman" w:cs="Times New Roman"/>
        </w:rPr>
        <w:t>4</w:t>
      </w:r>
      <w:r>
        <w:rPr>
          <w:rFonts w:ascii="Times New Roman" w:hAnsi="Times New Roman" w:cs="Times New Roman"/>
        </w:rPr>
        <w:t>.1.8突发性污染事故</w:t>
      </w:r>
      <w:bookmarkEnd w:id="189"/>
      <w:bookmarkEnd w:id="190"/>
      <w:bookmarkEnd w:id="191"/>
      <w:bookmarkEnd w:id="192"/>
    </w:p>
    <w:p>
      <w:pPr>
        <w:spacing w:line="360" w:lineRule="auto"/>
        <w:ind w:firstLine="480" w:firstLineChars="200"/>
        <w:rPr>
          <w:rFonts w:cs="Times New Roman"/>
          <w:color w:val="000000"/>
        </w:rPr>
      </w:pPr>
      <w:r>
        <w:rPr>
          <w:rFonts w:cs="Times New Roman"/>
          <w:color w:val="000000"/>
        </w:rPr>
        <w:t>开江县属四川盆地中亚热带湿润气候区，年均气温17.2℃，最低气温为16.1℃；月平均气温最热月7月为27.1℃，最冷月1月为5.4℃；历年极端最高气温39.8℃，最低气温-5.5℃。年平均降水量为1259.4mm，最多年为1607.9毫米，最少年为935.8毫米。年平均日照1386.6小时，占可照时数的31%，无霜期282.6天。</w:t>
      </w:r>
    </w:p>
    <w:p>
      <w:pPr>
        <w:spacing w:line="360" w:lineRule="auto"/>
        <w:ind w:firstLine="480" w:firstLineChars="200"/>
        <w:rPr>
          <w:rFonts w:cs="Times New Roman"/>
        </w:rPr>
      </w:pPr>
      <w:r>
        <w:rPr>
          <w:rFonts w:cs="Times New Roman"/>
        </w:rPr>
        <w:t>开江县城区位于侵蚀堆积河谷地貌上，主要沿鲜水河和纽日河及其支流的两岸呈断续分布。主要包括河谷漫滩及阶地。鲜水河共发育六级阶地，其中一、二级阶地多为堆积阶。</w:t>
      </w:r>
    </w:p>
    <w:p>
      <w:pPr>
        <w:spacing w:line="360" w:lineRule="auto"/>
        <w:ind w:firstLine="480" w:firstLineChars="200"/>
        <w:rPr>
          <w:rFonts w:cs="Times New Roman"/>
        </w:rPr>
      </w:pPr>
      <w:r>
        <w:rPr>
          <w:rFonts w:cs="Times New Roman"/>
        </w:rPr>
        <w:t>综上所述，四川省开江县县城</w:t>
      </w:r>
      <w:r>
        <w:rPr>
          <w:rFonts w:hint="eastAsia" w:cs="Times New Roman"/>
        </w:rPr>
        <w:t>宝石桥水库</w:t>
      </w:r>
      <w:r>
        <w:rPr>
          <w:rFonts w:cs="Times New Roman"/>
        </w:rPr>
        <w:t>集中式饮用水源地保护区都存在汛期、旱期等特殊情况发生的可能性，对水源的风险防范应更加严格谨慎。由于开江县地质条件复杂，地形地貌独特，存在一定的突发事件会对水源地造成一定的影响。</w:t>
      </w:r>
    </w:p>
    <w:p>
      <w:pPr>
        <w:spacing w:line="360" w:lineRule="auto"/>
        <w:ind w:firstLine="480" w:firstLineChars="200"/>
        <w:rPr>
          <w:rFonts w:cs="Times New Roman"/>
          <w:kern w:val="0"/>
        </w:rPr>
      </w:pPr>
      <w:r>
        <w:rPr>
          <w:rFonts w:cs="Times New Roman"/>
        </w:rPr>
        <w:t>针对突发性污染事件，应加强水源巡查和保护的宣传；对水源周边重点污染源进行全面的排查，重点防范特殊时期企业违法偷排；增加水源监测频次。</w:t>
      </w:r>
    </w:p>
    <w:p>
      <w:pPr>
        <w:ind w:firstLine="482" w:firstLineChars="200"/>
        <w:rPr>
          <w:rFonts w:cs="Times New Roman"/>
          <w:b/>
        </w:rPr>
      </w:pPr>
      <w:r>
        <w:rPr>
          <w:rFonts w:cs="Times New Roman"/>
          <w:b/>
        </w:rPr>
        <w:t>1、地震</w:t>
      </w:r>
    </w:p>
    <w:p>
      <w:pPr>
        <w:spacing w:line="360" w:lineRule="auto"/>
        <w:ind w:firstLine="480" w:firstLineChars="200"/>
        <w:rPr>
          <w:rFonts w:cs="Times New Roman"/>
        </w:rPr>
      </w:pPr>
      <w:r>
        <w:rPr>
          <w:rFonts w:cs="Times New Roman"/>
        </w:rPr>
        <w:t>地震灾害期间饮用水环境安全保障工作应参照环境保护部印发的《地震灾区集中式饮用水水源保护技术指南（暂行）》、《地震灾区饮用水安全保障应急技术方案（暂行）》、《地震灾区地表水环境质量与集中式饮用水水质监测技术指南（暂行）》开展。</w:t>
      </w:r>
    </w:p>
    <w:p>
      <w:pPr>
        <w:spacing w:line="360" w:lineRule="auto"/>
        <w:ind w:firstLine="480" w:firstLineChars="200"/>
        <w:rPr>
          <w:rFonts w:cs="Times New Roman"/>
        </w:rPr>
      </w:pPr>
      <w:r>
        <w:rPr>
          <w:rFonts w:cs="Times New Roman"/>
        </w:rPr>
        <w:t>震后通常选择水源的顺序是：水井、山泉、江河、水库、湖泊、池塘。当水质出现异常时，监测部门应立即对保留的分析样品进行复查，采取巡视、加强处置等措施，并及时报告。</w:t>
      </w:r>
    </w:p>
    <w:p>
      <w:pPr>
        <w:spacing w:line="360" w:lineRule="auto"/>
        <w:ind w:firstLine="480" w:firstLineChars="200"/>
        <w:rPr>
          <w:rFonts w:cs="Times New Roman"/>
        </w:rPr>
      </w:pPr>
      <w:r>
        <w:rPr>
          <w:rFonts w:cs="Times New Roman"/>
        </w:rPr>
        <w:t>在水源地范围内，不得掩埋尸体，及时清理动物尸体、粪坑、禽畜养殖围栏等有机污染源，必要时采取臭味处理技术、浊度处理技术、消毒处理技术、除藻技术、清淤处理等应急处理技术。</w:t>
      </w:r>
    </w:p>
    <w:p>
      <w:pPr>
        <w:spacing w:line="360" w:lineRule="auto"/>
        <w:ind w:firstLine="480" w:firstLineChars="200"/>
        <w:rPr>
          <w:rFonts w:cs="Times New Roman"/>
        </w:rPr>
      </w:pPr>
      <w:r>
        <w:rPr>
          <w:rFonts w:cs="Times New Roman"/>
        </w:rPr>
        <w:t>禁止向重点保护水域倾倒工业废渣、灾后生活和建筑垃圾、粪便及其他废弃物，防止病原体的污染。</w:t>
      </w:r>
    </w:p>
    <w:p>
      <w:pPr>
        <w:spacing w:line="360" w:lineRule="auto"/>
        <w:ind w:firstLine="480" w:firstLineChars="200"/>
        <w:rPr>
          <w:rFonts w:cs="Times New Roman"/>
          <w:kern w:val="0"/>
        </w:rPr>
      </w:pPr>
      <w:r>
        <w:rPr>
          <w:rFonts w:cs="Times New Roman"/>
        </w:rPr>
        <w:t>对水源地范围进行标识，并加强对水源地的巡查和保护宣传；在水源地设置简易导流沟，避免雨水或污水携带大量污染物直接进入水源地及其上游地区。</w:t>
      </w:r>
    </w:p>
    <w:p>
      <w:pPr>
        <w:ind w:firstLine="482" w:firstLineChars="200"/>
        <w:rPr>
          <w:rFonts w:cs="Times New Roman"/>
          <w:b/>
        </w:rPr>
      </w:pPr>
      <w:r>
        <w:rPr>
          <w:rFonts w:cs="Times New Roman"/>
          <w:b/>
        </w:rPr>
        <w:t>2、汛期</w:t>
      </w:r>
    </w:p>
    <w:p>
      <w:pPr>
        <w:spacing w:line="360" w:lineRule="auto"/>
        <w:ind w:firstLine="480" w:firstLineChars="200"/>
        <w:rPr>
          <w:rFonts w:cs="Times New Roman"/>
        </w:rPr>
      </w:pPr>
      <w:r>
        <w:rPr>
          <w:rFonts w:cs="Times New Roman"/>
        </w:rPr>
        <w:t>针对重大汛情，增加监测频次；联合卫生等部门加强水源地水质监测工作，重点监测细菌总数、大肠菌群、浊度、重金属等。</w:t>
      </w:r>
    </w:p>
    <w:p>
      <w:pPr>
        <w:spacing w:line="360" w:lineRule="auto"/>
        <w:ind w:firstLine="480" w:firstLineChars="200"/>
        <w:rPr>
          <w:rFonts w:cs="Times New Roman"/>
        </w:rPr>
      </w:pPr>
      <w:r>
        <w:rPr>
          <w:rFonts w:cs="Times New Roman"/>
        </w:rPr>
        <w:t>汛期饮用水异常，判断可能是水源被污染时，环保部门应建议政府查找原因并科学应对，通过设立警示牌、清除主要污染源、建设治污截污工程、强化环境监管等措施，保障水源地的水质安全。</w:t>
      </w:r>
    </w:p>
    <w:p>
      <w:pPr>
        <w:spacing w:line="360" w:lineRule="auto"/>
        <w:ind w:firstLine="480" w:firstLineChars="200"/>
        <w:rPr>
          <w:rFonts w:cs="Times New Roman"/>
          <w:kern w:val="0"/>
        </w:rPr>
      </w:pPr>
      <w:r>
        <w:rPr>
          <w:rFonts w:cs="Times New Roman"/>
        </w:rPr>
        <w:t>当发生泥石流等自然灾害时，对现有水源地进行评估，按照水量充足、水质良好、取水便捷安全等条件，判断现有水源地是否可以继续使用。对水源地加强防护，并纳入清淤重点；建立水源保护制度，专人定期巡查，防止人为破坏。在人口聚集区附近现有水源地不安全的情况下，可考虑应急水源，除现场的环境卫生调查外，可使用快速检测仪器分析水源水质情况。在水源极度匮乏的特殊情况下，可考虑收集降水作为水源，并在收集池附近修建简单的沉淀、净化处理设施，收集池周围修置排水沟，防止地表径流污染水源。</w:t>
      </w:r>
    </w:p>
    <w:p>
      <w:pPr>
        <w:ind w:firstLine="482" w:firstLineChars="200"/>
        <w:rPr>
          <w:rFonts w:cs="Times New Roman"/>
          <w:b/>
        </w:rPr>
      </w:pPr>
      <w:r>
        <w:rPr>
          <w:rFonts w:cs="Times New Roman"/>
          <w:b/>
        </w:rPr>
        <w:t>3、重大旱情</w:t>
      </w:r>
    </w:p>
    <w:p>
      <w:pPr>
        <w:spacing w:line="360" w:lineRule="auto"/>
        <w:ind w:firstLine="480" w:firstLineChars="200"/>
        <w:rPr>
          <w:rFonts w:cs="Times New Roman"/>
        </w:rPr>
      </w:pPr>
      <w:r>
        <w:rPr>
          <w:rFonts w:cs="Times New Roman"/>
        </w:rPr>
        <w:t>严密监控水质变化。经常受重大旱情影响的地区，环保部门应加大与供水企业、卫生等部门的沟通联系，对辖区内旱情严重地区的主要水源地加密监测，及时掌握水质变化情况。</w:t>
      </w:r>
    </w:p>
    <w:p>
      <w:pPr>
        <w:spacing w:line="360" w:lineRule="auto"/>
        <w:ind w:firstLine="480" w:firstLineChars="200"/>
        <w:rPr>
          <w:rFonts w:cs="Times New Roman"/>
        </w:rPr>
      </w:pPr>
      <w:r>
        <w:rPr>
          <w:rFonts w:cs="Times New Roman"/>
        </w:rPr>
        <w:t>防止新增污染负荷。环保部门应集中力量开展水源地周边隐患排查工作，加强对流动源的监管，减少或避免对水源地造成影响。</w:t>
      </w:r>
    </w:p>
    <w:p>
      <w:pPr>
        <w:spacing w:line="360" w:lineRule="auto"/>
        <w:ind w:firstLine="480" w:firstLineChars="200"/>
        <w:rPr>
          <w:rFonts w:cs="Times New Roman"/>
          <w:kern w:val="0"/>
        </w:rPr>
      </w:pPr>
      <w:r>
        <w:rPr>
          <w:rFonts w:cs="Times New Roman"/>
        </w:rPr>
        <w:t>保障新增水源水质安全。供水单位新开辟的水塘、河、沟等应急水源，选点尽量处于生活用水点和牲畜用水点的上游，取水口尽量设在河道、湖泊的中心位置，必要时采取澄清、过滤、消毒、打捞等处理措施。实施调水工程时，环保部门应建议政府加强对调水工程沿线的排查力度，以及水源地周边环境及水质监测频次，及时掌握水质变化情况并报告。</w:t>
      </w:r>
    </w:p>
    <w:p>
      <w:pPr>
        <w:pStyle w:val="3"/>
        <w:spacing w:before="0" w:after="0" w:line="360" w:lineRule="auto"/>
        <w:jc w:val="left"/>
        <w:rPr>
          <w:rFonts w:ascii="Times New Roman" w:hAnsi="Times New Roman" w:cs="Times New Roman"/>
        </w:rPr>
      </w:pPr>
      <w:bookmarkStart w:id="193" w:name="_Toc4219"/>
      <w:bookmarkStart w:id="194" w:name="_Toc21265"/>
      <w:bookmarkStart w:id="195" w:name="_Toc27334"/>
      <w:r>
        <w:rPr>
          <w:rFonts w:hint="eastAsia" w:ascii="Times New Roman" w:hAnsi="Times New Roman" w:cs="Times New Roman"/>
        </w:rPr>
        <w:t>4</w:t>
      </w:r>
      <w:r>
        <w:rPr>
          <w:rFonts w:ascii="Times New Roman" w:hAnsi="Times New Roman" w:cs="Times New Roman"/>
        </w:rPr>
        <w:t>.2水环境系统分析</w:t>
      </w:r>
      <w:bookmarkEnd w:id="193"/>
      <w:bookmarkEnd w:id="194"/>
      <w:bookmarkEnd w:id="195"/>
    </w:p>
    <w:p>
      <w:pPr>
        <w:spacing w:line="360" w:lineRule="auto"/>
        <w:ind w:firstLine="480" w:firstLineChars="200"/>
        <w:rPr>
          <w:rFonts w:cs="Times New Roman"/>
        </w:rPr>
      </w:pPr>
      <w:bookmarkStart w:id="196" w:name="_Toc6471"/>
      <w:r>
        <w:rPr>
          <w:rFonts w:cs="Times New Roman"/>
        </w:rPr>
        <w:t>四川省开江县县城</w:t>
      </w:r>
      <w:r>
        <w:rPr>
          <w:rFonts w:hint="eastAsia" w:cs="Times New Roman"/>
        </w:rPr>
        <w:t>宝石桥水库</w:t>
      </w:r>
      <w:r>
        <w:rPr>
          <w:rFonts w:cs="Times New Roman"/>
        </w:rPr>
        <w:t>集中式饮用水源地保护区划分涉及县域内宝石乡结合资料调研和现状调查的情况，对饮用水水源地可能产生污染影响的主要污染源、污染物及污染影响途径进行分析。</w:t>
      </w:r>
    </w:p>
    <w:p>
      <w:pPr>
        <w:pStyle w:val="4"/>
        <w:spacing w:beforeAutospacing="0" w:afterAutospacing="0" w:line="360" w:lineRule="auto"/>
        <w:rPr>
          <w:rFonts w:ascii="Times New Roman" w:hAnsi="Times New Roman" w:cs="Times New Roman"/>
        </w:rPr>
      </w:pPr>
      <w:bookmarkStart w:id="197" w:name="_Toc22141"/>
      <w:bookmarkStart w:id="198" w:name="_Toc20573"/>
      <w:bookmarkStart w:id="199" w:name="_Toc4592"/>
      <w:r>
        <w:rPr>
          <w:rFonts w:hint="eastAsia" w:ascii="Times New Roman" w:hAnsi="Times New Roman" w:cs="Times New Roman"/>
        </w:rPr>
        <w:t>4</w:t>
      </w:r>
      <w:r>
        <w:rPr>
          <w:rFonts w:ascii="Times New Roman" w:hAnsi="Times New Roman" w:cs="Times New Roman"/>
        </w:rPr>
        <w:t>.2.1主要污染源分析</w:t>
      </w:r>
      <w:bookmarkEnd w:id="196"/>
      <w:bookmarkEnd w:id="197"/>
      <w:bookmarkEnd w:id="198"/>
      <w:bookmarkEnd w:id="199"/>
    </w:p>
    <w:p>
      <w:pPr>
        <w:spacing w:line="360" w:lineRule="auto"/>
        <w:ind w:firstLine="480" w:firstLineChars="200"/>
        <w:rPr>
          <w:rFonts w:hint="eastAsia" w:cs="Times New Roman" w:eastAsiaTheme="minorEastAsia"/>
          <w:lang w:eastAsia="zh-CN"/>
        </w:rPr>
      </w:pPr>
      <w:r>
        <w:rPr>
          <w:rFonts w:cs="Times New Roman"/>
        </w:rPr>
        <w:t>根据现场踏勘，开江县城集中式饮用水源地附近面源污染主要是牲畜活动，而宝石桥库区内畜禽养殖基础设施相对落后，农户居住分散，信息闭塞导致畜产品流通成本较大；农民以个体户为主体的生产，抵御风险能力差，并对水源地产生一定的面源污染；</w:t>
      </w:r>
      <w:r>
        <w:rPr>
          <w:rFonts w:hint="eastAsia" w:cs="Times New Roman"/>
        </w:rPr>
        <w:t>当畜牧业及农业污染物</w:t>
      </w:r>
      <w:r>
        <w:rPr>
          <w:rFonts w:cs="Times New Roman"/>
        </w:rPr>
        <w:t>进入水源地，如果超过了水源地水体的自净能力，就会引起污染，还有牲畜脱落的毛发，自身的一些病原菌和疾病会导致水源地水质病菌含量超高，从而可能会形成病菌的传播源，引起传染病和其他疾病</w:t>
      </w:r>
      <w:r>
        <w:rPr>
          <w:rFonts w:hint="eastAsia" w:cs="Times New Roman"/>
          <w:lang w:eastAsia="zh-CN"/>
        </w:rPr>
        <w:t>。</w:t>
      </w:r>
    </w:p>
    <w:p>
      <w:pPr>
        <w:spacing w:line="360" w:lineRule="auto"/>
        <w:ind w:firstLine="480" w:firstLineChars="200"/>
        <w:rPr>
          <w:rFonts w:cs="Times New Roman"/>
        </w:rPr>
      </w:pPr>
      <w:r>
        <w:rPr>
          <w:rFonts w:cs="Times New Roman"/>
        </w:rPr>
        <w:t>规划区内</w:t>
      </w:r>
      <w:r>
        <w:rPr>
          <w:rFonts w:hint="eastAsia" w:cs="Times New Roman"/>
        </w:rPr>
        <w:t>宝石水库</w:t>
      </w:r>
      <w:r>
        <w:rPr>
          <w:rFonts w:cs="Times New Roman"/>
        </w:rPr>
        <w:t>湖面是水源保护的重中之重，然而整个规划区内却存在大面积耕地，这些耕地不仅仅在村庄周边，还有一部分紧邻着</w:t>
      </w:r>
      <w:r>
        <w:rPr>
          <w:rFonts w:hint="eastAsia" w:cs="Times New Roman"/>
        </w:rPr>
        <w:t>宝石水库</w:t>
      </w:r>
      <w:r>
        <w:rPr>
          <w:rFonts w:cs="Times New Roman"/>
        </w:rPr>
        <w:t>水面，这些耕地的耕作不乏农业农药的施放，农业面源污染直接影响水源地水质，并且耕作过程也不利于水源地的水土保持，另外一些耕地还处于坡度大于25°的区域，既不利于耕作，产量较低，还容易造成水土流失等问题；现状土地利用中林地分布零散，植被类型单一，不利于水土涵养与水源地保护。</w:t>
      </w:r>
    </w:p>
    <w:p>
      <w:pPr>
        <w:spacing w:line="360" w:lineRule="auto"/>
        <w:ind w:firstLine="480" w:firstLineChars="200"/>
        <w:rPr>
          <w:rFonts w:cs="Times New Roman"/>
        </w:rPr>
      </w:pPr>
      <w:r>
        <w:rPr>
          <w:rFonts w:hint="eastAsia" w:cs="Times New Roman"/>
        </w:rPr>
        <w:t>在</w:t>
      </w:r>
      <w:r>
        <w:rPr>
          <w:rFonts w:cs="Times New Roman"/>
        </w:rPr>
        <w:t>开江县城集中式饮用水源地附近</w:t>
      </w:r>
      <w:r>
        <w:rPr>
          <w:rFonts w:hint="eastAsia" w:cs="Times New Roman"/>
        </w:rPr>
        <w:t>目前有一些零散的散户，在散户生活过程中，将产生一定的生活废水等，生活废水未经过处理</w:t>
      </w:r>
      <w:r>
        <w:rPr>
          <w:rFonts w:cs="Times New Roman"/>
        </w:rPr>
        <w:t>，</w:t>
      </w:r>
      <w:r>
        <w:rPr>
          <w:rFonts w:hint="eastAsia" w:cs="Times New Roman"/>
        </w:rPr>
        <w:t>排至水库将对水库的水质造成一定的影响，导致粪大肠杆菌超标，导致疾病的传播。</w:t>
      </w:r>
    </w:p>
    <w:p>
      <w:pPr>
        <w:spacing w:line="360" w:lineRule="auto"/>
        <w:ind w:firstLine="480" w:firstLineChars="200"/>
        <w:rPr>
          <w:rFonts w:cs="Times New Roman"/>
        </w:rPr>
      </w:pPr>
      <w:r>
        <w:rPr>
          <w:rFonts w:hint="eastAsia" w:cs="Times New Roman"/>
        </w:rPr>
        <w:t>经过现场探勘，目前开江县县城集中水源地有部分工业，主要是制酒业。制酒过程中，将产生大量的生产废水，生产废水主要的污染物为COD和氨氮，未经过处理的生产废水排至水库后，将影响水库的水质。</w:t>
      </w:r>
    </w:p>
    <w:p>
      <w:pPr>
        <w:spacing w:line="360" w:lineRule="auto"/>
        <w:ind w:firstLine="480" w:firstLineChars="200"/>
        <w:rPr>
          <w:rFonts w:cs="Times New Roman"/>
          <w:color w:val="0000FF"/>
        </w:rPr>
      </w:pPr>
      <w:r>
        <w:rPr>
          <w:rFonts w:cs="Times New Roman"/>
        </w:rPr>
        <w:t>总而言之，开江县城集中式饮用水源地主要污染源是水源地保护区内的畜牧业</w:t>
      </w:r>
      <w:r>
        <w:rPr>
          <w:rFonts w:hint="eastAsia" w:cs="Times New Roman"/>
        </w:rPr>
        <w:t>、农业、工业</w:t>
      </w:r>
      <w:r>
        <w:rPr>
          <w:rFonts w:cs="Times New Roman"/>
        </w:rPr>
        <w:t>，建议未来一定时期，需要采取有力措施对水源地保护区环境进行整治，以使地表水</w:t>
      </w:r>
      <w:r>
        <w:rPr>
          <w:rFonts w:cs="Times New Roman"/>
          <w:color w:val="0000FF"/>
        </w:rPr>
        <w:t>一级保护区内水质达到《地表水环境质量标准》（GB3838-2002）II类水质标准。</w:t>
      </w:r>
    </w:p>
    <w:p>
      <w:pPr>
        <w:pStyle w:val="4"/>
        <w:spacing w:beforeAutospacing="0" w:afterAutospacing="0" w:line="360" w:lineRule="auto"/>
        <w:rPr>
          <w:rFonts w:ascii="Times New Roman" w:hAnsi="Times New Roman" w:eastAsia="仿宋_GB2312" w:cs="Times New Roman"/>
          <w:sz w:val="20"/>
          <w:szCs w:val="20"/>
        </w:rPr>
      </w:pPr>
      <w:bookmarkStart w:id="200" w:name="_Toc4813"/>
      <w:bookmarkStart w:id="201" w:name="_Toc22980"/>
      <w:bookmarkStart w:id="202" w:name="_Toc5105"/>
      <w:bookmarkStart w:id="203" w:name="_Toc8564"/>
      <w:r>
        <w:rPr>
          <w:rFonts w:hint="eastAsia" w:ascii="Times New Roman" w:hAnsi="Times New Roman" w:cs="Times New Roman"/>
        </w:rPr>
        <w:t>4</w:t>
      </w:r>
      <w:r>
        <w:rPr>
          <w:rFonts w:ascii="Times New Roman" w:hAnsi="Times New Roman" w:cs="Times New Roman"/>
        </w:rPr>
        <w:t>.2.2污染源分布</w:t>
      </w:r>
      <w:bookmarkEnd w:id="200"/>
      <w:bookmarkEnd w:id="201"/>
      <w:bookmarkEnd w:id="202"/>
      <w:bookmarkEnd w:id="203"/>
    </w:p>
    <w:p>
      <w:pPr>
        <w:spacing w:line="360" w:lineRule="auto"/>
        <w:ind w:firstLine="480" w:firstLineChars="200"/>
        <w:rPr>
          <w:rFonts w:cs="Times New Roman"/>
        </w:rPr>
      </w:pPr>
      <w:bookmarkStart w:id="204" w:name="_Toc1375"/>
      <w:r>
        <w:rPr>
          <w:rFonts w:cs="Times New Roman"/>
        </w:rPr>
        <w:t>水源地都是处在自然生态环境状态下，根据调查，水源地的补给区、分布区和取水口都没有污染源。根据现场踏勘，访问和查阅文献，水源地周围都不同程度存在牧业活动，而牧业产生的粪便，还有踩踏行为都对水源地的水质造成一定程度的污染，同时牧业的牲畜也可以形成传染疾病的传播源和潜在风险。</w:t>
      </w:r>
    </w:p>
    <w:p>
      <w:pPr>
        <w:spacing w:line="360" w:lineRule="auto"/>
        <w:ind w:firstLine="480" w:firstLineChars="200"/>
        <w:rPr>
          <w:rFonts w:cs="Times New Roman"/>
          <w:kern w:val="0"/>
        </w:rPr>
      </w:pPr>
      <w:r>
        <w:rPr>
          <w:rFonts w:cs="Times New Roman"/>
        </w:rPr>
        <w:t>总而言之，四川省开江县城集中式饮用水源地保护区划分涉及的水源地污染源都主要是</w:t>
      </w:r>
      <w:r>
        <w:rPr>
          <w:rFonts w:hint="eastAsia" w:cs="Times New Roman"/>
        </w:rPr>
        <w:t>农业、畜牧业</w:t>
      </w:r>
      <w:r>
        <w:rPr>
          <w:rFonts w:cs="Times New Roman"/>
        </w:rPr>
        <w:t>活动引起的，牲畜的踩踏和牲畜粪便都有可能对水源地产生影响，而畜牧业本身带来的传染病亦可影响水源地水质。因此，开江县城集中式饮用水源地的污染源主要分布在水源地保护区内，建议对水源地保护区采取保护措施，治理污染源。</w:t>
      </w:r>
    </w:p>
    <w:p>
      <w:pPr>
        <w:pStyle w:val="4"/>
        <w:spacing w:beforeAutospacing="0" w:afterAutospacing="0" w:line="360" w:lineRule="auto"/>
        <w:rPr>
          <w:rFonts w:ascii="Times New Roman" w:hAnsi="Times New Roman" w:cs="Times New Roman"/>
        </w:rPr>
      </w:pPr>
      <w:bookmarkStart w:id="205" w:name="_Toc1890"/>
      <w:bookmarkStart w:id="206" w:name="_Toc23675"/>
      <w:bookmarkStart w:id="207" w:name="_Toc1501"/>
      <w:r>
        <w:rPr>
          <w:rFonts w:hint="eastAsia" w:ascii="Times New Roman" w:hAnsi="Times New Roman" w:cs="Times New Roman"/>
        </w:rPr>
        <w:t>4</w:t>
      </w:r>
      <w:r>
        <w:rPr>
          <w:rFonts w:ascii="Times New Roman" w:hAnsi="Times New Roman" w:cs="Times New Roman"/>
        </w:rPr>
        <w:t>.2.3污染物影响途径分析</w:t>
      </w:r>
      <w:bookmarkEnd w:id="204"/>
      <w:bookmarkEnd w:id="205"/>
      <w:bookmarkEnd w:id="206"/>
      <w:bookmarkEnd w:id="207"/>
    </w:p>
    <w:p>
      <w:pPr>
        <w:spacing w:line="360" w:lineRule="auto"/>
        <w:ind w:firstLine="480" w:firstLineChars="200"/>
        <w:rPr>
          <w:rFonts w:cs="Times New Roman"/>
        </w:rPr>
      </w:pPr>
      <w:r>
        <w:rPr>
          <w:rFonts w:hint="eastAsia" w:cs="Times New Roman"/>
        </w:rPr>
        <w:t>（1）</w:t>
      </w:r>
      <w:r>
        <w:rPr>
          <w:rFonts w:cs="Times New Roman"/>
        </w:rPr>
        <w:t>本次划定的饮用水源保护区范围内</w:t>
      </w:r>
      <w:r>
        <w:rPr>
          <w:rFonts w:hint="eastAsia" w:cs="Times New Roman"/>
        </w:rPr>
        <w:t>有少许零星农田</w:t>
      </w:r>
      <w:r>
        <w:rPr>
          <w:rFonts w:cs="Times New Roman"/>
        </w:rPr>
        <w:t>，</w:t>
      </w:r>
      <w:r>
        <w:rPr>
          <w:rFonts w:hint="eastAsia" w:cs="Times New Roman"/>
        </w:rPr>
        <w:t>农田施肥、农药等活动，一旦下雨等情况。农肥及农药随着雨水将留入水库，对水源地造成影响。</w:t>
      </w:r>
    </w:p>
    <w:p>
      <w:pPr>
        <w:spacing w:line="360" w:lineRule="auto"/>
        <w:ind w:firstLine="480" w:firstLineChars="200"/>
        <w:rPr>
          <w:rFonts w:cs="Times New Roman"/>
        </w:rPr>
      </w:pPr>
      <w:r>
        <w:rPr>
          <w:rFonts w:hint="eastAsia" w:cs="Times New Roman"/>
        </w:rPr>
        <w:t>（2）划定的饮用水源保护区范围内主要有</w:t>
      </w:r>
      <w:r>
        <w:rPr>
          <w:rFonts w:cs="Times New Roman"/>
        </w:rPr>
        <w:t>零星牧业，牛、羊等牲畜活动范围大，四处践踏，粪便到处都是，随着降雨，这些粪便随着表流进入水源地，而开江县集中式水源地都是</w:t>
      </w:r>
      <w:r>
        <w:rPr>
          <w:rFonts w:hint="eastAsia" w:cs="Times New Roman"/>
        </w:rPr>
        <w:t>水库型</w:t>
      </w:r>
      <w:r>
        <w:rPr>
          <w:rFonts w:cs="Times New Roman"/>
        </w:rPr>
        <w:t>，这些粪便一旦进入水源地，很容易超过水源地水的自净能力，必然会引起污染，还有牲畜脱落的毛发，自身的一些病原菌和疾病会导致水源地水质病菌含量超高，从而可能会形成病菌的传播源，引起传染病和其他疾病，比较典型的就是包虫病的传染源。</w:t>
      </w:r>
    </w:p>
    <w:p>
      <w:pPr>
        <w:spacing w:line="360" w:lineRule="auto"/>
        <w:ind w:firstLine="480" w:firstLineChars="200"/>
        <w:rPr>
          <w:rFonts w:cs="Times New Roman"/>
        </w:rPr>
      </w:pPr>
      <w:r>
        <w:rPr>
          <w:rFonts w:hint="eastAsia" w:cs="Times New Roman"/>
        </w:rPr>
        <w:t>（3）在划定的饮用水源保护区内有部分人类活动，将产生生活废水，生活废水一旦未经过处理后排至水库，将很容易超过水源地水的自净能力。对水源地造成影响。</w:t>
      </w:r>
    </w:p>
    <w:p>
      <w:pPr>
        <w:spacing w:line="360" w:lineRule="auto"/>
        <w:ind w:firstLine="480" w:firstLineChars="200"/>
        <w:rPr>
          <w:rFonts w:cs="Times New Roman"/>
        </w:rPr>
      </w:pPr>
      <w:r>
        <w:rPr>
          <w:rFonts w:hint="eastAsia" w:cs="Times New Roman"/>
        </w:rPr>
        <w:t>（4）在划定的饮用水源保护区内有部分工业，主要制酒业，制酒业将产生大量的工业废水，该废水主要含有高浓度的COD和氨氮，未经过处理直接排至水库，将对水库水质造成严重的影响。</w:t>
      </w:r>
    </w:p>
    <w:p>
      <w:pPr>
        <w:spacing w:line="360" w:lineRule="auto"/>
        <w:ind w:firstLine="480" w:firstLineChars="200"/>
        <w:rPr>
          <w:rFonts w:cs="Times New Roman"/>
          <w:kern w:val="0"/>
        </w:rPr>
      </w:pPr>
      <w:r>
        <w:rPr>
          <w:rFonts w:cs="Times New Roman"/>
        </w:rPr>
        <w:t>因此，针对水源地主要污染源的污染途径，采取有力措施进行整治，以使水源地污染物的污染途径中断，治理污染物，切断污染途径。</w:t>
      </w:r>
    </w:p>
    <w:p>
      <w:pPr>
        <w:pStyle w:val="3"/>
        <w:spacing w:before="0" w:after="0" w:line="360" w:lineRule="auto"/>
        <w:jc w:val="left"/>
        <w:rPr>
          <w:rFonts w:ascii="Times New Roman" w:hAnsi="Times New Roman" w:cs="Times New Roman"/>
        </w:rPr>
      </w:pPr>
      <w:bookmarkStart w:id="208" w:name="_Toc25993"/>
      <w:bookmarkStart w:id="209" w:name="_Toc441"/>
      <w:bookmarkStart w:id="210" w:name="_Toc7567"/>
      <w:r>
        <w:rPr>
          <w:rFonts w:hint="eastAsia" w:ascii="Times New Roman" w:hAnsi="Times New Roman" w:cs="Times New Roman"/>
        </w:rPr>
        <w:t>4</w:t>
      </w:r>
      <w:r>
        <w:rPr>
          <w:rFonts w:ascii="Times New Roman" w:hAnsi="Times New Roman" w:cs="Times New Roman"/>
        </w:rPr>
        <w:t>.3水环境风险控制</w:t>
      </w:r>
      <w:bookmarkEnd w:id="208"/>
      <w:bookmarkEnd w:id="209"/>
      <w:bookmarkEnd w:id="210"/>
    </w:p>
    <w:p>
      <w:pPr>
        <w:pStyle w:val="4"/>
        <w:spacing w:beforeAutospacing="0" w:afterAutospacing="0" w:line="360" w:lineRule="auto"/>
        <w:rPr>
          <w:rFonts w:ascii="Times New Roman" w:hAnsi="Times New Roman" w:eastAsia="仿宋_GB2312" w:cs="Times New Roman"/>
          <w:sz w:val="20"/>
          <w:szCs w:val="20"/>
        </w:rPr>
      </w:pPr>
      <w:bookmarkStart w:id="211" w:name="_Toc23129"/>
      <w:bookmarkStart w:id="212" w:name="_Toc27312"/>
      <w:bookmarkStart w:id="213" w:name="_Toc779"/>
      <w:bookmarkStart w:id="214" w:name="_Toc31540"/>
      <w:r>
        <w:rPr>
          <w:rFonts w:hint="eastAsia" w:ascii="Times New Roman" w:hAnsi="Times New Roman" w:cs="Times New Roman"/>
        </w:rPr>
        <w:t>4</w:t>
      </w:r>
      <w:r>
        <w:rPr>
          <w:rFonts w:ascii="Times New Roman" w:hAnsi="Times New Roman" w:cs="Times New Roman"/>
        </w:rPr>
        <w:t>.3.1一级保护区水环境风险控制</w:t>
      </w:r>
      <w:bookmarkEnd w:id="211"/>
      <w:bookmarkEnd w:id="212"/>
      <w:bookmarkEnd w:id="213"/>
      <w:bookmarkEnd w:id="214"/>
    </w:p>
    <w:p>
      <w:pPr>
        <w:spacing w:line="360" w:lineRule="auto"/>
        <w:ind w:firstLine="480" w:firstLineChars="200"/>
        <w:rPr>
          <w:rFonts w:cs="Times New Roman"/>
        </w:rPr>
      </w:pPr>
      <w:r>
        <w:rPr>
          <w:rFonts w:cs="Times New Roman"/>
        </w:rPr>
        <w:t>开江县</w:t>
      </w:r>
      <w:r>
        <w:rPr>
          <w:rFonts w:hint="eastAsia" w:cs="Times New Roman"/>
        </w:rPr>
        <w:t>宝石桥水库</w:t>
      </w:r>
      <w:r>
        <w:rPr>
          <w:rFonts w:cs="Times New Roman"/>
        </w:rPr>
        <w:t>集中式饮用水源地周围没有固定风险源，开江县城基本都是半农半牧，畜牧业</w:t>
      </w:r>
      <w:r>
        <w:rPr>
          <w:rFonts w:hint="eastAsia" w:cs="Times New Roman"/>
        </w:rPr>
        <w:t>、农业</w:t>
      </w:r>
      <w:r>
        <w:rPr>
          <w:rFonts w:cs="Times New Roman"/>
        </w:rPr>
        <w:t>是当地的主要经济收入来源，而畜牧业主要是养殖牛，羊等牲畜，同时有犬类，而动物就是包虫病的主要传播源。</w:t>
      </w:r>
    </w:p>
    <w:p>
      <w:pPr>
        <w:ind w:firstLine="480" w:firstLineChars="200"/>
        <w:rPr>
          <w:rFonts w:cs="Times New Roman"/>
        </w:rPr>
      </w:pPr>
      <w:r>
        <w:rPr>
          <w:rFonts w:cs="Times New Roman"/>
        </w:rPr>
        <w:t>1、点源污染防治工程</w:t>
      </w:r>
    </w:p>
    <w:p>
      <w:pPr>
        <w:spacing w:line="360" w:lineRule="auto"/>
        <w:ind w:firstLine="480" w:firstLineChars="200"/>
        <w:rPr>
          <w:rFonts w:cs="Times New Roman"/>
        </w:rPr>
      </w:pPr>
      <w:r>
        <w:rPr>
          <w:rFonts w:cs="Times New Roman"/>
        </w:rPr>
        <w:t>一级保护区主要是点源污染，为了有效防止饮用水水源保护区内的点源污染，及时控制现有的重点污染源，保障饮用水源水质。在近期，主要解除饮用水水源地水质的重要威胁，在远期实现污染的有效预防和控制。点源污染防治工程内容为：围绕集中式饮用水水源保护区，严格按照《饮用水水源保护区污染防治管理规定》中对不同级别保护区的相关规定，对各保护区的点源污染，一级保护区污染防治工程按照“查明核定”、“清理拆除”、“严格控制”污染源为基本原则，实施清理、整治与管理。针对地表水水源地的一级保护区，按照相关规定，列出相应的主要污染点源清单，对工程实施中和实施后的水源保护区严格土地使用管制，防止污染排放。</w:t>
      </w:r>
    </w:p>
    <w:p>
      <w:pPr>
        <w:ind w:firstLine="480" w:firstLineChars="200"/>
        <w:rPr>
          <w:rFonts w:cs="Times New Roman"/>
        </w:rPr>
      </w:pPr>
      <w:r>
        <w:rPr>
          <w:rFonts w:cs="Times New Roman"/>
        </w:rPr>
        <w:t>2、基础设施建设工程</w:t>
      </w:r>
    </w:p>
    <w:p>
      <w:pPr>
        <w:spacing w:line="360" w:lineRule="auto"/>
        <w:ind w:firstLine="480" w:firstLineChars="200"/>
        <w:rPr>
          <w:rFonts w:cs="Times New Roman"/>
        </w:rPr>
      </w:pPr>
      <w:r>
        <w:rPr>
          <w:rFonts w:cs="Times New Roman"/>
        </w:rPr>
        <w:t>制定饮用水水源保护区的基础设施建设方案，工程内容如保护区界碑、界桩的建设、宣传警示牌等，具体涉及内容根据区域实际情况有所差异。</w:t>
      </w:r>
    </w:p>
    <w:p>
      <w:pPr>
        <w:spacing w:line="360" w:lineRule="auto"/>
        <w:ind w:firstLine="480" w:firstLineChars="200"/>
        <w:jc w:val="left"/>
        <w:rPr>
          <w:rFonts w:cs="Times New Roman"/>
          <w:bCs/>
        </w:rPr>
      </w:pPr>
      <w:r>
        <w:rPr>
          <w:rFonts w:cs="Times New Roman"/>
          <w:bCs/>
        </w:rPr>
        <w:t>3、风险应急控制措施</w:t>
      </w:r>
    </w:p>
    <w:p>
      <w:pPr>
        <w:ind w:firstLine="480" w:firstLineChars="200"/>
        <w:rPr>
          <w:rFonts w:cs="Times New Roman"/>
          <w:bCs/>
        </w:rPr>
      </w:pPr>
      <w:r>
        <w:rPr>
          <w:rFonts w:cs="Times New Roman"/>
          <w:bCs/>
        </w:rPr>
        <w:t>（1）设立预警监测断面</w:t>
      </w:r>
    </w:p>
    <w:p>
      <w:pPr>
        <w:spacing w:line="360" w:lineRule="auto"/>
        <w:ind w:firstLine="480" w:firstLineChars="200"/>
        <w:rPr>
          <w:rFonts w:cs="Times New Roman"/>
          <w:kern w:val="0"/>
        </w:rPr>
      </w:pPr>
      <w:r>
        <w:rPr>
          <w:rFonts w:cs="Times New Roman"/>
        </w:rPr>
        <w:t>在常规人工监测、重点流域自动监测的基础上，根据流域的特征、污染物的类型，对易超标指标，适当增加预警监测，监控有毒有害物质。</w:t>
      </w:r>
    </w:p>
    <w:p>
      <w:pPr>
        <w:spacing w:line="360" w:lineRule="auto"/>
        <w:ind w:firstLine="480" w:firstLineChars="200"/>
        <w:rPr>
          <w:rFonts w:cs="Times New Roman"/>
          <w:kern w:val="0"/>
        </w:rPr>
      </w:pPr>
      <w:r>
        <w:rPr>
          <w:rFonts w:cs="Times New Roman"/>
        </w:rPr>
        <w:t>（2）完善风险防控措施</w:t>
      </w:r>
    </w:p>
    <w:p>
      <w:pPr>
        <w:spacing w:line="360" w:lineRule="auto"/>
        <w:ind w:firstLine="480" w:firstLineChars="200"/>
        <w:rPr>
          <w:rFonts w:cs="Times New Roman"/>
        </w:rPr>
      </w:pPr>
      <w:r>
        <w:rPr>
          <w:rFonts w:cs="Times New Roman"/>
        </w:rPr>
        <w:t>在该地表水型饮用水水源上游设置突发事件缓冲区，利用现有工程或采取措施实现拦截、导流、调水、降污功能；在水源周围设置应急防护措施，防止有毒有害物质进入水源。</w:t>
      </w:r>
    </w:p>
    <w:p>
      <w:pPr>
        <w:spacing w:line="360" w:lineRule="auto"/>
        <w:ind w:firstLine="480" w:firstLineChars="200"/>
        <w:rPr>
          <w:rFonts w:cs="Times New Roman"/>
        </w:rPr>
      </w:pPr>
      <w:r>
        <w:rPr>
          <w:rFonts w:cs="Times New Roman"/>
        </w:rPr>
        <w:t>（3）建立风险评估机制</w:t>
      </w:r>
    </w:p>
    <w:p>
      <w:pPr>
        <w:spacing w:line="360" w:lineRule="auto"/>
        <w:ind w:firstLine="480" w:firstLineChars="200"/>
        <w:rPr>
          <w:rFonts w:cs="Times New Roman"/>
        </w:rPr>
      </w:pPr>
      <w:r>
        <w:rPr>
          <w:rFonts w:cs="Times New Roman"/>
        </w:rPr>
        <w:t>建立饮用水水源风险评估机制，分析饮用水水源保护区外或与水源共处同一水文地质单元的风险源对水源的影响，分级管理水源风险，严格管理和控制。评估风险源对水源安全产生的风险，科学编制防控方案。</w:t>
      </w:r>
    </w:p>
    <w:p>
      <w:pPr>
        <w:spacing w:line="360" w:lineRule="auto"/>
        <w:ind w:firstLine="480" w:firstLineChars="200"/>
        <w:rPr>
          <w:rFonts w:cs="Times New Roman"/>
        </w:rPr>
      </w:pPr>
      <w:r>
        <w:rPr>
          <w:rFonts w:cs="Times New Roman"/>
        </w:rPr>
        <w:t>（4）建立取供水安全保障机制</w:t>
      </w:r>
    </w:p>
    <w:p>
      <w:pPr>
        <w:spacing w:line="360" w:lineRule="auto"/>
        <w:ind w:firstLine="480" w:firstLineChars="200"/>
        <w:rPr>
          <w:rFonts w:cs="Times New Roman"/>
        </w:rPr>
      </w:pPr>
      <w:r>
        <w:rPr>
          <w:rFonts w:cs="Times New Roman"/>
        </w:rPr>
        <w:t>环保、水利、城建、卫生等部门应建立联动机制，制定联动方案，共享水源地水质变化信息、取水信息、供水水质信息，共同应对饮用水突发环境事件。</w:t>
      </w:r>
    </w:p>
    <w:p>
      <w:pPr>
        <w:spacing w:line="360" w:lineRule="auto"/>
        <w:rPr>
          <w:rFonts w:cs="Times New Roman"/>
        </w:rPr>
      </w:pPr>
      <w:r>
        <w:rPr>
          <w:rFonts w:cs="Times New Roman"/>
        </w:rPr>
        <w:t>取水安全保障。建议政府组织有关部门通过迁移取水口，实施污染物消减工程措施，完善调水、补水、停水方案，强化在线监控，增加应急监测指标等方式，提高取水安全保障能力。</w:t>
      </w:r>
    </w:p>
    <w:p>
      <w:pPr>
        <w:spacing w:line="360" w:lineRule="auto"/>
        <w:ind w:firstLine="480" w:firstLineChars="200"/>
        <w:rPr>
          <w:rFonts w:cs="Times New Roman"/>
          <w:kern w:val="0"/>
        </w:rPr>
      </w:pPr>
      <w:r>
        <w:rPr>
          <w:rFonts w:cs="Times New Roman"/>
        </w:rPr>
        <w:t>供水单位通过储备必要的应急物资，深化处理工艺，供水管线改造，分功能供水，规范停止取水、中断供水管理等措施，提高供水安全保障能力。在污染能够通过供水企业治理达标的情况下，尽量不停止供水；或通过管道管理只停止饮用水供应，尽量减少对居民其他用水和社会经济活动的影响。</w:t>
      </w:r>
    </w:p>
    <w:p>
      <w:pPr>
        <w:spacing w:line="360" w:lineRule="auto"/>
        <w:ind w:firstLine="480" w:firstLineChars="200"/>
        <w:rPr>
          <w:rFonts w:cs="Times New Roman"/>
          <w:kern w:val="0"/>
        </w:rPr>
      </w:pPr>
      <w:r>
        <w:rPr>
          <w:rFonts w:cs="Times New Roman"/>
        </w:rPr>
        <w:t>（5）风险源管理</w:t>
      </w:r>
    </w:p>
    <w:p>
      <w:pPr>
        <w:spacing w:line="360" w:lineRule="auto"/>
        <w:ind w:firstLine="480" w:firstLineChars="200"/>
        <w:rPr>
          <w:rFonts w:cs="Times New Roman"/>
        </w:rPr>
      </w:pPr>
      <w:r>
        <w:rPr>
          <w:rFonts w:cs="Times New Roman"/>
        </w:rPr>
        <w:t>建立风险源目标化档案管理模式，明确责任人和监管任务，严格执行水源保护区建设项目准入制度，对存在污染饮用水源风险的建设项目，要完善风险防范措施。输送管线等特殊设施，确需穿越水源的，必须配套泄漏预警及风险防范措施，编制专项应急预案。</w:t>
      </w:r>
    </w:p>
    <w:p>
      <w:pPr>
        <w:spacing w:line="360" w:lineRule="auto"/>
        <w:ind w:firstLine="480" w:firstLineChars="200"/>
        <w:rPr>
          <w:rFonts w:cs="Times New Roman"/>
          <w:kern w:val="0"/>
        </w:rPr>
      </w:pPr>
      <w:r>
        <w:rPr>
          <w:rFonts w:cs="Times New Roman"/>
        </w:rPr>
        <w:t>严格控制运输危险化学品、危险废物及其他影响饮用水水源安全的车辆进入水源保护区，进入车辆应申请并经有关部门批准、登记，并设置防渗、防溢、防漏等设施。</w:t>
      </w:r>
    </w:p>
    <w:p>
      <w:pPr>
        <w:spacing w:line="360" w:lineRule="auto"/>
        <w:ind w:firstLine="480" w:firstLineChars="200"/>
        <w:rPr>
          <w:rFonts w:cs="Times New Roman"/>
        </w:rPr>
      </w:pPr>
      <w:r>
        <w:rPr>
          <w:rFonts w:cs="Times New Roman"/>
        </w:rPr>
        <w:t>（6）制定应急预案</w:t>
      </w:r>
    </w:p>
    <w:p>
      <w:pPr>
        <w:spacing w:line="360" w:lineRule="auto"/>
        <w:ind w:firstLine="480" w:firstLineChars="200"/>
        <w:rPr>
          <w:rFonts w:cs="Times New Roman"/>
        </w:rPr>
      </w:pPr>
      <w:r>
        <w:rPr>
          <w:rFonts w:cs="Times New Roman"/>
        </w:rPr>
        <w:t>应急预案是为迅速、有效、有序地应对和缓解一些突发事件，而预先制定的一套程序化、规范化、详细的操作性文件和规定。应急预案在应急体系建立中具有政策性、纲领性和指导性作用，明确救援队伍、应急物质和专家技术支持等，从而确使突发事件带来的危害降到最低。</w:t>
      </w:r>
    </w:p>
    <w:p>
      <w:pPr>
        <w:pStyle w:val="4"/>
        <w:spacing w:beforeAutospacing="0" w:afterAutospacing="0" w:line="360" w:lineRule="auto"/>
        <w:rPr>
          <w:rFonts w:ascii="Times New Roman" w:hAnsi="Times New Roman" w:eastAsia="仿宋_GB2312" w:cs="Times New Roman"/>
          <w:sz w:val="20"/>
          <w:szCs w:val="20"/>
        </w:rPr>
      </w:pPr>
      <w:bookmarkStart w:id="215" w:name="_Toc24366"/>
      <w:bookmarkStart w:id="216" w:name="_Toc942"/>
      <w:bookmarkStart w:id="217" w:name="_Toc32283"/>
      <w:bookmarkStart w:id="218" w:name="_Toc4961"/>
      <w:r>
        <w:rPr>
          <w:rFonts w:hint="eastAsia" w:ascii="Times New Roman" w:hAnsi="Times New Roman" w:cs="Times New Roman"/>
        </w:rPr>
        <w:t>4</w:t>
      </w:r>
      <w:r>
        <w:rPr>
          <w:rFonts w:ascii="Times New Roman" w:hAnsi="Times New Roman" w:cs="Times New Roman"/>
        </w:rPr>
        <w:t>.3.2二级保护区水环境风险控制</w:t>
      </w:r>
      <w:bookmarkEnd w:id="215"/>
      <w:bookmarkEnd w:id="216"/>
      <w:bookmarkEnd w:id="217"/>
      <w:bookmarkEnd w:id="218"/>
    </w:p>
    <w:p>
      <w:pPr>
        <w:spacing w:line="360" w:lineRule="auto"/>
        <w:ind w:firstLine="480" w:firstLineChars="200"/>
        <w:rPr>
          <w:rFonts w:cs="Times New Roman"/>
        </w:rPr>
      </w:pPr>
      <w:bookmarkStart w:id="219" w:name="_Toc22468"/>
      <w:r>
        <w:rPr>
          <w:rFonts w:cs="Times New Roman"/>
        </w:rPr>
        <w:t>根据水源地水质监测报告的数据，开江县</w:t>
      </w:r>
      <w:r>
        <w:rPr>
          <w:rFonts w:hint="eastAsia" w:cs="Times New Roman"/>
        </w:rPr>
        <w:t>宝石桥水库</w:t>
      </w:r>
      <w:r>
        <w:rPr>
          <w:rFonts w:cs="Times New Roman"/>
        </w:rPr>
        <w:t>集中式水源地的污染物质主要是总氮</w:t>
      </w:r>
      <w:r>
        <w:rPr>
          <w:rFonts w:hint="eastAsia" w:cs="Times New Roman"/>
        </w:rPr>
        <w:t>、粪大肠杆菌</w:t>
      </w:r>
      <w:r>
        <w:rPr>
          <w:rFonts w:cs="Times New Roman"/>
        </w:rPr>
        <w:t>，而这些污染物质主要是来源于点源污染，二级点源污染防治工程按照近期以清查污染源为主，远期以污染预防为主的原则予以实施。对于二级保护区内的污染源，限期治理超标排放的污染源。对于不达标的饮用水水源地，根据水质目标和水源地环境容量，提出点源污染负荷总量削减方案；</w:t>
      </w:r>
    </w:p>
    <w:p>
      <w:pPr>
        <w:spacing w:line="360" w:lineRule="auto"/>
        <w:ind w:firstLine="480" w:firstLineChars="200"/>
        <w:rPr>
          <w:rFonts w:cs="Times New Roman"/>
        </w:rPr>
      </w:pPr>
      <w:r>
        <w:rPr>
          <w:rFonts w:cs="Times New Roman"/>
        </w:rPr>
        <w:t>针对水源保护区内的生态现状，进行生态修复、生态建设工程，提高保护区内自然净化能力，促进生态良性循环，改善和保护饮用水源水质。生态恢复与建设工程的基本原则包括：</w:t>
      </w:r>
    </w:p>
    <w:p>
      <w:pPr>
        <w:spacing w:line="360" w:lineRule="auto"/>
        <w:ind w:firstLine="480" w:firstLineChars="200"/>
        <w:rPr>
          <w:rFonts w:cs="Times New Roman"/>
        </w:rPr>
      </w:pPr>
      <w:r>
        <w:rPr>
          <w:rFonts w:cs="Times New Roman"/>
        </w:rPr>
        <w:t>（1）保护优先、以防为主；</w:t>
      </w:r>
    </w:p>
    <w:p>
      <w:pPr>
        <w:spacing w:line="360" w:lineRule="auto"/>
        <w:ind w:firstLine="480" w:firstLineChars="200"/>
        <w:rPr>
          <w:rFonts w:cs="Times New Roman"/>
        </w:rPr>
      </w:pPr>
      <w:r>
        <w:rPr>
          <w:rFonts w:cs="Times New Roman"/>
        </w:rPr>
        <w:t>（2）生态建设与景观建设相结合，人工恢复与自然恢复相结合；</w:t>
      </w:r>
    </w:p>
    <w:p>
      <w:pPr>
        <w:spacing w:line="360" w:lineRule="auto"/>
        <w:ind w:firstLine="480" w:firstLineChars="200"/>
        <w:rPr>
          <w:rFonts w:cs="Times New Roman"/>
        </w:rPr>
      </w:pPr>
      <w:r>
        <w:rPr>
          <w:rFonts w:cs="Times New Roman"/>
        </w:rPr>
        <w:t>（3）二级</w:t>
      </w:r>
      <w:r>
        <w:rPr>
          <w:rFonts w:eastAsia="宋体" w:cs="Times New Roman"/>
        </w:rPr>
        <w:t>保护区以“重点恢复和建设”为原</w:t>
      </w:r>
      <w:r>
        <w:rPr>
          <w:rFonts w:cs="Times New Roman"/>
        </w:rPr>
        <w:t>则，在规划期内逐步推进全面的生态恢复和建设工程。</w:t>
      </w:r>
    </w:p>
    <w:p>
      <w:pPr>
        <w:spacing w:line="360" w:lineRule="auto"/>
        <w:ind w:firstLine="480" w:firstLineChars="200"/>
        <w:rPr>
          <w:rFonts w:cs="Times New Roman"/>
        </w:rPr>
      </w:pPr>
      <w:r>
        <w:rPr>
          <w:rFonts w:cs="Times New Roman"/>
        </w:rPr>
        <w:t>生态恢复与建设工程的内容以饮用水源的保护涵养为核心，适当结合点、面源污染负荷的总量控制来考虑。根据不同保护区的生态现状，识别诊断主要问题，确定工程主要内容和目标，制定各时期的工程方案，分析方案的技术可行性、所需投资及环境效益，最终优化确定方案。</w:t>
      </w:r>
    </w:p>
    <w:p>
      <w:pPr>
        <w:pStyle w:val="4"/>
        <w:spacing w:beforeAutospacing="0" w:afterAutospacing="0" w:line="360" w:lineRule="auto"/>
        <w:rPr>
          <w:rFonts w:ascii="Times New Roman" w:hAnsi="Times New Roman" w:eastAsia="仿宋_GB2312" w:cs="Times New Roman"/>
          <w:sz w:val="20"/>
          <w:szCs w:val="20"/>
        </w:rPr>
      </w:pPr>
      <w:bookmarkStart w:id="220" w:name="_Toc18861"/>
      <w:bookmarkStart w:id="221" w:name="_Toc31090"/>
      <w:bookmarkStart w:id="222" w:name="_Toc20800"/>
      <w:bookmarkStart w:id="223" w:name="_Toc20078"/>
      <w:r>
        <w:rPr>
          <w:rFonts w:hint="eastAsia" w:ascii="Times New Roman" w:hAnsi="Times New Roman" w:cs="Times New Roman"/>
        </w:rPr>
        <w:t>4</w:t>
      </w:r>
      <w:r>
        <w:rPr>
          <w:rFonts w:ascii="Times New Roman" w:hAnsi="Times New Roman" w:cs="Times New Roman"/>
        </w:rPr>
        <w:t>.3.3准保护区水环境风险控制</w:t>
      </w:r>
      <w:bookmarkEnd w:id="220"/>
      <w:bookmarkEnd w:id="221"/>
      <w:bookmarkEnd w:id="222"/>
      <w:bookmarkEnd w:id="223"/>
    </w:p>
    <w:p>
      <w:pPr>
        <w:spacing w:line="360" w:lineRule="auto"/>
        <w:ind w:firstLine="480" w:firstLineChars="200"/>
        <w:rPr>
          <w:rFonts w:cs="Times New Roman"/>
        </w:rPr>
      </w:pPr>
      <w:r>
        <w:rPr>
          <w:rFonts w:cs="Times New Roman"/>
        </w:rPr>
        <w:t>对于准保护区内的污染源，限期治理超标排放的污染源。对于不达标的饮用水水源地，根据水质目标和水源地环境容量，提出点源污染负荷总量削减方案；</w:t>
      </w:r>
    </w:p>
    <w:p>
      <w:pPr>
        <w:spacing w:line="360" w:lineRule="auto"/>
        <w:ind w:firstLine="480" w:firstLineChars="200"/>
        <w:rPr>
          <w:rFonts w:cs="Times New Roman"/>
        </w:rPr>
      </w:pPr>
      <w:r>
        <w:rPr>
          <w:rFonts w:cs="Times New Roman"/>
        </w:rPr>
        <w:t>针对水源保护区内的生态现状，进行生态修复、生态建设工程，提高保护区内自然净化能力，促进生态良性循环，改善和保护饮用水源水质。生态恢复与建设工程的基本原则包括：</w:t>
      </w:r>
    </w:p>
    <w:p>
      <w:pPr>
        <w:spacing w:line="360" w:lineRule="auto"/>
        <w:ind w:firstLine="480" w:firstLineChars="200"/>
        <w:rPr>
          <w:rFonts w:cs="Times New Roman"/>
        </w:rPr>
      </w:pPr>
      <w:r>
        <w:rPr>
          <w:rFonts w:cs="Times New Roman"/>
        </w:rPr>
        <w:t>（1）禁止新建、扩建对水体污染严重的建设项目；改建建设项目，不得增加排污量；</w:t>
      </w:r>
    </w:p>
    <w:p>
      <w:pPr>
        <w:spacing w:line="360" w:lineRule="auto"/>
        <w:ind w:firstLine="480" w:firstLineChars="200"/>
        <w:rPr>
          <w:rFonts w:cs="Times New Roman"/>
        </w:rPr>
      </w:pPr>
      <w:r>
        <w:rPr>
          <w:rFonts w:cs="Times New Roman"/>
        </w:rPr>
        <w:t>（2）禁止向水体排放油类、酸液、碱液或者有毒废液；</w:t>
      </w:r>
    </w:p>
    <w:p>
      <w:pPr>
        <w:spacing w:line="360" w:lineRule="auto"/>
        <w:ind w:firstLine="480" w:firstLineChars="200"/>
        <w:rPr>
          <w:rFonts w:cs="Times New Roman"/>
        </w:rPr>
      </w:pPr>
      <w:r>
        <w:rPr>
          <w:rFonts w:cs="Times New Roman"/>
        </w:rPr>
        <w:t>（3）禁止在水体清洗装贮过油类或者有毒污染物的车辆和容器；</w:t>
      </w:r>
    </w:p>
    <w:p>
      <w:pPr>
        <w:spacing w:line="360" w:lineRule="auto"/>
        <w:ind w:firstLine="480" w:firstLineChars="200"/>
        <w:rPr>
          <w:rFonts w:cs="Times New Roman"/>
        </w:rPr>
      </w:pPr>
      <w:r>
        <w:rPr>
          <w:rFonts w:cs="Times New Roman"/>
        </w:rPr>
        <w:t>（4）禁止向水体排放、倾倒废水、含病原体的污水、放射性固体废物；</w:t>
      </w:r>
    </w:p>
    <w:p>
      <w:pPr>
        <w:spacing w:line="360" w:lineRule="auto"/>
        <w:ind w:firstLine="480" w:firstLineChars="200"/>
        <w:rPr>
          <w:rFonts w:cs="Times New Roman"/>
        </w:rPr>
      </w:pPr>
      <w:r>
        <w:rPr>
          <w:rFonts w:cs="Times New Roman"/>
        </w:rPr>
        <w:t>（5）禁止向水体排放、倾倒工业废渣、城镇垃圾和医疗垃圾等其他废弃物；</w:t>
      </w:r>
    </w:p>
    <w:p>
      <w:pPr>
        <w:spacing w:line="360" w:lineRule="auto"/>
        <w:ind w:firstLine="480" w:firstLineChars="200"/>
        <w:rPr>
          <w:rFonts w:cs="Times New Roman"/>
        </w:rPr>
      </w:pPr>
      <w:r>
        <w:rPr>
          <w:rFonts w:cs="Times New Roman"/>
        </w:rPr>
        <w:t>（6）禁止将含有汞、镉、砷、铬、铅、氰化物、黄磷等的可溶性剧毒废渣向水体排放、倾倒或者直接埋入地下；</w:t>
      </w:r>
    </w:p>
    <w:p>
      <w:pPr>
        <w:spacing w:line="360" w:lineRule="auto"/>
        <w:ind w:firstLine="480" w:firstLineChars="200"/>
        <w:rPr>
          <w:rFonts w:cs="Times New Roman"/>
        </w:rPr>
      </w:pPr>
      <w:r>
        <w:rPr>
          <w:rFonts w:cs="Times New Roman"/>
        </w:rPr>
        <w:t>（7）禁止设置化工原料、矿物油类及有毒有害矿产品的贮存场所，以及生活垃圾、工业固体废物和危险废物的堆放场所和转运站；</w:t>
      </w:r>
    </w:p>
    <w:p>
      <w:pPr>
        <w:spacing w:line="360" w:lineRule="auto"/>
        <w:ind w:firstLine="480" w:firstLineChars="200"/>
        <w:rPr>
          <w:rFonts w:cs="Times New Roman"/>
        </w:rPr>
      </w:pPr>
      <w:r>
        <w:rPr>
          <w:rFonts w:cs="Times New Roman"/>
        </w:rPr>
        <w:t>（8）装载其他危险品的船舶、车辆确需驶入饮用水水源保护区内的，应当在驶入该区域的二十四小时前向当地海事管理机构或者公安机关交通管理部门报告，配备防止污染物散落、溢流、渗漏的设施设备，指定专人保障危险品运输安全；</w:t>
      </w:r>
    </w:p>
    <w:p>
      <w:pPr>
        <w:spacing w:line="360" w:lineRule="auto"/>
        <w:ind w:firstLine="480" w:firstLineChars="200"/>
        <w:rPr>
          <w:rFonts w:cs="Times New Roman"/>
        </w:rPr>
      </w:pPr>
      <w:r>
        <w:rPr>
          <w:rFonts w:cs="Times New Roman"/>
        </w:rPr>
        <w:t>（9）禁止进行可能严重影响饮用水水源水质的矿产勘查、开采等活动；</w:t>
      </w:r>
    </w:p>
    <w:p>
      <w:pPr>
        <w:spacing w:line="360" w:lineRule="auto"/>
        <w:ind w:firstLine="480" w:firstLineChars="200"/>
        <w:rPr>
          <w:rFonts w:cs="Times New Roman"/>
        </w:rPr>
      </w:pPr>
      <w:r>
        <w:rPr>
          <w:rFonts w:cs="Times New Roman"/>
        </w:rPr>
        <w:t>（10）禁止非更新性、非抚育性砍伐和破坏饮用水水源涵养林、护岸林和其他植被。</w:t>
      </w:r>
    </w:p>
    <w:p>
      <w:pPr>
        <w:pStyle w:val="3"/>
        <w:spacing w:before="0" w:after="0" w:line="360" w:lineRule="auto"/>
        <w:jc w:val="left"/>
        <w:rPr>
          <w:rFonts w:ascii="Times New Roman" w:hAnsi="Times New Roman" w:cs="Times New Roman"/>
        </w:rPr>
      </w:pPr>
      <w:bookmarkStart w:id="224" w:name="_Toc10550"/>
      <w:bookmarkStart w:id="225" w:name="_Toc15392"/>
      <w:r>
        <w:rPr>
          <w:rFonts w:hint="eastAsia" w:ascii="Times New Roman" w:hAnsi="Times New Roman" w:cs="Times New Roman"/>
        </w:rPr>
        <w:t>4</w:t>
      </w:r>
      <w:r>
        <w:rPr>
          <w:rFonts w:ascii="Times New Roman" w:hAnsi="Times New Roman" w:cs="Times New Roman"/>
        </w:rPr>
        <w:t>.4饮用水水源保护区环境保护工程</w:t>
      </w:r>
      <w:bookmarkEnd w:id="219"/>
      <w:bookmarkEnd w:id="224"/>
      <w:bookmarkEnd w:id="225"/>
    </w:p>
    <w:p>
      <w:pPr>
        <w:pStyle w:val="4"/>
        <w:spacing w:beforeAutospacing="0" w:afterAutospacing="0" w:line="360" w:lineRule="auto"/>
        <w:rPr>
          <w:rFonts w:ascii="Times New Roman" w:hAnsi="Times New Roman" w:eastAsia="仿宋_GB2312" w:cs="Times New Roman"/>
          <w:sz w:val="20"/>
          <w:szCs w:val="20"/>
        </w:rPr>
      </w:pPr>
      <w:bookmarkStart w:id="226" w:name="_Toc30159"/>
      <w:bookmarkStart w:id="227" w:name="_Toc14222"/>
      <w:bookmarkStart w:id="228" w:name="_Toc32559"/>
      <w:bookmarkStart w:id="229" w:name="_Toc15940"/>
      <w:r>
        <w:rPr>
          <w:rFonts w:hint="eastAsia" w:ascii="Times New Roman" w:hAnsi="Times New Roman" w:cs="Times New Roman"/>
        </w:rPr>
        <w:t>4</w:t>
      </w:r>
      <w:r>
        <w:rPr>
          <w:rFonts w:ascii="Times New Roman" w:hAnsi="Times New Roman" w:cs="Times New Roman"/>
        </w:rPr>
        <w:t>.4.1饮用水水源保护区污染防治工程</w:t>
      </w:r>
      <w:bookmarkEnd w:id="226"/>
      <w:bookmarkEnd w:id="227"/>
      <w:bookmarkEnd w:id="228"/>
      <w:bookmarkEnd w:id="229"/>
    </w:p>
    <w:p>
      <w:pPr>
        <w:autoSpaceDE w:val="0"/>
        <w:autoSpaceDN w:val="0"/>
        <w:adjustRightInd w:val="0"/>
        <w:spacing w:line="360" w:lineRule="auto"/>
        <w:ind w:firstLine="480" w:firstLineChars="200"/>
        <w:jc w:val="left"/>
        <w:rPr>
          <w:rFonts w:cs="Times New Roman"/>
        </w:rPr>
      </w:pPr>
      <w:bookmarkStart w:id="230" w:name="_Toc8732"/>
      <w:r>
        <w:rPr>
          <w:rFonts w:cs="Times New Roman"/>
        </w:rPr>
        <w:t>（1）点源污染防治工程</w:t>
      </w:r>
    </w:p>
    <w:p>
      <w:pPr>
        <w:spacing w:line="360" w:lineRule="auto"/>
        <w:ind w:firstLine="480" w:firstLineChars="200"/>
        <w:rPr>
          <w:rFonts w:cs="Times New Roman"/>
        </w:rPr>
      </w:pPr>
      <w:r>
        <w:rPr>
          <w:rFonts w:cs="Times New Roman"/>
        </w:rPr>
        <w:t>点源污染防治工程的目的为了有效防止饮用水水源保护区内的点源污染，及时控制现有的重点污染源，保障饮用水源水质。在近期，主要解除饮用水水源地水质的重要威胁，在远期实现污染的有效预防和控制。</w:t>
      </w:r>
    </w:p>
    <w:p>
      <w:pPr>
        <w:spacing w:line="360" w:lineRule="auto"/>
        <w:ind w:firstLine="480" w:firstLineChars="200"/>
        <w:rPr>
          <w:rFonts w:cs="Times New Roman"/>
        </w:rPr>
      </w:pPr>
      <w:r>
        <w:rPr>
          <w:rFonts w:cs="Times New Roman"/>
        </w:rPr>
        <w:t>点源污染防治工程内容为：围绕集中式饮用水水源保护区，严格按照《饮用水水源保护区污染防治管理规定》中对不同级别保护区的相关规定，对各保护区的点源污染，尤其是污染型工业企业、违规建筑物和建设项目，制定清拆、整治和总量控制方案，分析方案的技术可行性、所需投资及环境效益，进行方案优化。对不同级别保护区主要内容如下：</w:t>
      </w:r>
    </w:p>
    <w:p>
      <w:pPr>
        <w:spacing w:line="360" w:lineRule="auto"/>
        <w:ind w:firstLine="480" w:firstLineChars="200"/>
        <w:rPr>
          <w:rFonts w:cs="Times New Roman"/>
        </w:rPr>
      </w:pPr>
      <w:r>
        <w:rPr>
          <w:rFonts w:eastAsia="MS Mincho" w:cs="Times New Roman"/>
        </w:rPr>
        <w:t>➀</w:t>
      </w:r>
      <w:r>
        <w:rPr>
          <w:rFonts w:cs="Times New Roman"/>
        </w:rPr>
        <w:t>一级饮用水水源保护区</w:t>
      </w:r>
    </w:p>
    <w:p>
      <w:pPr>
        <w:spacing w:line="360" w:lineRule="auto"/>
        <w:ind w:firstLine="480" w:firstLineChars="200"/>
        <w:rPr>
          <w:rFonts w:cs="Times New Roman"/>
        </w:rPr>
      </w:pPr>
      <w:r>
        <w:rPr>
          <w:rFonts w:cs="Times New Roman"/>
        </w:rPr>
        <w:t>一级保护区污染防治工程按照“查明核定”、“清理拆除”、“严格控制”污染源为基本原则，实施清理、整治与管理。</w:t>
      </w:r>
    </w:p>
    <w:p>
      <w:pPr>
        <w:spacing w:line="360" w:lineRule="auto"/>
        <w:ind w:firstLine="480" w:firstLineChars="200"/>
        <w:rPr>
          <w:rFonts w:cs="Times New Roman"/>
        </w:rPr>
      </w:pPr>
      <w:r>
        <w:rPr>
          <w:rFonts w:cs="Times New Roman"/>
        </w:rPr>
        <w:t>针对地表水水源地的一级保护区，按照相关规定，列出相应的主要污染点源清单，包括违规建筑物、违规建设项目（含工业企业）、污水排放口、渗坑渗井等；清理核定拟拆迁建筑物和建设项目名单，制定拆迁方案，整理核定污水排放口的数量及分布，制定截污和拆除方案；对工程实施中和实施后的水源保护区严格土地使用管制，控制企业进入，防止污染排放。</w:t>
      </w:r>
    </w:p>
    <w:p>
      <w:pPr>
        <w:spacing w:line="360" w:lineRule="auto"/>
        <w:ind w:firstLine="480" w:firstLineChars="200"/>
        <w:rPr>
          <w:rFonts w:cs="Times New Roman"/>
        </w:rPr>
      </w:pPr>
      <w:r>
        <w:rPr>
          <w:rFonts w:cs="Times New Roman"/>
        </w:rPr>
        <w:t>在一级保护区内，禁止放牧和牲畜穿行，禁止搭建帐篷，禁止搞旅游活动，禁止探矿采矿；</w:t>
      </w:r>
    </w:p>
    <w:p>
      <w:pPr>
        <w:spacing w:line="360" w:lineRule="auto"/>
        <w:ind w:firstLine="480" w:firstLineChars="200"/>
        <w:rPr>
          <w:rFonts w:cs="Times New Roman"/>
        </w:rPr>
      </w:pPr>
      <w:r>
        <w:rPr>
          <w:rFonts w:eastAsia="MS Mincho" w:cs="Times New Roman"/>
        </w:rPr>
        <w:t>➁</w:t>
      </w:r>
      <w:r>
        <w:rPr>
          <w:rFonts w:cs="Times New Roman"/>
        </w:rPr>
        <w:t>二级、准保护区点源污染防治工程</w:t>
      </w:r>
    </w:p>
    <w:p>
      <w:pPr>
        <w:spacing w:line="360" w:lineRule="auto"/>
        <w:ind w:firstLine="480" w:firstLineChars="200"/>
        <w:rPr>
          <w:rFonts w:cs="Times New Roman"/>
        </w:rPr>
      </w:pPr>
      <w:r>
        <w:rPr>
          <w:rFonts w:cs="Times New Roman"/>
        </w:rPr>
        <w:t>二级、准保护区的点源污染防治工程按照近期以清查、拆除违规污染源为主，远期以污染预防为主的原则予以实施。</w:t>
      </w:r>
    </w:p>
    <w:p>
      <w:pPr>
        <w:spacing w:line="360" w:lineRule="auto"/>
        <w:ind w:firstLine="480" w:firstLineChars="200"/>
        <w:rPr>
          <w:rFonts w:cs="Times New Roman"/>
        </w:rPr>
      </w:pPr>
      <w:r>
        <w:rPr>
          <w:rFonts w:cs="Times New Roman"/>
        </w:rPr>
        <w:t>按照相关规定，列出违规建筑物和建设项目清单；清理核定违规建筑物和建设项目名单，制定拆迁方案。</w:t>
      </w:r>
    </w:p>
    <w:p>
      <w:pPr>
        <w:spacing w:line="360" w:lineRule="auto"/>
        <w:ind w:firstLine="480" w:firstLineChars="200"/>
        <w:rPr>
          <w:rFonts w:cs="Times New Roman"/>
        </w:rPr>
      </w:pPr>
      <w:r>
        <w:rPr>
          <w:rFonts w:cs="Times New Roman"/>
        </w:rPr>
        <w:t>对于二级核准保护区内的污染源，限期治理超标排放的污染源，严格要求达到一级污水排放标准排放。</w:t>
      </w:r>
    </w:p>
    <w:p>
      <w:pPr>
        <w:spacing w:line="360" w:lineRule="auto"/>
        <w:ind w:firstLine="480" w:firstLineChars="200"/>
        <w:rPr>
          <w:rFonts w:cs="Times New Roman"/>
        </w:rPr>
      </w:pPr>
      <w:r>
        <w:rPr>
          <w:rFonts w:cs="Times New Roman"/>
        </w:rPr>
        <w:t>对于不达标的饮用水水源地，根据水质目标和水源地环境容量，提出点源污染负荷总量削减方案；对相关排污企业提出限期整改和治理方案。</w:t>
      </w:r>
    </w:p>
    <w:p>
      <w:pPr>
        <w:spacing w:line="360" w:lineRule="auto"/>
        <w:ind w:firstLine="480" w:firstLineChars="200"/>
        <w:rPr>
          <w:rFonts w:cs="Times New Roman"/>
        </w:rPr>
      </w:pPr>
      <w:r>
        <w:rPr>
          <w:rFonts w:cs="Times New Roman"/>
        </w:rPr>
        <w:t>（2）面源源污染防治工程</w:t>
      </w:r>
    </w:p>
    <w:p>
      <w:pPr>
        <w:spacing w:line="360" w:lineRule="auto"/>
        <w:ind w:firstLine="480" w:firstLineChars="200"/>
        <w:rPr>
          <w:rFonts w:cs="Times New Roman"/>
        </w:rPr>
      </w:pPr>
      <w:r>
        <w:rPr>
          <w:rFonts w:cs="Times New Roman"/>
        </w:rPr>
        <w:t>面源污染防治工程的目的为了有效减少和防止饮用水水源保护区内的面源污染，尤其是农业面源污染，保障饮用水源水质。</w:t>
      </w:r>
    </w:p>
    <w:p>
      <w:pPr>
        <w:spacing w:line="360" w:lineRule="auto"/>
        <w:ind w:firstLine="480" w:firstLineChars="200"/>
        <w:rPr>
          <w:rFonts w:cs="Times New Roman"/>
        </w:rPr>
      </w:pPr>
      <w:r>
        <w:rPr>
          <w:rFonts w:cs="Times New Roman"/>
        </w:rPr>
        <w:t>面源污染防治工程的基本原包括：坚持系统、循环、平衡的生态学原则；与生态修复工程相结合。</w:t>
      </w:r>
    </w:p>
    <w:p>
      <w:pPr>
        <w:spacing w:line="360" w:lineRule="auto"/>
        <w:ind w:firstLine="480" w:firstLineChars="200"/>
        <w:rPr>
          <w:rFonts w:cs="Times New Roman"/>
        </w:rPr>
      </w:pPr>
      <w:r>
        <w:rPr>
          <w:rFonts w:cs="Times New Roman"/>
        </w:rPr>
        <w:t>在近期，针对重点地区，围绕总量控制，以输移路径控制和末端控制为主，及时减少面源污染负荷，主要工程包括农村污水分散处理，畜禽养殖沼气化工程，泥沙滞留的前置库工程。与此同时，兼顾源头污染负荷削减相关政策、法规、技术、措施的推广来实施。</w:t>
      </w:r>
    </w:p>
    <w:p>
      <w:pPr>
        <w:spacing w:line="360" w:lineRule="auto"/>
        <w:ind w:firstLine="480" w:firstLineChars="200"/>
        <w:rPr>
          <w:rFonts w:cs="Times New Roman"/>
          <w:kern w:val="0"/>
        </w:rPr>
      </w:pPr>
      <w:r>
        <w:rPr>
          <w:rFonts w:cs="Times New Roman"/>
        </w:rPr>
        <w:t>在中、远期，遵循生态经济理念，着重从源头控制污染负荷，进一步保障水质，在近期的基础上，深入推广生态农业、生态施肥、保护性耕作等措施。与此同时，继续巩固近期末端控制的各类工程措施的成效，实现综合控制。</w:t>
      </w:r>
    </w:p>
    <w:p>
      <w:pPr>
        <w:pStyle w:val="4"/>
        <w:spacing w:beforeAutospacing="0" w:afterAutospacing="0" w:line="360" w:lineRule="auto"/>
        <w:rPr>
          <w:rFonts w:ascii="Times New Roman" w:hAnsi="Times New Roman" w:cs="Times New Roman"/>
        </w:rPr>
      </w:pPr>
      <w:bookmarkStart w:id="231" w:name="_Toc13571"/>
      <w:bookmarkStart w:id="232" w:name="_Toc21103"/>
      <w:bookmarkStart w:id="233" w:name="_Toc19323"/>
      <w:r>
        <w:rPr>
          <w:rFonts w:hint="eastAsia" w:ascii="Times New Roman" w:hAnsi="Times New Roman" w:cs="Times New Roman"/>
        </w:rPr>
        <w:t>4</w:t>
      </w:r>
      <w:r>
        <w:rPr>
          <w:rFonts w:ascii="Times New Roman" w:hAnsi="Times New Roman" w:cs="Times New Roman"/>
        </w:rPr>
        <w:t>.4.2饮用水水源保护区生态恢复与建设工程</w:t>
      </w:r>
      <w:bookmarkEnd w:id="230"/>
      <w:bookmarkEnd w:id="231"/>
      <w:bookmarkEnd w:id="232"/>
      <w:bookmarkEnd w:id="233"/>
    </w:p>
    <w:p>
      <w:pPr>
        <w:spacing w:line="360" w:lineRule="auto"/>
        <w:ind w:firstLine="480" w:firstLineChars="200"/>
        <w:rPr>
          <w:rFonts w:cs="Times New Roman"/>
        </w:rPr>
      </w:pPr>
      <w:bookmarkStart w:id="234" w:name="_Toc18361"/>
      <w:r>
        <w:rPr>
          <w:rFonts w:cs="Times New Roman"/>
        </w:rPr>
        <w:t>针对水源保护区内的生态现状，进行生态修复、生态建设工程，提高保护区内自然净化能力，促进生态良性循环，改善和保护饮用水源水质。</w:t>
      </w:r>
    </w:p>
    <w:p>
      <w:pPr>
        <w:spacing w:line="360" w:lineRule="auto"/>
        <w:ind w:firstLine="480" w:firstLineChars="200"/>
        <w:rPr>
          <w:rFonts w:cs="Times New Roman"/>
        </w:rPr>
      </w:pPr>
      <w:r>
        <w:rPr>
          <w:rFonts w:cs="Times New Roman"/>
        </w:rPr>
        <w:t>生态恢复与建设工程的基本原则包括：</w:t>
      </w:r>
    </w:p>
    <w:p>
      <w:pPr>
        <w:spacing w:line="360" w:lineRule="auto"/>
        <w:ind w:firstLine="480" w:firstLineChars="200"/>
        <w:rPr>
          <w:rFonts w:cs="Times New Roman"/>
        </w:rPr>
      </w:pPr>
      <w:r>
        <w:rPr>
          <w:rFonts w:cs="Times New Roman"/>
        </w:rPr>
        <w:t>（1）保护优先、以防为主；</w:t>
      </w:r>
    </w:p>
    <w:p>
      <w:pPr>
        <w:spacing w:line="360" w:lineRule="auto"/>
        <w:ind w:firstLine="480" w:firstLineChars="200"/>
        <w:rPr>
          <w:rFonts w:cs="Times New Roman"/>
        </w:rPr>
      </w:pPr>
      <w:r>
        <w:rPr>
          <w:rFonts w:cs="Times New Roman"/>
        </w:rPr>
        <w:t>（2）生态建设与景观建设相结合，人工恢复与自然恢复相结合；</w:t>
      </w:r>
    </w:p>
    <w:p>
      <w:pPr>
        <w:spacing w:line="360" w:lineRule="auto"/>
        <w:ind w:firstLine="480" w:firstLineChars="200"/>
        <w:rPr>
          <w:rFonts w:cs="Times New Roman"/>
        </w:rPr>
      </w:pPr>
      <w:r>
        <w:rPr>
          <w:rFonts w:cs="Times New Roman"/>
        </w:rPr>
        <w:t>（3）一级保护区以生态环境的“全面恢复”为原则，全方位开展恢复和建设工程。</w:t>
      </w:r>
    </w:p>
    <w:p>
      <w:pPr>
        <w:spacing w:line="360" w:lineRule="auto"/>
        <w:ind w:firstLine="480" w:firstLineChars="200"/>
        <w:rPr>
          <w:rFonts w:cs="Times New Roman"/>
        </w:rPr>
      </w:pPr>
      <w:r>
        <w:rPr>
          <w:rFonts w:cs="Times New Roman"/>
        </w:rPr>
        <w:t>（4）二级、准保护区以“重点恢复和建设”为原则，在规划期内逐步推进全面的生态恢复和建设工程。</w:t>
      </w:r>
    </w:p>
    <w:p>
      <w:pPr>
        <w:spacing w:line="360" w:lineRule="auto"/>
        <w:ind w:firstLine="480" w:firstLineChars="200"/>
        <w:rPr>
          <w:rFonts w:cs="Times New Roman"/>
          <w:kern w:val="0"/>
        </w:rPr>
      </w:pPr>
      <w:r>
        <w:rPr>
          <w:rFonts w:cs="Times New Roman"/>
        </w:rPr>
        <w:t>生态恢复与建设工程的内容以饮用水源的保护涵养为核心，适当结合点、面源污染负荷的总量控制来考虑。根据不同保护区的生态现状，识别诊断主要问题，确定工程主要内容和目标，制定各时期的工程方案，分析方案的技术可行性、所需投资及环境效益，最终优化确定方案。</w:t>
      </w:r>
    </w:p>
    <w:p>
      <w:pPr>
        <w:pStyle w:val="4"/>
        <w:spacing w:beforeAutospacing="0" w:afterAutospacing="0" w:line="360" w:lineRule="auto"/>
        <w:rPr>
          <w:rFonts w:ascii="Times New Roman" w:hAnsi="Times New Roman" w:cs="Times New Roman"/>
        </w:rPr>
      </w:pPr>
      <w:bookmarkStart w:id="235" w:name="_Toc7771"/>
      <w:bookmarkStart w:id="236" w:name="_Toc2512"/>
      <w:bookmarkStart w:id="237" w:name="_Toc5406"/>
      <w:r>
        <w:rPr>
          <w:rFonts w:hint="eastAsia" w:ascii="Times New Roman" w:hAnsi="Times New Roman" w:cs="Times New Roman"/>
        </w:rPr>
        <w:t>4</w:t>
      </w:r>
      <w:r>
        <w:rPr>
          <w:rFonts w:ascii="Times New Roman" w:hAnsi="Times New Roman" w:cs="Times New Roman"/>
        </w:rPr>
        <w:t>.4.3饮用水水源地环境应急能力建设工程</w:t>
      </w:r>
      <w:bookmarkEnd w:id="234"/>
      <w:bookmarkEnd w:id="235"/>
      <w:bookmarkEnd w:id="236"/>
      <w:bookmarkEnd w:id="237"/>
    </w:p>
    <w:p>
      <w:pPr>
        <w:spacing w:line="360" w:lineRule="auto"/>
        <w:ind w:firstLine="480" w:firstLineChars="200"/>
        <w:rPr>
          <w:rFonts w:cs="Times New Roman"/>
        </w:rPr>
      </w:pPr>
      <w:bookmarkStart w:id="238" w:name="_Toc24030"/>
      <w:r>
        <w:rPr>
          <w:rFonts w:cs="Times New Roman"/>
        </w:rPr>
        <w:t>针对目前各地饮用水水源保护的应急能力建设普遍薄弱的现象开展该项工作，目的在于加强环境事故风险防范能力，避免或防止饮用水源污染，保障居民生活的用水安全。应急能力建设工程的基本原则包括：</w:t>
      </w:r>
    </w:p>
    <w:p>
      <w:pPr>
        <w:spacing w:line="360" w:lineRule="auto"/>
        <w:ind w:firstLine="480" w:firstLineChars="200"/>
        <w:rPr>
          <w:rFonts w:cs="Times New Roman"/>
        </w:rPr>
      </w:pPr>
      <w:r>
        <w:rPr>
          <w:rFonts w:cs="Times New Roman"/>
        </w:rPr>
        <w:t>（1）以防为主，充分考虑潜在的突发性事故风险；</w:t>
      </w:r>
    </w:p>
    <w:p>
      <w:pPr>
        <w:spacing w:line="360" w:lineRule="auto"/>
        <w:ind w:firstLine="480" w:firstLineChars="200"/>
        <w:rPr>
          <w:rFonts w:cs="Times New Roman"/>
        </w:rPr>
      </w:pPr>
      <w:r>
        <w:rPr>
          <w:rFonts w:cs="Times New Roman"/>
        </w:rPr>
        <w:t>（2）应急措施的科学性、针对性、及时性和有效性。</w:t>
      </w:r>
    </w:p>
    <w:p>
      <w:pPr>
        <w:spacing w:line="360" w:lineRule="auto"/>
        <w:ind w:firstLine="480" w:firstLineChars="200"/>
        <w:rPr>
          <w:rFonts w:eastAsia="仿宋_GB2312" w:cs="Times New Roman"/>
          <w:kern w:val="0"/>
          <w:sz w:val="20"/>
          <w:szCs w:val="20"/>
        </w:rPr>
      </w:pPr>
      <w:r>
        <w:rPr>
          <w:rFonts w:cs="Times New Roman"/>
        </w:rPr>
        <w:t>通过饮用水源风险源的识别，制定不同风险源的应急处理处置方案，形成应对突发事故应急处理处置能力。工程的主要内容包括：建设饮用水水源地应急系统，保障系统有效运行；建立饮用水水源地应急能力；制定饮用水水源地应急预案。建设的内容设置以近期为重点建设期，中、远期不断更新和完善。</w:t>
      </w:r>
    </w:p>
    <w:p>
      <w:pPr>
        <w:pStyle w:val="4"/>
        <w:spacing w:beforeAutospacing="0" w:afterAutospacing="0" w:line="360" w:lineRule="auto"/>
        <w:rPr>
          <w:rFonts w:ascii="Times New Roman" w:hAnsi="Times New Roman" w:cs="Times New Roman"/>
        </w:rPr>
      </w:pPr>
      <w:bookmarkStart w:id="239" w:name="_Toc4333"/>
      <w:bookmarkStart w:id="240" w:name="_Toc8464"/>
      <w:bookmarkStart w:id="241" w:name="_Toc77"/>
      <w:r>
        <w:rPr>
          <w:rFonts w:hint="eastAsia" w:ascii="Times New Roman" w:hAnsi="Times New Roman" w:cs="Times New Roman"/>
        </w:rPr>
        <w:t>4</w:t>
      </w:r>
      <w:r>
        <w:rPr>
          <w:rFonts w:ascii="Times New Roman" w:hAnsi="Times New Roman" w:cs="Times New Roman"/>
        </w:rPr>
        <w:t>.4.4饮用水水源地环境预警监控体系建设工程</w:t>
      </w:r>
      <w:bookmarkEnd w:id="238"/>
      <w:bookmarkEnd w:id="239"/>
      <w:bookmarkEnd w:id="240"/>
      <w:bookmarkEnd w:id="241"/>
    </w:p>
    <w:p>
      <w:pPr>
        <w:spacing w:line="360" w:lineRule="auto"/>
        <w:ind w:firstLine="480" w:firstLineChars="200"/>
        <w:rPr>
          <w:rFonts w:cs="Times New Roman"/>
        </w:rPr>
      </w:pPr>
      <w:r>
        <w:rPr>
          <w:rFonts w:cs="Times New Roman"/>
        </w:rPr>
        <w:t>为实时监测、控制水源地的水质、水量安全状况，提高预警预报能力，适应饮用水水源地保护的管理需求，开展该项工程建设。提交成果为饮用水水源地预警监控体系建设工程报告。</w:t>
      </w:r>
    </w:p>
    <w:p>
      <w:pPr>
        <w:spacing w:line="360" w:lineRule="auto"/>
        <w:ind w:firstLine="480" w:firstLineChars="200"/>
        <w:rPr>
          <w:rFonts w:cs="Times New Roman"/>
        </w:rPr>
      </w:pPr>
      <w:r>
        <w:rPr>
          <w:rFonts w:cs="Times New Roman"/>
        </w:rPr>
        <w:t>（1）充分考虑饮用水水源地管理与保护的基本要求，监测断面布设的位置、监测频次、监测因子统一和规范化。</w:t>
      </w:r>
    </w:p>
    <w:p>
      <w:pPr>
        <w:spacing w:line="360" w:lineRule="auto"/>
        <w:ind w:firstLine="480" w:firstLineChars="200"/>
        <w:rPr>
          <w:rFonts w:cs="Times New Roman"/>
        </w:rPr>
      </w:pPr>
      <w:r>
        <w:rPr>
          <w:rFonts w:cs="Times New Roman"/>
        </w:rPr>
        <w:t>（2）充分利用现有站网建设基础，紧密结合管理和保护需求，进行监测站点（断面）的优化及增设，做到站网设置在技术和经济上合理。</w:t>
      </w:r>
    </w:p>
    <w:p>
      <w:pPr>
        <w:spacing w:line="360" w:lineRule="auto"/>
        <w:ind w:firstLine="480" w:firstLineChars="200"/>
        <w:rPr>
          <w:rFonts w:cs="Times New Roman"/>
        </w:rPr>
      </w:pPr>
      <w:r>
        <w:rPr>
          <w:rFonts w:cs="Times New Roman"/>
        </w:rPr>
        <w:t>（3）水质、水量双重监控，监测站点考虑与已有水文站网的结合。</w:t>
      </w:r>
    </w:p>
    <w:p>
      <w:pPr>
        <w:spacing w:line="360" w:lineRule="auto"/>
        <w:ind w:firstLine="480" w:firstLineChars="200"/>
        <w:rPr>
          <w:rFonts w:cs="Times New Roman"/>
        </w:rPr>
      </w:pPr>
      <w:r>
        <w:rPr>
          <w:rFonts w:cs="Times New Roman"/>
        </w:rPr>
        <w:t>工程内容：</w:t>
      </w:r>
    </w:p>
    <w:p>
      <w:pPr>
        <w:spacing w:line="360" w:lineRule="auto"/>
        <w:ind w:firstLine="480" w:firstLineChars="200"/>
        <w:rPr>
          <w:rFonts w:cs="Times New Roman"/>
        </w:rPr>
      </w:pPr>
      <w:r>
        <w:rPr>
          <w:rFonts w:cs="Times New Roman"/>
        </w:rPr>
        <w:t>（1）现有水质监测站网完善</w:t>
      </w:r>
    </w:p>
    <w:p>
      <w:pPr>
        <w:spacing w:line="360" w:lineRule="auto"/>
        <w:ind w:firstLine="480" w:firstLineChars="200"/>
        <w:rPr>
          <w:rFonts w:cs="Times New Roman"/>
        </w:rPr>
      </w:pPr>
      <w:r>
        <w:rPr>
          <w:rFonts w:cs="Times New Roman"/>
        </w:rPr>
        <w:t>提出现有站网完善方案、监测能力建设方案。在国家级、省级重点饮用水水源保护区建立水量和水质自动监测网。</w:t>
      </w:r>
    </w:p>
    <w:p>
      <w:pPr>
        <w:spacing w:line="360" w:lineRule="auto"/>
        <w:ind w:firstLine="480" w:firstLineChars="200"/>
        <w:rPr>
          <w:rFonts w:cs="Times New Roman"/>
        </w:rPr>
      </w:pPr>
      <w:r>
        <w:rPr>
          <w:rFonts w:cs="Times New Roman"/>
        </w:rPr>
        <w:t>（2）饮用水水源保护区污染源监控网络建设</w:t>
      </w:r>
    </w:p>
    <w:p>
      <w:pPr>
        <w:spacing w:line="360" w:lineRule="auto"/>
        <w:ind w:firstLine="480" w:firstLineChars="200"/>
        <w:rPr>
          <w:rFonts w:cs="Times New Roman"/>
        </w:rPr>
      </w:pPr>
      <w:r>
        <w:rPr>
          <w:rFonts w:cs="Times New Roman"/>
        </w:rPr>
        <w:t>筛选保护区内重要污染源、直接进入水体的排污口，建立水量水质实时监测系统。</w:t>
      </w:r>
    </w:p>
    <w:p>
      <w:pPr>
        <w:pStyle w:val="4"/>
        <w:spacing w:beforeAutospacing="0" w:afterAutospacing="0" w:line="360" w:lineRule="auto"/>
        <w:rPr>
          <w:rFonts w:ascii="Times New Roman" w:hAnsi="Times New Roman" w:eastAsia="仿宋_GB2312" w:cs="Times New Roman"/>
          <w:sz w:val="28"/>
          <w:szCs w:val="28"/>
        </w:rPr>
      </w:pPr>
      <w:bookmarkStart w:id="242" w:name="_Toc12269"/>
      <w:bookmarkStart w:id="243" w:name="_Toc792"/>
      <w:bookmarkStart w:id="244" w:name="_Toc19613"/>
      <w:bookmarkStart w:id="245" w:name="_Toc26854"/>
      <w:r>
        <w:rPr>
          <w:rFonts w:hint="eastAsia" w:ascii="Times New Roman" w:hAnsi="Times New Roman" w:cs="Times New Roman"/>
        </w:rPr>
        <w:t>4</w:t>
      </w:r>
      <w:r>
        <w:rPr>
          <w:rFonts w:ascii="Times New Roman" w:hAnsi="Times New Roman" w:cs="Times New Roman"/>
        </w:rPr>
        <w:t>.4.5饮用水水源地环境管理能力建设工程</w:t>
      </w:r>
      <w:bookmarkEnd w:id="242"/>
      <w:bookmarkEnd w:id="243"/>
      <w:bookmarkEnd w:id="244"/>
      <w:bookmarkEnd w:id="245"/>
    </w:p>
    <w:p>
      <w:pPr>
        <w:spacing w:line="360" w:lineRule="auto"/>
        <w:ind w:firstLine="480" w:firstLineChars="200"/>
        <w:rPr>
          <w:rFonts w:cs="Times New Roman"/>
        </w:rPr>
      </w:pPr>
      <w:r>
        <w:rPr>
          <w:rFonts w:cs="Times New Roman"/>
        </w:rPr>
        <w:t>为保障规划实施效果，制定饮用水水源地保护的监督管理能力建设方案，重点内容包括三个方面：保护区的基础设施建设、监督管理自身能力建设、环境监控信息系统建设。</w:t>
      </w:r>
    </w:p>
    <w:p>
      <w:pPr>
        <w:spacing w:line="360" w:lineRule="auto"/>
        <w:ind w:firstLine="480" w:firstLineChars="200"/>
        <w:rPr>
          <w:rFonts w:cs="Times New Roman"/>
        </w:rPr>
      </w:pPr>
      <w:r>
        <w:rPr>
          <w:rFonts w:cs="Times New Roman"/>
        </w:rPr>
        <w:t>（1）基础设施建设工程</w:t>
      </w:r>
    </w:p>
    <w:p>
      <w:pPr>
        <w:spacing w:line="360" w:lineRule="auto"/>
        <w:ind w:firstLine="480" w:firstLineChars="200"/>
        <w:rPr>
          <w:rFonts w:cs="Times New Roman"/>
        </w:rPr>
      </w:pPr>
      <w:r>
        <w:rPr>
          <w:rFonts w:cs="Times New Roman"/>
        </w:rPr>
        <w:t>制定饮用水水源保护区的基础设施建设方案，工程内容如保护区界碑、界桩的建设、宣传警示牌等，具体涉及内容根据区域实际情况有所差异。</w:t>
      </w:r>
    </w:p>
    <w:p>
      <w:pPr>
        <w:spacing w:line="360" w:lineRule="auto"/>
        <w:ind w:firstLine="480" w:firstLineChars="200"/>
        <w:rPr>
          <w:rFonts w:cs="Times New Roman"/>
        </w:rPr>
      </w:pPr>
      <w:r>
        <w:rPr>
          <w:rFonts w:cs="Times New Roman"/>
        </w:rPr>
        <w:t>（2）监督管理自身能力建设工程</w:t>
      </w:r>
    </w:p>
    <w:p>
      <w:pPr>
        <w:spacing w:line="360" w:lineRule="auto"/>
        <w:ind w:firstLine="480" w:firstLineChars="200"/>
        <w:rPr>
          <w:rFonts w:cs="Times New Roman"/>
        </w:rPr>
      </w:pPr>
      <w:r>
        <w:rPr>
          <w:rFonts w:cs="Times New Roman"/>
        </w:rPr>
        <w:t>制定监督管理自身能力建设方案，着重从管理者自身角度加强监督管理能力，包括管理者相关技术培训、监督管理考核体制，同时，包括相关的基础性科学研究。</w:t>
      </w:r>
    </w:p>
    <w:p>
      <w:pPr>
        <w:spacing w:line="360" w:lineRule="auto"/>
        <w:ind w:firstLine="480" w:firstLineChars="200"/>
        <w:rPr>
          <w:rFonts w:cs="Times New Roman"/>
        </w:rPr>
      </w:pPr>
      <w:r>
        <w:rPr>
          <w:rFonts w:cs="Times New Roman"/>
        </w:rPr>
        <w:t>（3）饮用水水源地环境监控信息系统建设工程</w:t>
      </w:r>
    </w:p>
    <w:p>
      <w:pPr>
        <w:spacing w:line="360" w:lineRule="auto"/>
        <w:ind w:firstLine="480" w:firstLineChars="200"/>
        <w:rPr>
          <w:rFonts w:cs="Times New Roman"/>
        </w:rPr>
      </w:pPr>
      <w:r>
        <w:rPr>
          <w:rFonts w:cs="Times New Roman"/>
        </w:rPr>
        <w:t>建设饮用水水源地监控信息系统，包括饮用水水源地数据库建设，数据采集和传输系统建设、数据管理系统建设及监控管理中心建设。</w:t>
      </w:r>
    </w:p>
    <w:p>
      <w:pPr>
        <w:spacing w:line="360" w:lineRule="auto"/>
        <w:rPr>
          <w:rFonts w:cs="Times New Roman"/>
        </w:rPr>
      </w:pPr>
    </w:p>
    <w:p>
      <w:pPr>
        <w:pStyle w:val="8"/>
        <w:spacing w:before="340" w:after="330"/>
        <w:ind w:firstLine="0" w:firstLineChars="0"/>
        <w:jc w:val="center"/>
        <w:outlineLvl w:val="0"/>
        <w:rPr>
          <w:rFonts w:eastAsia="黑体" w:cs="Times New Roman"/>
          <w:kern w:val="0"/>
          <w:sz w:val="44"/>
          <w:szCs w:val="44"/>
          <w:lang w:val="zh-CN"/>
        </w:rPr>
      </w:pPr>
      <w:bookmarkStart w:id="246" w:name="_Toc492740615"/>
      <w:bookmarkStart w:id="247" w:name="_Toc28209"/>
      <w:bookmarkStart w:id="248" w:name="_Toc32254"/>
      <w:r>
        <w:rPr>
          <w:rFonts w:hint="eastAsia" w:eastAsia="宋体" w:cs="Times New Roman"/>
          <w:b/>
          <w:bCs/>
          <w:kern w:val="0"/>
          <w:sz w:val="44"/>
          <w:szCs w:val="44"/>
        </w:rPr>
        <w:t>5</w:t>
      </w:r>
      <w:r>
        <w:rPr>
          <w:rFonts w:eastAsia="宋体" w:cs="Times New Roman"/>
          <w:b/>
          <w:bCs/>
          <w:kern w:val="0"/>
          <w:sz w:val="44"/>
          <w:szCs w:val="44"/>
        </w:rPr>
        <w:t xml:space="preserve"> </w:t>
      </w:r>
      <w:r>
        <w:rPr>
          <w:rFonts w:eastAsia="宋体" w:cs="Times New Roman"/>
          <w:b/>
          <w:bCs/>
          <w:kern w:val="0"/>
          <w:sz w:val="44"/>
          <w:szCs w:val="44"/>
          <w:lang w:val="zh-CN"/>
        </w:rPr>
        <w:t>饮</w:t>
      </w:r>
      <w:bookmarkStart w:id="249" w:name="_Toc370460898"/>
      <w:bookmarkStart w:id="250" w:name="_Toc370461016"/>
      <w:r>
        <w:rPr>
          <w:rFonts w:eastAsia="宋体" w:cs="Times New Roman"/>
          <w:b/>
          <w:bCs/>
          <w:kern w:val="0"/>
          <w:sz w:val="44"/>
          <w:szCs w:val="44"/>
          <w:lang w:val="zh-CN"/>
        </w:rPr>
        <w:t>用水源保护区划定</w:t>
      </w:r>
      <w:bookmarkEnd w:id="246"/>
      <w:bookmarkEnd w:id="247"/>
      <w:bookmarkEnd w:id="248"/>
    </w:p>
    <w:bookmarkEnd w:id="249"/>
    <w:bookmarkEnd w:id="250"/>
    <w:p>
      <w:pPr>
        <w:pStyle w:val="3"/>
        <w:spacing w:before="120" w:after="0" w:line="520" w:lineRule="exact"/>
        <w:rPr>
          <w:rFonts w:ascii="Times New Roman" w:hAnsi="Times New Roman" w:eastAsia="宋体" w:cs="Times New Roman"/>
          <w:bCs w:val="0"/>
          <w:kern w:val="0"/>
          <w:szCs w:val="28"/>
        </w:rPr>
      </w:pPr>
      <w:bookmarkStart w:id="251" w:name="_Toc10035"/>
      <w:bookmarkStart w:id="252" w:name="_Toc492740616"/>
      <w:bookmarkStart w:id="253" w:name="_Toc20765"/>
      <w:r>
        <w:rPr>
          <w:rFonts w:hint="eastAsia" w:ascii="Times New Roman" w:hAnsi="Times New Roman" w:eastAsia="黑体" w:cs="Times New Roman"/>
          <w:bCs w:val="0"/>
          <w:kern w:val="0"/>
          <w:sz w:val="30"/>
          <w:szCs w:val="30"/>
        </w:rPr>
        <w:t>5</w:t>
      </w:r>
      <w:r>
        <w:rPr>
          <w:rFonts w:ascii="Times New Roman" w:hAnsi="Times New Roman" w:eastAsia="黑体" w:cs="Times New Roman"/>
          <w:bCs w:val="0"/>
          <w:kern w:val="0"/>
          <w:sz w:val="30"/>
          <w:szCs w:val="30"/>
        </w:rPr>
        <w:t>.1</w:t>
      </w:r>
      <w:bookmarkStart w:id="254" w:name="_Toc370460899"/>
      <w:bookmarkStart w:id="255" w:name="_Toc370461017"/>
      <w:r>
        <w:rPr>
          <w:rFonts w:ascii="Times New Roman" w:hAnsi="Times New Roman" w:eastAsia="宋体" w:cs="Times New Roman"/>
          <w:bCs w:val="0"/>
          <w:kern w:val="0"/>
          <w:szCs w:val="28"/>
        </w:rPr>
        <w:t>水源类型及保护区设置</w:t>
      </w:r>
      <w:bookmarkEnd w:id="251"/>
      <w:bookmarkEnd w:id="252"/>
      <w:bookmarkEnd w:id="253"/>
    </w:p>
    <w:p>
      <w:pPr>
        <w:keepNext/>
        <w:keepLines/>
        <w:spacing w:line="360" w:lineRule="auto"/>
        <w:ind w:firstLine="562" w:firstLineChars="200"/>
        <w:jc w:val="left"/>
        <w:rPr>
          <w:rFonts w:cs="Times New Roman"/>
          <w:b/>
        </w:rPr>
      </w:pPr>
      <w:r>
        <w:rPr>
          <w:rFonts w:cs="Times New Roman"/>
          <w:b/>
          <w:sz w:val="28"/>
          <w:szCs w:val="28"/>
        </w:rPr>
        <w:t>（</w:t>
      </w:r>
      <w:r>
        <w:rPr>
          <w:rFonts w:cs="Times New Roman"/>
          <w:b/>
        </w:rPr>
        <w:t>1</w:t>
      </w:r>
      <w:bookmarkEnd w:id="254"/>
      <w:bookmarkEnd w:id="255"/>
      <w:r>
        <w:rPr>
          <w:rFonts w:cs="Times New Roman"/>
          <w:b/>
        </w:rPr>
        <w:t>）类型划分</w:t>
      </w:r>
    </w:p>
    <w:p>
      <w:pPr>
        <w:autoSpaceDE w:val="0"/>
        <w:autoSpaceDN w:val="0"/>
        <w:adjustRightInd w:val="0"/>
        <w:spacing w:line="360" w:lineRule="auto"/>
        <w:ind w:firstLine="456" w:firstLineChars="200"/>
        <w:rPr>
          <w:rFonts w:cs="Times New Roman"/>
        </w:rPr>
      </w:pPr>
      <w:r>
        <w:rPr>
          <w:rFonts w:cs="Times New Roman"/>
          <w:spacing w:val="-6"/>
        </w:rPr>
        <w:t>结合</w:t>
      </w:r>
      <w:r>
        <w:rPr>
          <w:rFonts w:cs="Times New Roman"/>
        </w:rPr>
        <w:t>四川省开江县县城</w:t>
      </w:r>
      <w:r>
        <w:rPr>
          <w:rFonts w:hint="eastAsia" w:cs="Times New Roman"/>
        </w:rPr>
        <w:t>宝石桥水库</w:t>
      </w:r>
      <w:r>
        <w:rPr>
          <w:rFonts w:cs="Times New Roman"/>
        </w:rPr>
        <w:t>水源地</w:t>
      </w:r>
      <w:r>
        <w:rPr>
          <w:rFonts w:cs="Times New Roman"/>
          <w:spacing w:val="-6"/>
        </w:rPr>
        <w:t>将河流作为取水水源，属于</w:t>
      </w:r>
      <w:r>
        <w:rPr>
          <w:rFonts w:hint="eastAsia" w:cs="Times New Roman"/>
          <w:spacing w:val="-6"/>
        </w:rPr>
        <w:t>水库型</w:t>
      </w:r>
      <w:r>
        <w:rPr>
          <w:rFonts w:cs="Times New Roman"/>
          <w:spacing w:val="-6"/>
        </w:rPr>
        <w:t>饮用水源地。</w:t>
      </w:r>
    </w:p>
    <w:p>
      <w:pPr>
        <w:autoSpaceDE w:val="0"/>
        <w:autoSpaceDN w:val="0"/>
        <w:adjustRightInd w:val="0"/>
        <w:spacing w:line="360" w:lineRule="auto"/>
        <w:ind w:firstLine="482" w:firstLineChars="200"/>
        <w:rPr>
          <w:rFonts w:cs="Times New Roman"/>
          <w:b/>
        </w:rPr>
      </w:pPr>
      <w:r>
        <w:rPr>
          <w:rFonts w:cs="Times New Roman"/>
          <w:b/>
        </w:rPr>
        <w:t>（2）保护区设置要求</w:t>
      </w:r>
    </w:p>
    <w:p>
      <w:pPr>
        <w:autoSpaceDE w:val="0"/>
        <w:autoSpaceDN w:val="0"/>
        <w:adjustRightInd w:val="0"/>
        <w:spacing w:line="360" w:lineRule="auto"/>
        <w:ind w:firstLine="480" w:firstLineChars="200"/>
        <w:rPr>
          <w:rFonts w:cs="Times New Roman"/>
        </w:rPr>
      </w:pPr>
      <w:r>
        <w:rPr>
          <w:rFonts w:cs="Times New Roman"/>
        </w:rPr>
        <w:t>《中华人民共和国水污染防治法》（2008）第五十六条规定、《四川省饮用水水源保护管理条例》（2012）第十条规定：集中式饮用水水源按照水源类型，划分为地表水饮用水水源保护区和地下水饮用水水源保护区；根据防护要求，划分为一级保护区和二级保护区；必要时，可以在饮用水水源保护区外围划定一定的区域作为准保护区。</w:t>
      </w:r>
    </w:p>
    <w:p>
      <w:pPr>
        <w:autoSpaceDE w:val="0"/>
        <w:autoSpaceDN w:val="0"/>
        <w:adjustRightInd w:val="0"/>
        <w:spacing w:line="360" w:lineRule="auto"/>
        <w:ind w:firstLine="482" w:firstLineChars="200"/>
        <w:rPr>
          <w:rFonts w:cs="Times New Roman"/>
          <w:b/>
        </w:rPr>
      </w:pPr>
      <w:r>
        <w:rPr>
          <w:rFonts w:cs="Times New Roman"/>
          <w:b/>
        </w:rPr>
        <w:t>（3）保护区划分原则</w:t>
      </w:r>
    </w:p>
    <w:p>
      <w:pPr>
        <w:numPr>
          <w:ilvl w:val="0"/>
          <w:numId w:val="3"/>
        </w:numPr>
        <w:autoSpaceDE w:val="0"/>
        <w:autoSpaceDN w:val="0"/>
        <w:adjustRightInd w:val="0"/>
        <w:spacing w:line="360" w:lineRule="auto"/>
        <w:ind w:left="0" w:firstLine="480" w:firstLineChars="200"/>
        <w:jc w:val="left"/>
        <w:rPr>
          <w:rFonts w:cs="Times New Roman"/>
        </w:rPr>
      </w:pPr>
      <w:r>
        <w:rPr>
          <w:rFonts w:cs="Times New Roman"/>
        </w:rPr>
        <w:t>依法划分。饮用水源保护区划分严格按照《中华人民共和国水污染防治法》、《四川省饮用水水源保护管理条例》等相关法律法规进行划分。</w:t>
      </w:r>
    </w:p>
    <w:p>
      <w:pPr>
        <w:numPr>
          <w:ilvl w:val="0"/>
          <w:numId w:val="3"/>
        </w:numPr>
        <w:autoSpaceDE w:val="0"/>
        <w:autoSpaceDN w:val="0"/>
        <w:adjustRightInd w:val="0"/>
        <w:spacing w:line="360" w:lineRule="auto"/>
        <w:ind w:left="0" w:firstLine="480" w:firstLineChars="200"/>
        <w:jc w:val="left"/>
        <w:rPr>
          <w:rFonts w:cs="Times New Roman"/>
        </w:rPr>
      </w:pPr>
      <w:r>
        <w:rPr>
          <w:rFonts w:cs="Times New Roman"/>
        </w:rPr>
        <w:t>科学划分。饮用水源保护区划分在划分方法上严格按照</w:t>
      </w:r>
      <w:r>
        <w:rPr>
          <w:rFonts w:cs="Times New Roman"/>
          <w:kern w:val="0"/>
          <w:highlight w:val="red"/>
        </w:rPr>
        <w:t>《饮用水源保护区划定技术规范》（HJ/T338-20</w:t>
      </w:r>
      <w:r>
        <w:rPr>
          <w:rFonts w:hint="eastAsia" w:cs="Times New Roman"/>
          <w:kern w:val="0"/>
          <w:highlight w:val="red"/>
        </w:rPr>
        <w:t>18</w:t>
      </w:r>
      <w:r>
        <w:rPr>
          <w:rFonts w:cs="Times New Roman"/>
          <w:kern w:val="0"/>
          <w:highlight w:val="red"/>
        </w:rPr>
        <w:t>）</w:t>
      </w:r>
      <w:r>
        <w:rPr>
          <w:rFonts w:cs="Times New Roman"/>
          <w:kern w:val="0"/>
        </w:rPr>
        <w:t>中的相关技术要求进行科学论证。</w:t>
      </w:r>
      <w:r>
        <w:rPr>
          <w:rFonts w:cs="Times New Roman"/>
        </w:rPr>
        <w:t>确定饮用水水源保护区划分的技术指标，应考虑以下因素：当地的地理位置、水文、气象、水动力特性、水域污染类型、污染特征、污染源分布、排水区分布、水源地规模、水量需求；地表水饮用水源保护区范围还应按照不同水域特点进行水质定量预测、并考虑当地具体条件加以确定，保证在规划设计的水文条件和污染负荷下，供应规划水量时，保护区的水质能满足相应的标准。</w:t>
      </w:r>
    </w:p>
    <w:p>
      <w:pPr>
        <w:numPr>
          <w:ilvl w:val="0"/>
          <w:numId w:val="3"/>
        </w:numPr>
        <w:autoSpaceDE w:val="0"/>
        <w:autoSpaceDN w:val="0"/>
        <w:adjustRightInd w:val="0"/>
        <w:spacing w:line="360" w:lineRule="auto"/>
        <w:ind w:left="0" w:firstLine="480" w:firstLineChars="200"/>
        <w:jc w:val="left"/>
        <w:rPr>
          <w:rFonts w:cs="Times New Roman"/>
        </w:rPr>
      </w:pPr>
      <w:r>
        <w:rPr>
          <w:rFonts w:cs="Times New Roman"/>
        </w:rPr>
        <w:t>保护优先。划定的水源保护区范围，应防止水源地附近人类活动对水源的直接污染；应足以使所选定的主要污染物在向取水点输移（或运移）过程中，衰减到所期望的浓度水平；在正常情况下保证取水水质达到规定要求；一旦出现污染水源的突发情况，有采取紧急补救措施的时间和缓冲地带。</w:t>
      </w:r>
    </w:p>
    <w:p>
      <w:pPr>
        <w:numPr>
          <w:ilvl w:val="0"/>
          <w:numId w:val="3"/>
        </w:numPr>
        <w:autoSpaceDE w:val="0"/>
        <w:autoSpaceDN w:val="0"/>
        <w:adjustRightInd w:val="0"/>
        <w:spacing w:line="360" w:lineRule="auto"/>
        <w:ind w:left="0" w:firstLine="480" w:firstLineChars="200"/>
        <w:rPr>
          <w:rFonts w:cs="Times New Roman"/>
          <w:color w:val="FF0000"/>
        </w:rPr>
      </w:pPr>
      <w:r>
        <w:rPr>
          <w:rFonts w:cs="Times New Roman"/>
          <w:color w:val="FF0000"/>
        </w:rPr>
        <w:t>合理划分。在确保饮用水水源水质不受污染的前提下，划定的水源保护区范围应尽可能小。</w:t>
      </w:r>
    </w:p>
    <w:p>
      <w:pPr>
        <w:pStyle w:val="3"/>
        <w:spacing w:before="0" w:after="0" w:line="360" w:lineRule="auto"/>
        <w:jc w:val="left"/>
        <w:rPr>
          <w:rFonts w:ascii="Times New Roman" w:hAnsi="Times New Roman" w:cs="Times New Roman"/>
        </w:rPr>
      </w:pPr>
      <w:bookmarkStart w:id="256" w:name="_Toc492740617"/>
      <w:bookmarkStart w:id="257" w:name="_Toc10040"/>
      <w:bookmarkStart w:id="258" w:name="_Toc5551"/>
      <w:r>
        <w:rPr>
          <w:rFonts w:hint="eastAsia" w:ascii="Times New Roman" w:hAnsi="Times New Roman" w:cs="Times New Roman"/>
        </w:rPr>
        <w:t>5</w:t>
      </w:r>
      <w:r>
        <w:rPr>
          <w:rFonts w:ascii="Times New Roman" w:hAnsi="Times New Roman" w:cs="Times New Roman"/>
        </w:rPr>
        <w:t>.2</w:t>
      </w:r>
      <w:r>
        <w:rPr>
          <w:rFonts w:hint="eastAsia" w:ascii="Times New Roman" w:hAnsi="Times New Roman" w:cs="Times New Roman"/>
        </w:rPr>
        <w:t>水库型</w:t>
      </w:r>
      <w:r>
        <w:rPr>
          <w:rFonts w:ascii="Times New Roman" w:hAnsi="Times New Roman" w:cs="Times New Roman"/>
        </w:rPr>
        <w:t>水源地保护区划分</w:t>
      </w:r>
      <w:bookmarkEnd w:id="256"/>
      <w:bookmarkEnd w:id="257"/>
      <w:bookmarkEnd w:id="258"/>
    </w:p>
    <w:p>
      <w:pPr>
        <w:autoSpaceDE w:val="0"/>
        <w:autoSpaceDN w:val="0"/>
        <w:adjustRightInd w:val="0"/>
        <w:spacing w:line="360" w:lineRule="auto"/>
        <w:outlineLvl w:val="2"/>
        <w:rPr>
          <w:rFonts w:cs="Times New Roman"/>
          <w:b/>
          <w:kern w:val="0"/>
          <w:lang w:val="zh-CN"/>
        </w:rPr>
      </w:pPr>
      <w:bookmarkStart w:id="259" w:name="_Toc22828"/>
      <w:bookmarkStart w:id="260" w:name="_Toc27555"/>
      <w:bookmarkStart w:id="261" w:name="_Toc27099"/>
      <w:r>
        <w:rPr>
          <w:rFonts w:hint="eastAsia" w:cs="Times New Roman"/>
          <w:b/>
          <w:kern w:val="0"/>
        </w:rPr>
        <w:t>5</w:t>
      </w:r>
      <w:r>
        <w:rPr>
          <w:rFonts w:cs="Times New Roman"/>
          <w:b/>
          <w:kern w:val="0"/>
          <w:lang w:val="zh-CN"/>
        </w:rPr>
        <w:t>.2.1 一级保护区划分方案</w:t>
      </w:r>
      <w:bookmarkEnd w:id="259"/>
      <w:bookmarkEnd w:id="260"/>
      <w:bookmarkEnd w:id="261"/>
    </w:p>
    <w:p>
      <w:pPr>
        <w:outlineLvl w:val="3"/>
        <w:rPr>
          <w:rFonts w:cs="Times New Roman"/>
          <w:b/>
          <w:kern w:val="0"/>
        </w:rPr>
      </w:pPr>
      <w:r>
        <w:rPr>
          <w:rFonts w:hint="eastAsia" w:cs="Times New Roman"/>
          <w:b/>
          <w:kern w:val="0"/>
        </w:rPr>
        <w:t>5</w:t>
      </w:r>
      <w:r>
        <w:rPr>
          <w:rFonts w:cs="Times New Roman"/>
          <w:b/>
          <w:kern w:val="0"/>
        </w:rPr>
        <w:t>.2.1.</w:t>
      </w:r>
      <w:r>
        <w:rPr>
          <w:rFonts w:hint="eastAsia" w:cs="Times New Roman"/>
          <w:b/>
          <w:kern w:val="0"/>
        </w:rPr>
        <w:t>1</w:t>
      </w:r>
      <w:r>
        <w:rPr>
          <w:rFonts w:cs="Times New Roman"/>
          <w:b/>
          <w:kern w:val="0"/>
        </w:rPr>
        <w:t xml:space="preserve"> </w:t>
      </w:r>
      <w:r>
        <w:rPr>
          <w:rFonts w:hint="eastAsia" w:cs="Times New Roman"/>
          <w:b/>
          <w:kern w:val="0"/>
        </w:rPr>
        <w:t>水域</w:t>
      </w:r>
      <w:r>
        <w:rPr>
          <w:rFonts w:cs="Times New Roman"/>
          <w:b/>
          <w:kern w:val="0"/>
        </w:rPr>
        <w:t>范围</w:t>
      </w:r>
    </w:p>
    <w:p>
      <w:pPr>
        <w:autoSpaceDE w:val="0"/>
        <w:autoSpaceDN w:val="0"/>
        <w:adjustRightInd w:val="0"/>
        <w:spacing w:line="360" w:lineRule="auto"/>
        <w:ind w:firstLine="480" w:firstLineChars="200"/>
        <w:rPr>
          <w:rFonts w:cs="Times New Roman"/>
          <w:shd w:val="clear" w:color="FFFFFF" w:fill="D9D9D9"/>
        </w:rPr>
      </w:pPr>
      <w:r>
        <w:rPr>
          <w:rFonts w:cs="Times New Roman"/>
          <w:shd w:val="clear" w:color="FFFFFF" w:fill="D9D9D9"/>
        </w:rPr>
        <w:t>四川省开江县县城</w:t>
      </w:r>
      <w:r>
        <w:rPr>
          <w:rFonts w:hint="eastAsia" w:cs="Times New Roman"/>
          <w:shd w:val="clear" w:color="FFFFFF" w:fill="D9D9D9"/>
        </w:rPr>
        <w:t>宝石桥水库</w:t>
      </w:r>
      <w:r>
        <w:rPr>
          <w:rFonts w:cs="Times New Roman"/>
          <w:shd w:val="clear" w:color="FFFFFF" w:fill="D9D9D9"/>
        </w:rPr>
        <w:t>水源地取水</w:t>
      </w:r>
      <w:r>
        <w:rPr>
          <w:rFonts w:hint="eastAsia" w:cs="Times New Roman"/>
          <w:shd w:val="clear" w:color="FFFFFF" w:fill="D9D9D9"/>
        </w:rPr>
        <w:t>水源地</w:t>
      </w:r>
      <w:r>
        <w:rPr>
          <w:rFonts w:cs="Times New Roman"/>
          <w:shd w:val="clear" w:color="FFFFFF" w:fill="D9D9D9"/>
        </w:rPr>
        <w:t>为</w:t>
      </w:r>
      <w:r>
        <w:rPr>
          <w:rFonts w:hint="eastAsia" w:cs="Times New Roman"/>
          <w:shd w:val="clear" w:color="FFFFFF" w:fill="D9D9D9"/>
        </w:rPr>
        <w:t>人工水库</w:t>
      </w:r>
      <w:r>
        <w:rPr>
          <w:rFonts w:cs="Times New Roman"/>
          <w:shd w:val="clear" w:color="FFFFFF" w:fill="D9D9D9"/>
        </w:rPr>
        <w:t>，取水口所在段</w:t>
      </w:r>
      <w:r>
        <w:rPr>
          <w:rFonts w:hint="eastAsia" w:cs="Times New Roman"/>
          <w:shd w:val="clear" w:color="FFFFFF" w:fill="D9D9D9"/>
        </w:rPr>
        <w:t>水库</w:t>
      </w:r>
      <w:r>
        <w:rPr>
          <w:rFonts w:cs="Times New Roman"/>
          <w:shd w:val="clear" w:color="FFFFFF" w:fill="D9D9D9"/>
        </w:rPr>
        <w:t>无通航功能</w:t>
      </w:r>
      <w:r>
        <w:rPr>
          <w:rFonts w:cs="Times New Roman"/>
          <w:color w:val="0000FF"/>
          <w:shd w:val="clear" w:color="FFFFFF" w:fill="D9D9D9"/>
        </w:rPr>
        <w:t>，水质常年以</w:t>
      </w:r>
      <w:r>
        <w:rPr>
          <w:rFonts w:hint="eastAsia" w:cs="Times New Roman"/>
          <w:color w:val="0000FF"/>
          <w:spacing w:val="-6"/>
          <w:shd w:val="clear" w:color="FFFFFF" w:fill="D9D9D9"/>
        </w:rPr>
        <w:t>III</w:t>
      </w:r>
      <w:r>
        <w:rPr>
          <w:rFonts w:cs="Times New Roman"/>
          <w:color w:val="0000FF"/>
          <w:shd w:val="clear" w:color="FFFFFF" w:fill="D9D9D9"/>
        </w:rPr>
        <w:t>类为主</w:t>
      </w:r>
      <w:r>
        <w:rPr>
          <w:rFonts w:cs="Times New Roman"/>
          <w:shd w:val="clear" w:color="FFFFFF" w:fill="D9D9D9"/>
        </w:rPr>
        <w:t>，故一级保护区划分方法采取类比经验法。</w:t>
      </w:r>
    </w:p>
    <w:p>
      <w:pPr>
        <w:autoSpaceDE w:val="0"/>
        <w:autoSpaceDN w:val="0"/>
        <w:adjustRightInd w:val="0"/>
        <w:spacing w:line="360" w:lineRule="auto"/>
        <w:ind w:firstLine="482" w:firstLineChars="200"/>
        <w:rPr>
          <w:rFonts w:cs="Times New Roman"/>
          <w:b/>
        </w:rPr>
      </w:pPr>
      <w:r>
        <w:rPr>
          <w:rFonts w:cs="Times New Roman"/>
          <w:b/>
        </w:rPr>
        <w:t>（1）划分依据</w:t>
      </w:r>
    </w:p>
    <w:p>
      <w:pPr>
        <w:numPr>
          <w:ilvl w:val="0"/>
          <w:numId w:val="4"/>
        </w:numPr>
        <w:autoSpaceDE w:val="0"/>
        <w:autoSpaceDN w:val="0"/>
        <w:adjustRightInd w:val="0"/>
        <w:spacing w:line="360" w:lineRule="auto"/>
        <w:ind w:left="0" w:firstLine="426"/>
        <w:rPr>
          <w:rFonts w:cs="Times New Roman"/>
        </w:rPr>
      </w:pPr>
      <w:r>
        <w:rPr>
          <w:rFonts w:cs="Times New Roman"/>
        </w:rPr>
        <w:t>根据《饮用水水源保护区划分技术规范》（HJ/T338-20</w:t>
      </w:r>
      <w:r>
        <w:rPr>
          <w:rFonts w:hint="eastAsia" w:cs="Times New Roman"/>
        </w:rPr>
        <w:t>18</w:t>
      </w:r>
      <w:r>
        <w:rPr>
          <w:rFonts w:cs="Times New Roman"/>
        </w:rPr>
        <w:t>），</w:t>
      </w:r>
      <w:r>
        <w:rPr>
          <w:rFonts w:hint="eastAsia" w:cs="Times New Roman"/>
        </w:rPr>
        <w:t>大中型湖泊、大型水库保护区范围内为取水口半径不小于500m范围内的区域，</w:t>
      </w:r>
      <w:r>
        <w:rPr>
          <w:rFonts w:cs="Times New Roman"/>
        </w:rPr>
        <w:t>一级保护区上、下游范围不得小于卫生部门规定的饮用水源卫生防护带范围。</w:t>
      </w:r>
    </w:p>
    <w:p>
      <w:pPr>
        <w:numPr>
          <w:ilvl w:val="0"/>
          <w:numId w:val="4"/>
        </w:numPr>
        <w:autoSpaceDE w:val="0"/>
        <w:autoSpaceDN w:val="0"/>
        <w:adjustRightInd w:val="0"/>
        <w:spacing w:line="360" w:lineRule="auto"/>
        <w:ind w:left="0" w:firstLine="426"/>
        <w:rPr>
          <w:rFonts w:cs="Times New Roman"/>
        </w:rPr>
      </w:pPr>
      <w:r>
        <w:rPr>
          <w:rFonts w:cs="Times New Roman"/>
        </w:rPr>
        <w:t>根据《生活饮用水集中式供水单位卫生规范》第</w:t>
      </w:r>
      <w:r>
        <w:rPr>
          <w:rFonts w:hint="eastAsia" w:cs="Times New Roman"/>
        </w:rPr>
        <w:t>十</w:t>
      </w:r>
      <w:r>
        <w:rPr>
          <w:rFonts w:cs="Times New Roman"/>
        </w:rPr>
        <w:t>条，取水点周围半径100米的水域内，严禁捕捞、网箱养殖、停靠船只、游泳和从事其他可能污染水源的任何活动。取水点上游1000米至下游100米的水域不得排入工业废水和生活污水；其沿岸防护范围内不得堆放废渣，不得设立有毒、有害化学物品仓库、堆栈，不得设立装卸垃圾、粪便和有毒有害化学物品的码头，不得使用工业废水或生活污水灌溉及施用难降解或剧毒的农药，不得排放有毒气体、放射性物质，不得从事放牧等有可能污染该段水域水质的活动。作为生活饮用水水源的水库和湖泊，应根据不同情况，将取水点周围部分水域或整个水域及其沿岸划为水源保护区，并按第一、二项的规定执行。</w:t>
      </w:r>
    </w:p>
    <w:p>
      <w:pPr>
        <w:spacing w:line="360" w:lineRule="auto"/>
        <w:ind w:firstLine="480" w:firstLineChars="200"/>
        <w:rPr>
          <w:rFonts w:cs="Times New Roman"/>
          <w:color w:val="0000FF"/>
        </w:rPr>
      </w:pPr>
      <w:r>
        <w:rPr>
          <w:rFonts w:cs="Times New Roman"/>
          <w:color w:val="0000FF"/>
        </w:rPr>
        <w:t>如果饮用水源一级保护区或二级保护区内有支流汇入，应从支流汇入口向上游延伸一定距离，作为相应的一级保护区和二级保护区，划分方法可参照上述</w:t>
      </w:r>
      <w:r>
        <w:rPr>
          <w:rFonts w:hint="eastAsia" w:cs="Times New Roman"/>
          <w:color w:val="0000FF"/>
        </w:rPr>
        <w:t>水库型</w:t>
      </w:r>
      <w:r>
        <w:rPr>
          <w:rFonts w:cs="Times New Roman"/>
          <w:color w:val="0000FF"/>
        </w:rPr>
        <w:t>水源地保护区划分方法划定。根据支流汇入口所在的保护区级别的高低和距取水口距离的远近，其范围可适当减小。</w:t>
      </w:r>
    </w:p>
    <w:p>
      <w:pPr>
        <w:autoSpaceDE w:val="0"/>
        <w:autoSpaceDN w:val="0"/>
        <w:adjustRightInd w:val="0"/>
        <w:spacing w:line="520" w:lineRule="exact"/>
        <w:ind w:left="560"/>
        <w:rPr>
          <w:rFonts w:cs="Times New Roman"/>
          <w:b/>
        </w:rPr>
      </w:pPr>
      <w:r>
        <w:rPr>
          <w:rFonts w:cs="Times New Roman"/>
          <w:b/>
        </w:rPr>
        <w:t>（2）划分分析</w:t>
      </w:r>
    </w:p>
    <w:p>
      <w:pPr>
        <w:autoSpaceDE w:val="0"/>
        <w:autoSpaceDN w:val="0"/>
        <w:adjustRightInd w:val="0"/>
        <w:spacing w:line="520" w:lineRule="exact"/>
        <w:ind w:firstLine="480" w:firstLineChars="200"/>
        <w:rPr>
          <w:rFonts w:cs="Times New Roman"/>
        </w:rPr>
      </w:pPr>
      <w:r>
        <w:rPr>
          <w:rFonts w:cs="Times New Roman"/>
        </w:rPr>
        <w:t>四川省开江县县城</w:t>
      </w:r>
      <w:r>
        <w:rPr>
          <w:rFonts w:hint="eastAsia" w:cs="Times New Roman"/>
        </w:rPr>
        <w:t>宝石桥水库</w:t>
      </w:r>
      <w:r>
        <w:rPr>
          <w:rFonts w:cs="Times New Roman"/>
        </w:rPr>
        <w:t>水源地取水口段水质较好，</w:t>
      </w:r>
      <w:r>
        <w:rPr>
          <w:rFonts w:hint="eastAsia" w:cs="Times New Roman"/>
        </w:rPr>
        <w:t>根据建设单位提供的资料，宝石桥水库位于宝石乡，所在流域为白岩河，总库容为1.0142亿m³，水库面积8.1km</w:t>
      </w:r>
      <w:r>
        <w:rPr>
          <w:rFonts w:hint="eastAsia" w:cs="Times New Roman"/>
          <w:vertAlign w:val="superscript"/>
        </w:rPr>
        <w:t>2</w:t>
      </w:r>
      <w:r>
        <w:rPr>
          <w:rFonts w:hint="eastAsia" w:cs="Times New Roman"/>
        </w:rPr>
        <w:t>，根据</w:t>
      </w:r>
      <w:r>
        <w:rPr>
          <w:rFonts w:cs="Times New Roman"/>
        </w:rPr>
        <w:t>《饮用水水源保护区划分技术规范》（HJ/T338-20</w:t>
      </w:r>
      <w:r>
        <w:rPr>
          <w:rFonts w:hint="eastAsia" w:cs="Times New Roman"/>
        </w:rPr>
        <w:t>18</w:t>
      </w:r>
      <w:r>
        <w:rPr>
          <w:rFonts w:cs="Times New Roman"/>
        </w:rPr>
        <w:t>）</w:t>
      </w:r>
      <w:r>
        <w:rPr>
          <w:rFonts w:hint="eastAsia" w:cs="Times New Roman"/>
        </w:rPr>
        <w:t>中的相关规定，库容≥1亿m³为大型水库。</w:t>
      </w:r>
      <w:r>
        <w:rPr>
          <w:rFonts w:hint="eastAsia" w:cs="Times New Roman"/>
          <w:color w:val="FF0000"/>
        </w:rPr>
        <w:t>宝石桥水库</w:t>
      </w:r>
      <w:r>
        <w:rPr>
          <w:rFonts w:cs="Times New Roman"/>
          <w:color w:val="FF0000"/>
        </w:rPr>
        <w:t>常年以</w:t>
      </w:r>
      <w:r>
        <w:rPr>
          <w:rFonts w:hint="eastAsia" w:cs="Times New Roman"/>
          <w:color w:val="FF0000"/>
          <w:spacing w:val="-6"/>
        </w:rPr>
        <w:t>III</w:t>
      </w:r>
      <w:r>
        <w:rPr>
          <w:rFonts w:cs="Times New Roman"/>
          <w:color w:val="FF0000"/>
        </w:rPr>
        <w:t>类水质为主</w:t>
      </w:r>
      <w:r>
        <w:rPr>
          <w:rFonts w:cs="Times New Roman"/>
        </w:rPr>
        <w:t>，因此按照经验值确定</w:t>
      </w:r>
      <w:r>
        <w:rPr>
          <w:rFonts w:hint="eastAsia" w:cs="Times New Roman"/>
        </w:rPr>
        <w:t>一级保护区为取水口半径不小于500m范围内的区域。</w:t>
      </w:r>
    </w:p>
    <w:p>
      <w:pPr>
        <w:autoSpaceDE w:val="0"/>
        <w:autoSpaceDN w:val="0"/>
        <w:adjustRightInd w:val="0"/>
        <w:spacing w:line="520" w:lineRule="exact"/>
        <w:ind w:left="560"/>
        <w:rPr>
          <w:rFonts w:cs="Times New Roman"/>
          <w:b/>
        </w:rPr>
      </w:pPr>
      <w:r>
        <w:rPr>
          <w:rFonts w:cs="Times New Roman"/>
          <w:b/>
        </w:rPr>
        <w:t>（3）划分方案</w:t>
      </w:r>
    </w:p>
    <w:p>
      <w:pPr>
        <w:autoSpaceDE w:val="0"/>
        <w:autoSpaceDN w:val="0"/>
        <w:adjustRightInd w:val="0"/>
        <w:spacing w:line="520" w:lineRule="exact"/>
        <w:ind w:firstLine="480" w:firstLineChars="200"/>
        <w:rPr>
          <w:rFonts w:cs="Times New Roman"/>
        </w:rPr>
      </w:pPr>
      <w:r>
        <w:rPr>
          <w:rFonts w:cs="Times New Roman"/>
        </w:rPr>
        <w:t>一级保护区</w:t>
      </w:r>
      <w:r>
        <w:rPr>
          <w:rFonts w:hint="eastAsia" w:cs="Times New Roman"/>
        </w:rPr>
        <w:t>为</w:t>
      </w:r>
      <w:r>
        <w:rPr>
          <w:rFonts w:cs="Times New Roman"/>
        </w:rPr>
        <w:t>开江县</w:t>
      </w:r>
      <w:r>
        <w:rPr>
          <w:rFonts w:hint="eastAsia" w:cs="Times New Roman"/>
        </w:rPr>
        <w:t>宝石桥水库</w:t>
      </w:r>
      <w:r>
        <w:rPr>
          <w:rFonts w:cs="Times New Roman"/>
        </w:rPr>
        <w:t>水源地取水口</w:t>
      </w:r>
      <w:r>
        <w:rPr>
          <w:rFonts w:hint="eastAsia" w:cs="Times New Roman"/>
        </w:rPr>
        <w:t>半径不小于500m范围内的区域。</w:t>
      </w:r>
    </w:p>
    <w:p>
      <w:pPr>
        <w:outlineLvl w:val="3"/>
        <w:rPr>
          <w:rFonts w:cs="Times New Roman"/>
          <w:b/>
          <w:kern w:val="0"/>
        </w:rPr>
      </w:pPr>
      <w:r>
        <w:rPr>
          <w:rFonts w:hint="eastAsia" w:cs="Times New Roman"/>
          <w:b/>
          <w:kern w:val="0"/>
        </w:rPr>
        <w:t>5</w:t>
      </w:r>
      <w:r>
        <w:rPr>
          <w:rFonts w:cs="Times New Roman"/>
          <w:b/>
          <w:kern w:val="0"/>
        </w:rPr>
        <w:t>.2.1.</w:t>
      </w:r>
      <w:r>
        <w:rPr>
          <w:rFonts w:hint="eastAsia" w:cs="Times New Roman"/>
          <w:b/>
          <w:kern w:val="0"/>
        </w:rPr>
        <w:t>2</w:t>
      </w:r>
      <w:r>
        <w:rPr>
          <w:rFonts w:cs="Times New Roman"/>
          <w:b/>
          <w:kern w:val="0"/>
        </w:rPr>
        <w:t xml:space="preserve">  陆域范围</w:t>
      </w:r>
    </w:p>
    <w:p>
      <w:pPr>
        <w:autoSpaceDE w:val="0"/>
        <w:autoSpaceDN w:val="0"/>
        <w:adjustRightInd w:val="0"/>
        <w:spacing w:line="500" w:lineRule="exact"/>
        <w:ind w:firstLine="482" w:firstLineChars="200"/>
        <w:rPr>
          <w:rFonts w:cs="Times New Roman"/>
          <w:b/>
        </w:rPr>
      </w:pPr>
      <w:r>
        <w:rPr>
          <w:rFonts w:cs="Times New Roman"/>
          <w:b/>
        </w:rPr>
        <w:t>（1）划分依据</w:t>
      </w:r>
    </w:p>
    <w:p>
      <w:pPr>
        <w:numPr>
          <w:ilvl w:val="0"/>
          <w:numId w:val="5"/>
        </w:numPr>
        <w:autoSpaceDE w:val="0"/>
        <w:autoSpaceDN w:val="0"/>
        <w:adjustRightInd w:val="0"/>
        <w:spacing w:line="500" w:lineRule="exact"/>
        <w:ind w:left="0" w:firstLine="709"/>
        <w:rPr>
          <w:rFonts w:cs="Times New Roman"/>
        </w:rPr>
      </w:pPr>
      <w:r>
        <w:rPr>
          <w:rFonts w:hint="eastAsia" w:cs="Times New Roman"/>
        </w:rPr>
        <w:t>大中型湖泊、大型水库以一级保护区水域外不小于200m范围内的陆域，但不超过流域分水岭范围</w:t>
      </w:r>
      <w:r>
        <w:rPr>
          <w:rFonts w:cs="Times New Roman"/>
        </w:rPr>
        <w:t>。</w:t>
      </w:r>
    </w:p>
    <w:p>
      <w:pPr>
        <w:autoSpaceDE w:val="0"/>
        <w:autoSpaceDN w:val="0"/>
        <w:adjustRightInd w:val="0"/>
        <w:ind w:firstLine="482" w:firstLineChars="200"/>
        <w:jc w:val="left"/>
        <w:rPr>
          <w:rFonts w:cs="Times New Roman"/>
          <w:b/>
        </w:rPr>
      </w:pPr>
      <w:r>
        <w:rPr>
          <w:rFonts w:cs="Times New Roman"/>
          <w:b/>
        </w:rPr>
        <w:t>（2）划分方案</w:t>
      </w:r>
    </w:p>
    <w:p>
      <w:pPr>
        <w:spacing w:line="360" w:lineRule="auto"/>
        <w:ind w:firstLine="480" w:firstLineChars="200"/>
        <w:rPr>
          <w:rFonts w:cs="Times New Roman"/>
        </w:rPr>
      </w:pPr>
      <w:r>
        <w:rPr>
          <w:rFonts w:cs="Times New Roman"/>
        </w:rPr>
        <w:t>综上，按照经验值划分方法，故一级保护区陆域范围为</w:t>
      </w:r>
      <w:r>
        <w:rPr>
          <w:rFonts w:hint="eastAsia" w:cs="Times New Roman"/>
        </w:rPr>
        <w:t>以</w:t>
      </w:r>
      <w:r>
        <w:rPr>
          <w:rFonts w:cs="Times New Roman"/>
        </w:rPr>
        <w:t>一级保护区水域外不小于200m范围内的陆域。</w:t>
      </w:r>
    </w:p>
    <w:p>
      <w:pPr>
        <w:outlineLvl w:val="3"/>
        <w:rPr>
          <w:rFonts w:cs="Times New Roman"/>
          <w:b/>
          <w:kern w:val="0"/>
        </w:rPr>
      </w:pPr>
      <w:r>
        <w:rPr>
          <w:rFonts w:hint="eastAsia" w:cs="Times New Roman"/>
          <w:b/>
          <w:kern w:val="0"/>
        </w:rPr>
        <w:t>5</w:t>
      </w:r>
      <w:r>
        <w:rPr>
          <w:rFonts w:cs="Times New Roman"/>
          <w:b/>
          <w:kern w:val="0"/>
        </w:rPr>
        <w:t>.2.1.4  划分结果及定界</w:t>
      </w:r>
    </w:p>
    <w:p>
      <w:pPr>
        <w:spacing w:line="360" w:lineRule="auto"/>
        <w:ind w:firstLine="480" w:firstLineChars="200"/>
        <w:rPr>
          <w:rFonts w:cs="Times New Roman"/>
        </w:rPr>
      </w:pPr>
      <w:r>
        <w:rPr>
          <w:rFonts w:cs="Times New Roman"/>
        </w:rPr>
        <w:t>一级保护区水域范围</w:t>
      </w:r>
      <w:r>
        <w:rPr>
          <w:rFonts w:hint="eastAsia" w:cs="Times New Roman"/>
        </w:rPr>
        <w:t>为取水口半径不小于500m范围内的区域。</w:t>
      </w:r>
      <w:r>
        <w:rPr>
          <w:rFonts w:cs="Times New Roman"/>
        </w:rPr>
        <w:t>陆域范围为</w:t>
      </w:r>
      <w:r>
        <w:rPr>
          <w:rFonts w:hint="eastAsia" w:cs="Times New Roman"/>
        </w:rPr>
        <w:t>以</w:t>
      </w:r>
      <w:r>
        <w:rPr>
          <w:rFonts w:cs="Times New Roman"/>
        </w:rPr>
        <w:t>一级保护区水域外不小于200m范围内的陆域。</w:t>
      </w:r>
    </w:p>
    <w:p>
      <w:pPr>
        <w:autoSpaceDE w:val="0"/>
        <w:autoSpaceDN w:val="0"/>
        <w:adjustRightInd w:val="0"/>
        <w:spacing w:line="360" w:lineRule="auto"/>
        <w:outlineLvl w:val="2"/>
        <w:rPr>
          <w:rFonts w:cs="Times New Roman"/>
          <w:b/>
          <w:kern w:val="0"/>
          <w:lang w:val="zh-CN"/>
        </w:rPr>
      </w:pPr>
      <w:bookmarkStart w:id="262" w:name="_Toc32375"/>
      <w:bookmarkStart w:id="263" w:name="_Toc10419"/>
      <w:bookmarkStart w:id="264" w:name="_Toc5149"/>
      <w:r>
        <w:rPr>
          <w:rFonts w:hint="eastAsia" w:cs="Times New Roman"/>
          <w:b/>
          <w:kern w:val="0"/>
        </w:rPr>
        <w:t>5</w:t>
      </w:r>
      <w:r>
        <w:rPr>
          <w:rFonts w:cs="Times New Roman"/>
          <w:b/>
          <w:kern w:val="0"/>
          <w:lang w:val="zh-CN"/>
        </w:rPr>
        <w:t>.2.2 二级保护区划分方案</w:t>
      </w:r>
      <w:bookmarkEnd w:id="262"/>
      <w:bookmarkEnd w:id="263"/>
      <w:bookmarkEnd w:id="264"/>
    </w:p>
    <w:p>
      <w:pPr>
        <w:autoSpaceDE w:val="0"/>
        <w:autoSpaceDN w:val="0"/>
        <w:adjustRightInd w:val="0"/>
        <w:spacing w:line="520" w:lineRule="exact"/>
        <w:ind w:firstLine="482" w:firstLineChars="200"/>
        <w:rPr>
          <w:rFonts w:cs="Times New Roman"/>
          <w:b/>
        </w:rPr>
      </w:pPr>
      <w:r>
        <w:rPr>
          <w:rFonts w:cs="Times New Roman"/>
          <w:b/>
        </w:rPr>
        <w:t>（1）划分依据</w:t>
      </w:r>
    </w:p>
    <w:p>
      <w:pPr>
        <w:autoSpaceDE w:val="0"/>
        <w:autoSpaceDN w:val="0"/>
        <w:adjustRightInd w:val="0"/>
        <w:spacing w:line="520" w:lineRule="exact"/>
        <w:ind w:firstLine="480" w:firstLineChars="200"/>
        <w:rPr>
          <w:rFonts w:cs="Times New Roman"/>
        </w:rPr>
      </w:pPr>
      <w:r>
        <w:rPr>
          <w:rFonts w:cs="Times New Roman"/>
        </w:rPr>
        <w:t>根据《饮用水水源保护区划分技术规范》（HJ/T338-20</w:t>
      </w:r>
      <w:r>
        <w:rPr>
          <w:rFonts w:hint="eastAsia" w:cs="Times New Roman"/>
        </w:rPr>
        <w:t>18</w:t>
      </w:r>
      <w:r>
        <w:rPr>
          <w:rFonts w:cs="Times New Roman"/>
        </w:rPr>
        <w:t>）：</w:t>
      </w:r>
    </w:p>
    <w:p>
      <w:pPr>
        <w:numPr>
          <w:ilvl w:val="0"/>
          <w:numId w:val="6"/>
        </w:numPr>
        <w:autoSpaceDE w:val="0"/>
        <w:autoSpaceDN w:val="0"/>
        <w:adjustRightInd w:val="0"/>
        <w:spacing w:line="520" w:lineRule="exact"/>
        <w:ind w:left="0" w:firstLine="560"/>
        <w:rPr>
          <w:rFonts w:cs="Times New Roman"/>
        </w:rPr>
      </w:pPr>
      <w:r>
        <w:rPr>
          <w:rFonts w:cs="Times New Roman"/>
        </w:rPr>
        <w:t>满足条件的水源地，可采用类比经验法确定二级保护区水域范围。</w:t>
      </w:r>
    </w:p>
    <w:p>
      <w:pPr>
        <w:numPr>
          <w:ilvl w:val="0"/>
          <w:numId w:val="6"/>
        </w:numPr>
        <w:autoSpaceDE w:val="0"/>
        <w:autoSpaceDN w:val="0"/>
        <w:adjustRightInd w:val="0"/>
        <w:spacing w:line="520" w:lineRule="exact"/>
        <w:ind w:left="0" w:firstLine="560"/>
        <w:rPr>
          <w:rFonts w:cs="Times New Roman"/>
        </w:rPr>
      </w:pPr>
      <w:r>
        <w:rPr>
          <w:rFonts w:cs="Times New Roman"/>
        </w:rPr>
        <w:t>小型湖泊、中小型水库一级保护区边界外的水域面积设定为二级保护区。</w:t>
      </w:r>
    </w:p>
    <w:p>
      <w:pPr>
        <w:numPr>
          <w:ilvl w:val="0"/>
          <w:numId w:val="6"/>
        </w:numPr>
        <w:autoSpaceDE w:val="0"/>
        <w:autoSpaceDN w:val="0"/>
        <w:adjustRightInd w:val="0"/>
        <w:spacing w:line="520" w:lineRule="exact"/>
        <w:ind w:left="0" w:firstLine="560"/>
        <w:rPr>
          <w:rFonts w:cs="Times New Roman"/>
        </w:rPr>
      </w:pPr>
      <w:r>
        <w:rPr>
          <w:rFonts w:cs="Times New Roman"/>
        </w:rPr>
        <w:t>大中型湖泊、大型水库以一级保护区外径向距离不小于 2000 m 区域为二级保护区水域面积，但不超过水域范围。</w:t>
      </w:r>
    </w:p>
    <w:p>
      <w:pPr>
        <w:numPr>
          <w:ilvl w:val="0"/>
          <w:numId w:val="6"/>
        </w:numPr>
        <w:autoSpaceDE w:val="0"/>
        <w:autoSpaceDN w:val="0"/>
        <w:adjustRightInd w:val="0"/>
        <w:spacing w:line="520" w:lineRule="exact"/>
        <w:ind w:left="0" w:firstLine="560"/>
        <w:rPr>
          <w:rFonts w:cs="Times New Roman"/>
        </w:rPr>
      </w:pPr>
      <w:r>
        <w:rPr>
          <w:rFonts w:cs="Times New Roman"/>
        </w:rPr>
        <w:t>依据水源地周边污染源的分布和排放特征，选择采用数值模型计算法或应急响应时间法，确定二级保护区水域范围。采用数值模型计算法时，二级保护区的水域范围，应大于主要污染物从现状水质浓度水平衰减到 GB 3838 相关水质标准要求的浓度水平所需的距离。数值模型计算法参见附录 C。所得到的二级保护区范围不得小于类比经验法确定的二级保护区范围，且二级保护区边界控制断面水质不得发生退化。</w:t>
      </w:r>
    </w:p>
    <w:p>
      <w:pPr>
        <w:numPr>
          <w:ilvl w:val="0"/>
          <w:numId w:val="6"/>
        </w:numPr>
        <w:autoSpaceDE w:val="0"/>
        <w:autoSpaceDN w:val="0"/>
        <w:adjustRightInd w:val="0"/>
        <w:spacing w:line="520" w:lineRule="exact"/>
        <w:ind w:left="0" w:firstLine="560"/>
        <w:rPr>
          <w:rFonts w:cs="Times New Roman"/>
        </w:rPr>
      </w:pPr>
      <w:r>
        <w:rPr>
          <w:rFonts w:cs="Times New Roman"/>
        </w:rPr>
        <w:t>采用应急响应时间法时，二级保护区的水域范围，应大于一定响应时间内流程的径向距离。应急响应时间可根据水源地所在地应急能力状况确定，一般不小于2个小时，所得到的二级水源保护区范围不得小于类比经验法确定的范围。</w:t>
      </w:r>
    </w:p>
    <w:p>
      <w:pPr>
        <w:numPr>
          <w:ilvl w:val="0"/>
          <w:numId w:val="6"/>
        </w:numPr>
        <w:autoSpaceDE w:val="0"/>
        <w:autoSpaceDN w:val="0"/>
        <w:adjustRightInd w:val="0"/>
        <w:spacing w:line="520" w:lineRule="exact"/>
        <w:ind w:left="0" w:firstLine="560"/>
        <w:rPr>
          <w:rFonts w:cs="Times New Roman"/>
        </w:rPr>
      </w:pPr>
      <w:r>
        <w:rPr>
          <w:rFonts w:cs="Times New Roman"/>
        </w:rPr>
        <w:t>大中型湖泊、大型水库可以划分一级保护区外径向距离不小于 3000 m 的区域为二级保护区范围。二级保护区陆域边界不超过相应的流域分水岭。</w:t>
      </w:r>
    </w:p>
    <w:p>
      <w:pPr>
        <w:autoSpaceDE w:val="0"/>
        <w:autoSpaceDN w:val="0"/>
        <w:adjustRightInd w:val="0"/>
        <w:spacing w:line="520" w:lineRule="exact"/>
        <w:ind w:firstLine="482" w:firstLineChars="200"/>
        <w:rPr>
          <w:rFonts w:cs="Times New Roman"/>
          <w:b/>
        </w:rPr>
      </w:pPr>
      <w:r>
        <w:rPr>
          <w:rFonts w:cs="Times New Roman"/>
          <w:b/>
        </w:rPr>
        <w:t>（2）划分分析</w:t>
      </w:r>
    </w:p>
    <w:p>
      <w:pPr>
        <w:autoSpaceDE w:val="0"/>
        <w:autoSpaceDN w:val="0"/>
        <w:adjustRightInd w:val="0"/>
        <w:spacing w:line="520" w:lineRule="exact"/>
        <w:ind w:firstLine="480" w:firstLineChars="200"/>
        <w:rPr>
          <w:rFonts w:cs="Times New Roman"/>
        </w:rPr>
      </w:pPr>
      <w:r>
        <w:rPr>
          <w:rFonts w:hint="eastAsia" w:cs="Times New Roman"/>
        </w:rPr>
        <w:t>宝石桥水库水源地现状水质达标，主要污染类型为面源污染，且上游24个小时流程时间内无重大风险源，故本次划分可采用类比法。采用类比经验法划分保护区后，应定期开展跟踪监测，若发现划分结果不合理。应及时予以调整。</w:t>
      </w:r>
    </w:p>
    <w:p>
      <w:pPr>
        <w:autoSpaceDE w:val="0"/>
        <w:autoSpaceDN w:val="0"/>
        <w:adjustRightInd w:val="0"/>
        <w:spacing w:line="520" w:lineRule="exact"/>
        <w:ind w:firstLine="480" w:firstLineChars="200"/>
        <w:rPr>
          <w:rFonts w:cs="Times New Roman"/>
        </w:rPr>
      </w:pPr>
      <w:r>
        <w:rPr>
          <w:rFonts w:hint="eastAsia" w:cs="Times New Roman"/>
        </w:rPr>
        <w:t>根据</w:t>
      </w:r>
      <w:r>
        <w:rPr>
          <w:rFonts w:cs="Times New Roman"/>
        </w:rPr>
        <w:t>《饮用水水源保护区划分技术规范》（HJ/T338-20</w:t>
      </w:r>
      <w:r>
        <w:rPr>
          <w:rFonts w:hint="eastAsia" w:cs="Times New Roman"/>
        </w:rPr>
        <w:t>18</w:t>
      </w:r>
      <w:r>
        <w:rPr>
          <w:rFonts w:cs="Times New Roman"/>
        </w:rPr>
        <w:t>）</w:t>
      </w:r>
      <w:r>
        <w:rPr>
          <w:rFonts w:hint="eastAsia" w:cs="Times New Roman"/>
        </w:rPr>
        <w:t>，水库范围内</w:t>
      </w:r>
      <w:r>
        <w:rPr>
          <w:rFonts w:cs="Times New Roman"/>
        </w:rPr>
        <w:t>大中型湖泊、大型水库以一级保护区外径向距离不小于 2000 m 区域为二级保护区水域面积，但不超过水域范围。大中型湖泊、大型水库可以划分一级保护区外径向距离不小于 3000 m 的区域为二级保护区范围。二级保护区陆域边界不超过相应的流域分水岭。</w:t>
      </w:r>
    </w:p>
    <w:p>
      <w:pPr>
        <w:autoSpaceDE w:val="0"/>
        <w:autoSpaceDN w:val="0"/>
        <w:adjustRightInd w:val="0"/>
        <w:spacing w:line="520" w:lineRule="exact"/>
        <w:ind w:firstLine="482" w:firstLineChars="200"/>
        <w:rPr>
          <w:rFonts w:cs="Times New Roman"/>
          <w:b/>
        </w:rPr>
      </w:pPr>
      <w:r>
        <w:rPr>
          <w:rFonts w:cs="Times New Roman"/>
          <w:b/>
        </w:rPr>
        <w:t>（3）划分方案</w:t>
      </w:r>
    </w:p>
    <w:p>
      <w:pPr>
        <w:autoSpaceDE w:val="0"/>
        <w:autoSpaceDN w:val="0"/>
        <w:adjustRightInd w:val="0"/>
        <w:spacing w:line="520" w:lineRule="exact"/>
        <w:ind w:firstLine="480" w:firstLineChars="200"/>
        <w:rPr>
          <w:rFonts w:cs="Times New Roman"/>
        </w:rPr>
      </w:pPr>
      <w:r>
        <w:rPr>
          <w:rFonts w:cs="Times New Roman"/>
        </w:rPr>
        <w:t>综合以上分析，</w:t>
      </w:r>
      <w:r>
        <w:rPr>
          <w:rFonts w:hint="eastAsia" w:cs="Times New Roman"/>
        </w:rPr>
        <w:t>宝石桥水库的二级保护区水域范围为</w:t>
      </w:r>
      <w:r>
        <w:rPr>
          <w:rFonts w:cs="Times New Roman"/>
        </w:rPr>
        <w:t>一级保护区外径向距离不小于 2000 m 区域为二级保护区水域面积，</w:t>
      </w:r>
      <w:r>
        <w:rPr>
          <w:rFonts w:hint="eastAsia" w:cs="Times New Roman"/>
        </w:rPr>
        <w:t>二级保护区陆域范围为一级保护区外径向距离不小于 3000 m 的区域为二级保护区范围</w:t>
      </w:r>
      <w:r>
        <w:rPr>
          <w:rFonts w:cs="Times New Roman"/>
        </w:rPr>
        <w:t>。</w:t>
      </w:r>
    </w:p>
    <w:p>
      <w:pPr>
        <w:pStyle w:val="3"/>
        <w:spacing w:before="0" w:after="0" w:line="360" w:lineRule="auto"/>
        <w:jc w:val="left"/>
        <w:rPr>
          <w:rFonts w:ascii="Times New Roman" w:hAnsi="Times New Roman" w:cs="Times New Roman"/>
        </w:rPr>
      </w:pPr>
      <w:bookmarkStart w:id="265" w:name="_Toc10638"/>
      <w:bookmarkStart w:id="266" w:name="_Toc13802"/>
      <w:bookmarkStart w:id="267" w:name="_Toc492740619"/>
      <w:r>
        <w:rPr>
          <w:rFonts w:hint="eastAsia" w:ascii="Times New Roman" w:hAnsi="Times New Roman" w:cs="Times New Roman"/>
        </w:rPr>
        <w:t>5</w:t>
      </w:r>
      <w:r>
        <w:rPr>
          <w:rFonts w:ascii="Times New Roman" w:hAnsi="Times New Roman" w:cs="Times New Roman"/>
        </w:rPr>
        <w:t>.3饮用水源保护区最终定界</w:t>
      </w:r>
      <w:bookmarkEnd w:id="265"/>
      <w:bookmarkEnd w:id="266"/>
      <w:bookmarkEnd w:id="267"/>
    </w:p>
    <w:p>
      <w:pPr>
        <w:spacing w:line="360" w:lineRule="auto"/>
        <w:ind w:firstLine="480" w:firstLineChars="200"/>
        <w:rPr>
          <w:rFonts w:cs="Times New Roman"/>
        </w:rPr>
      </w:pPr>
      <w:r>
        <w:rPr>
          <w:rFonts w:cs="Times New Roman"/>
        </w:rPr>
        <w:t>根据《规划》，结合水源保护区的地形、地标、地物特点，最终确定各级保护区的界线。</w:t>
      </w:r>
      <w:r>
        <w:rPr>
          <w:rFonts w:hint="eastAsia" w:cs="Times New Roman"/>
        </w:rPr>
        <w:t>取水口位于宝石桥水库西南侧（取水口位置不发生变化）东经107.95030832（107°57′1.1099″），纬度31.07114911（31°04′16.136796″）。</w:t>
      </w:r>
    </w:p>
    <w:p>
      <w:pPr>
        <w:spacing w:line="360" w:lineRule="auto"/>
        <w:rPr>
          <w:rFonts w:cs="Times New Roman"/>
          <w:b/>
          <w:kern w:val="0"/>
          <w:lang w:val="zh-CN"/>
        </w:rPr>
      </w:pPr>
      <w:r>
        <w:rPr>
          <w:rFonts w:hint="eastAsia" w:cs="Times New Roman"/>
          <w:b/>
          <w:kern w:val="0"/>
        </w:rPr>
        <w:t>5</w:t>
      </w:r>
      <w:r>
        <w:rPr>
          <w:rFonts w:cs="Times New Roman"/>
          <w:b/>
          <w:kern w:val="0"/>
          <w:lang w:val="zh-CN"/>
        </w:rPr>
        <w:t>.</w:t>
      </w:r>
      <w:r>
        <w:rPr>
          <w:rFonts w:cs="Times New Roman"/>
          <w:b/>
          <w:kern w:val="0"/>
        </w:rPr>
        <w:t>3</w:t>
      </w:r>
      <w:r>
        <w:rPr>
          <w:rFonts w:cs="Times New Roman"/>
          <w:b/>
          <w:kern w:val="0"/>
          <w:lang w:val="zh-CN"/>
        </w:rPr>
        <w:t>.1保护区划定结果</w:t>
      </w:r>
    </w:p>
    <w:p>
      <w:pPr>
        <w:spacing w:line="360" w:lineRule="auto"/>
        <w:jc w:val="center"/>
        <w:rPr>
          <w:rFonts w:cs="Times New Roman"/>
          <w:b/>
          <w:sz w:val="22"/>
          <w:szCs w:val="20"/>
        </w:rPr>
      </w:pPr>
      <w:r>
        <w:rPr>
          <w:rFonts w:cs="Times New Roman"/>
          <w:b/>
          <w:sz w:val="22"/>
          <w:szCs w:val="20"/>
        </w:rPr>
        <w:t>表</w:t>
      </w:r>
      <w:r>
        <w:rPr>
          <w:rFonts w:hint="eastAsia" w:cs="Times New Roman"/>
          <w:b/>
          <w:sz w:val="22"/>
          <w:szCs w:val="20"/>
        </w:rPr>
        <w:t>5-</w:t>
      </w:r>
      <w:r>
        <w:rPr>
          <w:rFonts w:cs="Times New Roman"/>
          <w:b/>
          <w:sz w:val="22"/>
          <w:szCs w:val="20"/>
        </w:rPr>
        <w:t>1</w:t>
      </w:r>
      <w:r>
        <w:rPr>
          <w:rFonts w:cs="Times New Roman"/>
          <w:b/>
          <w:bCs/>
          <w:sz w:val="21"/>
          <w:szCs w:val="21"/>
        </w:rPr>
        <w:t>开江县</w:t>
      </w:r>
      <w:r>
        <w:rPr>
          <w:rFonts w:hint="eastAsia" w:cs="Times New Roman"/>
          <w:b/>
          <w:bCs/>
          <w:sz w:val="21"/>
          <w:szCs w:val="21"/>
        </w:rPr>
        <w:t>宝石桥水库水库型</w:t>
      </w:r>
      <w:r>
        <w:rPr>
          <w:rFonts w:cs="Times New Roman"/>
          <w:b/>
          <w:sz w:val="22"/>
          <w:szCs w:val="20"/>
        </w:rPr>
        <w:t>饮用水水源保护区划分方案表</w:t>
      </w:r>
    </w:p>
    <w:tbl>
      <w:tblPr>
        <w:tblStyle w:val="21"/>
        <w:tblW w:w="851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
      <w:tblGrid>
        <w:gridCol w:w="353"/>
        <w:gridCol w:w="750"/>
        <w:gridCol w:w="722"/>
        <w:gridCol w:w="1334"/>
        <w:gridCol w:w="1569"/>
        <w:gridCol w:w="1389"/>
        <w:gridCol w:w="1333"/>
        <w:gridCol w:w="1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trHeight w:val="227" w:hRule="atLeast"/>
          <w:tblHeader/>
          <w:jc w:val="center"/>
        </w:trPr>
        <w:tc>
          <w:tcPr>
            <w:tcW w:w="353" w:type="dxa"/>
            <w:vMerge w:val="restart"/>
            <w:vAlign w:val="center"/>
          </w:tcPr>
          <w:p>
            <w:pPr>
              <w:pStyle w:val="27"/>
              <w:rPr>
                <w:rFonts w:cs="Times New Roman" w:eastAsiaTheme="minorEastAsia"/>
                <w:b/>
                <w:sz w:val="21"/>
                <w:szCs w:val="21"/>
              </w:rPr>
            </w:pPr>
            <w:r>
              <w:rPr>
                <w:rFonts w:cs="Times New Roman" w:eastAsiaTheme="minorEastAsia"/>
                <w:b/>
                <w:sz w:val="21"/>
                <w:szCs w:val="21"/>
              </w:rPr>
              <w:t>序号</w:t>
            </w:r>
          </w:p>
        </w:tc>
        <w:tc>
          <w:tcPr>
            <w:tcW w:w="750" w:type="dxa"/>
            <w:vMerge w:val="restart"/>
            <w:vAlign w:val="center"/>
          </w:tcPr>
          <w:p>
            <w:pPr>
              <w:pStyle w:val="27"/>
              <w:rPr>
                <w:rFonts w:cs="Times New Roman" w:eastAsiaTheme="minorEastAsia"/>
                <w:b/>
                <w:sz w:val="21"/>
                <w:szCs w:val="21"/>
              </w:rPr>
            </w:pPr>
            <w:r>
              <w:rPr>
                <w:rFonts w:cs="Times New Roman" w:eastAsiaTheme="minorEastAsia"/>
                <w:b/>
                <w:sz w:val="21"/>
                <w:szCs w:val="21"/>
              </w:rPr>
              <w:t>名称</w:t>
            </w:r>
          </w:p>
        </w:tc>
        <w:tc>
          <w:tcPr>
            <w:tcW w:w="722" w:type="dxa"/>
            <w:vMerge w:val="restart"/>
            <w:vAlign w:val="center"/>
          </w:tcPr>
          <w:p>
            <w:pPr>
              <w:pStyle w:val="27"/>
              <w:rPr>
                <w:rFonts w:cs="Times New Roman" w:eastAsiaTheme="minorEastAsia"/>
                <w:b/>
                <w:sz w:val="21"/>
                <w:szCs w:val="21"/>
              </w:rPr>
            </w:pPr>
            <w:r>
              <w:rPr>
                <w:rFonts w:cs="Times New Roman" w:eastAsiaTheme="minorEastAsia"/>
                <w:b/>
                <w:sz w:val="21"/>
                <w:szCs w:val="21"/>
              </w:rPr>
              <w:t>取水口</w:t>
            </w:r>
          </w:p>
        </w:tc>
        <w:tc>
          <w:tcPr>
            <w:tcW w:w="2903" w:type="dxa"/>
            <w:gridSpan w:val="2"/>
            <w:vAlign w:val="center"/>
          </w:tcPr>
          <w:p>
            <w:pPr>
              <w:pStyle w:val="27"/>
              <w:rPr>
                <w:rFonts w:cs="Times New Roman" w:eastAsiaTheme="minorEastAsia"/>
                <w:b/>
                <w:sz w:val="21"/>
                <w:szCs w:val="21"/>
              </w:rPr>
            </w:pPr>
            <w:r>
              <w:rPr>
                <w:rFonts w:cs="Times New Roman" w:eastAsiaTheme="minorEastAsia"/>
                <w:b/>
                <w:sz w:val="21"/>
                <w:szCs w:val="21"/>
              </w:rPr>
              <w:t>一级保护区</w:t>
            </w:r>
          </w:p>
        </w:tc>
        <w:tc>
          <w:tcPr>
            <w:tcW w:w="2722" w:type="dxa"/>
            <w:gridSpan w:val="2"/>
            <w:vAlign w:val="center"/>
          </w:tcPr>
          <w:p>
            <w:pPr>
              <w:pStyle w:val="27"/>
              <w:rPr>
                <w:rFonts w:cs="Times New Roman" w:eastAsiaTheme="minorEastAsia"/>
                <w:b/>
                <w:sz w:val="21"/>
                <w:szCs w:val="21"/>
              </w:rPr>
            </w:pPr>
            <w:r>
              <w:rPr>
                <w:rFonts w:hint="eastAsia" w:cs="Times New Roman" w:eastAsiaTheme="minorEastAsia"/>
                <w:b/>
                <w:sz w:val="21"/>
                <w:szCs w:val="21"/>
              </w:rPr>
              <w:t>二级保护区</w:t>
            </w:r>
          </w:p>
        </w:tc>
        <w:tc>
          <w:tcPr>
            <w:tcW w:w="1060" w:type="dxa"/>
            <w:vMerge w:val="restart"/>
            <w:vAlign w:val="center"/>
          </w:tcPr>
          <w:p>
            <w:pPr>
              <w:pStyle w:val="27"/>
              <w:rPr>
                <w:rFonts w:cs="Times New Roman" w:eastAsiaTheme="minorEastAsia"/>
                <w:b/>
                <w:sz w:val="21"/>
                <w:szCs w:val="21"/>
              </w:rPr>
            </w:pPr>
            <w:r>
              <w:rPr>
                <w:rFonts w:hint="eastAsia" w:cs="Times New Roman" w:eastAsiaTheme="minorEastAsia"/>
                <w:b/>
                <w:sz w:val="21"/>
                <w:szCs w:val="21"/>
              </w:rPr>
              <w:t>准保护区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trHeight w:val="285" w:hRule="atLeast"/>
          <w:tblHeader/>
          <w:jc w:val="center"/>
        </w:trPr>
        <w:tc>
          <w:tcPr>
            <w:tcW w:w="353" w:type="dxa"/>
            <w:vMerge w:val="continue"/>
            <w:vAlign w:val="center"/>
          </w:tcPr>
          <w:p>
            <w:pPr>
              <w:pStyle w:val="27"/>
              <w:rPr>
                <w:rFonts w:cs="Times New Roman" w:eastAsiaTheme="minorEastAsia"/>
                <w:b/>
                <w:sz w:val="21"/>
                <w:szCs w:val="21"/>
              </w:rPr>
            </w:pPr>
          </w:p>
        </w:tc>
        <w:tc>
          <w:tcPr>
            <w:tcW w:w="750" w:type="dxa"/>
            <w:vMerge w:val="continue"/>
            <w:vAlign w:val="center"/>
          </w:tcPr>
          <w:p>
            <w:pPr>
              <w:pStyle w:val="27"/>
              <w:rPr>
                <w:rFonts w:cs="Times New Roman" w:eastAsiaTheme="minorEastAsia"/>
                <w:b/>
                <w:sz w:val="21"/>
                <w:szCs w:val="21"/>
              </w:rPr>
            </w:pPr>
          </w:p>
        </w:tc>
        <w:tc>
          <w:tcPr>
            <w:tcW w:w="722" w:type="dxa"/>
            <w:vMerge w:val="continue"/>
            <w:vAlign w:val="center"/>
          </w:tcPr>
          <w:p>
            <w:pPr>
              <w:pStyle w:val="27"/>
              <w:rPr>
                <w:rFonts w:cs="Times New Roman" w:eastAsiaTheme="minorEastAsia"/>
                <w:b/>
                <w:sz w:val="21"/>
                <w:szCs w:val="21"/>
              </w:rPr>
            </w:pPr>
          </w:p>
        </w:tc>
        <w:tc>
          <w:tcPr>
            <w:tcW w:w="1334" w:type="dxa"/>
            <w:vAlign w:val="center"/>
          </w:tcPr>
          <w:p>
            <w:pPr>
              <w:pStyle w:val="27"/>
              <w:rPr>
                <w:rFonts w:cs="Times New Roman" w:eastAsiaTheme="minorEastAsia"/>
                <w:b/>
                <w:sz w:val="21"/>
                <w:szCs w:val="21"/>
              </w:rPr>
            </w:pPr>
            <w:r>
              <w:rPr>
                <w:rFonts w:cs="Times New Roman" w:eastAsiaTheme="minorEastAsia"/>
                <w:b/>
                <w:sz w:val="21"/>
                <w:szCs w:val="21"/>
              </w:rPr>
              <w:t>水域</w:t>
            </w:r>
          </w:p>
        </w:tc>
        <w:tc>
          <w:tcPr>
            <w:tcW w:w="1569" w:type="dxa"/>
            <w:vAlign w:val="center"/>
          </w:tcPr>
          <w:p>
            <w:pPr>
              <w:pStyle w:val="27"/>
              <w:rPr>
                <w:rFonts w:cs="Times New Roman" w:eastAsiaTheme="minorEastAsia"/>
                <w:b/>
                <w:sz w:val="21"/>
                <w:szCs w:val="21"/>
              </w:rPr>
            </w:pPr>
            <w:r>
              <w:rPr>
                <w:rFonts w:cs="Times New Roman" w:eastAsiaTheme="minorEastAsia"/>
                <w:b/>
                <w:sz w:val="21"/>
                <w:szCs w:val="21"/>
              </w:rPr>
              <w:t>陆域</w:t>
            </w:r>
          </w:p>
        </w:tc>
        <w:tc>
          <w:tcPr>
            <w:tcW w:w="1389" w:type="dxa"/>
            <w:vAlign w:val="center"/>
          </w:tcPr>
          <w:p>
            <w:pPr>
              <w:pStyle w:val="27"/>
              <w:rPr>
                <w:rFonts w:cs="Times New Roman" w:eastAsiaTheme="minorEastAsia"/>
                <w:b/>
                <w:sz w:val="21"/>
                <w:szCs w:val="21"/>
              </w:rPr>
            </w:pPr>
            <w:r>
              <w:rPr>
                <w:rFonts w:cs="Times New Roman" w:eastAsiaTheme="minorEastAsia"/>
                <w:b/>
                <w:sz w:val="21"/>
                <w:szCs w:val="21"/>
              </w:rPr>
              <w:t>水域</w:t>
            </w:r>
          </w:p>
        </w:tc>
        <w:tc>
          <w:tcPr>
            <w:tcW w:w="1333" w:type="dxa"/>
            <w:vAlign w:val="center"/>
          </w:tcPr>
          <w:p>
            <w:pPr>
              <w:pStyle w:val="27"/>
              <w:rPr>
                <w:rFonts w:cs="Times New Roman" w:eastAsiaTheme="minorEastAsia"/>
                <w:b/>
                <w:sz w:val="21"/>
                <w:szCs w:val="21"/>
              </w:rPr>
            </w:pPr>
            <w:r>
              <w:rPr>
                <w:rFonts w:cs="Times New Roman" w:eastAsiaTheme="minorEastAsia"/>
                <w:b/>
                <w:sz w:val="21"/>
                <w:szCs w:val="21"/>
              </w:rPr>
              <w:t>陆域</w:t>
            </w:r>
          </w:p>
        </w:tc>
        <w:tc>
          <w:tcPr>
            <w:tcW w:w="1060" w:type="dxa"/>
            <w:vMerge w:val="continue"/>
            <w:vAlign w:val="center"/>
          </w:tcPr>
          <w:p>
            <w:pPr>
              <w:pStyle w:val="27"/>
              <w:rPr>
                <w:rFonts w:cs="Times New Roman" w:eastAsiaTheme="minorEastAsia"/>
                <w:b/>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trHeight w:val="227" w:hRule="atLeast"/>
          <w:jc w:val="center"/>
        </w:trPr>
        <w:tc>
          <w:tcPr>
            <w:tcW w:w="353" w:type="dxa"/>
            <w:vAlign w:val="center"/>
          </w:tcPr>
          <w:p>
            <w:pPr>
              <w:pStyle w:val="27"/>
              <w:rPr>
                <w:rFonts w:cs="Times New Roman" w:eastAsiaTheme="minorEastAsia"/>
                <w:sz w:val="21"/>
                <w:szCs w:val="21"/>
              </w:rPr>
            </w:pPr>
            <w:r>
              <w:rPr>
                <w:rFonts w:cs="Times New Roman" w:eastAsiaTheme="minorEastAsia"/>
                <w:sz w:val="21"/>
                <w:szCs w:val="21"/>
              </w:rPr>
              <w:t>1</w:t>
            </w:r>
          </w:p>
        </w:tc>
        <w:tc>
          <w:tcPr>
            <w:tcW w:w="750" w:type="dxa"/>
            <w:vAlign w:val="center"/>
          </w:tcPr>
          <w:p>
            <w:pPr>
              <w:pStyle w:val="27"/>
              <w:rPr>
                <w:rFonts w:cs="Times New Roman" w:eastAsiaTheme="minorEastAsia"/>
                <w:sz w:val="21"/>
                <w:szCs w:val="21"/>
              </w:rPr>
            </w:pPr>
            <w:r>
              <w:rPr>
                <w:rFonts w:cs="Times New Roman" w:eastAsiaTheme="minorEastAsia"/>
                <w:sz w:val="21"/>
                <w:szCs w:val="21"/>
              </w:rPr>
              <w:t>开江县</w:t>
            </w:r>
            <w:r>
              <w:rPr>
                <w:rFonts w:hint="eastAsia" w:cs="Times New Roman" w:eastAsiaTheme="minorEastAsia"/>
                <w:sz w:val="21"/>
                <w:szCs w:val="21"/>
              </w:rPr>
              <w:t>宝石桥水库</w:t>
            </w:r>
            <w:r>
              <w:rPr>
                <w:rFonts w:cs="Times New Roman" w:eastAsiaTheme="minorEastAsia"/>
                <w:sz w:val="21"/>
                <w:szCs w:val="21"/>
              </w:rPr>
              <w:t>水源地</w:t>
            </w:r>
          </w:p>
        </w:tc>
        <w:tc>
          <w:tcPr>
            <w:tcW w:w="722" w:type="dxa"/>
            <w:vAlign w:val="center"/>
          </w:tcPr>
          <w:p>
            <w:pPr>
              <w:pStyle w:val="27"/>
              <w:rPr>
                <w:rFonts w:cs="Times New Roman" w:eastAsiaTheme="minorEastAsia"/>
                <w:color w:val="000000"/>
                <w:kern w:val="0"/>
                <w:sz w:val="21"/>
                <w:szCs w:val="21"/>
              </w:rPr>
            </w:pPr>
            <w:r>
              <w:rPr>
                <w:rFonts w:cs="Times New Roman" w:eastAsiaTheme="minorEastAsia"/>
                <w:color w:val="000000"/>
                <w:kern w:val="0"/>
                <w:sz w:val="21"/>
                <w:szCs w:val="21"/>
              </w:rPr>
              <w:t>E107°57′1.1099″</w:t>
            </w:r>
          </w:p>
          <w:p>
            <w:pPr>
              <w:pStyle w:val="27"/>
              <w:rPr>
                <w:rFonts w:cs="Times New Roman" w:eastAsiaTheme="minorEastAsia"/>
                <w:sz w:val="21"/>
                <w:szCs w:val="21"/>
              </w:rPr>
            </w:pPr>
            <w:r>
              <w:rPr>
                <w:rFonts w:cs="Times New Roman" w:eastAsiaTheme="minorEastAsia"/>
                <w:color w:val="000000"/>
                <w:kern w:val="0"/>
                <w:sz w:val="21"/>
                <w:szCs w:val="21"/>
              </w:rPr>
              <w:t>N31°04′16.136796″</w:t>
            </w:r>
          </w:p>
        </w:tc>
        <w:tc>
          <w:tcPr>
            <w:tcW w:w="1334" w:type="dxa"/>
          </w:tcPr>
          <w:p>
            <w:pPr>
              <w:pStyle w:val="27"/>
              <w:rPr>
                <w:rFonts w:cs="Times New Roman" w:eastAsiaTheme="minorEastAsia"/>
                <w:sz w:val="21"/>
                <w:szCs w:val="21"/>
              </w:rPr>
            </w:pPr>
            <w:r>
              <w:rPr>
                <w:rFonts w:cs="Times New Roman" w:eastAsiaTheme="minorEastAsia"/>
                <w:sz w:val="21"/>
                <w:szCs w:val="21"/>
              </w:rPr>
              <w:t>开江县</w:t>
            </w:r>
            <w:r>
              <w:rPr>
                <w:rFonts w:hint="eastAsia" w:cs="Times New Roman" w:eastAsiaTheme="minorEastAsia"/>
                <w:sz w:val="21"/>
                <w:szCs w:val="21"/>
              </w:rPr>
              <w:t>宝石桥水库</w:t>
            </w:r>
            <w:r>
              <w:rPr>
                <w:rFonts w:cs="Times New Roman" w:eastAsiaTheme="minorEastAsia"/>
                <w:sz w:val="21"/>
                <w:szCs w:val="21"/>
              </w:rPr>
              <w:t>水源地取水口半径不小于500m范围内的区域</w:t>
            </w:r>
          </w:p>
        </w:tc>
        <w:tc>
          <w:tcPr>
            <w:tcW w:w="1569" w:type="dxa"/>
          </w:tcPr>
          <w:p>
            <w:pPr>
              <w:pStyle w:val="27"/>
              <w:rPr>
                <w:rFonts w:cs="Times New Roman" w:eastAsiaTheme="minorEastAsia"/>
                <w:sz w:val="21"/>
                <w:szCs w:val="21"/>
              </w:rPr>
            </w:pPr>
            <w:r>
              <w:rPr>
                <w:rFonts w:cs="Times New Roman" w:eastAsiaTheme="minorEastAsia"/>
                <w:sz w:val="21"/>
                <w:szCs w:val="21"/>
              </w:rPr>
              <w:t>一级保护区水域外不小于200m范围内的陆域</w:t>
            </w:r>
          </w:p>
        </w:tc>
        <w:tc>
          <w:tcPr>
            <w:tcW w:w="1389" w:type="dxa"/>
          </w:tcPr>
          <w:p>
            <w:pPr>
              <w:pStyle w:val="27"/>
              <w:rPr>
                <w:rFonts w:cs="Times New Roman" w:eastAsiaTheme="minorEastAsia"/>
                <w:sz w:val="21"/>
                <w:szCs w:val="21"/>
              </w:rPr>
            </w:pPr>
            <w:r>
              <w:rPr>
                <w:rFonts w:cs="Times New Roman" w:eastAsiaTheme="minorEastAsia"/>
                <w:sz w:val="21"/>
                <w:szCs w:val="21"/>
              </w:rPr>
              <w:t>一级保护区外径向距离不小于 2000 m 区域为二级保护区水域面积</w:t>
            </w:r>
          </w:p>
        </w:tc>
        <w:tc>
          <w:tcPr>
            <w:tcW w:w="1333" w:type="dxa"/>
          </w:tcPr>
          <w:p>
            <w:pPr>
              <w:pStyle w:val="27"/>
              <w:rPr>
                <w:rFonts w:cs="Times New Roman" w:eastAsiaTheme="minorEastAsia"/>
                <w:sz w:val="21"/>
                <w:szCs w:val="21"/>
              </w:rPr>
            </w:pPr>
            <w:r>
              <w:rPr>
                <w:rFonts w:cs="Times New Roman" w:eastAsiaTheme="minorEastAsia"/>
                <w:sz w:val="21"/>
                <w:szCs w:val="21"/>
              </w:rPr>
              <w:t>一级保护区外径向距离不小于 3000 m 的区域为二级保护区范围</w:t>
            </w:r>
          </w:p>
        </w:tc>
        <w:tc>
          <w:tcPr>
            <w:tcW w:w="1060" w:type="dxa"/>
          </w:tcPr>
          <w:p>
            <w:pPr>
              <w:pStyle w:val="27"/>
              <w:rPr>
                <w:rFonts w:cs="Times New Roman" w:eastAsiaTheme="minorEastAsia"/>
                <w:sz w:val="21"/>
                <w:szCs w:val="21"/>
              </w:rPr>
            </w:pPr>
            <w:r>
              <w:rPr>
                <w:rFonts w:cs="Times New Roman" w:eastAsiaTheme="minorEastAsia"/>
                <w:sz w:val="21"/>
                <w:szCs w:val="21"/>
              </w:rPr>
              <w:t>二级保护区以外的汇水区域可以设定为准保护区</w:t>
            </w:r>
          </w:p>
        </w:tc>
      </w:tr>
    </w:tbl>
    <w:p>
      <w:pPr>
        <w:spacing w:line="360" w:lineRule="auto"/>
        <w:rPr>
          <w:rFonts w:cs="Times New Roman"/>
        </w:rPr>
      </w:pPr>
      <w:r>
        <w:drawing>
          <wp:inline distT="0" distB="0" distL="114300" distR="114300">
            <wp:extent cx="4975860" cy="4359910"/>
            <wp:effectExtent l="0" t="0" r="7620" b="1397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25"/>
                    <a:stretch>
                      <a:fillRect/>
                    </a:stretch>
                  </pic:blipFill>
                  <pic:spPr>
                    <a:xfrm>
                      <a:off x="0" y="0"/>
                      <a:ext cx="4975860" cy="4359910"/>
                    </a:xfrm>
                    <a:prstGeom prst="rect">
                      <a:avLst/>
                    </a:prstGeom>
                    <a:noFill/>
                    <a:ln w="9525">
                      <a:noFill/>
                    </a:ln>
                  </pic:spPr>
                </pic:pic>
              </a:graphicData>
            </a:graphic>
          </wp:inline>
        </w:drawing>
      </w:r>
    </w:p>
    <w:p>
      <w:pPr>
        <w:spacing w:line="360" w:lineRule="auto"/>
        <w:jc w:val="center"/>
        <w:rPr>
          <w:rFonts w:cs="Times New Roman"/>
          <w:b/>
          <w:sz w:val="21"/>
          <w:szCs w:val="21"/>
        </w:rPr>
      </w:pPr>
      <w:r>
        <w:rPr>
          <w:rFonts w:cs="Times New Roman"/>
          <w:b/>
          <w:sz w:val="21"/>
          <w:szCs w:val="21"/>
        </w:rPr>
        <w:t>图</w:t>
      </w:r>
      <w:r>
        <w:rPr>
          <w:rFonts w:hint="eastAsia" w:cs="Times New Roman"/>
          <w:b/>
          <w:sz w:val="21"/>
          <w:szCs w:val="21"/>
        </w:rPr>
        <w:t>5-</w:t>
      </w:r>
      <w:r>
        <w:rPr>
          <w:rFonts w:cs="Times New Roman"/>
          <w:b/>
          <w:sz w:val="21"/>
          <w:szCs w:val="21"/>
        </w:rPr>
        <w:t>1 开江县</w:t>
      </w:r>
      <w:r>
        <w:rPr>
          <w:rFonts w:hint="eastAsia" w:eastAsia="宋体" w:cs="Times New Roman"/>
          <w:b/>
          <w:sz w:val="21"/>
          <w:szCs w:val="21"/>
        </w:rPr>
        <w:t>宝石桥水库</w:t>
      </w:r>
      <w:r>
        <w:rPr>
          <w:rFonts w:cs="Times New Roman"/>
          <w:b/>
          <w:sz w:val="21"/>
          <w:szCs w:val="21"/>
        </w:rPr>
        <w:t>饮用水水源一级保护区定界</w:t>
      </w:r>
    </w:p>
    <w:p>
      <w:pPr>
        <w:spacing w:line="360" w:lineRule="auto"/>
        <w:jc w:val="center"/>
        <w:rPr>
          <w:rFonts w:cs="Times New Roman"/>
        </w:rPr>
      </w:pPr>
      <w:r>
        <w:drawing>
          <wp:inline distT="0" distB="0" distL="114300" distR="114300">
            <wp:extent cx="5080000" cy="4008755"/>
            <wp:effectExtent l="0" t="0" r="6350" b="1079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6"/>
                    <a:stretch>
                      <a:fillRect/>
                    </a:stretch>
                  </pic:blipFill>
                  <pic:spPr>
                    <a:xfrm>
                      <a:off x="0" y="0"/>
                      <a:ext cx="5080000" cy="4008755"/>
                    </a:xfrm>
                    <a:prstGeom prst="rect">
                      <a:avLst/>
                    </a:prstGeom>
                    <a:noFill/>
                    <a:ln w="9525">
                      <a:noFill/>
                    </a:ln>
                  </pic:spPr>
                </pic:pic>
              </a:graphicData>
            </a:graphic>
          </wp:inline>
        </w:drawing>
      </w:r>
    </w:p>
    <w:p>
      <w:pPr>
        <w:autoSpaceDE w:val="0"/>
        <w:autoSpaceDN w:val="0"/>
        <w:adjustRightInd w:val="0"/>
        <w:jc w:val="center"/>
        <w:rPr>
          <w:rFonts w:cs="Times New Roman"/>
          <w:b/>
          <w:sz w:val="21"/>
          <w:szCs w:val="21"/>
        </w:rPr>
      </w:pPr>
      <w:r>
        <w:rPr>
          <w:rFonts w:cs="Times New Roman"/>
          <w:b/>
          <w:sz w:val="21"/>
          <w:szCs w:val="21"/>
        </w:rPr>
        <w:t>图</w:t>
      </w:r>
      <w:r>
        <w:rPr>
          <w:rFonts w:hint="eastAsia" w:cs="Times New Roman"/>
          <w:b/>
          <w:sz w:val="21"/>
          <w:szCs w:val="21"/>
        </w:rPr>
        <w:t>5-</w:t>
      </w:r>
      <w:r>
        <w:rPr>
          <w:rFonts w:cs="Times New Roman"/>
          <w:b/>
          <w:sz w:val="21"/>
          <w:szCs w:val="21"/>
        </w:rPr>
        <w:t>2 开江县</w:t>
      </w:r>
      <w:r>
        <w:rPr>
          <w:rFonts w:hint="eastAsia" w:eastAsia="宋体" w:cs="Times New Roman"/>
          <w:b/>
          <w:sz w:val="21"/>
          <w:szCs w:val="21"/>
        </w:rPr>
        <w:t>宝石桥水库</w:t>
      </w:r>
      <w:r>
        <w:rPr>
          <w:rFonts w:cs="Times New Roman"/>
          <w:b/>
          <w:sz w:val="21"/>
          <w:szCs w:val="21"/>
        </w:rPr>
        <w:t>饮用水水源一级、二级保护区定界</w:t>
      </w:r>
    </w:p>
    <w:p>
      <w:pPr>
        <w:autoSpaceDE w:val="0"/>
        <w:autoSpaceDN w:val="0"/>
        <w:adjustRightInd w:val="0"/>
        <w:jc w:val="center"/>
      </w:pPr>
      <w:r>
        <w:drawing>
          <wp:inline distT="0" distB="0" distL="114300" distR="114300">
            <wp:extent cx="5054600" cy="4043045"/>
            <wp:effectExtent l="0" t="0" r="5080" b="1079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7"/>
                    <a:stretch>
                      <a:fillRect/>
                    </a:stretch>
                  </pic:blipFill>
                  <pic:spPr>
                    <a:xfrm>
                      <a:off x="0" y="0"/>
                      <a:ext cx="5054600" cy="4043045"/>
                    </a:xfrm>
                    <a:prstGeom prst="rect">
                      <a:avLst/>
                    </a:prstGeom>
                    <a:noFill/>
                    <a:ln w="9525">
                      <a:noFill/>
                    </a:ln>
                  </pic:spPr>
                </pic:pic>
              </a:graphicData>
            </a:graphic>
          </wp:inline>
        </w:drawing>
      </w:r>
    </w:p>
    <w:p>
      <w:pPr>
        <w:autoSpaceDE w:val="0"/>
        <w:autoSpaceDN w:val="0"/>
        <w:adjustRightInd w:val="0"/>
        <w:ind w:firstLine="1265" w:firstLineChars="600"/>
        <w:rPr>
          <w:rFonts w:cs="Times New Roman"/>
          <w:b/>
          <w:sz w:val="21"/>
          <w:szCs w:val="21"/>
        </w:rPr>
      </w:pPr>
      <w:r>
        <w:rPr>
          <w:rFonts w:cs="Times New Roman"/>
          <w:b/>
          <w:sz w:val="21"/>
          <w:szCs w:val="21"/>
        </w:rPr>
        <w:t>图</w:t>
      </w:r>
      <w:r>
        <w:rPr>
          <w:rFonts w:hint="eastAsia" w:cs="Times New Roman"/>
          <w:b/>
          <w:sz w:val="21"/>
          <w:szCs w:val="21"/>
        </w:rPr>
        <w:t>5-</w:t>
      </w:r>
      <w:r>
        <w:rPr>
          <w:rFonts w:cs="Times New Roman"/>
          <w:b/>
          <w:sz w:val="21"/>
          <w:szCs w:val="21"/>
        </w:rPr>
        <w:t>2 开江县</w:t>
      </w:r>
      <w:r>
        <w:rPr>
          <w:rFonts w:hint="eastAsia" w:eastAsia="宋体" w:cs="Times New Roman"/>
          <w:b/>
          <w:sz w:val="21"/>
          <w:szCs w:val="21"/>
        </w:rPr>
        <w:t>宝石桥水库</w:t>
      </w:r>
      <w:r>
        <w:rPr>
          <w:rFonts w:cs="Times New Roman"/>
          <w:b/>
          <w:sz w:val="21"/>
          <w:szCs w:val="21"/>
        </w:rPr>
        <w:t>饮用水水源一级、二级保护区</w:t>
      </w:r>
      <w:r>
        <w:rPr>
          <w:rFonts w:hint="eastAsia" w:cs="Times New Roman"/>
          <w:b/>
          <w:sz w:val="21"/>
          <w:szCs w:val="21"/>
        </w:rPr>
        <w:t>、准保护区</w:t>
      </w:r>
      <w:r>
        <w:rPr>
          <w:rFonts w:cs="Times New Roman"/>
          <w:b/>
          <w:sz w:val="21"/>
          <w:szCs w:val="21"/>
        </w:rPr>
        <w:t>定界</w:t>
      </w:r>
    </w:p>
    <w:p>
      <w:pPr>
        <w:spacing w:line="500" w:lineRule="exact"/>
        <w:rPr>
          <w:rFonts w:cs="Times New Roman"/>
          <w:spacing w:val="-6"/>
          <w:lang w:val="zh-CN"/>
        </w:rPr>
      </w:pPr>
      <w:r>
        <w:rPr>
          <w:rFonts w:eastAsia="宋体" w:cs="Times New Roman"/>
        </w:rPr>
        <w:t>开江县</w:t>
      </w:r>
      <w:r>
        <w:rPr>
          <w:rFonts w:hint="eastAsia" w:eastAsia="宋体" w:cs="Times New Roman"/>
        </w:rPr>
        <w:t>宝石桥水库</w:t>
      </w:r>
      <w:r>
        <w:rPr>
          <w:rFonts w:eastAsia="宋体" w:cs="Times New Roman"/>
        </w:rPr>
        <w:t>水源地</w:t>
      </w:r>
      <w:r>
        <w:rPr>
          <w:rFonts w:cs="Times New Roman"/>
          <w:spacing w:val="-6"/>
        </w:rPr>
        <w:t>水源一级、二级保护区各拐点坐标如下表：</w:t>
      </w:r>
    </w:p>
    <w:p>
      <w:pPr>
        <w:spacing w:line="500" w:lineRule="exact"/>
        <w:ind w:firstLine="422" w:firstLineChars="200"/>
        <w:jc w:val="center"/>
        <w:rPr>
          <w:rFonts w:cs="Times New Roman"/>
          <w:b/>
          <w:bCs/>
          <w:sz w:val="21"/>
          <w:szCs w:val="21"/>
        </w:rPr>
      </w:pPr>
      <w:r>
        <w:rPr>
          <w:rFonts w:cs="Times New Roman"/>
          <w:b/>
          <w:sz w:val="21"/>
          <w:szCs w:val="21"/>
        </w:rPr>
        <w:t>表</w:t>
      </w:r>
      <w:r>
        <w:rPr>
          <w:rFonts w:hint="eastAsia" w:cs="Times New Roman"/>
          <w:b/>
          <w:sz w:val="21"/>
          <w:szCs w:val="21"/>
        </w:rPr>
        <w:t>5-</w:t>
      </w:r>
      <w:r>
        <w:rPr>
          <w:rFonts w:cs="Times New Roman"/>
          <w:b/>
          <w:sz w:val="21"/>
          <w:szCs w:val="21"/>
        </w:rPr>
        <w:t>2</w:t>
      </w:r>
      <w:r>
        <w:rPr>
          <w:rFonts w:eastAsia="宋体" w:cs="Times New Roman"/>
          <w:b/>
          <w:bCs/>
          <w:sz w:val="21"/>
          <w:szCs w:val="21"/>
        </w:rPr>
        <w:t>开江县</w:t>
      </w:r>
      <w:r>
        <w:rPr>
          <w:rFonts w:hint="eastAsia" w:eastAsia="宋体" w:cs="Times New Roman"/>
          <w:b/>
          <w:bCs/>
          <w:sz w:val="21"/>
          <w:szCs w:val="21"/>
        </w:rPr>
        <w:t>宝石桥水库</w:t>
      </w:r>
      <w:r>
        <w:rPr>
          <w:rFonts w:eastAsia="宋体" w:cs="Times New Roman"/>
          <w:b/>
          <w:bCs/>
          <w:sz w:val="21"/>
          <w:szCs w:val="21"/>
        </w:rPr>
        <w:t>水源地</w:t>
      </w:r>
      <w:r>
        <w:rPr>
          <w:rFonts w:cs="Times New Roman"/>
          <w:b/>
          <w:bCs/>
          <w:sz w:val="21"/>
          <w:szCs w:val="21"/>
        </w:rPr>
        <w:t>保护区边界拐点坐标表</w:t>
      </w:r>
    </w:p>
    <w:tbl>
      <w:tblPr>
        <w:tblStyle w:val="21"/>
        <w:tblW w:w="85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702"/>
        <w:gridCol w:w="1702"/>
        <w:gridCol w:w="1703"/>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tcPr>
          <w:p>
            <w:pPr>
              <w:jc w:val="center"/>
              <w:rPr>
                <w:rFonts w:eastAsia="宋体" w:cs="Times New Roman"/>
                <w:sz w:val="21"/>
                <w:szCs w:val="21"/>
              </w:rPr>
            </w:pPr>
            <w:r>
              <w:rPr>
                <w:rFonts w:cs="Times New Roman"/>
                <w:sz w:val="21"/>
                <w:szCs w:val="21"/>
              </w:rPr>
              <w:t>保护区</w:t>
            </w:r>
          </w:p>
        </w:tc>
        <w:tc>
          <w:tcPr>
            <w:tcW w:w="1702" w:type="dxa"/>
          </w:tcPr>
          <w:p>
            <w:pPr>
              <w:jc w:val="center"/>
              <w:rPr>
                <w:rFonts w:cs="Times New Roman"/>
                <w:sz w:val="21"/>
                <w:szCs w:val="21"/>
              </w:rPr>
            </w:pPr>
            <w:r>
              <w:rPr>
                <w:rFonts w:cs="Times New Roman"/>
                <w:sz w:val="21"/>
                <w:szCs w:val="21"/>
              </w:rPr>
              <w:t>序号</w:t>
            </w:r>
          </w:p>
        </w:tc>
        <w:tc>
          <w:tcPr>
            <w:tcW w:w="1702" w:type="dxa"/>
          </w:tcPr>
          <w:p>
            <w:pPr>
              <w:jc w:val="center"/>
              <w:rPr>
                <w:rFonts w:cs="Times New Roman"/>
                <w:sz w:val="21"/>
                <w:szCs w:val="21"/>
              </w:rPr>
            </w:pPr>
            <w:r>
              <w:rPr>
                <w:rFonts w:cs="Times New Roman"/>
                <w:sz w:val="21"/>
                <w:szCs w:val="21"/>
              </w:rPr>
              <w:t>经度</w:t>
            </w:r>
          </w:p>
        </w:tc>
        <w:tc>
          <w:tcPr>
            <w:tcW w:w="1703" w:type="dxa"/>
          </w:tcPr>
          <w:p>
            <w:pPr>
              <w:jc w:val="center"/>
              <w:rPr>
                <w:rFonts w:cs="Times New Roman"/>
                <w:sz w:val="21"/>
                <w:szCs w:val="21"/>
              </w:rPr>
            </w:pPr>
            <w:r>
              <w:rPr>
                <w:rFonts w:cs="Times New Roman"/>
                <w:sz w:val="21"/>
                <w:szCs w:val="21"/>
              </w:rPr>
              <w:t>纬度</w:t>
            </w:r>
          </w:p>
        </w:tc>
        <w:tc>
          <w:tcPr>
            <w:tcW w:w="1703" w:type="dxa"/>
          </w:tcPr>
          <w:p>
            <w:pPr>
              <w:jc w:val="center"/>
              <w:rPr>
                <w:rFonts w:cs="Times New Roman"/>
                <w:sz w:val="21"/>
                <w:szCs w:val="21"/>
              </w:rPr>
            </w:pPr>
            <w:r>
              <w:rPr>
                <w:rFonts w:cs="Times New Roman"/>
                <w:sz w:val="21"/>
                <w:szCs w:val="21"/>
              </w:rPr>
              <w:t>海拔（米）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restart"/>
            <w:vAlign w:val="center"/>
          </w:tcPr>
          <w:p>
            <w:pPr>
              <w:jc w:val="center"/>
              <w:rPr>
                <w:rFonts w:eastAsia="宋体" w:cs="Times New Roman"/>
                <w:sz w:val="22"/>
                <w:szCs w:val="22"/>
              </w:rPr>
            </w:pPr>
            <w:r>
              <w:rPr>
                <w:rFonts w:cs="Times New Roman"/>
                <w:sz w:val="22"/>
                <w:szCs w:val="22"/>
              </w:rPr>
              <w:t>一级保护区</w:t>
            </w:r>
          </w:p>
        </w:tc>
        <w:tc>
          <w:tcPr>
            <w:tcW w:w="1702" w:type="dxa"/>
          </w:tcPr>
          <w:p>
            <w:pPr>
              <w:jc w:val="center"/>
              <w:rPr>
                <w:rFonts w:cs="Times New Roman"/>
                <w:sz w:val="22"/>
                <w:szCs w:val="22"/>
              </w:rPr>
            </w:pPr>
            <w:r>
              <w:rPr>
                <w:rFonts w:cs="Times New Roman"/>
                <w:sz w:val="22"/>
                <w:szCs w:val="22"/>
              </w:rPr>
              <w:t>1-1</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107°56′59.28″</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31°04′22.80″</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cs="Times New Roman"/>
                <w:sz w:val="22"/>
                <w:szCs w:val="22"/>
              </w:rPr>
              <w:t>1-2</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107°56′58.56″</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31°04′24.24″</w:t>
            </w:r>
          </w:p>
        </w:tc>
        <w:tc>
          <w:tcPr>
            <w:tcW w:w="1703" w:type="dxa"/>
            <w:vAlign w:val="center"/>
          </w:tcPr>
          <w:p>
            <w:pPr>
              <w:jc w:val="center"/>
              <w:rPr>
                <w:rFonts w:cs="Times New Roman"/>
                <w:sz w:val="21"/>
                <w:szCs w:val="21"/>
              </w:rPr>
            </w:pPr>
            <w:r>
              <w:rPr>
                <w:rFonts w:hint="eastAsia" w:cs="Times New Roman"/>
                <w:color w:val="000000"/>
                <w:sz w:val="21"/>
                <w:szCs w:val="2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cs="Times New Roman"/>
                <w:sz w:val="22"/>
                <w:szCs w:val="22"/>
              </w:rPr>
              <w:t>1-3</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107°56′55.68″</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31°04′23.52″</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cs="Times New Roman"/>
                <w:sz w:val="22"/>
                <w:szCs w:val="22"/>
              </w:rPr>
              <w:t>1-4</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107°56′55.68″</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31°04′25.68″</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cs="Times New Roman"/>
                <w:sz w:val="22"/>
                <w:szCs w:val="22"/>
              </w:rPr>
              <w:t>1-5</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107°56′58.20″</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31°04′25.68″</w:t>
            </w:r>
          </w:p>
        </w:tc>
        <w:tc>
          <w:tcPr>
            <w:tcW w:w="1703" w:type="dxa"/>
            <w:vAlign w:val="center"/>
          </w:tcPr>
          <w:p>
            <w:pPr>
              <w:jc w:val="center"/>
              <w:rPr>
                <w:rFonts w:cs="Times New Roman"/>
                <w:sz w:val="21"/>
                <w:szCs w:val="21"/>
              </w:rPr>
            </w:pPr>
            <w:r>
              <w:rPr>
                <w:rFonts w:hint="eastAsia" w:cs="Times New Roman"/>
                <w:color w:val="000000"/>
                <w:sz w:val="21"/>
                <w:szCs w:val="21"/>
              </w:rP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cs="Times New Roman"/>
                <w:sz w:val="22"/>
                <w:szCs w:val="22"/>
              </w:rPr>
              <w:t>1-6</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107°56′59.64″</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31°04′33.60″</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cs="Times New Roman"/>
                <w:sz w:val="22"/>
                <w:szCs w:val="22"/>
              </w:rPr>
              <w:t>1-7</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107°57′02.16″</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31°04′33.60″</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cs="Times New Roman"/>
                <w:sz w:val="22"/>
                <w:szCs w:val="22"/>
              </w:rPr>
              <w:t>1-8</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107°57′01.08″</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31°04′25.32″</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cs="Times New Roman"/>
                <w:sz w:val="22"/>
                <w:szCs w:val="22"/>
              </w:rPr>
              <w:t>1-9</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107°57′06.12″</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31°04′20.28″</w:t>
            </w:r>
          </w:p>
        </w:tc>
        <w:tc>
          <w:tcPr>
            <w:tcW w:w="1703" w:type="dxa"/>
            <w:vAlign w:val="center"/>
          </w:tcPr>
          <w:p>
            <w:pPr>
              <w:jc w:val="center"/>
              <w:rPr>
                <w:rFonts w:cs="Times New Roman"/>
                <w:sz w:val="21"/>
                <w:szCs w:val="21"/>
              </w:rPr>
            </w:pPr>
            <w:r>
              <w:rPr>
                <w:rFonts w:hint="eastAsia" w:cs="Times New Roman"/>
                <w:color w:val="000000"/>
                <w:sz w:val="21"/>
                <w:szCs w:val="21"/>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cs="Times New Roman"/>
                <w:sz w:val="22"/>
                <w:szCs w:val="22"/>
              </w:rPr>
              <w:t>1-10</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107°57′10.80″</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31°04′30.00″</w:t>
            </w:r>
          </w:p>
        </w:tc>
        <w:tc>
          <w:tcPr>
            <w:tcW w:w="1703" w:type="dxa"/>
            <w:vAlign w:val="center"/>
          </w:tcPr>
          <w:p>
            <w:pPr>
              <w:jc w:val="center"/>
              <w:rPr>
                <w:rFonts w:cs="Times New Roman"/>
                <w:sz w:val="21"/>
                <w:szCs w:val="21"/>
              </w:rPr>
            </w:pPr>
            <w:r>
              <w:rPr>
                <w:rFonts w:hint="eastAsia" w:cs="Times New Roman"/>
                <w:color w:val="000000"/>
                <w:sz w:val="21"/>
                <w:szCs w:val="21"/>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cs="Times New Roman"/>
                <w:sz w:val="22"/>
                <w:szCs w:val="22"/>
              </w:rPr>
              <w:t>1-11</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107°57′12.96″</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31°04′28.20″</w:t>
            </w:r>
          </w:p>
        </w:tc>
        <w:tc>
          <w:tcPr>
            <w:tcW w:w="1703" w:type="dxa"/>
            <w:vAlign w:val="center"/>
          </w:tcPr>
          <w:p>
            <w:pPr>
              <w:jc w:val="center"/>
              <w:rPr>
                <w:rFonts w:cs="Times New Roman"/>
                <w:sz w:val="21"/>
                <w:szCs w:val="21"/>
              </w:rPr>
            </w:pPr>
            <w:r>
              <w:rPr>
                <w:rFonts w:hint="eastAsia" w:cs="Times New Roman"/>
                <w:color w:val="000000"/>
                <w:sz w:val="21"/>
                <w:szCs w:val="21"/>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cs="Times New Roman"/>
                <w:sz w:val="22"/>
                <w:szCs w:val="22"/>
              </w:rPr>
              <w:t>1-12</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107°57′10.44″</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31°04′24.24″</w:t>
            </w:r>
          </w:p>
        </w:tc>
        <w:tc>
          <w:tcPr>
            <w:tcW w:w="1703" w:type="dxa"/>
            <w:vAlign w:val="center"/>
          </w:tcPr>
          <w:p>
            <w:pPr>
              <w:jc w:val="center"/>
              <w:rPr>
                <w:rFonts w:cs="Times New Roman"/>
                <w:sz w:val="21"/>
                <w:szCs w:val="21"/>
              </w:rPr>
            </w:pPr>
            <w:r>
              <w:rPr>
                <w:rFonts w:hint="eastAsia" w:cs="Times New Roman"/>
                <w:color w:val="000000"/>
                <w:sz w:val="21"/>
                <w:szCs w:val="21"/>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cs="Times New Roman"/>
                <w:sz w:val="22"/>
                <w:szCs w:val="22"/>
              </w:rPr>
              <w:t>1-13</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107°57′13.68″</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31°04′23.88″</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cs="Times New Roman"/>
                <w:sz w:val="22"/>
                <w:szCs w:val="22"/>
              </w:rPr>
              <w:t>1-14</w:t>
            </w:r>
          </w:p>
        </w:tc>
        <w:tc>
          <w:tcPr>
            <w:tcW w:w="1702"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107°57′10.08″</w:t>
            </w:r>
          </w:p>
        </w:tc>
        <w:tc>
          <w:tcPr>
            <w:tcW w:w="1703"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31°04′22.80″</w:t>
            </w:r>
          </w:p>
        </w:tc>
        <w:tc>
          <w:tcPr>
            <w:tcW w:w="1703" w:type="dxa"/>
            <w:vAlign w:val="center"/>
          </w:tcPr>
          <w:p>
            <w:pPr>
              <w:jc w:val="center"/>
              <w:rPr>
                <w:rFonts w:cs="Times New Roman"/>
                <w:color w:val="000000"/>
                <w:sz w:val="21"/>
                <w:szCs w:val="21"/>
              </w:rPr>
            </w:pPr>
            <w:r>
              <w:rPr>
                <w:rFonts w:hint="eastAsia" w:cs="Times New Roman"/>
                <w:color w:val="000000"/>
                <w:sz w:val="21"/>
                <w:szCs w:val="21"/>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cs="Times New Roman"/>
                <w:sz w:val="22"/>
                <w:szCs w:val="22"/>
              </w:rPr>
              <w:t>1-1</w:t>
            </w:r>
            <w:r>
              <w:rPr>
                <w:rFonts w:hint="eastAsia" w:cs="Times New Roman"/>
                <w:sz w:val="22"/>
                <w:szCs w:val="22"/>
              </w:rPr>
              <w:t>5</w:t>
            </w:r>
          </w:p>
        </w:tc>
        <w:tc>
          <w:tcPr>
            <w:tcW w:w="1702"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107°57′08.28″</w:t>
            </w:r>
          </w:p>
        </w:tc>
        <w:tc>
          <w:tcPr>
            <w:tcW w:w="1703"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31°04′19.20″</w:t>
            </w:r>
          </w:p>
        </w:tc>
        <w:tc>
          <w:tcPr>
            <w:tcW w:w="1703" w:type="dxa"/>
            <w:vAlign w:val="center"/>
          </w:tcPr>
          <w:p>
            <w:pPr>
              <w:jc w:val="center"/>
              <w:rPr>
                <w:rFonts w:cs="Times New Roman"/>
                <w:color w:val="000000"/>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hint="eastAsia" w:cs="Times New Roman"/>
                <w:sz w:val="22"/>
                <w:szCs w:val="22"/>
              </w:rPr>
              <w:t>1-16</w:t>
            </w:r>
          </w:p>
        </w:tc>
        <w:tc>
          <w:tcPr>
            <w:tcW w:w="1702"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107°57′12.60″</w:t>
            </w:r>
          </w:p>
        </w:tc>
        <w:tc>
          <w:tcPr>
            <w:tcW w:w="1703"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31°04′18.84″</w:t>
            </w:r>
          </w:p>
        </w:tc>
        <w:tc>
          <w:tcPr>
            <w:tcW w:w="1703" w:type="dxa"/>
            <w:vAlign w:val="center"/>
          </w:tcPr>
          <w:p>
            <w:pPr>
              <w:jc w:val="center"/>
              <w:rPr>
                <w:rFonts w:cs="Times New Roman"/>
                <w:color w:val="000000"/>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hint="eastAsia" w:cs="Times New Roman"/>
                <w:sz w:val="22"/>
                <w:szCs w:val="22"/>
              </w:rPr>
              <w:t>1-17</w:t>
            </w:r>
          </w:p>
        </w:tc>
        <w:tc>
          <w:tcPr>
            <w:tcW w:w="1702"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107°57′09.72″</w:t>
            </w:r>
          </w:p>
        </w:tc>
        <w:tc>
          <w:tcPr>
            <w:tcW w:w="1703"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31°04′18.48″</w:t>
            </w:r>
          </w:p>
        </w:tc>
        <w:tc>
          <w:tcPr>
            <w:tcW w:w="1703" w:type="dxa"/>
            <w:vAlign w:val="center"/>
          </w:tcPr>
          <w:p>
            <w:pPr>
              <w:jc w:val="center"/>
              <w:rPr>
                <w:rFonts w:cs="Times New Roman"/>
                <w:color w:val="000000"/>
                <w:sz w:val="21"/>
                <w:szCs w:val="21"/>
              </w:rPr>
            </w:pPr>
            <w:r>
              <w:rPr>
                <w:rFonts w:hint="eastAsia" w:cs="Times New Roman"/>
                <w:color w:val="000000"/>
                <w:sz w:val="21"/>
                <w:szCs w:val="21"/>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hint="eastAsia" w:cs="Times New Roman"/>
                <w:sz w:val="22"/>
                <w:szCs w:val="22"/>
              </w:rPr>
              <w:t>1-18</w:t>
            </w:r>
          </w:p>
        </w:tc>
        <w:tc>
          <w:tcPr>
            <w:tcW w:w="1702"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107°57′07.56″</w:t>
            </w:r>
          </w:p>
        </w:tc>
        <w:tc>
          <w:tcPr>
            <w:tcW w:w="1703"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31°04′11.64″</w:t>
            </w:r>
          </w:p>
        </w:tc>
        <w:tc>
          <w:tcPr>
            <w:tcW w:w="1703" w:type="dxa"/>
            <w:vAlign w:val="center"/>
          </w:tcPr>
          <w:p>
            <w:pPr>
              <w:jc w:val="center"/>
              <w:rPr>
                <w:rFonts w:cs="Times New Roman"/>
                <w:color w:val="000000"/>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hint="eastAsia" w:cs="Times New Roman"/>
                <w:sz w:val="22"/>
                <w:szCs w:val="22"/>
              </w:rPr>
              <w:t>1-19</w:t>
            </w:r>
          </w:p>
        </w:tc>
        <w:tc>
          <w:tcPr>
            <w:tcW w:w="1702"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107°57′15.84″</w:t>
            </w:r>
          </w:p>
        </w:tc>
        <w:tc>
          <w:tcPr>
            <w:tcW w:w="1703"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31°04′09.84″</w:t>
            </w:r>
          </w:p>
        </w:tc>
        <w:tc>
          <w:tcPr>
            <w:tcW w:w="1703" w:type="dxa"/>
            <w:vAlign w:val="center"/>
          </w:tcPr>
          <w:p>
            <w:pPr>
              <w:jc w:val="center"/>
              <w:rPr>
                <w:rFonts w:cs="Times New Roman"/>
                <w:color w:val="000000"/>
                <w:sz w:val="21"/>
                <w:szCs w:val="21"/>
              </w:rPr>
            </w:pPr>
            <w:r>
              <w:rPr>
                <w:rFonts w:hint="eastAsia" w:cs="Times New Roman"/>
                <w:color w:val="000000"/>
                <w:sz w:val="21"/>
                <w:szCs w:val="21"/>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hint="eastAsia" w:cs="Times New Roman"/>
                <w:sz w:val="22"/>
                <w:szCs w:val="22"/>
              </w:rPr>
              <w:t>1-20</w:t>
            </w:r>
          </w:p>
        </w:tc>
        <w:tc>
          <w:tcPr>
            <w:tcW w:w="1702"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107°57′16.92″</w:t>
            </w:r>
          </w:p>
        </w:tc>
        <w:tc>
          <w:tcPr>
            <w:tcW w:w="1703"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31°04′07.68″</w:t>
            </w:r>
          </w:p>
        </w:tc>
        <w:tc>
          <w:tcPr>
            <w:tcW w:w="1703" w:type="dxa"/>
            <w:vAlign w:val="center"/>
          </w:tcPr>
          <w:p>
            <w:pPr>
              <w:jc w:val="center"/>
              <w:rPr>
                <w:rFonts w:cs="Times New Roman"/>
                <w:color w:val="000000"/>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hint="eastAsia" w:cs="Times New Roman"/>
                <w:sz w:val="22"/>
                <w:szCs w:val="22"/>
              </w:rPr>
              <w:t>1-21</w:t>
            </w:r>
          </w:p>
        </w:tc>
        <w:tc>
          <w:tcPr>
            <w:tcW w:w="1702"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107°57′11.52″</w:t>
            </w:r>
          </w:p>
        </w:tc>
        <w:tc>
          <w:tcPr>
            <w:tcW w:w="1703"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31°04′01.20″</w:t>
            </w:r>
          </w:p>
        </w:tc>
        <w:tc>
          <w:tcPr>
            <w:tcW w:w="1703" w:type="dxa"/>
            <w:vAlign w:val="center"/>
          </w:tcPr>
          <w:p>
            <w:pPr>
              <w:jc w:val="center"/>
              <w:rPr>
                <w:rFonts w:cs="Times New Roman"/>
                <w:color w:val="000000"/>
                <w:sz w:val="21"/>
                <w:szCs w:val="21"/>
              </w:rPr>
            </w:pPr>
            <w:r>
              <w:rPr>
                <w:rFonts w:hint="eastAsia" w:cs="Times New Roman"/>
                <w:color w:val="000000"/>
                <w:sz w:val="21"/>
                <w:szCs w:val="21"/>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hint="eastAsia" w:cs="Times New Roman"/>
                <w:sz w:val="22"/>
                <w:szCs w:val="22"/>
              </w:rPr>
              <w:t>1-22</w:t>
            </w:r>
          </w:p>
        </w:tc>
        <w:tc>
          <w:tcPr>
            <w:tcW w:w="1702"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107°57′07.92″</w:t>
            </w:r>
          </w:p>
        </w:tc>
        <w:tc>
          <w:tcPr>
            <w:tcW w:w="1703"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31°04′04.08″</w:t>
            </w:r>
          </w:p>
        </w:tc>
        <w:tc>
          <w:tcPr>
            <w:tcW w:w="1703" w:type="dxa"/>
            <w:vAlign w:val="center"/>
          </w:tcPr>
          <w:p>
            <w:pPr>
              <w:jc w:val="center"/>
              <w:rPr>
                <w:rFonts w:cs="Times New Roman"/>
                <w:color w:val="000000"/>
                <w:sz w:val="21"/>
                <w:szCs w:val="21"/>
              </w:rPr>
            </w:pPr>
            <w:r>
              <w:rPr>
                <w:rFonts w:hint="eastAsia" w:cs="Times New Roman"/>
                <w:color w:val="000000"/>
                <w:sz w:val="21"/>
                <w:szCs w:val="2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hint="eastAsia" w:cs="Times New Roman"/>
                <w:sz w:val="22"/>
                <w:szCs w:val="22"/>
              </w:rPr>
              <w:t>1-23</w:t>
            </w:r>
          </w:p>
        </w:tc>
        <w:tc>
          <w:tcPr>
            <w:tcW w:w="1702"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107°57′11.88″</w:t>
            </w:r>
          </w:p>
        </w:tc>
        <w:tc>
          <w:tcPr>
            <w:tcW w:w="1703"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31°04′05.16″</w:t>
            </w:r>
          </w:p>
        </w:tc>
        <w:tc>
          <w:tcPr>
            <w:tcW w:w="1703" w:type="dxa"/>
            <w:vAlign w:val="center"/>
          </w:tcPr>
          <w:p>
            <w:pPr>
              <w:jc w:val="center"/>
              <w:rPr>
                <w:rFonts w:cs="Times New Roman"/>
                <w:color w:val="000000"/>
                <w:sz w:val="21"/>
                <w:szCs w:val="21"/>
              </w:rPr>
            </w:pPr>
            <w:r>
              <w:rPr>
                <w:rFonts w:hint="eastAsia" w:cs="Times New Roman"/>
                <w:color w:val="000000"/>
                <w:sz w:val="21"/>
                <w:szCs w:val="2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cs="Times New Roman"/>
                <w:sz w:val="22"/>
                <w:szCs w:val="22"/>
              </w:rPr>
              <w:t>1-</w:t>
            </w:r>
            <w:r>
              <w:rPr>
                <w:rFonts w:hint="eastAsia" w:cs="Times New Roman"/>
                <w:sz w:val="22"/>
                <w:szCs w:val="22"/>
              </w:rPr>
              <w:t>24</w:t>
            </w:r>
          </w:p>
        </w:tc>
        <w:tc>
          <w:tcPr>
            <w:tcW w:w="1702"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107°57′10.80″</w:t>
            </w:r>
          </w:p>
        </w:tc>
        <w:tc>
          <w:tcPr>
            <w:tcW w:w="1703"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31°04′08.76″</w:t>
            </w:r>
          </w:p>
        </w:tc>
        <w:tc>
          <w:tcPr>
            <w:tcW w:w="1703" w:type="dxa"/>
            <w:vAlign w:val="center"/>
          </w:tcPr>
          <w:p>
            <w:pPr>
              <w:jc w:val="center"/>
              <w:rPr>
                <w:rFonts w:cs="Times New Roman"/>
                <w:color w:val="000000"/>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hint="eastAsia" w:cs="Times New Roman"/>
                <w:sz w:val="22"/>
                <w:szCs w:val="22"/>
              </w:rPr>
              <w:t>1-25</w:t>
            </w:r>
          </w:p>
        </w:tc>
        <w:tc>
          <w:tcPr>
            <w:tcW w:w="1702"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107°57′05.76″</w:t>
            </w:r>
          </w:p>
        </w:tc>
        <w:tc>
          <w:tcPr>
            <w:tcW w:w="1703"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31°04′10.20″</w:t>
            </w:r>
          </w:p>
        </w:tc>
        <w:tc>
          <w:tcPr>
            <w:tcW w:w="1703" w:type="dxa"/>
            <w:vAlign w:val="center"/>
          </w:tcPr>
          <w:p>
            <w:pPr>
              <w:jc w:val="center"/>
              <w:rPr>
                <w:rFonts w:cs="Times New Roman"/>
                <w:color w:val="000000"/>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hint="eastAsia" w:cs="Times New Roman"/>
                <w:sz w:val="22"/>
                <w:szCs w:val="22"/>
              </w:rPr>
              <w:t>1-26</w:t>
            </w:r>
          </w:p>
        </w:tc>
        <w:tc>
          <w:tcPr>
            <w:tcW w:w="1702"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107°57′01.44″</w:t>
            </w:r>
          </w:p>
        </w:tc>
        <w:tc>
          <w:tcPr>
            <w:tcW w:w="1703"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31°04′17.40″</w:t>
            </w:r>
          </w:p>
        </w:tc>
        <w:tc>
          <w:tcPr>
            <w:tcW w:w="1703" w:type="dxa"/>
            <w:vAlign w:val="center"/>
          </w:tcPr>
          <w:p>
            <w:pPr>
              <w:jc w:val="center"/>
              <w:rPr>
                <w:rFonts w:cs="Times New Roman"/>
                <w:color w:val="000000"/>
                <w:sz w:val="21"/>
                <w:szCs w:val="21"/>
              </w:rPr>
            </w:pPr>
            <w:r>
              <w:rPr>
                <w:rFonts w:hint="eastAsia" w:cs="Times New Roman"/>
                <w:color w:val="000000"/>
                <w:sz w:val="21"/>
                <w:szCs w:val="21"/>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bottom w:val="single" w:color="000000" w:sz="4" w:space="0"/>
            </w:tcBorders>
          </w:tcPr>
          <w:p>
            <w:pPr>
              <w:jc w:val="center"/>
              <w:rPr>
                <w:rFonts w:cs="Times New Roman"/>
                <w:sz w:val="22"/>
                <w:szCs w:val="22"/>
              </w:rPr>
            </w:pPr>
          </w:p>
        </w:tc>
        <w:tc>
          <w:tcPr>
            <w:tcW w:w="1702" w:type="dxa"/>
            <w:tcBorders>
              <w:bottom w:val="single" w:color="000000" w:sz="4" w:space="0"/>
            </w:tcBorders>
          </w:tcPr>
          <w:p>
            <w:pPr>
              <w:jc w:val="center"/>
              <w:rPr>
                <w:rFonts w:cs="Times New Roman"/>
                <w:sz w:val="22"/>
                <w:szCs w:val="22"/>
              </w:rPr>
            </w:pPr>
            <w:r>
              <w:rPr>
                <w:rFonts w:cs="Times New Roman"/>
                <w:sz w:val="22"/>
                <w:szCs w:val="22"/>
              </w:rPr>
              <w:t>1-</w:t>
            </w:r>
            <w:r>
              <w:rPr>
                <w:rFonts w:hint="eastAsia" w:cs="Times New Roman"/>
                <w:sz w:val="22"/>
                <w:szCs w:val="22"/>
              </w:rPr>
              <w:t>27</w:t>
            </w:r>
          </w:p>
        </w:tc>
        <w:tc>
          <w:tcPr>
            <w:tcW w:w="1702"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107°57′04.32″</w:t>
            </w:r>
          </w:p>
        </w:tc>
        <w:tc>
          <w:tcPr>
            <w:tcW w:w="1703"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31°04′17.40″</w:t>
            </w:r>
          </w:p>
        </w:tc>
        <w:tc>
          <w:tcPr>
            <w:tcW w:w="1703" w:type="dxa"/>
            <w:vAlign w:val="center"/>
          </w:tcPr>
          <w:p>
            <w:pPr>
              <w:jc w:val="center"/>
              <w:rPr>
                <w:rFonts w:cs="Times New Roman"/>
                <w:color w:val="000000"/>
                <w:sz w:val="21"/>
                <w:szCs w:val="21"/>
              </w:rPr>
            </w:pPr>
            <w:r>
              <w:rPr>
                <w:rFonts w:hint="eastAsia" w:cs="Times New Roman"/>
                <w:color w:val="000000"/>
                <w:sz w:val="21"/>
                <w:szCs w:val="21"/>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restart"/>
            <w:tcBorders>
              <w:top w:val="single" w:color="000000" w:sz="4" w:space="0"/>
            </w:tcBorders>
          </w:tcPr>
          <w:p>
            <w:pPr>
              <w:jc w:val="center"/>
              <w:rPr>
                <w:rFonts w:cs="Times New Roman"/>
                <w:sz w:val="22"/>
                <w:szCs w:val="22"/>
              </w:rPr>
            </w:pPr>
          </w:p>
        </w:tc>
        <w:tc>
          <w:tcPr>
            <w:tcW w:w="1702" w:type="dxa"/>
            <w:tcBorders>
              <w:top w:val="single" w:color="000000" w:sz="4" w:space="0"/>
            </w:tcBorders>
          </w:tcPr>
          <w:p>
            <w:pPr>
              <w:jc w:val="center"/>
              <w:rPr>
                <w:rFonts w:cs="Times New Roman"/>
                <w:sz w:val="22"/>
                <w:szCs w:val="22"/>
              </w:rPr>
            </w:pPr>
            <w:r>
              <w:rPr>
                <w:rFonts w:hint="eastAsia" w:cs="Times New Roman"/>
                <w:sz w:val="22"/>
                <w:szCs w:val="22"/>
              </w:rPr>
              <w:t>2-1</w:t>
            </w:r>
          </w:p>
        </w:tc>
        <w:tc>
          <w:tcPr>
            <w:tcW w:w="1702"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107°56′54.24″</w:t>
            </w:r>
          </w:p>
        </w:tc>
        <w:tc>
          <w:tcPr>
            <w:tcW w:w="1703" w:type="dxa"/>
            <w:shd w:val="clear" w:color="auto" w:fill="auto"/>
            <w:vAlign w:val="center"/>
          </w:tcPr>
          <w:p>
            <w:pPr>
              <w:widowControl/>
              <w:jc w:val="left"/>
              <w:textAlignment w:val="center"/>
              <w:rPr>
                <w:rFonts w:cs="Times New Roman"/>
                <w:color w:val="000000"/>
                <w:sz w:val="21"/>
                <w:szCs w:val="21"/>
              </w:rPr>
            </w:pPr>
            <w:r>
              <w:rPr>
                <w:rFonts w:eastAsia="宋体" w:cs="Times New Roman"/>
                <w:color w:val="000000"/>
                <w:kern w:val="0"/>
                <w:sz w:val="22"/>
                <w:szCs w:val="22"/>
                <w:lang w:bidi="ar"/>
              </w:rPr>
              <w:t>31°04′17.76″</w:t>
            </w:r>
          </w:p>
        </w:tc>
        <w:tc>
          <w:tcPr>
            <w:tcW w:w="1703" w:type="dxa"/>
            <w:vAlign w:val="center"/>
          </w:tcPr>
          <w:p>
            <w:pPr>
              <w:jc w:val="center"/>
              <w:rPr>
                <w:rFonts w:cs="Times New Roman"/>
                <w:color w:val="000000"/>
                <w:sz w:val="21"/>
                <w:szCs w:val="21"/>
              </w:rPr>
            </w:pPr>
            <w:r>
              <w:rPr>
                <w:rFonts w:hint="eastAsia" w:cs="Times New Roman"/>
                <w:color w:val="000000"/>
                <w:sz w:val="21"/>
                <w:szCs w:val="21"/>
              </w:rPr>
              <w: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tcPr>
          <w:p>
            <w:pPr>
              <w:jc w:val="center"/>
              <w:rPr>
                <w:rFonts w:cs="Times New Roman"/>
                <w:sz w:val="22"/>
                <w:szCs w:val="22"/>
              </w:rPr>
            </w:pPr>
            <w:r>
              <w:rPr>
                <w:rFonts w:hint="eastAsia" w:cs="Times New Roman"/>
                <w:sz w:val="22"/>
                <w:szCs w:val="22"/>
              </w:rPr>
              <w:t>2-2</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107°56′57.12″</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31°04′09.48″</w:t>
            </w:r>
          </w:p>
        </w:tc>
        <w:tc>
          <w:tcPr>
            <w:tcW w:w="1703" w:type="dxa"/>
            <w:vAlign w:val="center"/>
          </w:tcPr>
          <w:p>
            <w:pPr>
              <w:jc w:val="center"/>
              <w:rPr>
                <w:rFonts w:cs="Times New Roman"/>
                <w:sz w:val="21"/>
                <w:szCs w:val="21"/>
              </w:rPr>
            </w:pPr>
            <w:r>
              <w:rPr>
                <w:rFonts w:hint="eastAsia" w:cs="Times New Roman"/>
                <w:sz w:val="21"/>
                <w:szCs w:val="21"/>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restart"/>
            <w:vAlign w:val="center"/>
          </w:tcPr>
          <w:p>
            <w:pPr>
              <w:jc w:val="center"/>
              <w:rPr>
                <w:rFonts w:cs="Times New Roman"/>
                <w:sz w:val="22"/>
                <w:szCs w:val="22"/>
              </w:rPr>
            </w:pPr>
            <w:r>
              <w:rPr>
                <w:rFonts w:cs="Times New Roman"/>
                <w:sz w:val="22"/>
                <w:szCs w:val="22"/>
              </w:rPr>
              <w:t>二级保护区</w:t>
            </w:r>
            <w:r>
              <w:rPr>
                <w:rFonts w:hint="eastAsia" w:cs="Times New Roman"/>
                <w:sz w:val="22"/>
                <w:szCs w:val="22"/>
              </w:rPr>
              <w:t>水域</w:t>
            </w: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1</w:t>
            </w:r>
          </w:p>
        </w:tc>
        <w:tc>
          <w:tcPr>
            <w:tcW w:w="1702" w:type="dxa"/>
            <w:shd w:val="clear" w:color="auto" w:fill="auto"/>
            <w:vAlign w:val="center"/>
          </w:tcPr>
          <w:p>
            <w:r>
              <w:t>107°56′54.73″</w:t>
            </w:r>
          </w:p>
        </w:tc>
        <w:tc>
          <w:tcPr>
            <w:tcW w:w="1703" w:type="dxa"/>
            <w:shd w:val="clear" w:color="auto" w:fill="auto"/>
            <w:vAlign w:val="center"/>
          </w:tcPr>
          <w:p>
            <w:r>
              <w:t>31°04′43.00″</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2</w:t>
            </w:r>
          </w:p>
        </w:tc>
        <w:tc>
          <w:tcPr>
            <w:tcW w:w="1702" w:type="dxa"/>
            <w:shd w:val="clear" w:color="auto" w:fill="auto"/>
            <w:vAlign w:val="center"/>
          </w:tcPr>
          <w:p>
            <w:r>
              <w:t>107°56′36.63″</w:t>
            </w:r>
          </w:p>
        </w:tc>
        <w:tc>
          <w:tcPr>
            <w:tcW w:w="1703" w:type="dxa"/>
            <w:shd w:val="clear" w:color="auto" w:fill="auto"/>
            <w:vAlign w:val="center"/>
          </w:tcPr>
          <w:p>
            <w:r>
              <w:t>31°04′20.66″</w:t>
            </w:r>
          </w:p>
        </w:tc>
        <w:tc>
          <w:tcPr>
            <w:tcW w:w="1703" w:type="dxa"/>
            <w:vAlign w:val="center"/>
          </w:tcPr>
          <w:p>
            <w:pPr>
              <w:jc w:val="center"/>
              <w:rPr>
                <w:rFonts w:cs="Times New Roman"/>
                <w:sz w:val="21"/>
                <w:szCs w:val="21"/>
              </w:rPr>
            </w:pPr>
            <w:r>
              <w:rPr>
                <w:rFonts w:hint="eastAsia" w:cs="Times New Roman"/>
                <w:color w:val="000000"/>
                <w:sz w:val="21"/>
                <w:szCs w:val="2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3</w:t>
            </w:r>
          </w:p>
        </w:tc>
        <w:tc>
          <w:tcPr>
            <w:tcW w:w="1702" w:type="dxa"/>
            <w:shd w:val="clear" w:color="auto" w:fill="auto"/>
            <w:vAlign w:val="center"/>
          </w:tcPr>
          <w:p>
            <w:r>
              <w:t>107°56′38.28″</w:t>
            </w:r>
          </w:p>
        </w:tc>
        <w:tc>
          <w:tcPr>
            <w:tcW w:w="1703" w:type="dxa"/>
            <w:shd w:val="clear" w:color="auto" w:fill="auto"/>
            <w:vAlign w:val="center"/>
          </w:tcPr>
          <w:p>
            <w:r>
              <w:t>31°04′25.56″</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4</w:t>
            </w:r>
          </w:p>
        </w:tc>
        <w:tc>
          <w:tcPr>
            <w:tcW w:w="1702" w:type="dxa"/>
            <w:shd w:val="clear" w:color="auto" w:fill="auto"/>
            <w:vAlign w:val="center"/>
          </w:tcPr>
          <w:p>
            <w:r>
              <w:t>107°56′27.52″</w:t>
            </w:r>
          </w:p>
        </w:tc>
        <w:tc>
          <w:tcPr>
            <w:tcW w:w="1703" w:type="dxa"/>
            <w:shd w:val="clear" w:color="auto" w:fill="auto"/>
            <w:vAlign w:val="center"/>
          </w:tcPr>
          <w:p>
            <w:r>
              <w:t>31°04′35.02″</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5</w:t>
            </w:r>
          </w:p>
        </w:tc>
        <w:tc>
          <w:tcPr>
            <w:tcW w:w="1702" w:type="dxa"/>
            <w:shd w:val="clear" w:color="auto" w:fill="auto"/>
            <w:vAlign w:val="center"/>
          </w:tcPr>
          <w:p>
            <w:r>
              <w:t>107°56′22.24″</w:t>
            </w:r>
          </w:p>
        </w:tc>
        <w:tc>
          <w:tcPr>
            <w:tcW w:w="1703" w:type="dxa"/>
            <w:shd w:val="clear" w:color="auto" w:fill="auto"/>
            <w:vAlign w:val="center"/>
          </w:tcPr>
          <w:p>
            <w:r>
              <w:t>31°04′31.97″</w:t>
            </w:r>
          </w:p>
        </w:tc>
        <w:tc>
          <w:tcPr>
            <w:tcW w:w="1703" w:type="dxa"/>
            <w:vAlign w:val="center"/>
          </w:tcPr>
          <w:p>
            <w:pPr>
              <w:jc w:val="center"/>
              <w:rPr>
                <w:rFonts w:cs="Times New Roman"/>
                <w:sz w:val="21"/>
                <w:szCs w:val="21"/>
              </w:rPr>
            </w:pPr>
            <w:r>
              <w:rPr>
                <w:rFonts w:hint="eastAsia" w:cs="Times New Roman"/>
                <w:color w:val="000000"/>
                <w:sz w:val="21"/>
                <w:szCs w:val="21"/>
              </w:rP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6</w:t>
            </w:r>
          </w:p>
        </w:tc>
        <w:tc>
          <w:tcPr>
            <w:tcW w:w="1702" w:type="dxa"/>
            <w:shd w:val="clear" w:color="auto" w:fill="auto"/>
            <w:vAlign w:val="center"/>
          </w:tcPr>
          <w:p>
            <w:r>
              <w:t>107°56′15.01″</w:t>
            </w:r>
          </w:p>
        </w:tc>
        <w:tc>
          <w:tcPr>
            <w:tcW w:w="1703" w:type="dxa"/>
            <w:shd w:val="clear" w:color="auto" w:fill="auto"/>
            <w:vAlign w:val="center"/>
          </w:tcPr>
          <w:p>
            <w:r>
              <w:t>31°04′34.58″</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7</w:t>
            </w:r>
          </w:p>
        </w:tc>
        <w:tc>
          <w:tcPr>
            <w:tcW w:w="1702" w:type="dxa"/>
            <w:shd w:val="clear" w:color="auto" w:fill="auto"/>
            <w:vAlign w:val="center"/>
          </w:tcPr>
          <w:p>
            <w:r>
              <w:t>107°56′04.08″</w:t>
            </w:r>
          </w:p>
        </w:tc>
        <w:tc>
          <w:tcPr>
            <w:tcW w:w="1703" w:type="dxa"/>
            <w:shd w:val="clear" w:color="auto" w:fill="auto"/>
            <w:vAlign w:val="center"/>
          </w:tcPr>
          <w:p>
            <w:r>
              <w:t>31°04′27.14″</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8</w:t>
            </w:r>
          </w:p>
        </w:tc>
        <w:tc>
          <w:tcPr>
            <w:tcW w:w="1702" w:type="dxa"/>
            <w:shd w:val="clear" w:color="auto" w:fill="auto"/>
            <w:vAlign w:val="center"/>
          </w:tcPr>
          <w:p>
            <w:r>
              <w:t>107°56′08.37″</w:t>
            </w:r>
          </w:p>
        </w:tc>
        <w:tc>
          <w:tcPr>
            <w:tcW w:w="1703" w:type="dxa"/>
            <w:shd w:val="clear" w:color="auto" w:fill="auto"/>
            <w:vAlign w:val="center"/>
          </w:tcPr>
          <w:p>
            <w:r>
              <w:t>31°04′41.15″</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9</w:t>
            </w:r>
          </w:p>
        </w:tc>
        <w:tc>
          <w:tcPr>
            <w:tcW w:w="1702" w:type="dxa"/>
            <w:shd w:val="clear" w:color="auto" w:fill="auto"/>
            <w:vAlign w:val="center"/>
          </w:tcPr>
          <w:p>
            <w:r>
              <w:t>107°56′02.57″</w:t>
            </w:r>
          </w:p>
        </w:tc>
        <w:tc>
          <w:tcPr>
            <w:tcW w:w="1703" w:type="dxa"/>
            <w:shd w:val="clear" w:color="auto" w:fill="auto"/>
            <w:vAlign w:val="center"/>
          </w:tcPr>
          <w:p>
            <w:r>
              <w:t>31°04′48.14″</w:t>
            </w:r>
          </w:p>
        </w:tc>
        <w:tc>
          <w:tcPr>
            <w:tcW w:w="1703" w:type="dxa"/>
            <w:vAlign w:val="center"/>
          </w:tcPr>
          <w:p>
            <w:pPr>
              <w:jc w:val="center"/>
              <w:rPr>
                <w:rFonts w:cs="Times New Roman"/>
                <w:sz w:val="21"/>
                <w:szCs w:val="21"/>
              </w:rPr>
            </w:pPr>
            <w:r>
              <w:rPr>
                <w:rFonts w:hint="eastAsia" w:cs="Times New Roman"/>
                <w:color w:val="000000"/>
                <w:sz w:val="21"/>
                <w:szCs w:val="21"/>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10</w:t>
            </w:r>
          </w:p>
        </w:tc>
        <w:tc>
          <w:tcPr>
            <w:tcW w:w="1702" w:type="dxa"/>
            <w:shd w:val="clear" w:color="auto" w:fill="auto"/>
            <w:vAlign w:val="center"/>
          </w:tcPr>
          <w:p>
            <w:r>
              <w:t>107°55′50.72″</w:t>
            </w:r>
          </w:p>
        </w:tc>
        <w:tc>
          <w:tcPr>
            <w:tcW w:w="1703" w:type="dxa"/>
            <w:shd w:val="clear" w:color="auto" w:fill="auto"/>
            <w:vAlign w:val="center"/>
          </w:tcPr>
          <w:p>
            <w:r>
              <w:t>31°05′01.44″</w:t>
            </w:r>
          </w:p>
        </w:tc>
        <w:tc>
          <w:tcPr>
            <w:tcW w:w="1703" w:type="dxa"/>
            <w:vAlign w:val="center"/>
          </w:tcPr>
          <w:p>
            <w:pPr>
              <w:jc w:val="center"/>
              <w:rPr>
                <w:rFonts w:cs="Times New Roman"/>
                <w:sz w:val="21"/>
                <w:szCs w:val="21"/>
              </w:rPr>
            </w:pPr>
            <w:r>
              <w:rPr>
                <w:rFonts w:hint="eastAsia" w:cs="Times New Roman"/>
                <w:color w:val="000000"/>
                <w:sz w:val="21"/>
                <w:szCs w:val="21"/>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11</w:t>
            </w:r>
          </w:p>
        </w:tc>
        <w:tc>
          <w:tcPr>
            <w:tcW w:w="1702" w:type="dxa"/>
            <w:shd w:val="clear" w:color="auto" w:fill="auto"/>
            <w:vAlign w:val="center"/>
          </w:tcPr>
          <w:p>
            <w:r>
              <w:t>107°55′47.50″</w:t>
            </w:r>
          </w:p>
        </w:tc>
        <w:tc>
          <w:tcPr>
            <w:tcW w:w="1703" w:type="dxa"/>
            <w:shd w:val="clear" w:color="auto" w:fill="auto"/>
            <w:vAlign w:val="center"/>
          </w:tcPr>
          <w:p>
            <w:r>
              <w:t>31°05′08.26″</w:t>
            </w:r>
          </w:p>
        </w:tc>
        <w:tc>
          <w:tcPr>
            <w:tcW w:w="1703" w:type="dxa"/>
            <w:vAlign w:val="center"/>
          </w:tcPr>
          <w:p>
            <w:pPr>
              <w:jc w:val="center"/>
              <w:rPr>
                <w:rFonts w:cs="Times New Roman"/>
                <w:sz w:val="21"/>
                <w:szCs w:val="21"/>
              </w:rPr>
            </w:pPr>
            <w:r>
              <w:rPr>
                <w:rFonts w:hint="eastAsia" w:cs="Times New Roman"/>
                <w:color w:val="000000"/>
                <w:sz w:val="21"/>
                <w:szCs w:val="21"/>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12</w:t>
            </w:r>
          </w:p>
        </w:tc>
        <w:tc>
          <w:tcPr>
            <w:tcW w:w="1702" w:type="dxa"/>
            <w:shd w:val="clear" w:color="auto" w:fill="auto"/>
            <w:vAlign w:val="center"/>
          </w:tcPr>
          <w:p>
            <w:r>
              <w:t>107°55′51.75″</w:t>
            </w:r>
          </w:p>
        </w:tc>
        <w:tc>
          <w:tcPr>
            <w:tcW w:w="1703" w:type="dxa"/>
            <w:shd w:val="clear" w:color="auto" w:fill="auto"/>
            <w:vAlign w:val="center"/>
          </w:tcPr>
          <w:p>
            <w:r>
              <w:t>31°05′03.05″</w:t>
            </w:r>
          </w:p>
        </w:tc>
        <w:tc>
          <w:tcPr>
            <w:tcW w:w="1703" w:type="dxa"/>
            <w:vAlign w:val="center"/>
          </w:tcPr>
          <w:p>
            <w:pPr>
              <w:jc w:val="center"/>
              <w:rPr>
                <w:rFonts w:cs="Times New Roman"/>
                <w:sz w:val="21"/>
                <w:szCs w:val="21"/>
              </w:rPr>
            </w:pPr>
            <w:r>
              <w:rPr>
                <w:rFonts w:hint="eastAsia" w:cs="Times New Roman"/>
                <w:color w:val="000000"/>
                <w:sz w:val="21"/>
                <w:szCs w:val="21"/>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13</w:t>
            </w:r>
          </w:p>
        </w:tc>
        <w:tc>
          <w:tcPr>
            <w:tcW w:w="1702" w:type="dxa"/>
            <w:shd w:val="clear" w:color="auto" w:fill="auto"/>
            <w:vAlign w:val="center"/>
          </w:tcPr>
          <w:p>
            <w:r>
              <w:t>107°55′57.57″</w:t>
            </w:r>
          </w:p>
        </w:tc>
        <w:tc>
          <w:tcPr>
            <w:tcW w:w="1703" w:type="dxa"/>
            <w:shd w:val="clear" w:color="auto" w:fill="auto"/>
            <w:vAlign w:val="center"/>
          </w:tcPr>
          <w:p>
            <w:r>
              <w:t>31°05′12.92″</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14</w:t>
            </w:r>
          </w:p>
        </w:tc>
        <w:tc>
          <w:tcPr>
            <w:tcW w:w="1702" w:type="dxa"/>
            <w:shd w:val="clear" w:color="auto" w:fill="auto"/>
            <w:vAlign w:val="center"/>
          </w:tcPr>
          <w:p>
            <w:r>
              <w:t>107°56′01.17″</w:t>
            </w:r>
          </w:p>
        </w:tc>
        <w:tc>
          <w:tcPr>
            <w:tcW w:w="1703" w:type="dxa"/>
            <w:shd w:val="clear" w:color="auto" w:fill="auto"/>
            <w:vAlign w:val="center"/>
          </w:tcPr>
          <w:p>
            <w:r>
              <w:t>31°05′30.60″</w:t>
            </w:r>
          </w:p>
        </w:tc>
        <w:tc>
          <w:tcPr>
            <w:tcW w:w="1703" w:type="dxa"/>
            <w:vAlign w:val="center"/>
          </w:tcPr>
          <w:p>
            <w:pPr>
              <w:jc w:val="center"/>
              <w:rPr>
                <w:rFonts w:cs="Times New Roman"/>
                <w:sz w:val="21"/>
                <w:szCs w:val="21"/>
              </w:rPr>
            </w:pPr>
            <w:r>
              <w:rPr>
                <w:rFonts w:hint="eastAsia" w:cs="Times New Roman"/>
                <w:color w:val="000000"/>
                <w:sz w:val="21"/>
                <w:szCs w:val="21"/>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15</w:t>
            </w:r>
          </w:p>
        </w:tc>
        <w:tc>
          <w:tcPr>
            <w:tcW w:w="1702" w:type="dxa"/>
            <w:shd w:val="clear" w:color="auto" w:fill="auto"/>
            <w:vAlign w:val="center"/>
          </w:tcPr>
          <w:p>
            <w:r>
              <w:t>107°55′55.28″</w:t>
            </w:r>
          </w:p>
        </w:tc>
        <w:tc>
          <w:tcPr>
            <w:tcW w:w="1703" w:type="dxa"/>
            <w:shd w:val="clear" w:color="auto" w:fill="auto"/>
            <w:vAlign w:val="center"/>
          </w:tcPr>
          <w:p>
            <w:r>
              <w:t>31°04′57.32″</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16</w:t>
            </w:r>
          </w:p>
        </w:tc>
        <w:tc>
          <w:tcPr>
            <w:tcW w:w="1702" w:type="dxa"/>
            <w:shd w:val="clear" w:color="auto" w:fill="auto"/>
            <w:vAlign w:val="center"/>
          </w:tcPr>
          <w:p>
            <w:r>
              <w:t>107°55′51.99″</w:t>
            </w:r>
          </w:p>
        </w:tc>
        <w:tc>
          <w:tcPr>
            <w:tcW w:w="1703" w:type="dxa"/>
            <w:shd w:val="clear" w:color="auto" w:fill="auto"/>
            <w:vAlign w:val="center"/>
          </w:tcPr>
          <w:p>
            <w:r>
              <w:t>31°04′51.50″</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17</w:t>
            </w:r>
          </w:p>
        </w:tc>
        <w:tc>
          <w:tcPr>
            <w:tcW w:w="1702" w:type="dxa"/>
            <w:shd w:val="clear" w:color="auto" w:fill="auto"/>
            <w:vAlign w:val="center"/>
          </w:tcPr>
          <w:p>
            <w:r>
              <w:t>107°55′57.40″</w:t>
            </w:r>
          </w:p>
        </w:tc>
        <w:tc>
          <w:tcPr>
            <w:tcW w:w="1703" w:type="dxa"/>
            <w:shd w:val="clear" w:color="auto" w:fill="auto"/>
            <w:vAlign w:val="center"/>
          </w:tcPr>
          <w:p>
            <w:r>
              <w:t>31°04′47.66″</w:t>
            </w:r>
          </w:p>
        </w:tc>
        <w:tc>
          <w:tcPr>
            <w:tcW w:w="1703" w:type="dxa"/>
            <w:vAlign w:val="center"/>
          </w:tcPr>
          <w:p>
            <w:pPr>
              <w:jc w:val="center"/>
              <w:rPr>
                <w:rFonts w:cs="Times New Roman"/>
                <w:sz w:val="21"/>
                <w:szCs w:val="21"/>
              </w:rPr>
            </w:pPr>
            <w:r>
              <w:rPr>
                <w:rFonts w:hint="eastAsia" w:cs="Times New Roman"/>
                <w:color w:val="000000"/>
                <w:sz w:val="21"/>
                <w:szCs w:val="21"/>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18</w:t>
            </w:r>
          </w:p>
        </w:tc>
        <w:tc>
          <w:tcPr>
            <w:tcW w:w="1702" w:type="dxa"/>
            <w:shd w:val="clear" w:color="auto" w:fill="auto"/>
            <w:vAlign w:val="center"/>
          </w:tcPr>
          <w:p>
            <w:r>
              <w:t>107°56′02.61″</w:t>
            </w:r>
          </w:p>
        </w:tc>
        <w:tc>
          <w:tcPr>
            <w:tcW w:w="1703" w:type="dxa"/>
            <w:shd w:val="clear" w:color="auto" w:fill="auto"/>
            <w:vAlign w:val="center"/>
          </w:tcPr>
          <w:p>
            <w:r>
              <w:t>31°04′52.49″</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19</w:t>
            </w:r>
          </w:p>
        </w:tc>
        <w:tc>
          <w:tcPr>
            <w:tcW w:w="1702" w:type="dxa"/>
            <w:shd w:val="clear" w:color="auto" w:fill="auto"/>
            <w:vAlign w:val="center"/>
          </w:tcPr>
          <w:p>
            <w:r>
              <w:t>107°56′21.80″</w:t>
            </w:r>
          </w:p>
        </w:tc>
        <w:tc>
          <w:tcPr>
            <w:tcW w:w="1703" w:type="dxa"/>
            <w:shd w:val="clear" w:color="auto" w:fill="auto"/>
            <w:vAlign w:val="center"/>
          </w:tcPr>
          <w:p>
            <w:r>
              <w:t>31°04′35.50″</w:t>
            </w:r>
          </w:p>
        </w:tc>
        <w:tc>
          <w:tcPr>
            <w:tcW w:w="1703" w:type="dxa"/>
            <w:vAlign w:val="center"/>
          </w:tcPr>
          <w:p>
            <w:pPr>
              <w:jc w:val="center"/>
              <w:rPr>
                <w:rFonts w:cs="Times New Roman"/>
                <w:sz w:val="21"/>
                <w:szCs w:val="21"/>
              </w:rPr>
            </w:pPr>
            <w:r>
              <w:rPr>
                <w:rFonts w:hint="eastAsia" w:cs="Times New Roman"/>
                <w:color w:val="000000"/>
                <w:sz w:val="21"/>
                <w:szCs w:val="21"/>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20</w:t>
            </w:r>
          </w:p>
        </w:tc>
        <w:tc>
          <w:tcPr>
            <w:tcW w:w="1702" w:type="dxa"/>
            <w:shd w:val="clear" w:color="auto" w:fill="auto"/>
            <w:vAlign w:val="center"/>
          </w:tcPr>
          <w:p>
            <w:r>
              <w:t>107°56′30.19″</w:t>
            </w:r>
          </w:p>
        </w:tc>
        <w:tc>
          <w:tcPr>
            <w:tcW w:w="1703" w:type="dxa"/>
            <w:shd w:val="clear" w:color="auto" w:fill="auto"/>
            <w:vAlign w:val="center"/>
          </w:tcPr>
          <w:p>
            <w:r>
              <w:t>31°04′37.62″</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21</w:t>
            </w:r>
          </w:p>
        </w:tc>
        <w:tc>
          <w:tcPr>
            <w:tcW w:w="1702" w:type="dxa"/>
            <w:shd w:val="clear" w:color="auto" w:fill="auto"/>
            <w:vAlign w:val="center"/>
          </w:tcPr>
          <w:p>
            <w:r>
              <w:t>107°56′38.28″</w:t>
            </w:r>
          </w:p>
        </w:tc>
        <w:tc>
          <w:tcPr>
            <w:tcW w:w="1703" w:type="dxa"/>
            <w:shd w:val="clear" w:color="auto" w:fill="auto"/>
            <w:vAlign w:val="center"/>
          </w:tcPr>
          <w:p>
            <w:r>
              <w:t>31°04′29.57″</w:t>
            </w:r>
          </w:p>
        </w:tc>
        <w:tc>
          <w:tcPr>
            <w:tcW w:w="1703" w:type="dxa"/>
            <w:vAlign w:val="center"/>
          </w:tcPr>
          <w:p>
            <w:pPr>
              <w:jc w:val="center"/>
              <w:rPr>
                <w:rFonts w:cs="Times New Roman"/>
                <w:sz w:val="21"/>
                <w:szCs w:val="21"/>
              </w:rPr>
            </w:pPr>
            <w:r>
              <w:rPr>
                <w:rFonts w:hint="eastAsia" w:cs="Times New Roman"/>
                <w:color w:val="000000"/>
                <w:sz w:val="21"/>
                <w:szCs w:val="21"/>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22</w:t>
            </w:r>
          </w:p>
        </w:tc>
        <w:tc>
          <w:tcPr>
            <w:tcW w:w="1702" w:type="dxa"/>
            <w:shd w:val="clear" w:color="auto" w:fill="auto"/>
            <w:vAlign w:val="center"/>
          </w:tcPr>
          <w:p>
            <w:r>
              <w:t>107°56′36.84″</w:t>
            </w:r>
          </w:p>
        </w:tc>
        <w:tc>
          <w:tcPr>
            <w:tcW w:w="1703" w:type="dxa"/>
            <w:shd w:val="clear" w:color="auto" w:fill="auto"/>
            <w:vAlign w:val="center"/>
          </w:tcPr>
          <w:p>
            <w:r>
              <w:t>31°04′44.27″</w:t>
            </w:r>
          </w:p>
        </w:tc>
        <w:tc>
          <w:tcPr>
            <w:tcW w:w="1703" w:type="dxa"/>
            <w:vAlign w:val="center"/>
          </w:tcPr>
          <w:p>
            <w:pPr>
              <w:jc w:val="center"/>
              <w:rPr>
                <w:rFonts w:cs="Times New Roman"/>
                <w:sz w:val="21"/>
                <w:szCs w:val="21"/>
              </w:rPr>
            </w:pPr>
            <w:r>
              <w:rPr>
                <w:rFonts w:hint="eastAsia" w:cs="Times New Roman"/>
                <w:color w:val="000000"/>
                <w:sz w:val="21"/>
                <w:szCs w:val="2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23</w:t>
            </w:r>
          </w:p>
        </w:tc>
        <w:tc>
          <w:tcPr>
            <w:tcW w:w="1702" w:type="dxa"/>
            <w:shd w:val="clear" w:color="auto" w:fill="auto"/>
            <w:vAlign w:val="center"/>
          </w:tcPr>
          <w:p>
            <w:r>
              <w:t>107°56′46.91″</w:t>
            </w:r>
          </w:p>
        </w:tc>
        <w:tc>
          <w:tcPr>
            <w:tcW w:w="1703" w:type="dxa"/>
            <w:shd w:val="clear" w:color="auto" w:fill="auto"/>
            <w:vAlign w:val="center"/>
          </w:tcPr>
          <w:p>
            <w:r>
              <w:t>31°04′33.07″</w:t>
            </w:r>
          </w:p>
        </w:tc>
        <w:tc>
          <w:tcPr>
            <w:tcW w:w="1703" w:type="dxa"/>
            <w:vAlign w:val="center"/>
          </w:tcPr>
          <w:p>
            <w:pPr>
              <w:jc w:val="center"/>
              <w:rPr>
                <w:rFonts w:cs="Times New Roman"/>
                <w:sz w:val="21"/>
                <w:szCs w:val="21"/>
              </w:rPr>
            </w:pPr>
            <w:r>
              <w:rPr>
                <w:rFonts w:hint="eastAsia" w:cs="Times New Roman"/>
                <w:color w:val="000000"/>
                <w:sz w:val="21"/>
                <w:szCs w:val="2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24</w:t>
            </w:r>
          </w:p>
        </w:tc>
        <w:tc>
          <w:tcPr>
            <w:tcW w:w="1702" w:type="dxa"/>
            <w:shd w:val="clear" w:color="auto" w:fill="auto"/>
            <w:vAlign w:val="center"/>
          </w:tcPr>
          <w:p>
            <w:r>
              <w:t>107°57′01.54″</w:t>
            </w:r>
          </w:p>
        </w:tc>
        <w:tc>
          <w:tcPr>
            <w:tcW w:w="1703" w:type="dxa"/>
            <w:shd w:val="clear" w:color="auto" w:fill="auto"/>
            <w:vAlign w:val="center"/>
          </w:tcPr>
          <w:p>
            <w:r>
              <w:t>31°04′58.73″</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25</w:t>
            </w:r>
          </w:p>
        </w:tc>
        <w:tc>
          <w:tcPr>
            <w:tcW w:w="1702" w:type="dxa"/>
            <w:shd w:val="clear" w:color="auto" w:fill="auto"/>
            <w:vAlign w:val="center"/>
          </w:tcPr>
          <w:p>
            <w:r>
              <w:t>107°57′03.70″</w:t>
            </w:r>
          </w:p>
        </w:tc>
        <w:tc>
          <w:tcPr>
            <w:tcW w:w="1703" w:type="dxa"/>
            <w:shd w:val="clear" w:color="auto" w:fill="auto"/>
            <w:vAlign w:val="center"/>
          </w:tcPr>
          <w:p>
            <w:r>
              <w:t>31°04′58.42″</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26</w:t>
            </w:r>
          </w:p>
        </w:tc>
        <w:tc>
          <w:tcPr>
            <w:tcW w:w="1702" w:type="dxa"/>
            <w:shd w:val="clear" w:color="auto" w:fill="auto"/>
            <w:vAlign w:val="center"/>
          </w:tcPr>
          <w:p>
            <w:r>
              <w:t>107°56′58.56″</w:t>
            </w:r>
          </w:p>
        </w:tc>
        <w:tc>
          <w:tcPr>
            <w:tcW w:w="1703" w:type="dxa"/>
            <w:shd w:val="clear" w:color="auto" w:fill="auto"/>
            <w:vAlign w:val="center"/>
          </w:tcPr>
          <w:p>
            <w:r>
              <w:t>31°04′52.05″</w:t>
            </w:r>
          </w:p>
        </w:tc>
        <w:tc>
          <w:tcPr>
            <w:tcW w:w="1703" w:type="dxa"/>
            <w:vAlign w:val="center"/>
          </w:tcPr>
          <w:p>
            <w:pPr>
              <w:jc w:val="center"/>
              <w:rPr>
                <w:rFonts w:cs="Times New Roman"/>
                <w:sz w:val="21"/>
                <w:szCs w:val="21"/>
              </w:rPr>
            </w:pPr>
            <w:r>
              <w:rPr>
                <w:rFonts w:hint="eastAsia" w:cs="Times New Roman"/>
                <w:color w:val="000000"/>
                <w:sz w:val="21"/>
                <w:szCs w:val="21"/>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27</w:t>
            </w:r>
          </w:p>
        </w:tc>
        <w:tc>
          <w:tcPr>
            <w:tcW w:w="1702" w:type="dxa"/>
            <w:shd w:val="clear" w:color="auto" w:fill="auto"/>
            <w:vAlign w:val="center"/>
          </w:tcPr>
          <w:p>
            <w:r>
              <w:t>107°57′19.97″</w:t>
            </w:r>
          </w:p>
        </w:tc>
        <w:tc>
          <w:tcPr>
            <w:tcW w:w="1703" w:type="dxa"/>
            <w:shd w:val="clear" w:color="auto" w:fill="auto"/>
            <w:vAlign w:val="center"/>
          </w:tcPr>
          <w:p>
            <w:r>
              <w:t>31°04′04.60″</w:t>
            </w:r>
          </w:p>
        </w:tc>
        <w:tc>
          <w:tcPr>
            <w:tcW w:w="1703" w:type="dxa"/>
            <w:vAlign w:val="center"/>
          </w:tcPr>
          <w:p>
            <w:pPr>
              <w:jc w:val="center"/>
              <w:rPr>
                <w:rFonts w:cs="Times New Roman"/>
                <w:sz w:val="21"/>
                <w:szCs w:val="21"/>
              </w:rPr>
            </w:pPr>
            <w:r>
              <w:rPr>
                <w:rFonts w:hint="eastAsia" w:cs="Times New Roman"/>
                <w:color w:val="000000"/>
                <w:sz w:val="21"/>
                <w:szCs w:val="21"/>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28</w:t>
            </w:r>
          </w:p>
        </w:tc>
        <w:tc>
          <w:tcPr>
            <w:tcW w:w="1702" w:type="dxa"/>
            <w:shd w:val="clear" w:color="auto" w:fill="auto"/>
            <w:vAlign w:val="center"/>
          </w:tcPr>
          <w:p>
            <w:r>
              <w:t>107°57′19.16″</w:t>
            </w:r>
          </w:p>
        </w:tc>
        <w:tc>
          <w:tcPr>
            <w:tcW w:w="1703" w:type="dxa"/>
            <w:shd w:val="clear" w:color="auto" w:fill="auto"/>
            <w:vAlign w:val="center"/>
          </w:tcPr>
          <w:p>
            <w:r>
              <w:t>31°04′12.78″</w:t>
            </w:r>
          </w:p>
        </w:tc>
        <w:tc>
          <w:tcPr>
            <w:tcW w:w="1703" w:type="dxa"/>
            <w:vAlign w:val="center"/>
          </w:tcPr>
          <w:p>
            <w:pPr>
              <w:jc w:val="center"/>
              <w:rPr>
                <w:rFonts w:cs="Times New Roman"/>
                <w:sz w:val="21"/>
                <w:szCs w:val="21"/>
              </w:rPr>
            </w:pPr>
            <w:r>
              <w:rPr>
                <w:rFonts w:hint="eastAsia" w:cs="Times New Roman"/>
                <w:color w:val="000000"/>
                <w:sz w:val="21"/>
                <w:szCs w:val="21"/>
              </w:rPr>
              <w: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29</w:t>
            </w:r>
          </w:p>
        </w:tc>
        <w:tc>
          <w:tcPr>
            <w:tcW w:w="1702" w:type="dxa"/>
            <w:shd w:val="clear" w:color="auto" w:fill="auto"/>
            <w:vAlign w:val="center"/>
          </w:tcPr>
          <w:p>
            <w:r>
              <w:t>107°57′29.01″</w:t>
            </w:r>
          </w:p>
        </w:tc>
        <w:tc>
          <w:tcPr>
            <w:tcW w:w="1703" w:type="dxa"/>
            <w:shd w:val="clear" w:color="auto" w:fill="auto"/>
            <w:vAlign w:val="center"/>
          </w:tcPr>
          <w:p>
            <w:r>
              <w:t>31°04′13.68″</w:t>
            </w:r>
          </w:p>
        </w:tc>
        <w:tc>
          <w:tcPr>
            <w:tcW w:w="1703" w:type="dxa"/>
            <w:vAlign w:val="center"/>
          </w:tcPr>
          <w:p>
            <w:pPr>
              <w:jc w:val="center"/>
              <w:rPr>
                <w:rFonts w:cs="Times New Roman"/>
                <w:sz w:val="21"/>
                <w:szCs w:val="21"/>
              </w:rPr>
            </w:pPr>
            <w:r>
              <w:rPr>
                <w:rFonts w:hint="eastAsia" w:cs="Times New Roman"/>
                <w:sz w:val="21"/>
                <w:szCs w:val="21"/>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30</w:t>
            </w:r>
          </w:p>
        </w:tc>
        <w:tc>
          <w:tcPr>
            <w:tcW w:w="1702" w:type="dxa"/>
            <w:shd w:val="clear" w:color="auto" w:fill="auto"/>
            <w:vAlign w:val="center"/>
          </w:tcPr>
          <w:p>
            <w:r>
              <w:t>107°57′26.61″</w:t>
            </w:r>
          </w:p>
        </w:tc>
        <w:tc>
          <w:tcPr>
            <w:tcW w:w="1703" w:type="dxa"/>
            <w:shd w:val="clear" w:color="auto" w:fill="auto"/>
            <w:vAlign w:val="center"/>
          </w:tcPr>
          <w:p>
            <w:r>
              <w:t>31°04′02.24″</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31</w:t>
            </w:r>
          </w:p>
        </w:tc>
        <w:tc>
          <w:tcPr>
            <w:tcW w:w="1702" w:type="dxa"/>
            <w:shd w:val="clear" w:color="auto" w:fill="auto"/>
            <w:vAlign w:val="center"/>
          </w:tcPr>
          <w:p>
            <w:r>
              <w:t>107°57′36.68″</w:t>
            </w:r>
          </w:p>
        </w:tc>
        <w:tc>
          <w:tcPr>
            <w:tcW w:w="1703" w:type="dxa"/>
            <w:shd w:val="clear" w:color="auto" w:fill="auto"/>
            <w:vAlign w:val="center"/>
          </w:tcPr>
          <w:p>
            <w:r>
              <w:t>31°04′02.63″</w:t>
            </w:r>
          </w:p>
        </w:tc>
        <w:tc>
          <w:tcPr>
            <w:tcW w:w="1703" w:type="dxa"/>
            <w:vAlign w:val="center"/>
          </w:tcPr>
          <w:p>
            <w:pPr>
              <w:jc w:val="center"/>
              <w:rPr>
                <w:rFonts w:cs="Times New Roman"/>
                <w:sz w:val="21"/>
                <w:szCs w:val="21"/>
              </w:rPr>
            </w:pPr>
            <w:r>
              <w:rPr>
                <w:rFonts w:hint="eastAsia" w:cs="Times New Roman"/>
                <w:color w:val="000000"/>
                <w:sz w:val="21"/>
                <w:szCs w:val="2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32</w:t>
            </w:r>
          </w:p>
        </w:tc>
        <w:tc>
          <w:tcPr>
            <w:tcW w:w="1702" w:type="dxa"/>
            <w:shd w:val="clear" w:color="auto" w:fill="auto"/>
            <w:vAlign w:val="center"/>
          </w:tcPr>
          <w:p>
            <w:r>
              <w:t>107°57′34.03″</w:t>
            </w:r>
          </w:p>
        </w:tc>
        <w:tc>
          <w:tcPr>
            <w:tcW w:w="1703" w:type="dxa"/>
            <w:shd w:val="clear" w:color="auto" w:fill="auto"/>
            <w:vAlign w:val="center"/>
          </w:tcPr>
          <w:p>
            <w:r>
              <w:t>31°04′17.05″</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33</w:t>
            </w:r>
          </w:p>
        </w:tc>
        <w:tc>
          <w:tcPr>
            <w:tcW w:w="1702" w:type="dxa"/>
            <w:shd w:val="clear" w:color="auto" w:fill="auto"/>
            <w:vAlign w:val="center"/>
          </w:tcPr>
          <w:p>
            <w:r>
              <w:t>107°57′36.80″</w:t>
            </w:r>
          </w:p>
        </w:tc>
        <w:tc>
          <w:tcPr>
            <w:tcW w:w="1703" w:type="dxa"/>
            <w:shd w:val="clear" w:color="auto" w:fill="auto"/>
            <w:vAlign w:val="center"/>
          </w:tcPr>
          <w:p>
            <w:r>
              <w:t>31°04′29.54″</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34</w:t>
            </w:r>
          </w:p>
        </w:tc>
        <w:tc>
          <w:tcPr>
            <w:tcW w:w="1702" w:type="dxa"/>
            <w:shd w:val="clear" w:color="auto" w:fill="auto"/>
            <w:vAlign w:val="center"/>
          </w:tcPr>
          <w:p>
            <w:r>
              <w:t>107°57′39.06″</w:t>
            </w:r>
          </w:p>
        </w:tc>
        <w:tc>
          <w:tcPr>
            <w:tcW w:w="1703" w:type="dxa"/>
            <w:shd w:val="clear" w:color="auto" w:fill="auto"/>
            <w:vAlign w:val="center"/>
          </w:tcPr>
          <w:p>
            <w:r>
              <w:t>31°04′13.81″</w:t>
            </w:r>
          </w:p>
        </w:tc>
        <w:tc>
          <w:tcPr>
            <w:tcW w:w="1703" w:type="dxa"/>
            <w:vAlign w:val="center"/>
          </w:tcPr>
          <w:p>
            <w:pPr>
              <w:jc w:val="center"/>
              <w:rPr>
                <w:rFonts w:cs="Times New Roman"/>
                <w:sz w:val="21"/>
                <w:szCs w:val="21"/>
              </w:rPr>
            </w:pPr>
            <w:r>
              <w:rPr>
                <w:rFonts w:hint="eastAsia" w:cs="Times New Roman"/>
                <w:color w:val="000000"/>
                <w:sz w:val="21"/>
                <w:szCs w:val="21"/>
              </w:rP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35</w:t>
            </w:r>
          </w:p>
        </w:tc>
        <w:tc>
          <w:tcPr>
            <w:tcW w:w="1702" w:type="dxa"/>
            <w:shd w:val="clear" w:color="auto" w:fill="auto"/>
            <w:vAlign w:val="center"/>
          </w:tcPr>
          <w:p>
            <w:r>
              <w:t>107°57′47.65″</w:t>
            </w:r>
          </w:p>
        </w:tc>
        <w:tc>
          <w:tcPr>
            <w:tcW w:w="1703" w:type="dxa"/>
            <w:shd w:val="clear" w:color="auto" w:fill="auto"/>
            <w:vAlign w:val="center"/>
          </w:tcPr>
          <w:p>
            <w:r>
              <w:t>31°04′13.61″</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36</w:t>
            </w:r>
          </w:p>
        </w:tc>
        <w:tc>
          <w:tcPr>
            <w:tcW w:w="1702" w:type="dxa"/>
            <w:shd w:val="clear" w:color="auto" w:fill="auto"/>
            <w:vAlign w:val="center"/>
          </w:tcPr>
          <w:p>
            <w:r>
              <w:t>107°57′40.30″</w:t>
            </w:r>
          </w:p>
        </w:tc>
        <w:tc>
          <w:tcPr>
            <w:tcW w:w="1703" w:type="dxa"/>
            <w:shd w:val="clear" w:color="auto" w:fill="auto"/>
            <w:vAlign w:val="center"/>
          </w:tcPr>
          <w:p>
            <w:r>
              <w:t>31°04′10.98″</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37</w:t>
            </w:r>
          </w:p>
        </w:tc>
        <w:tc>
          <w:tcPr>
            <w:tcW w:w="1702" w:type="dxa"/>
            <w:shd w:val="clear" w:color="auto" w:fill="auto"/>
            <w:vAlign w:val="center"/>
          </w:tcPr>
          <w:p>
            <w:r>
              <w:t>107°57′40.57″</w:t>
            </w:r>
          </w:p>
        </w:tc>
        <w:tc>
          <w:tcPr>
            <w:tcW w:w="1703" w:type="dxa"/>
            <w:shd w:val="clear" w:color="auto" w:fill="auto"/>
            <w:vAlign w:val="center"/>
          </w:tcPr>
          <w:p>
            <w:r>
              <w:t>31°04′06.78″</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38</w:t>
            </w:r>
          </w:p>
        </w:tc>
        <w:tc>
          <w:tcPr>
            <w:tcW w:w="1702" w:type="dxa"/>
            <w:shd w:val="clear" w:color="auto" w:fill="auto"/>
            <w:vAlign w:val="center"/>
          </w:tcPr>
          <w:p>
            <w:r>
              <w:t>107°57′55.78″</w:t>
            </w:r>
          </w:p>
        </w:tc>
        <w:tc>
          <w:tcPr>
            <w:tcW w:w="1703" w:type="dxa"/>
            <w:shd w:val="clear" w:color="auto" w:fill="auto"/>
            <w:vAlign w:val="center"/>
          </w:tcPr>
          <w:p>
            <w:r>
              <w:t>31°04′07.42″</w:t>
            </w:r>
          </w:p>
        </w:tc>
        <w:tc>
          <w:tcPr>
            <w:tcW w:w="1703" w:type="dxa"/>
            <w:vAlign w:val="center"/>
          </w:tcPr>
          <w:p>
            <w:pPr>
              <w:jc w:val="center"/>
              <w:rPr>
                <w:rFonts w:cs="Times New Roman"/>
                <w:sz w:val="21"/>
                <w:szCs w:val="21"/>
              </w:rPr>
            </w:pPr>
            <w:r>
              <w:rPr>
                <w:rFonts w:hint="eastAsia" w:cs="Times New Roman"/>
                <w:color w:val="000000"/>
                <w:sz w:val="21"/>
                <w:szCs w:val="21"/>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39</w:t>
            </w:r>
          </w:p>
        </w:tc>
        <w:tc>
          <w:tcPr>
            <w:tcW w:w="1702" w:type="dxa"/>
            <w:shd w:val="clear" w:color="auto" w:fill="auto"/>
            <w:vAlign w:val="center"/>
          </w:tcPr>
          <w:p>
            <w:r>
              <w:t>107°57′42.16″</w:t>
            </w:r>
          </w:p>
        </w:tc>
        <w:tc>
          <w:tcPr>
            <w:tcW w:w="1703" w:type="dxa"/>
            <w:shd w:val="clear" w:color="auto" w:fill="auto"/>
            <w:vAlign w:val="center"/>
          </w:tcPr>
          <w:p>
            <w:r>
              <w:t>31°04′03.82″</w:t>
            </w:r>
          </w:p>
        </w:tc>
        <w:tc>
          <w:tcPr>
            <w:tcW w:w="1703" w:type="dxa"/>
            <w:vAlign w:val="center"/>
          </w:tcPr>
          <w:p>
            <w:pPr>
              <w:jc w:val="center"/>
              <w:rPr>
                <w:rFonts w:cs="Times New Roman"/>
                <w:sz w:val="21"/>
                <w:szCs w:val="21"/>
              </w:rPr>
            </w:pPr>
            <w:r>
              <w:rPr>
                <w:rFonts w:hint="eastAsia" w:cs="Times New Roman"/>
                <w:color w:val="000000"/>
                <w:sz w:val="21"/>
                <w:szCs w:val="21"/>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40</w:t>
            </w:r>
          </w:p>
        </w:tc>
        <w:tc>
          <w:tcPr>
            <w:tcW w:w="1702" w:type="dxa"/>
            <w:shd w:val="clear" w:color="auto" w:fill="auto"/>
            <w:vAlign w:val="center"/>
          </w:tcPr>
          <w:p>
            <w:r>
              <w:t>107°57′40.79″</w:t>
            </w:r>
          </w:p>
        </w:tc>
        <w:tc>
          <w:tcPr>
            <w:tcW w:w="1703" w:type="dxa"/>
            <w:shd w:val="clear" w:color="auto" w:fill="auto"/>
            <w:vAlign w:val="center"/>
          </w:tcPr>
          <w:p>
            <w:r>
              <w:t>31°03′57.23″</w:t>
            </w:r>
          </w:p>
        </w:tc>
        <w:tc>
          <w:tcPr>
            <w:tcW w:w="1703" w:type="dxa"/>
            <w:vAlign w:val="center"/>
          </w:tcPr>
          <w:p>
            <w:pPr>
              <w:jc w:val="center"/>
              <w:rPr>
                <w:rFonts w:cs="Times New Roman"/>
                <w:sz w:val="21"/>
                <w:szCs w:val="21"/>
              </w:rPr>
            </w:pPr>
            <w:r>
              <w:rPr>
                <w:rFonts w:hint="eastAsia" w:cs="Times New Roman"/>
                <w:color w:val="000000"/>
                <w:sz w:val="21"/>
                <w:szCs w:val="21"/>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41</w:t>
            </w:r>
          </w:p>
        </w:tc>
        <w:tc>
          <w:tcPr>
            <w:tcW w:w="1702" w:type="dxa"/>
            <w:shd w:val="clear" w:color="auto" w:fill="auto"/>
            <w:vAlign w:val="center"/>
          </w:tcPr>
          <w:p>
            <w:r>
              <w:t>107°57′48.88″</w:t>
            </w:r>
          </w:p>
        </w:tc>
        <w:tc>
          <w:tcPr>
            <w:tcW w:w="1703" w:type="dxa"/>
            <w:shd w:val="clear" w:color="auto" w:fill="auto"/>
            <w:vAlign w:val="center"/>
          </w:tcPr>
          <w:p>
            <w:r>
              <w:t>31°03′55.39″</w:t>
            </w:r>
          </w:p>
        </w:tc>
        <w:tc>
          <w:tcPr>
            <w:tcW w:w="1703" w:type="dxa"/>
            <w:vAlign w:val="center"/>
          </w:tcPr>
          <w:p>
            <w:pPr>
              <w:jc w:val="center"/>
              <w:rPr>
                <w:rFonts w:cs="Times New Roman"/>
                <w:sz w:val="21"/>
                <w:szCs w:val="21"/>
              </w:rPr>
            </w:pPr>
            <w:r>
              <w:rPr>
                <w:rFonts w:hint="eastAsia" w:cs="Times New Roman"/>
                <w:color w:val="000000"/>
                <w:sz w:val="21"/>
                <w:szCs w:val="21"/>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42</w:t>
            </w:r>
          </w:p>
        </w:tc>
        <w:tc>
          <w:tcPr>
            <w:tcW w:w="1702" w:type="dxa"/>
            <w:shd w:val="clear" w:color="auto" w:fill="auto"/>
            <w:vAlign w:val="center"/>
          </w:tcPr>
          <w:p>
            <w:r>
              <w:t>107°57′44.73″</w:t>
            </w:r>
          </w:p>
        </w:tc>
        <w:tc>
          <w:tcPr>
            <w:tcW w:w="1703" w:type="dxa"/>
            <w:shd w:val="clear" w:color="auto" w:fill="auto"/>
            <w:vAlign w:val="center"/>
          </w:tcPr>
          <w:p>
            <w:r>
              <w:t>31°03′43.14″</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43</w:t>
            </w:r>
          </w:p>
        </w:tc>
        <w:tc>
          <w:tcPr>
            <w:tcW w:w="1702" w:type="dxa"/>
            <w:shd w:val="clear" w:color="auto" w:fill="auto"/>
            <w:vAlign w:val="center"/>
          </w:tcPr>
          <w:p>
            <w:r>
              <w:t>107°57′48.50″</w:t>
            </w:r>
          </w:p>
        </w:tc>
        <w:tc>
          <w:tcPr>
            <w:tcW w:w="1703" w:type="dxa"/>
            <w:shd w:val="clear" w:color="auto" w:fill="auto"/>
            <w:vAlign w:val="center"/>
          </w:tcPr>
          <w:p>
            <w:r>
              <w:t>31°03′47.81″</w:t>
            </w:r>
          </w:p>
        </w:tc>
        <w:tc>
          <w:tcPr>
            <w:tcW w:w="1703" w:type="dxa"/>
            <w:vAlign w:val="center"/>
          </w:tcPr>
          <w:p>
            <w:pPr>
              <w:jc w:val="center"/>
              <w:rPr>
                <w:rFonts w:cs="Times New Roman"/>
                <w:sz w:val="21"/>
                <w:szCs w:val="21"/>
              </w:rPr>
            </w:pPr>
            <w:r>
              <w:rPr>
                <w:rFonts w:hint="eastAsia" w:cs="Times New Roman"/>
                <w:color w:val="000000"/>
                <w:sz w:val="21"/>
                <w:szCs w:val="21"/>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44</w:t>
            </w:r>
          </w:p>
        </w:tc>
        <w:tc>
          <w:tcPr>
            <w:tcW w:w="1702" w:type="dxa"/>
            <w:shd w:val="clear" w:color="auto" w:fill="auto"/>
            <w:vAlign w:val="center"/>
          </w:tcPr>
          <w:p>
            <w:r>
              <w:t>107°58′12.21″</w:t>
            </w:r>
          </w:p>
        </w:tc>
        <w:tc>
          <w:tcPr>
            <w:tcW w:w="1703" w:type="dxa"/>
            <w:shd w:val="clear" w:color="auto" w:fill="auto"/>
            <w:vAlign w:val="center"/>
          </w:tcPr>
          <w:p>
            <w:r>
              <w:t>31°03′49.07″</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45</w:t>
            </w:r>
          </w:p>
        </w:tc>
        <w:tc>
          <w:tcPr>
            <w:tcW w:w="1702" w:type="dxa"/>
            <w:shd w:val="clear" w:color="auto" w:fill="auto"/>
            <w:vAlign w:val="center"/>
          </w:tcPr>
          <w:p>
            <w:r>
              <w:t>107°58′17.01″</w:t>
            </w:r>
          </w:p>
        </w:tc>
        <w:tc>
          <w:tcPr>
            <w:tcW w:w="1703" w:type="dxa"/>
            <w:shd w:val="clear" w:color="auto" w:fill="auto"/>
            <w:vAlign w:val="center"/>
          </w:tcPr>
          <w:p>
            <w:r>
              <w:t>31°04′08.94″</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46</w:t>
            </w:r>
          </w:p>
        </w:tc>
        <w:tc>
          <w:tcPr>
            <w:tcW w:w="1702" w:type="dxa"/>
            <w:shd w:val="clear" w:color="auto" w:fill="auto"/>
            <w:vAlign w:val="center"/>
          </w:tcPr>
          <w:p>
            <w:r>
              <w:t>107°58′04.93″</w:t>
            </w:r>
          </w:p>
        </w:tc>
        <w:tc>
          <w:tcPr>
            <w:tcW w:w="1703" w:type="dxa"/>
            <w:shd w:val="clear" w:color="auto" w:fill="auto"/>
            <w:vAlign w:val="center"/>
          </w:tcPr>
          <w:p>
            <w:r>
              <w:t>31°04′16.14″</w:t>
            </w:r>
          </w:p>
        </w:tc>
        <w:tc>
          <w:tcPr>
            <w:tcW w:w="1703" w:type="dxa"/>
            <w:vAlign w:val="center"/>
          </w:tcPr>
          <w:p>
            <w:pPr>
              <w:jc w:val="center"/>
              <w:rPr>
                <w:rFonts w:cs="Times New Roman"/>
                <w:sz w:val="21"/>
                <w:szCs w:val="21"/>
              </w:rPr>
            </w:pPr>
            <w:r>
              <w:rPr>
                <w:rFonts w:hint="eastAsia" w:cs="Times New Roman"/>
                <w:color w:val="000000"/>
                <w:sz w:val="21"/>
                <w:szCs w:val="21"/>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47</w:t>
            </w:r>
          </w:p>
        </w:tc>
        <w:tc>
          <w:tcPr>
            <w:tcW w:w="1702" w:type="dxa"/>
            <w:shd w:val="clear" w:color="auto" w:fill="auto"/>
            <w:vAlign w:val="center"/>
          </w:tcPr>
          <w:p>
            <w:r>
              <w:t>107°58′06.47″</w:t>
            </w:r>
          </w:p>
        </w:tc>
        <w:tc>
          <w:tcPr>
            <w:tcW w:w="1703" w:type="dxa"/>
            <w:shd w:val="clear" w:color="auto" w:fill="auto"/>
            <w:vAlign w:val="center"/>
          </w:tcPr>
          <w:p>
            <w:r>
              <w:t>31°04′19.74″</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48</w:t>
            </w:r>
          </w:p>
        </w:tc>
        <w:tc>
          <w:tcPr>
            <w:tcW w:w="1702" w:type="dxa"/>
            <w:shd w:val="clear" w:color="auto" w:fill="auto"/>
            <w:vAlign w:val="center"/>
          </w:tcPr>
          <w:p>
            <w:r>
              <w:t>107°58′16.15″</w:t>
            </w:r>
          </w:p>
        </w:tc>
        <w:tc>
          <w:tcPr>
            <w:tcW w:w="1703" w:type="dxa"/>
            <w:shd w:val="clear" w:color="auto" w:fill="auto"/>
            <w:vAlign w:val="center"/>
          </w:tcPr>
          <w:p>
            <w:r>
              <w:t>31°04′12.54″</w:t>
            </w:r>
          </w:p>
        </w:tc>
        <w:tc>
          <w:tcPr>
            <w:tcW w:w="1703" w:type="dxa"/>
            <w:vAlign w:val="center"/>
          </w:tcPr>
          <w:p>
            <w:pPr>
              <w:jc w:val="center"/>
              <w:rPr>
                <w:rFonts w:cs="Times New Roman"/>
                <w:sz w:val="21"/>
                <w:szCs w:val="21"/>
              </w:rPr>
            </w:pPr>
            <w:r>
              <w:rPr>
                <w:rFonts w:hint="eastAsia" w:cs="Times New Roman"/>
                <w:color w:val="000000"/>
                <w:sz w:val="21"/>
                <w:szCs w:val="2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49</w:t>
            </w:r>
          </w:p>
        </w:tc>
        <w:tc>
          <w:tcPr>
            <w:tcW w:w="1702" w:type="dxa"/>
            <w:shd w:val="clear" w:color="auto" w:fill="auto"/>
            <w:vAlign w:val="center"/>
          </w:tcPr>
          <w:p>
            <w:r>
              <w:t>107°58′28.06″</w:t>
            </w:r>
          </w:p>
        </w:tc>
        <w:tc>
          <w:tcPr>
            <w:tcW w:w="1703" w:type="dxa"/>
            <w:shd w:val="clear" w:color="auto" w:fill="auto"/>
            <w:vAlign w:val="center"/>
          </w:tcPr>
          <w:p>
            <w:r>
              <w:t>31°04′16.05″</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50</w:t>
            </w:r>
          </w:p>
        </w:tc>
        <w:tc>
          <w:tcPr>
            <w:tcW w:w="1702" w:type="dxa"/>
            <w:shd w:val="clear" w:color="auto" w:fill="auto"/>
            <w:vAlign w:val="center"/>
          </w:tcPr>
          <w:p>
            <w:r>
              <w:t>107°58′30.47″</w:t>
            </w:r>
          </w:p>
        </w:tc>
        <w:tc>
          <w:tcPr>
            <w:tcW w:w="1703" w:type="dxa"/>
            <w:shd w:val="clear" w:color="auto" w:fill="auto"/>
            <w:vAlign w:val="center"/>
          </w:tcPr>
          <w:p>
            <w:r>
              <w:t>31°04′06.19″</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51</w:t>
            </w:r>
          </w:p>
        </w:tc>
        <w:tc>
          <w:tcPr>
            <w:tcW w:w="1702" w:type="dxa"/>
            <w:shd w:val="clear" w:color="auto" w:fill="auto"/>
            <w:vAlign w:val="center"/>
          </w:tcPr>
          <w:p>
            <w:r>
              <w:t>107°58′25.95″</w:t>
            </w:r>
          </w:p>
        </w:tc>
        <w:tc>
          <w:tcPr>
            <w:tcW w:w="1703" w:type="dxa"/>
            <w:shd w:val="clear" w:color="auto" w:fill="auto"/>
            <w:vAlign w:val="center"/>
          </w:tcPr>
          <w:p>
            <w:r>
              <w:t>31°04′09.89″</w:t>
            </w:r>
          </w:p>
        </w:tc>
        <w:tc>
          <w:tcPr>
            <w:tcW w:w="1703" w:type="dxa"/>
            <w:vAlign w:val="center"/>
          </w:tcPr>
          <w:p>
            <w:pPr>
              <w:jc w:val="center"/>
              <w:rPr>
                <w:rFonts w:cs="Times New Roman"/>
                <w:sz w:val="21"/>
                <w:szCs w:val="21"/>
              </w:rPr>
            </w:pPr>
            <w:r>
              <w:rPr>
                <w:rFonts w:hint="eastAsia" w:cs="Times New Roman"/>
                <w:color w:val="000000"/>
                <w:sz w:val="21"/>
                <w:szCs w:val="21"/>
              </w:rP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52</w:t>
            </w:r>
          </w:p>
        </w:tc>
        <w:tc>
          <w:tcPr>
            <w:tcW w:w="1702" w:type="dxa"/>
            <w:shd w:val="clear" w:color="auto" w:fill="auto"/>
            <w:vAlign w:val="center"/>
          </w:tcPr>
          <w:p>
            <w:r>
              <w:t>107°58′22.11″</w:t>
            </w:r>
          </w:p>
        </w:tc>
        <w:tc>
          <w:tcPr>
            <w:tcW w:w="1703" w:type="dxa"/>
            <w:shd w:val="clear" w:color="auto" w:fill="auto"/>
            <w:vAlign w:val="center"/>
          </w:tcPr>
          <w:p>
            <w:r>
              <w:t>31°03′47.69″</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53</w:t>
            </w:r>
          </w:p>
        </w:tc>
        <w:tc>
          <w:tcPr>
            <w:tcW w:w="1702" w:type="dxa"/>
            <w:shd w:val="clear" w:color="auto" w:fill="auto"/>
            <w:vAlign w:val="center"/>
          </w:tcPr>
          <w:p>
            <w:r>
              <w:t>107°58′25.40″</w:t>
            </w:r>
          </w:p>
        </w:tc>
        <w:tc>
          <w:tcPr>
            <w:tcW w:w="1703" w:type="dxa"/>
            <w:shd w:val="clear" w:color="auto" w:fill="auto"/>
            <w:vAlign w:val="center"/>
          </w:tcPr>
          <w:p>
            <w:r>
              <w:t>31°03′53.79″</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54</w:t>
            </w:r>
          </w:p>
        </w:tc>
        <w:tc>
          <w:tcPr>
            <w:tcW w:w="1702" w:type="dxa"/>
            <w:shd w:val="clear" w:color="auto" w:fill="auto"/>
            <w:vAlign w:val="center"/>
          </w:tcPr>
          <w:p>
            <w:r>
              <w:t>107°58′24.46″</w:t>
            </w:r>
          </w:p>
        </w:tc>
        <w:tc>
          <w:tcPr>
            <w:tcW w:w="1703" w:type="dxa"/>
            <w:shd w:val="clear" w:color="auto" w:fill="auto"/>
            <w:vAlign w:val="center"/>
          </w:tcPr>
          <w:p>
            <w:r>
              <w:t>31°03′44.07″</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55</w:t>
            </w:r>
          </w:p>
        </w:tc>
        <w:tc>
          <w:tcPr>
            <w:tcW w:w="1702" w:type="dxa"/>
            <w:shd w:val="clear" w:color="auto" w:fill="auto"/>
            <w:vAlign w:val="center"/>
          </w:tcPr>
          <w:p>
            <w:r>
              <w:t>107°58′18.64″</w:t>
            </w:r>
          </w:p>
        </w:tc>
        <w:tc>
          <w:tcPr>
            <w:tcW w:w="1703" w:type="dxa"/>
            <w:shd w:val="clear" w:color="auto" w:fill="auto"/>
            <w:vAlign w:val="center"/>
          </w:tcPr>
          <w:p>
            <w:r>
              <w:t>31°03′46.33″</w:t>
            </w:r>
          </w:p>
        </w:tc>
        <w:tc>
          <w:tcPr>
            <w:tcW w:w="1703" w:type="dxa"/>
            <w:vAlign w:val="center"/>
          </w:tcPr>
          <w:p>
            <w:pPr>
              <w:jc w:val="center"/>
              <w:rPr>
                <w:rFonts w:cs="Times New Roman"/>
                <w:sz w:val="21"/>
                <w:szCs w:val="21"/>
              </w:rPr>
            </w:pPr>
            <w:r>
              <w:rPr>
                <w:rFonts w:hint="eastAsia" w:cs="Times New Roman"/>
                <w:color w:val="000000"/>
                <w:sz w:val="21"/>
                <w:szCs w:val="21"/>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56</w:t>
            </w:r>
          </w:p>
        </w:tc>
        <w:tc>
          <w:tcPr>
            <w:tcW w:w="1702" w:type="dxa"/>
            <w:shd w:val="clear" w:color="auto" w:fill="auto"/>
            <w:vAlign w:val="center"/>
          </w:tcPr>
          <w:p>
            <w:r>
              <w:t>107°58′17.34″</w:t>
            </w:r>
          </w:p>
        </w:tc>
        <w:tc>
          <w:tcPr>
            <w:tcW w:w="1703" w:type="dxa"/>
            <w:shd w:val="clear" w:color="auto" w:fill="auto"/>
            <w:vAlign w:val="center"/>
          </w:tcPr>
          <w:p>
            <w:r>
              <w:t>31°03′37.15″</w:t>
            </w:r>
          </w:p>
        </w:tc>
        <w:tc>
          <w:tcPr>
            <w:tcW w:w="1703" w:type="dxa"/>
            <w:vAlign w:val="center"/>
          </w:tcPr>
          <w:p>
            <w:pPr>
              <w:jc w:val="center"/>
              <w:rPr>
                <w:rFonts w:cs="Times New Roman"/>
                <w:sz w:val="21"/>
                <w:szCs w:val="21"/>
              </w:rPr>
            </w:pPr>
            <w:r>
              <w:rPr>
                <w:rFonts w:hint="eastAsia" w:cs="Times New Roman"/>
                <w:color w:val="000000"/>
                <w:sz w:val="21"/>
                <w:szCs w:val="21"/>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57</w:t>
            </w:r>
          </w:p>
        </w:tc>
        <w:tc>
          <w:tcPr>
            <w:tcW w:w="1702" w:type="dxa"/>
            <w:shd w:val="clear" w:color="auto" w:fill="auto"/>
            <w:vAlign w:val="center"/>
          </w:tcPr>
          <w:p>
            <w:r>
              <w:t>107°58′09.04″</w:t>
            </w:r>
          </w:p>
        </w:tc>
        <w:tc>
          <w:tcPr>
            <w:tcW w:w="1703" w:type="dxa"/>
            <w:shd w:val="clear" w:color="auto" w:fill="auto"/>
            <w:vAlign w:val="center"/>
          </w:tcPr>
          <w:p>
            <w:r>
              <w:t>31°03′38.11″</w:t>
            </w:r>
          </w:p>
        </w:tc>
        <w:tc>
          <w:tcPr>
            <w:tcW w:w="1703" w:type="dxa"/>
            <w:vAlign w:val="center"/>
          </w:tcPr>
          <w:p>
            <w:pPr>
              <w:jc w:val="center"/>
              <w:rPr>
                <w:rFonts w:cs="Times New Roman"/>
                <w:sz w:val="21"/>
                <w:szCs w:val="21"/>
              </w:rPr>
            </w:pPr>
            <w:r>
              <w:rPr>
                <w:rFonts w:hint="eastAsia" w:cs="Times New Roman"/>
                <w:color w:val="000000"/>
                <w:sz w:val="21"/>
                <w:szCs w:val="21"/>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58</w:t>
            </w:r>
          </w:p>
        </w:tc>
        <w:tc>
          <w:tcPr>
            <w:tcW w:w="1702" w:type="dxa"/>
            <w:shd w:val="clear" w:color="auto" w:fill="auto"/>
            <w:vAlign w:val="center"/>
          </w:tcPr>
          <w:p>
            <w:r>
              <w:t>107°58′06.99″</w:t>
            </w:r>
          </w:p>
        </w:tc>
        <w:tc>
          <w:tcPr>
            <w:tcW w:w="1703" w:type="dxa"/>
            <w:shd w:val="clear" w:color="auto" w:fill="auto"/>
            <w:vAlign w:val="center"/>
          </w:tcPr>
          <w:p>
            <w:r>
              <w:t>31°03′45.17″</w:t>
            </w:r>
          </w:p>
        </w:tc>
        <w:tc>
          <w:tcPr>
            <w:tcW w:w="1703" w:type="dxa"/>
            <w:vAlign w:val="center"/>
          </w:tcPr>
          <w:p>
            <w:pPr>
              <w:jc w:val="center"/>
              <w:rPr>
                <w:rFonts w:cs="Times New Roman"/>
                <w:sz w:val="21"/>
                <w:szCs w:val="21"/>
              </w:rPr>
            </w:pPr>
            <w:r>
              <w:rPr>
                <w:rFonts w:hint="eastAsia" w:cs="Times New Roman"/>
                <w:color w:val="000000"/>
                <w:sz w:val="21"/>
                <w:szCs w:val="21"/>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59</w:t>
            </w:r>
          </w:p>
        </w:tc>
        <w:tc>
          <w:tcPr>
            <w:tcW w:w="1702" w:type="dxa"/>
            <w:shd w:val="clear" w:color="auto" w:fill="auto"/>
            <w:vAlign w:val="center"/>
          </w:tcPr>
          <w:p>
            <w:r>
              <w:t>107°57′41.47″</w:t>
            </w:r>
          </w:p>
        </w:tc>
        <w:tc>
          <w:tcPr>
            <w:tcW w:w="1703" w:type="dxa"/>
            <w:shd w:val="clear" w:color="auto" w:fill="auto"/>
            <w:vAlign w:val="center"/>
          </w:tcPr>
          <w:p>
            <w:r>
              <w:t>31°03′34.66″</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60</w:t>
            </w:r>
          </w:p>
        </w:tc>
        <w:tc>
          <w:tcPr>
            <w:tcW w:w="1702" w:type="dxa"/>
            <w:shd w:val="clear" w:color="auto" w:fill="auto"/>
            <w:vAlign w:val="center"/>
          </w:tcPr>
          <w:p>
            <w:r>
              <w:t>107°57′41.32″</w:t>
            </w:r>
          </w:p>
        </w:tc>
        <w:tc>
          <w:tcPr>
            <w:tcW w:w="1703" w:type="dxa"/>
            <w:shd w:val="clear" w:color="auto" w:fill="auto"/>
            <w:vAlign w:val="center"/>
          </w:tcPr>
          <w:p>
            <w:r>
              <w:t>31°03′49.89″</w:t>
            </w:r>
          </w:p>
        </w:tc>
        <w:tc>
          <w:tcPr>
            <w:tcW w:w="1703" w:type="dxa"/>
            <w:vAlign w:val="center"/>
          </w:tcPr>
          <w:p>
            <w:pPr>
              <w:jc w:val="center"/>
              <w:rPr>
                <w:rFonts w:cs="Times New Roman"/>
                <w:sz w:val="21"/>
                <w:szCs w:val="21"/>
              </w:rPr>
            </w:pPr>
            <w:r>
              <w:rPr>
                <w:rFonts w:hint="eastAsia" w:cs="Times New Roman"/>
                <w:color w:val="000000"/>
                <w:sz w:val="21"/>
                <w:szCs w:val="21"/>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61</w:t>
            </w:r>
          </w:p>
        </w:tc>
        <w:tc>
          <w:tcPr>
            <w:tcW w:w="1702" w:type="dxa"/>
            <w:shd w:val="clear" w:color="auto" w:fill="auto"/>
            <w:vAlign w:val="center"/>
          </w:tcPr>
          <w:p>
            <w:r>
              <w:t>107°57′31.35″</w:t>
            </w:r>
          </w:p>
        </w:tc>
        <w:tc>
          <w:tcPr>
            <w:tcW w:w="1703" w:type="dxa"/>
            <w:shd w:val="clear" w:color="auto" w:fill="auto"/>
            <w:vAlign w:val="center"/>
          </w:tcPr>
          <w:p>
            <w:r>
              <w:t>31°03′54.90″</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62</w:t>
            </w:r>
          </w:p>
        </w:tc>
        <w:tc>
          <w:tcPr>
            <w:tcW w:w="1702" w:type="dxa"/>
            <w:shd w:val="clear" w:color="auto" w:fill="auto"/>
            <w:vAlign w:val="center"/>
          </w:tcPr>
          <w:p>
            <w:r>
              <w:t>107°57′28.34″</w:t>
            </w:r>
          </w:p>
        </w:tc>
        <w:tc>
          <w:tcPr>
            <w:tcW w:w="1703" w:type="dxa"/>
            <w:shd w:val="clear" w:color="auto" w:fill="auto"/>
            <w:vAlign w:val="center"/>
          </w:tcPr>
          <w:p>
            <w:r>
              <w:t>31°03′56.73″</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63</w:t>
            </w:r>
          </w:p>
        </w:tc>
        <w:tc>
          <w:tcPr>
            <w:tcW w:w="1702" w:type="dxa"/>
            <w:shd w:val="clear" w:color="auto" w:fill="auto"/>
            <w:vAlign w:val="center"/>
          </w:tcPr>
          <w:p>
            <w:r>
              <w:t>107°57′19.40″</w:t>
            </w:r>
          </w:p>
        </w:tc>
        <w:tc>
          <w:tcPr>
            <w:tcW w:w="1703" w:type="dxa"/>
            <w:shd w:val="clear" w:color="auto" w:fill="auto"/>
            <w:vAlign w:val="center"/>
          </w:tcPr>
          <w:p>
            <w:r>
              <w:t>31°03′47.37″</w:t>
            </w:r>
          </w:p>
        </w:tc>
        <w:tc>
          <w:tcPr>
            <w:tcW w:w="1703" w:type="dxa"/>
            <w:vAlign w:val="center"/>
          </w:tcPr>
          <w:p>
            <w:pPr>
              <w:jc w:val="center"/>
              <w:rPr>
                <w:rFonts w:cs="Times New Roman"/>
                <w:sz w:val="21"/>
                <w:szCs w:val="21"/>
              </w:rPr>
            </w:pPr>
            <w:r>
              <w:rPr>
                <w:rFonts w:hint="eastAsia" w:cs="Times New Roman"/>
                <w:color w:val="000000"/>
                <w:sz w:val="21"/>
                <w:szCs w:val="21"/>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64</w:t>
            </w:r>
          </w:p>
        </w:tc>
        <w:tc>
          <w:tcPr>
            <w:tcW w:w="1702" w:type="dxa"/>
            <w:shd w:val="clear" w:color="auto" w:fill="auto"/>
            <w:vAlign w:val="center"/>
          </w:tcPr>
          <w:p>
            <w:r>
              <w:t>107°57′27.03″</w:t>
            </w:r>
          </w:p>
        </w:tc>
        <w:tc>
          <w:tcPr>
            <w:tcW w:w="1703" w:type="dxa"/>
            <w:shd w:val="clear" w:color="auto" w:fill="auto"/>
            <w:vAlign w:val="center"/>
          </w:tcPr>
          <w:p>
            <w:r>
              <w:t>31°03′44.70″</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65</w:t>
            </w:r>
          </w:p>
        </w:tc>
        <w:tc>
          <w:tcPr>
            <w:tcW w:w="1702" w:type="dxa"/>
            <w:shd w:val="clear" w:color="auto" w:fill="auto"/>
            <w:vAlign w:val="center"/>
          </w:tcPr>
          <w:p>
            <w:r>
              <w:t>107°57′19.99″</w:t>
            </w:r>
          </w:p>
        </w:tc>
        <w:tc>
          <w:tcPr>
            <w:tcW w:w="1703" w:type="dxa"/>
            <w:shd w:val="clear" w:color="auto" w:fill="auto"/>
            <w:vAlign w:val="center"/>
          </w:tcPr>
          <w:p>
            <w:r>
              <w:t>31°03′38.02″</w:t>
            </w:r>
          </w:p>
        </w:tc>
        <w:tc>
          <w:tcPr>
            <w:tcW w:w="1703" w:type="dxa"/>
            <w:vAlign w:val="center"/>
          </w:tcPr>
          <w:p>
            <w:pPr>
              <w:jc w:val="center"/>
              <w:rPr>
                <w:rFonts w:cs="Times New Roman"/>
                <w:sz w:val="21"/>
                <w:szCs w:val="21"/>
              </w:rPr>
            </w:pPr>
            <w:r>
              <w:rPr>
                <w:rFonts w:hint="eastAsia" w:cs="Times New Roman"/>
                <w:color w:val="000000"/>
                <w:sz w:val="21"/>
                <w:szCs w:val="21"/>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66</w:t>
            </w:r>
          </w:p>
        </w:tc>
        <w:tc>
          <w:tcPr>
            <w:tcW w:w="1702" w:type="dxa"/>
            <w:shd w:val="clear" w:color="auto" w:fill="auto"/>
            <w:vAlign w:val="center"/>
          </w:tcPr>
          <w:p>
            <w:r>
              <w:t>107°57′19.48″</w:t>
            </w:r>
          </w:p>
        </w:tc>
        <w:tc>
          <w:tcPr>
            <w:tcW w:w="1703" w:type="dxa"/>
            <w:shd w:val="clear" w:color="auto" w:fill="auto"/>
            <w:vAlign w:val="center"/>
          </w:tcPr>
          <w:p>
            <w:r>
              <w:t>31°03′45.03″</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w:t>
            </w:r>
            <w:r>
              <w:rPr>
                <w:rFonts w:eastAsia="宋体" w:cs="Times New Roman"/>
                <w:color w:val="000000"/>
                <w:kern w:val="0"/>
                <w:sz w:val="21"/>
                <w:szCs w:val="21"/>
                <w:lang w:bidi="ar"/>
              </w:rPr>
              <w:t>67</w:t>
            </w:r>
          </w:p>
        </w:tc>
        <w:tc>
          <w:tcPr>
            <w:tcW w:w="1702" w:type="dxa"/>
            <w:shd w:val="clear" w:color="auto" w:fill="auto"/>
            <w:vAlign w:val="center"/>
          </w:tcPr>
          <w:p>
            <w:r>
              <w:t>107°57′13.64″</w:t>
            </w:r>
          </w:p>
        </w:tc>
        <w:tc>
          <w:tcPr>
            <w:tcW w:w="1703" w:type="dxa"/>
            <w:shd w:val="clear" w:color="auto" w:fill="auto"/>
            <w:vAlign w:val="center"/>
          </w:tcPr>
          <w:p>
            <w:r>
              <w:t>31°03′38.76″</w:t>
            </w:r>
          </w:p>
        </w:tc>
        <w:tc>
          <w:tcPr>
            <w:tcW w:w="1703" w:type="dxa"/>
            <w:vAlign w:val="center"/>
          </w:tcPr>
          <w:p>
            <w:pPr>
              <w:jc w:val="center"/>
              <w:rPr>
                <w:rFonts w:cs="Times New Roman"/>
                <w:sz w:val="21"/>
                <w:szCs w:val="21"/>
              </w:rPr>
            </w:pPr>
            <w:r>
              <w:rPr>
                <w:rFonts w:hint="eastAsia" w:cs="Times New Roman"/>
                <w:color w:val="000000"/>
                <w:sz w:val="21"/>
                <w:szCs w:val="21"/>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2"/>
                <w:szCs w:val="22"/>
                <w:lang w:bidi="ar"/>
              </w:rPr>
              <w:t>1-</w:t>
            </w:r>
            <w:r>
              <w:rPr>
                <w:rFonts w:eastAsia="宋体" w:cs="Times New Roman"/>
                <w:color w:val="000000"/>
                <w:kern w:val="0"/>
                <w:sz w:val="22"/>
                <w:szCs w:val="22"/>
                <w:lang w:bidi="ar"/>
              </w:rPr>
              <w:t>68</w:t>
            </w:r>
          </w:p>
        </w:tc>
        <w:tc>
          <w:tcPr>
            <w:tcW w:w="1702" w:type="dxa"/>
            <w:shd w:val="clear" w:color="auto" w:fill="auto"/>
            <w:vAlign w:val="center"/>
          </w:tcPr>
          <w:p>
            <w:r>
              <w:t>107°56′51.67″</w:t>
            </w:r>
          </w:p>
        </w:tc>
        <w:tc>
          <w:tcPr>
            <w:tcW w:w="1703" w:type="dxa"/>
            <w:shd w:val="clear" w:color="auto" w:fill="auto"/>
            <w:vAlign w:val="center"/>
          </w:tcPr>
          <w:p>
            <w:r>
              <w:t>31°03′30.46″</w:t>
            </w:r>
          </w:p>
        </w:tc>
        <w:tc>
          <w:tcPr>
            <w:tcW w:w="1703" w:type="dxa"/>
            <w:vAlign w:val="center"/>
          </w:tcPr>
          <w:p>
            <w:pPr>
              <w:jc w:val="center"/>
              <w:rPr>
                <w:rFonts w:cs="Times New Roman"/>
                <w:sz w:val="21"/>
                <w:szCs w:val="21"/>
              </w:rPr>
            </w:pPr>
            <w:r>
              <w:rPr>
                <w:rFonts w:hint="eastAsia" w:cs="Times New Roman"/>
                <w:color w:val="000000"/>
                <w:sz w:val="21"/>
                <w:szCs w:val="2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2"/>
                <w:szCs w:val="22"/>
                <w:lang w:bidi="ar"/>
              </w:rPr>
              <w:t>1-</w:t>
            </w:r>
            <w:r>
              <w:rPr>
                <w:rFonts w:eastAsia="宋体" w:cs="Times New Roman"/>
                <w:color w:val="000000"/>
                <w:kern w:val="0"/>
                <w:sz w:val="22"/>
                <w:szCs w:val="22"/>
                <w:lang w:bidi="ar"/>
              </w:rPr>
              <w:t>69</w:t>
            </w:r>
          </w:p>
        </w:tc>
        <w:tc>
          <w:tcPr>
            <w:tcW w:w="1702" w:type="dxa"/>
            <w:shd w:val="clear" w:color="auto" w:fill="auto"/>
            <w:vAlign w:val="center"/>
          </w:tcPr>
          <w:p>
            <w:r>
              <w:t>107°56′33.71″</w:t>
            </w:r>
          </w:p>
        </w:tc>
        <w:tc>
          <w:tcPr>
            <w:tcW w:w="1703" w:type="dxa"/>
            <w:shd w:val="clear" w:color="auto" w:fill="auto"/>
            <w:vAlign w:val="center"/>
          </w:tcPr>
          <w:p>
            <w:r>
              <w:t>31°03′31.23″</w:t>
            </w:r>
          </w:p>
        </w:tc>
        <w:tc>
          <w:tcPr>
            <w:tcW w:w="1703" w:type="dxa"/>
            <w:vAlign w:val="center"/>
          </w:tcPr>
          <w:p>
            <w:pPr>
              <w:jc w:val="center"/>
              <w:rPr>
                <w:rFonts w:cs="Times New Roman"/>
                <w:sz w:val="21"/>
                <w:szCs w:val="21"/>
              </w:rPr>
            </w:pPr>
            <w:r>
              <w:rPr>
                <w:rFonts w:hint="eastAsia" w:cs="Times New Roman"/>
                <w:color w:val="000000"/>
                <w:sz w:val="21"/>
                <w:szCs w:val="2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2"/>
                <w:szCs w:val="22"/>
                <w:lang w:bidi="ar"/>
              </w:rPr>
              <w:t>1-</w:t>
            </w:r>
            <w:r>
              <w:rPr>
                <w:rFonts w:eastAsia="宋体" w:cs="Times New Roman"/>
                <w:color w:val="000000"/>
                <w:kern w:val="0"/>
                <w:sz w:val="22"/>
                <w:szCs w:val="22"/>
                <w:lang w:bidi="ar"/>
              </w:rPr>
              <w:t>70</w:t>
            </w:r>
          </w:p>
        </w:tc>
        <w:tc>
          <w:tcPr>
            <w:tcW w:w="1702" w:type="dxa"/>
            <w:shd w:val="clear" w:color="auto" w:fill="auto"/>
            <w:vAlign w:val="center"/>
          </w:tcPr>
          <w:p>
            <w:r>
              <w:t>107°56′34.89″</w:t>
            </w:r>
          </w:p>
        </w:tc>
        <w:tc>
          <w:tcPr>
            <w:tcW w:w="1703" w:type="dxa"/>
            <w:shd w:val="clear" w:color="auto" w:fill="auto"/>
            <w:vAlign w:val="center"/>
          </w:tcPr>
          <w:p>
            <w:r>
              <w:t>31°03′39.46″</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2"/>
                <w:szCs w:val="22"/>
                <w:lang w:bidi="ar"/>
              </w:rPr>
              <w:t>1-</w:t>
            </w:r>
            <w:r>
              <w:rPr>
                <w:rFonts w:eastAsia="宋体" w:cs="Times New Roman"/>
                <w:color w:val="000000"/>
                <w:kern w:val="0"/>
                <w:sz w:val="22"/>
                <w:szCs w:val="22"/>
                <w:lang w:bidi="ar"/>
              </w:rPr>
              <w:t>71</w:t>
            </w:r>
          </w:p>
        </w:tc>
        <w:tc>
          <w:tcPr>
            <w:tcW w:w="1702" w:type="dxa"/>
            <w:shd w:val="clear" w:color="auto" w:fill="auto"/>
            <w:vAlign w:val="center"/>
          </w:tcPr>
          <w:p>
            <w:r>
              <w:t>107°56′47.35″</w:t>
            </w:r>
          </w:p>
        </w:tc>
        <w:tc>
          <w:tcPr>
            <w:tcW w:w="1703" w:type="dxa"/>
            <w:shd w:val="clear" w:color="auto" w:fill="auto"/>
            <w:vAlign w:val="center"/>
          </w:tcPr>
          <w:p>
            <w:r>
              <w:t>31°03′32.67″</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2"/>
                <w:szCs w:val="22"/>
                <w:lang w:bidi="ar"/>
              </w:rPr>
              <w:t>1-</w:t>
            </w:r>
            <w:r>
              <w:rPr>
                <w:rFonts w:eastAsia="宋体" w:cs="Times New Roman"/>
                <w:color w:val="000000"/>
                <w:kern w:val="0"/>
                <w:sz w:val="22"/>
                <w:szCs w:val="22"/>
                <w:lang w:bidi="ar"/>
              </w:rPr>
              <w:t>72</w:t>
            </w:r>
          </w:p>
        </w:tc>
        <w:tc>
          <w:tcPr>
            <w:tcW w:w="1702" w:type="dxa"/>
            <w:shd w:val="clear" w:color="auto" w:fill="auto"/>
            <w:vAlign w:val="center"/>
          </w:tcPr>
          <w:p>
            <w:r>
              <w:t>107°57′14.70″</w:t>
            </w:r>
          </w:p>
        </w:tc>
        <w:tc>
          <w:tcPr>
            <w:tcW w:w="1703" w:type="dxa"/>
            <w:shd w:val="clear" w:color="auto" w:fill="auto"/>
            <w:vAlign w:val="center"/>
          </w:tcPr>
          <w:p>
            <w:r>
              <w:t>31°03′46.03″</w:t>
            </w:r>
          </w:p>
        </w:tc>
        <w:tc>
          <w:tcPr>
            <w:tcW w:w="1703" w:type="dxa"/>
            <w:vAlign w:val="center"/>
          </w:tcPr>
          <w:p>
            <w:pPr>
              <w:jc w:val="center"/>
              <w:rPr>
                <w:rFonts w:cs="Times New Roman"/>
                <w:sz w:val="21"/>
                <w:szCs w:val="21"/>
              </w:rPr>
            </w:pPr>
            <w:r>
              <w:rPr>
                <w:rFonts w:hint="eastAsia" w:cs="Times New Roman"/>
                <w:color w:val="000000"/>
                <w:sz w:val="21"/>
                <w:szCs w:val="21"/>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2"/>
                <w:szCs w:val="22"/>
                <w:lang w:bidi="ar"/>
              </w:rPr>
              <w:t>1-</w:t>
            </w:r>
            <w:r>
              <w:rPr>
                <w:rFonts w:eastAsia="宋体" w:cs="Times New Roman"/>
                <w:color w:val="000000"/>
                <w:kern w:val="0"/>
                <w:sz w:val="22"/>
                <w:szCs w:val="22"/>
                <w:lang w:bidi="ar"/>
              </w:rPr>
              <w:t>73</w:t>
            </w:r>
          </w:p>
        </w:tc>
        <w:tc>
          <w:tcPr>
            <w:tcW w:w="1702" w:type="dxa"/>
            <w:shd w:val="clear" w:color="auto" w:fill="auto"/>
            <w:vAlign w:val="center"/>
          </w:tcPr>
          <w:p>
            <w:r>
              <w:t>107°57′10.45″</w:t>
            </w:r>
          </w:p>
        </w:tc>
        <w:tc>
          <w:tcPr>
            <w:tcW w:w="1703" w:type="dxa"/>
            <w:shd w:val="clear" w:color="auto" w:fill="auto"/>
            <w:vAlign w:val="center"/>
          </w:tcPr>
          <w:p>
            <w:r>
              <w:t>31°03′49.43″</w:t>
            </w:r>
          </w:p>
        </w:tc>
        <w:tc>
          <w:tcPr>
            <w:tcW w:w="1703" w:type="dxa"/>
            <w:vAlign w:val="center"/>
          </w:tcPr>
          <w:p>
            <w:pPr>
              <w:jc w:val="center"/>
              <w:rPr>
                <w:rFonts w:cs="Times New Roman"/>
                <w:sz w:val="21"/>
                <w:szCs w:val="21"/>
              </w:rPr>
            </w:pPr>
            <w:r>
              <w:rPr>
                <w:rFonts w:hint="eastAsia" w:cs="Times New Roman"/>
                <w:color w:val="000000"/>
                <w:sz w:val="21"/>
                <w:szCs w:val="21"/>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2"/>
                <w:szCs w:val="22"/>
                <w:lang w:bidi="ar"/>
              </w:rPr>
              <w:t>1-</w:t>
            </w:r>
            <w:r>
              <w:rPr>
                <w:rFonts w:eastAsia="宋体" w:cs="Times New Roman"/>
                <w:color w:val="000000"/>
                <w:kern w:val="0"/>
                <w:sz w:val="22"/>
                <w:szCs w:val="22"/>
                <w:lang w:bidi="ar"/>
              </w:rPr>
              <w:t>74</w:t>
            </w:r>
          </w:p>
        </w:tc>
        <w:tc>
          <w:tcPr>
            <w:tcW w:w="1702" w:type="dxa"/>
            <w:shd w:val="clear" w:color="auto" w:fill="auto"/>
            <w:vAlign w:val="center"/>
          </w:tcPr>
          <w:p>
            <w:r>
              <w:t>107°56′49.28″</w:t>
            </w:r>
          </w:p>
        </w:tc>
        <w:tc>
          <w:tcPr>
            <w:tcW w:w="1703" w:type="dxa"/>
            <w:shd w:val="clear" w:color="auto" w:fill="auto"/>
            <w:vAlign w:val="center"/>
          </w:tcPr>
          <w:p>
            <w:r>
              <w:t>31°03′50.99″</w:t>
            </w:r>
          </w:p>
        </w:tc>
        <w:tc>
          <w:tcPr>
            <w:tcW w:w="1703" w:type="dxa"/>
            <w:vAlign w:val="center"/>
          </w:tcPr>
          <w:p>
            <w:pPr>
              <w:jc w:val="center"/>
              <w:rPr>
                <w:rFonts w:cs="Times New Roman"/>
                <w:sz w:val="21"/>
                <w:szCs w:val="21"/>
              </w:rPr>
            </w:pPr>
            <w:r>
              <w:rPr>
                <w:rFonts w:hint="eastAsia" w:cs="Times New Roman"/>
                <w:color w:val="000000"/>
                <w:sz w:val="21"/>
                <w:szCs w:val="21"/>
              </w:rPr>
              <w: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2"/>
                <w:szCs w:val="22"/>
                <w:lang w:bidi="ar"/>
              </w:rPr>
              <w:t>1-</w:t>
            </w:r>
            <w:r>
              <w:rPr>
                <w:rFonts w:eastAsia="宋体" w:cs="Times New Roman"/>
                <w:color w:val="000000"/>
                <w:kern w:val="0"/>
                <w:sz w:val="22"/>
                <w:szCs w:val="22"/>
                <w:lang w:bidi="ar"/>
              </w:rPr>
              <w:t>75</w:t>
            </w:r>
          </w:p>
        </w:tc>
        <w:tc>
          <w:tcPr>
            <w:tcW w:w="1702" w:type="dxa"/>
            <w:shd w:val="clear" w:color="auto" w:fill="auto"/>
            <w:vAlign w:val="center"/>
          </w:tcPr>
          <w:p>
            <w:r>
              <w:t>107°57′08.68″</w:t>
            </w:r>
          </w:p>
        </w:tc>
        <w:tc>
          <w:tcPr>
            <w:tcW w:w="1703" w:type="dxa"/>
            <w:shd w:val="clear" w:color="auto" w:fill="auto"/>
            <w:vAlign w:val="center"/>
          </w:tcPr>
          <w:p>
            <w:r>
              <w:t>31°03′53.51″</w:t>
            </w:r>
          </w:p>
        </w:tc>
        <w:tc>
          <w:tcPr>
            <w:tcW w:w="1703" w:type="dxa"/>
            <w:vAlign w:val="center"/>
          </w:tcPr>
          <w:p>
            <w:pPr>
              <w:jc w:val="center"/>
              <w:rPr>
                <w:rFonts w:cs="Times New Roman"/>
                <w:sz w:val="21"/>
                <w:szCs w:val="21"/>
              </w:rPr>
            </w:pPr>
            <w:r>
              <w:rPr>
                <w:rFonts w:hint="eastAsia" w:cs="Times New Roman"/>
                <w:sz w:val="21"/>
                <w:szCs w:val="21"/>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2"/>
                <w:szCs w:val="22"/>
                <w:lang w:bidi="ar"/>
              </w:rPr>
              <w:t>1-</w:t>
            </w:r>
            <w:r>
              <w:rPr>
                <w:rFonts w:eastAsia="宋体" w:cs="Times New Roman"/>
                <w:color w:val="000000"/>
                <w:kern w:val="0"/>
                <w:sz w:val="22"/>
                <w:szCs w:val="22"/>
                <w:lang w:bidi="ar"/>
              </w:rPr>
              <w:t>76</w:t>
            </w:r>
          </w:p>
        </w:tc>
        <w:tc>
          <w:tcPr>
            <w:tcW w:w="1702" w:type="dxa"/>
            <w:shd w:val="clear" w:color="auto" w:fill="auto"/>
            <w:vAlign w:val="center"/>
          </w:tcPr>
          <w:p>
            <w:r>
              <w:t>107°56′59.77″</w:t>
            </w:r>
          </w:p>
        </w:tc>
        <w:tc>
          <w:tcPr>
            <w:tcW w:w="1703" w:type="dxa"/>
            <w:shd w:val="clear" w:color="auto" w:fill="auto"/>
            <w:vAlign w:val="center"/>
          </w:tcPr>
          <w:p>
            <w:r>
              <w:t>31°03′52.84″</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2"/>
                <w:szCs w:val="22"/>
                <w:lang w:bidi="ar"/>
              </w:rPr>
              <w:t>1-</w:t>
            </w:r>
            <w:r>
              <w:rPr>
                <w:rFonts w:eastAsia="宋体" w:cs="Times New Roman"/>
                <w:color w:val="000000"/>
                <w:kern w:val="0"/>
                <w:sz w:val="22"/>
                <w:szCs w:val="22"/>
                <w:lang w:bidi="ar"/>
              </w:rPr>
              <w:t>77</w:t>
            </w:r>
          </w:p>
        </w:tc>
        <w:tc>
          <w:tcPr>
            <w:tcW w:w="1702" w:type="dxa"/>
            <w:shd w:val="clear" w:color="auto" w:fill="auto"/>
            <w:vAlign w:val="center"/>
          </w:tcPr>
          <w:p>
            <w:r>
              <w:t>107°57′07.81″</w:t>
            </w:r>
          </w:p>
        </w:tc>
        <w:tc>
          <w:tcPr>
            <w:tcW w:w="1703" w:type="dxa"/>
            <w:shd w:val="clear" w:color="auto" w:fill="auto"/>
            <w:vAlign w:val="center"/>
          </w:tcPr>
          <w:p>
            <w:r>
              <w:t>31°03′55.62″</w:t>
            </w:r>
          </w:p>
        </w:tc>
        <w:tc>
          <w:tcPr>
            <w:tcW w:w="1703" w:type="dxa"/>
            <w:vAlign w:val="center"/>
          </w:tcPr>
          <w:p>
            <w:pPr>
              <w:jc w:val="center"/>
              <w:rPr>
                <w:rFonts w:cs="Times New Roman"/>
                <w:sz w:val="21"/>
                <w:szCs w:val="21"/>
              </w:rPr>
            </w:pPr>
            <w:r>
              <w:rPr>
                <w:rFonts w:hint="eastAsia" w:cs="Times New Roman"/>
                <w:color w:val="000000"/>
                <w:sz w:val="21"/>
                <w:szCs w:val="2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2"/>
                <w:szCs w:val="22"/>
                <w:lang w:bidi="ar"/>
              </w:rPr>
              <w:t>1-</w:t>
            </w:r>
            <w:r>
              <w:rPr>
                <w:rFonts w:eastAsia="宋体" w:cs="Times New Roman"/>
                <w:color w:val="000000"/>
                <w:kern w:val="0"/>
                <w:sz w:val="22"/>
                <w:szCs w:val="22"/>
                <w:lang w:bidi="ar"/>
              </w:rPr>
              <w:t>78</w:t>
            </w:r>
          </w:p>
        </w:tc>
        <w:tc>
          <w:tcPr>
            <w:tcW w:w="1702" w:type="dxa"/>
            <w:shd w:val="clear" w:color="auto" w:fill="auto"/>
            <w:vAlign w:val="center"/>
          </w:tcPr>
          <w:p>
            <w:r>
              <w:t>107°57′03.67″</w:t>
            </w:r>
          </w:p>
        </w:tc>
        <w:tc>
          <w:tcPr>
            <w:tcW w:w="1703" w:type="dxa"/>
            <w:shd w:val="clear" w:color="auto" w:fill="auto"/>
            <w:vAlign w:val="center"/>
          </w:tcPr>
          <w:p>
            <w:r>
              <w:t>31°04′00.84″</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2"/>
                <w:szCs w:val="22"/>
                <w:lang w:bidi="ar"/>
              </w:rPr>
              <w:t>1-</w:t>
            </w:r>
            <w:r>
              <w:rPr>
                <w:rFonts w:eastAsia="宋体" w:cs="Times New Roman"/>
                <w:color w:val="000000"/>
                <w:kern w:val="0"/>
                <w:sz w:val="22"/>
                <w:szCs w:val="22"/>
                <w:lang w:bidi="ar"/>
              </w:rPr>
              <w:t>79</w:t>
            </w:r>
          </w:p>
        </w:tc>
        <w:tc>
          <w:tcPr>
            <w:tcW w:w="1702" w:type="dxa"/>
            <w:shd w:val="clear" w:color="auto" w:fill="auto"/>
            <w:vAlign w:val="center"/>
          </w:tcPr>
          <w:p>
            <w:r>
              <w:t>107°57′14.22″</w:t>
            </w:r>
          </w:p>
        </w:tc>
        <w:tc>
          <w:tcPr>
            <w:tcW w:w="1703" w:type="dxa"/>
            <w:shd w:val="clear" w:color="auto" w:fill="auto"/>
            <w:vAlign w:val="center"/>
          </w:tcPr>
          <w:p>
            <w:r>
              <w:t>31°03′49.47″</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2"/>
                <w:szCs w:val="22"/>
                <w:lang w:bidi="ar"/>
              </w:rPr>
              <w:t>1-</w:t>
            </w:r>
            <w:r>
              <w:rPr>
                <w:rFonts w:eastAsia="宋体" w:cs="Times New Roman"/>
                <w:color w:val="000000"/>
                <w:kern w:val="0"/>
                <w:sz w:val="22"/>
                <w:szCs w:val="22"/>
                <w:lang w:bidi="ar"/>
              </w:rPr>
              <w:t>80</w:t>
            </w:r>
          </w:p>
        </w:tc>
        <w:tc>
          <w:tcPr>
            <w:tcW w:w="1702" w:type="dxa"/>
            <w:shd w:val="clear" w:color="auto" w:fill="auto"/>
            <w:vAlign w:val="center"/>
          </w:tcPr>
          <w:p>
            <w:r>
              <w:t>107°57′25.80″</w:t>
            </w:r>
          </w:p>
        </w:tc>
        <w:tc>
          <w:tcPr>
            <w:tcW w:w="1703" w:type="dxa"/>
            <w:shd w:val="clear" w:color="auto" w:fill="auto"/>
            <w:vAlign w:val="center"/>
          </w:tcPr>
          <w:p>
            <w:r>
              <w:t>31°03′59.95″</w:t>
            </w:r>
          </w:p>
        </w:tc>
        <w:tc>
          <w:tcPr>
            <w:tcW w:w="1703" w:type="dxa"/>
            <w:vAlign w:val="center"/>
          </w:tcPr>
          <w:p>
            <w:pPr>
              <w:jc w:val="center"/>
              <w:rPr>
                <w:rFonts w:cs="Times New Roman"/>
                <w:sz w:val="21"/>
                <w:szCs w:val="21"/>
              </w:rPr>
            </w:pPr>
            <w:r>
              <w:rPr>
                <w:rFonts w:hint="eastAsia" w:cs="Times New Roman"/>
                <w:color w:val="000000"/>
                <w:sz w:val="21"/>
                <w:szCs w:val="21"/>
              </w:rP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2"/>
                <w:szCs w:val="22"/>
                <w:lang w:bidi="ar"/>
              </w:rPr>
              <w:t>1-</w:t>
            </w:r>
            <w:r>
              <w:rPr>
                <w:rFonts w:eastAsia="宋体" w:cs="Times New Roman"/>
                <w:color w:val="000000"/>
                <w:kern w:val="0"/>
                <w:sz w:val="22"/>
                <w:szCs w:val="22"/>
                <w:lang w:bidi="ar"/>
              </w:rPr>
              <w:t>81</w:t>
            </w:r>
          </w:p>
        </w:tc>
        <w:tc>
          <w:tcPr>
            <w:tcW w:w="1702" w:type="dxa"/>
            <w:shd w:val="clear" w:color="auto" w:fill="auto"/>
            <w:vAlign w:val="center"/>
          </w:tcPr>
          <w:p>
            <w:r>
              <w:t>107°57′19.90″</w:t>
            </w:r>
          </w:p>
        </w:tc>
        <w:tc>
          <w:tcPr>
            <w:tcW w:w="1703" w:type="dxa"/>
            <w:shd w:val="clear" w:color="auto" w:fill="auto"/>
            <w:vAlign w:val="center"/>
          </w:tcPr>
          <w:p>
            <w:r>
              <w:t>31°03′57.35″</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cs="Times New Roman"/>
                <w:sz w:val="21"/>
                <w:szCs w:val="21"/>
              </w:rPr>
            </w:pPr>
            <w:r>
              <w:rPr>
                <w:rFonts w:hint="eastAsia" w:eastAsia="宋体" w:cs="Times New Roman"/>
                <w:color w:val="000000"/>
                <w:kern w:val="0"/>
                <w:sz w:val="21"/>
                <w:szCs w:val="21"/>
                <w:lang w:bidi="ar"/>
              </w:rPr>
              <w:t>1-82</w:t>
            </w:r>
          </w:p>
        </w:tc>
        <w:tc>
          <w:tcPr>
            <w:tcW w:w="1702" w:type="dxa"/>
            <w:shd w:val="clear" w:color="auto" w:fill="auto"/>
            <w:vAlign w:val="center"/>
          </w:tcPr>
          <w:p>
            <w:r>
              <w:t>107°57′13.03″</w:t>
            </w:r>
          </w:p>
        </w:tc>
        <w:tc>
          <w:tcPr>
            <w:tcW w:w="1703" w:type="dxa"/>
            <w:shd w:val="clear" w:color="auto" w:fill="auto"/>
            <w:vAlign w:val="center"/>
          </w:tcPr>
          <w:p>
            <w:r>
              <w:t>31°04′02.34″</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restart"/>
          </w:tcPr>
          <w:p>
            <w:pPr>
              <w:jc w:val="center"/>
              <w:rPr>
                <w:rFonts w:cs="Times New Roman"/>
                <w:sz w:val="22"/>
                <w:szCs w:val="22"/>
              </w:rPr>
            </w:pPr>
            <w:r>
              <w:rPr>
                <w:rFonts w:cs="Times New Roman"/>
                <w:sz w:val="22"/>
                <w:szCs w:val="22"/>
              </w:rPr>
              <w:t>二级保护区</w:t>
            </w:r>
            <w:r>
              <w:rPr>
                <w:rFonts w:hint="eastAsia" w:cs="Times New Roman"/>
                <w:sz w:val="22"/>
                <w:szCs w:val="22"/>
              </w:rPr>
              <w:t>陆域</w:t>
            </w: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2-1</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107°58′57.51″</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31°03′27.80″</w:t>
            </w:r>
          </w:p>
        </w:tc>
        <w:tc>
          <w:tcPr>
            <w:tcW w:w="1703" w:type="dxa"/>
            <w:vAlign w:val="center"/>
          </w:tcPr>
          <w:p>
            <w:pPr>
              <w:jc w:val="center"/>
              <w:rPr>
                <w:rFonts w:cs="Times New Roman"/>
                <w:sz w:val="21"/>
                <w:szCs w:val="21"/>
              </w:rPr>
            </w:pPr>
            <w:r>
              <w:rPr>
                <w:rFonts w:hint="eastAsia" w:cs="Times New Roman"/>
                <w:color w:val="000000"/>
                <w:sz w:val="21"/>
                <w:szCs w:val="2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2-2</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107°57′01.87″</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31°02′09.70″</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2-3</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107°54′54.99″</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31°04′13.45″</w:t>
            </w:r>
          </w:p>
        </w:tc>
        <w:tc>
          <w:tcPr>
            <w:tcW w:w="1703" w:type="dxa"/>
            <w:vAlign w:val="center"/>
          </w:tcPr>
          <w:p>
            <w:pPr>
              <w:jc w:val="center"/>
              <w:rPr>
                <w:rFonts w:cs="Times New Roman"/>
                <w:sz w:val="21"/>
                <w:szCs w:val="21"/>
              </w:rPr>
            </w:pPr>
            <w:r>
              <w:rPr>
                <w:rFonts w:hint="eastAsia" w:cs="Times New Roman"/>
                <w:color w:val="00000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2-4</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107°57′00.97″</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31°06′21.70″</w:t>
            </w:r>
          </w:p>
        </w:tc>
        <w:tc>
          <w:tcPr>
            <w:tcW w:w="1703" w:type="dxa"/>
            <w:vAlign w:val="center"/>
          </w:tcPr>
          <w:p>
            <w:pPr>
              <w:jc w:val="center"/>
              <w:rPr>
                <w:rFonts w:cs="Times New Roman"/>
                <w:sz w:val="21"/>
                <w:szCs w:val="21"/>
              </w:rPr>
            </w:pPr>
            <w:r>
              <w:rPr>
                <w:rFonts w:hint="eastAsia" w:cs="Times New Roman"/>
                <w:color w:val="000000"/>
                <w:sz w:val="21"/>
                <w:szCs w:val="21"/>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2-5</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107°57′48.46″</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31°06′12.41″</w:t>
            </w:r>
          </w:p>
        </w:tc>
        <w:tc>
          <w:tcPr>
            <w:tcW w:w="1703" w:type="dxa"/>
            <w:vAlign w:val="center"/>
          </w:tcPr>
          <w:p>
            <w:pPr>
              <w:jc w:val="center"/>
              <w:rPr>
                <w:rFonts w:cs="Times New Roman"/>
                <w:sz w:val="21"/>
                <w:szCs w:val="21"/>
              </w:rPr>
            </w:pPr>
            <w:r>
              <w:rPr>
                <w:rFonts w:hint="eastAsia" w:cs="Times New Roman"/>
                <w:color w:val="000000"/>
                <w:sz w:val="21"/>
                <w:szCs w:val="21"/>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2-6</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107°58′31.70″</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31°05′43.13″</w:t>
            </w:r>
          </w:p>
        </w:tc>
        <w:tc>
          <w:tcPr>
            <w:tcW w:w="1703" w:type="dxa"/>
            <w:vAlign w:val="center"/>
          </w:tcPr>
          <w:p>
            <w:pPr>
              <w:jc w:val="center"/>
              <w:rPr>
                <w:rFonts w:cs="Times New Roman"/>
                <w:sz w:val="21"/>
                <w:szCs w:val="21"/>
              </w:rPr>
            </w:pPr>
            <w:r>
              <w:rPr>
                <w:rFonts w:hint="eastAsia" w:cs="Times New Roman"/>
                <w:color w:val="000000"/>
                <w:sz w:val="21"/>
                <w:szCs w:val="21"/>
              </w:rPr>
              <w: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2-7</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107°58′39.80″</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31°05′33.86″</w:t>
            </w:r>
          </w:p>
        </w:tc>
        <w:tc>
          <w:tcPr>
            <w:tcW w:w="1703" w:type="dxa"/>
            <w:vAlign w:val="center"/>
          </w:tcPr>
          <w:p>
            <w:pPr>
              <w:jc w:val="center"/>
              <w:rPr>
                <w:rFonts w:cs="Times New Roman"/>
                <w:sz w:val="21"/>
                <w:szCs w:val="21"/>
              </w:rPr>
            </w:pPr>
            <w:r>
              <w:rPr>
                <w:rFonts w:hint="eastAsia" w:cs="Times New Roman"/>
                <w:sz w:val="21"/>
                <w:szCs w:val="21"/>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Pr>
          <w:p>
            <w:pPr>
              <w:jc w:val="center"/>
              <w:rPr>
                <w:rFonts w:cs="Times New Roman"/>
                <w:sz w:val="22"/>
                <w:szCs w:val="22"/>
              </w:rPr>
            </w:pPr>
          </w:p>
        </w:tc>
        <w:tc>
          <w:tcPr>
            <w:tcW w:w="1702" w:type="dxa"/>
            <w:shd w:val="clear" w:color="auto" w:fill="auto"/>
            <w:vAlign w:val="center"/>
          </w:tcPr>
          <w:p>
            <w:pPr>
              <w:widowControl/>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2-8</w:t>
            </w:r>
          </w:p>
        </w:tc>
        <w:tc>
          <w:tcPr>
            <w:tcW w:w="1702"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107°59′05.85″</w:t>
            </w:r>
          </w:p>
        </w:tc>
        <w:tc>
          <w:tcPr>
            <w:tcW w:w="1703" w:type="dxa"/>
            <w:shd w:val="clear" w:color="auto" w:fill="auto"/>
            <w:vAlign w:val="center"/>
          </w:tcPr>
          <w:p>
            <w:pPr>
              <w:widowControl/>
              <w:jc w:val="left"/>
              <w:textAlignment w:val="center"/>
              <w:rPr>
                <w:rFonts w:cs="Times New Roman"/>
                <w:sz w:val="21"/>
                <w:szCs w:val="21"/>
              </w:rPr>
            </w:pPr>
            <w:r>
              <w:rPr>
                <w:rFonts w:eastAsia="宋体" w:cs="Times New Roman"/>
                <w:color w:val="000000"/>
                <w:kern w:val="0"/>
                <w:sz w:val="22"/>
                <w:szCs w:val="22"/>
                <w:lang w:bidi="ar"/>
              </w:rPr>
              <w:t>31°04′32.41″</w:t>
            </w:r>
          </w:p>
        </w:tc>
        <w:tc>
          <w:tcPr>
            <w:tcW w:w="1703" w:type="dxa"/>
            <w:vAlign w:val="center"/>
          </w:tcPr>
          <w:p>
            <w:pPr>
              <w:jc w:val="center"/>
              <w:rPr>
                <w:rFonts w:cs="Times New Roman"/>
                <w:sz w:val="21"/>
                <w:szCs w:val="21"/>
              </w:rPr>
            </w:pPr>
            <w:r>
              <w:rPr>
                <w:rFonts w:hint="eastAsia" w:cs="Times New Roman"/>
                <w:color w:val="000000"/>
                <w:sz w:val="21"/>
                <w:szCs w:val="21"/>
              </w:rPr>
              <w:t>496</w:t>
            </w:r>
          </w:p>
        </w:tc>
      </w:tr>
    </w:tbl>
    <w:p>
      <w:pPr>
        <w:spacing w:line="360" w:lineRule="auto"/>
        <w:rPr>
          <w:rFonts w:cs="Times New Roman"/>
          <w:b/>
          <w:kern w:val="0"/>
          <w:lang w:val="zh-CN"/>
        </w:rPr>
      </w:pPr>
      <w:r>
        <w:rPr>
          <w:rFonts w:hint="eastAsia" w:cs="Times New Roman"/>
          <w:b/>
          <w:kern w:val="0"/>
        </w:rPr>
        <w:t>5</w:t>
      </w:r>
      <w:r>
        <w:rPr>
          <w:rFonts w:cs="Times New Roman"/>
          <w:b/>
          <w:kern w:val="0"/>
          <w:lang w:val="zh-CN"/>
        </w:rPr>
        <w:t>.</w:t>
      </w:r>
      <w:r>
        <w:rPr>
          <w:rFonts w:hint="eastAsia" w:cs="Times New Roman"/>
          <w:b/>
          <w:kern w:val="0"/>
        </w:rPr>
        <w:t>3</w:t>
      </w:r>
      <w:r>
        <w:rPr>
          <w:rFonts w:cs="Times New Roman"/>
          <w:b/>
          <w:kern w:val="0"/>
          <w:lang w:val="zh-CN"/>
        </w:rPr>
        <w:t>.</w:t>
      </w:r>
      <w:r>
        <w:rPr>
          <w:rFonts w:hint="eastAsia" w:cs="Times New Roman"/>
          <w:b/>
          <w:kern w:val="0"/>
        </w:rPr>
        <w:t>2</w:t>
      </w:r>
      <w:r>
        <w:rPr>
          <w:rFonts w:cs="Times New Roman"/>
          <w:b/>
          <w:kern w:val="0"/>
          <w:lang w:val="zh-CN"/>
        </w:rPr>
        <w:t>保护区面积估算</w:t>
      </w:r>
    </w:p>
    <w:p>
      <w:pPr>
        <w:spacing w:line="500" w:lineRule="exact"/>
        <w:ind w:firstLine="456" w:firstLineChars="200"/>
        <w:rPr>
          <w:rFonts w:cs="Times New Roman"/>
          <w:spacing w:val="-6"/>
          <w:highlight w:val="yellow"/>
        </w:rPr>
      </w:pPr>
      <w:r>
        <w:rPr>
          <w:rFonts w:cs="Times New Roman"/>
          <w:spacing w:val="-6"/>
          <w:highlight w:val="yellow"/>
        </w:rPr>
        <w:t>结合GIS初步估算，</w:t>
      </w:r>
      <w:r>
        <w:rPr>
          <w:rFonts w:eastAsia="宋体" w:cs="Times New Roman"/>
          <w:highlight w:val="yellow"/>
        </w:rPr>
        <w:t>开江县</w:t>
      </w:r>
      <w:r>
        <w:rPr>
          <w:rFonts w:hint="eastAsia" w:eastAsia="宋体" w:cs="Times New Roman"/>
          <w:highlight w:val="yellow"/>
        </w:rPr>
        <w:t>宝石桥水库</w:t>
      </w:r>
      <w:r>
        <w:rPr>
          <w:rFonts w:eastAsia="宋体" w:cs="Times New Roman"/>
          <w:highlight w:val="yellow"/>
        </w:rPr>
        <w:t>水源</w:t>
      </w:r>
      <w:r>
        <w:rPr>
          <w:rFonts w:eastAsia="宋体" w:cs="Times New Roman"/>
          <w:bCs/>
          <w:highlight w:val="yellow"/>
        </w:rPr>
        <w:t>地</w:t>
      </w:r>
      <w:r>
        <w:rPr>
          <w:rFonts w:cs="Times New Roman"/>
          <w:spacing w:val="-6"/>
          <w:highlight w:val="yellow"/>
        </w:rPr>
        <w:t>水源地一级保护区水域</w:t>
      </w:r>
      <w:r>
        <w:rPr>
          <w:rFonts w:hint="eastAsia" w:cs="Times New Roman"/>
          <w:spacing w:val="-6"/>
          <w:highlight w:val="yellow"/>
        </w:rPr>
        <w:t>面积为</w:t>
      </w:r>
      <w:r>
        <w:rPr>
          <w:rFonts w:cs="Times New Roman"/>
          <w:spacing w:val="-6"/>
          <w:highlight w:val="yellow"/>
        </w:rPr>
        <w:t>13.713407公顷，一级</w:t>
      </w:r>
      <w:r>
        <w:rPr>
          <w:rFonts w:hint="eastAsia" w:cs="Times New Roman"/>
          <w:spacing w:val="-6"/>
          <w:highlight w:val="yellow"/>
        </w:rPr>
        <w:t>保护区陆域面积为</w:t>
      </w:r>
      <w:r>
        <w:rPr>
          <w:rFonts w:cs="Times New Roman"/>
          <w:spacing w:val="-6"/>
          <w:highlight w:val="yellow"/>
        </w:rPr>
        <w:t>8.726575公顷。二级</w:t>
      </w:r>
      <w:r>
        <w:rPr>
          <w:rFonts w:hint="eastAsia" w:cs="Times New Roman"/>
          <w:spacing w:val="-6"/>
          <w:highlight w:val="yellow"/>
        </w:rPr>
        <w:t>保护区</w:t>
      </w:r>
      <w:r>
        <w:rPr>
          <w:rFonts w:cs="Times New Roman"/>
          <w:spacing w:val="-6"/>
          <w:highlight w:val="yellow"/>
        </w:rPr>
        <w:t>水域</w:t>
      </w:r>
      <w:r>
        <w:rPr>
          <w:rFonts w:hint="eastAsia" w:cs="Times New Roman"/>
          <w:spacing w:val="-6"/>
          <w:highlight w:val="yellow"/>
        </w:rPr>
        <w:t>面积</w:t>
      </w:r>
      <w:r>
        <w:rPr>
          <w:rFonts w:cs="Times New Roman"/>
          <w:spacing w:val="-6"/>
          <w:highlight w:val="yellow"/>
        </w:rPr>
        <w:t>184.960591公顷。二级</w:t>
      </w:r>
      <w:r>
        <w:rPr>
          <w:rFonts w:hint="eastAsia" w:cs="Times New Roman"/>
          <w:spacing w:val="-6"/>
          <w:highlight w:val="yellow"/>
        </w:rPr>
        <w:t>保护区</w:t>
      </w:r>
      <w:r>
        <w:rPr>
          <w:rFonts w:cs="Times New Roman"/>
          <w:spacing w:val="-6"/>
          <w:highlight w:val="yellow"/>
        </w:rPr>
        <w:t>陆域</w:t>
      </w:r>
      <w:r>
        <w:rPr>
          <w:rFonts w:hint="eastAsia" w:cs="Times New Roman"/>
          <w:spacing w:val="-6"/>
          <w:highlight w:val="yellow"/>
        </w:rPr>
        <w:t>面积</w:t>
      </w:r>
      <w:r>
        <w:rPr>
          <w:rFonts w:cs="Times New Roman"/>
          <w:spacing w:val="-6"/>
          <w:highlight w:val="yellow"/>
        </w:rPr>
        <w:t>3607.541381公顷，准保护区</w:t>
      </w:r>
      <w:r>
        <w:rPr>
          <w:rFonts w:hint="eastAsia" w:cs="Times New Roman"/>
          <w:spacing w:val="-6"/>
          <w:highlight w:val="yellow"/>
        </w:rPr>
        <w:t>面积为</w:t>
      </w:r>
      <w:r>
        <w:rPr>
          <w:rFonts w:cs="Times New Roman"/>
          <w:spacing w:val="-6"/>
          <w:highlight w:val="yellow"/>
        </w:rPr>
        <w:t>359.429099公顷。</w:t>
      </w:r>
    </w:p>
    <w:p>
      <w:pPr>
        <w:spacing w:line="500" w:lineRule="exact"/>
        <w:ind w:firstLine="456" w:firstLineChars="200"/>
        <w:rPr>
          <w:rFonts w:cs="Times New Roman"/>
          <w:spacing w:val="-6"/>
        </w:rPr>
      </w:pPr>
    </w:p>
    <w:p>
      <w:pPr>
        <w:pStyle w:val="2"/>
        <w:jc w:val="center"/>
        <w:rPr>
          <w:rFonts w:cs="Times New Roman"/>
        </w:rPr>
      </w:pPr>
      <w:bookmarkStart w:id="268" w:name="_Toc16377"/>
      <w:r>
        <w:rPr>
          <w:rFonts w:cs="Times New Roman"/>
        </w:rPr>
        <w:br w:type="page"/>
      </w:r>
    </w:p>
    <w:p>
      <w:pPr>
        <w:pStyle w:val="2"/>
        <w:jc w:val="center"/>
        <w:rPr>
          <w:rFonts w:cs="Times New Roman"/>
        </w:rPr>
      </w:pPr>
      <w:bookmarkStart w:id="269" w:name="_Toc10644"/>
      <w:bookmarkStart w:id="270" w:name="_Toc11025"/>
      <w:r>
        <w:rPr>
          <w:rFonts w:hint="eastAsia" w:cs="Times New Roman"/>
        </w:rPr>
        <w:t>6</w:t>
      </w:r>
      <w:r>
        <w:rPr>
          <w:rFonts w:cs="Times New Roman"/>
        </w:rPr>
        <w:t xml:space="preserve"> 水源保护区管理措施</w:t>
      </w:r>
      <w:bookmarkEnd w:id="268"/>
      <w:bookmarkEnd w:id="269"/>
      <w:bookmarkEnd w:id="270"/>
    </w:p>
    <w:p>
      <w:pPr>
        <w:pStyle w:val="3"/>
        <w:rPr>
          <w:rFonts w:ascii="Times New Roman" w:hAnsi="Times New Roman" w:cs="Times New Roman"/>
        </w:rPr>
      </w:pPr>
      <w:bookmarkStart w:id="271" w:name="_Toc14495"/>
      <w:bookmarkStart w:id="272" w:name="_Toc14069"/>
      <w:bookmarkStart w:id="273" w:name="_Toc29212"/>
      <w:r>
        <w:rPr>
          <w:rFonts w:hint="eastAsia" w:ascii="Times New Roman" w:hAnsi="Times New Roman" w:cs="Times New Roman"/>
        </w:rPr>
        <w:t>6.</w:t>
      </w:r>
      <w:r>
        <w:rPr>
          <w:rFonts w:ascii="Times New Roman" w:hAnsi="Times New Roman" w:cs="Times New Roman"/>
        </w:rPr>
        <w:t>1饮用水水源保护区界标标志工程</w:t>
      </w:r>
      <w:bookmarkEnd w:id="271"/>
      <w:bookmarkEnd w:id="272"/>
      <w:bookmarkEnd w:id="273"/>
    </w:p>
    <w:p>
      <w:pPr>
        <w:spacing w:line="360" w:lineRule="auto"/>
        <w:ind w:firstLine="480" w:firstLineChars="200"/>
        <w:rPr>
          <w:rFonts w:cs="Times New Roman"/>
        </w:rPr>
      </w:pPr>
      <w:bookmarkStart w:id="274" w:name="_Toc5648"/>
      <w:r>
        <w:rPr>
          <w:rFonts w:cs="Times New Roman"/>
        </w:rPr>
        <w:t>根据《中华人民共和国水法》、《中华人民共和国水污染防治法》及其实施细则、《饮用水水源保护区污染防治管理规定》、《四川省饮用水水源保护管理条例》等的相关规定，由县环保局会同县水务局、卫生局等部门提出饮用水水源保护区划分方案，报请</w:t>
      </w:r>
      <w:r>
        <w:rPr>
          <w:rFonts w:hint="eastAsia" w:cs="Times New Roman"/>
        </w:rPr>
        <w:t>开江</w:t>
      </w:r>
      <w:r>
        <w:rPr>
          <w:rFonts w:cs="Times New Roman"/>
        </w:rPr>
        <w:t>县政府、</w:t>
      </w:r>
      <w:r>
        <w:rPr>
          <w:rFonts w:hint="eastAsia" w:cs="Times New Roman"/>
        </w:rPr>
        <w:t>开江</w:t>
      </w:r>
      <w:r>
        <w:rPr>
          <w:rFonts w:cs="Times New Roman"/>
        </w:rPr>
        <w:t>政府审定后，报四川省人民政府批准。经省人民政府批准后，由开江县人民政府向社会公布水源保护区地理界线，并责成相关部门在一、二级保护区和准保护区设置标志牌、警示牌、界碑、界桩等。</w:t>
      </w:r>
    </w:p>
    <w:p>
      <w:pPr>
        <w:spacing w:line="360" w:lineRule="auto"/>
        <w:ind w:firstLine="480" w:firstLineChars="200"/>
        <w:rPr>
          <w:rFonts w:cs="Times New Roman"/>
        </w:rPr>
      </w:pPr>
      <w:r>
        <w:rPr>
          <w:rFonts w:cs="Times New Roman"/>
        </w:rPr>
        <w:t>（1）界标设立位置</w:t>
      </w:r>
    </w:p>
    <w:p>
      <w:pPr>
        <w:spacing w:line="360" w:lineRule="auto"/>
        <w:ind w:firstLine="480" w:firstLineChars="200"/>
        <w:rPr>
          <w:rFonts w:cs="Times New Roman"/>
        </w:rPr>
      </w:pPr>
      <w:r>
        <w:rPr>
          <w:rFonts w:cs="Times New Roman"/>
        </w:rPr>
        <w:t>饮用水水源保护区界标的设立位置应以根据《饮用水水源保护区划分技术规范》（HJ/T338-2007）最终确定的各级保护区界线进行设立，应充分考虑保护区地形、地标、地物的特点。</w:t>
      </w:r>
    </w:p>
    <w:p>
      <w:pPr>
        <w:spacing w:line="360" w:lineRule="auto"/>
        <w:ind w:firstLine="480" w:firstLineChars="200"/>
        <w:rPr>
          <w:rFonts w:cs="Times New Roman"/>
        </w:rPr>
      </w:pPr>
      <w:r>
        <w:rPr>
          <w:rFonts w:cs="Times New Roman"/>
        </w:rPr>
        <w:t>饮用水水源保护区界标一般设立于保护区陆域界线的顶点处。饮用水水源保护区陆域范围为矩形或接近矩形时（如某些</w:t>
      </w:r>
      <w:r>
        <w:rPr>
          <w:rFonts w:hint="eastAsia" w:cs="Times New Roman"/>
        </w:rPr>
        <w:t>水库型</w:t>
      </w:r>
      <w:r>
        <w:rPr>
          <w:rFonts w:cs="Times New Roman"/>
        </w:rPr>
        <w:t>饮用水水源保护区），宜在陆域外侧两顶点处设置界标；饮用水水源保护区陆域范围为弧形或接近弧形时（如某些湖库型饮用水水源保护区），宜在陆域两个弧端点及弧顶处设置界标；如果地下取水口为多个水井形成的井群，划定的保护区范围为多边形区域时，宜在多边形的各顶点处设立界标，也可结合水源地护栏围网等隔离防护工程设立界标。</w:t>
      </w:r>
    </w:p>
    <w:p>
      <w:pPr>
        <w:spacing w:line="360" w:lineRule="auto"/>
        <w:ind w:firstLine="480" w:firstLineChars="200"/>
        <w:rPr>
          <w:rFonts w:cs="Times New Roman"/>
        </w:rPr>
      </w:pPr>
      <w:r>
        <w:rPr>
          <w:rFonts w:cs="Times New Roman"/>
        </w:rPr>
        <w:t>在划定的陆域范围内，可根据环境管理需要在人群易见、活动处（如交叉路口，绿地休闲区等）设立界标。饮用水水源保护区界标的设立应综合考虑饮用水水源一级保护区、二级保护区和准保护区的界标设立数量和分布而进行设置。</w:t>
      </w:r>
    </w:p>
    <w:p>
      <w:pPr>
        <w:spacing w:line="360" w:lineRule="auto"/>
        <w:ind w:firstLine="480" w:firstLineChars="200"/>
        <w:rPr>
          <w:rFonts w:cs="Times New Roman"/>
        </w:rPr>
      </w:pPr>
      <w:r>
        <w:rPr>
          <w:rFonts w:cs="Times New Roman"/>
        </w:rPr>
        <w:t>（2）饮用水水源保护区交通警示牌的设立位置</w:t>
      </w:r>
    </w:p>
    <w:p>
      <w:pPr>
        <w:spacing w:line="360" w:lineRule="auto"/>
        <w:ind w:firstLine="480" w:firstLineChars="200"/>
        <w:rPr>
          <w:rFonts w:cs="Times New Roman"/>
        </w:rPr>
      </w:pPr>
      <w:r>
        <w:rPr>
          <w:rFonts w:cs="Times New Roman"/>
        </w:rPr>
        <w:t>饮用水水源保护区交通警示牌设在保护区道路的进入点及驶出点。</w:t>
      </w:r>
    </w:p>
    <w:p>
      <w:pPr>
        <w:spacing w:line="360" w:lineRule="auto"/>
        <w:ind w:firstLine="480" w:firstLineChars="200"/>
        <w:rPr>
          <w:rFonts w:cs="Times New Roman"/>
        </w:rPr>
      </w:pPr>
      <w:r>
        <w:rPr>
          <w:rFonts w:cs="Times New Roman"/>
        </w:rPr>
        <w:t>饮用水水源保护区道路警示牌设置于一级保护区、二级保护区和准保护区范围内的主干道、高速公路等道路旁。道路警示牌的具体设立位置应符合《道路交通标志和标线》（GB5768-2009）的相关要求。</w:t>
      </w:r>
    </w:p>
    <w:p>
      <w:pPr>
        <w:spacing w:line="360" w:lineRule="auto"/>
        <w:ind w:firstLine="480" w:firstLineChars="200"/>
        <w:rPr>
          <w:rFonts w:cs="Times New Roman"/>
        </w:rPr>
      </w:pPr>
      <w:r>
        <w:rPr>
          <w:rFonts w:cs="Times New Roman"/>
        </w:rPr>
        <w:t>（3）饮用水水源保护区宣传牌的设立位置</w:t>
      </w:r>
    </w:p>
    <w:p>
      <w:pPr>
        <w:spacing w:line="360" w:lineRule="auto"/>
        <w:ind w:firstLine="480" w:firstLineChars="200"/>
        <w:rPr>
          <w:rFonts w:cs="Times New Roman"/>
        </w:rPr>
      </w:pPr>
      <w:r>
        <w:rPr>
          <w:rFonts w:cs="Times New Roman"/>
        </w:rPr>
        <w:t>饮用水水源保护区宣传牌的设立位置可根据实际需要在适当的位置设立饮用水源保护区宣传牌，但应符合《道路交通标志和标线》（GB5768-2009）的相关要求。</w:t>
      </w:r>
    </w:p>
    <w:p>
      <w:pPr>
        <w:pStyle w:val="4"/>
        <w:spacing w:beforeAutospacing="0" w:afterAutospacing="0" w:line="360" w:lineRule="auto"/>
        <w:rPr>
          <w:rFonts w:ascii="Times New Roman" w:hAnsi="Times New Roman" w:cs="Times New Roman"/>
        </w:rPr>
      </w:pPr>
      <w:bookmarkStart w:id="275" w:name="_Toc21972"/>
      <w:bookmarkStart w:id="276" w:name="_Toc18325"/>
      <w:bookmarkStart w:id="277" w:name="_Toc17511"/>
      <w:r>
        <w:rPr>
          <w:rFonts w:hint="eastAsia" w:ascii="Times New Roman" w:hAnsi="Times New Roman" w:cs="Times New Roman"/>
        </w:rPr>
        <w:t>6.</w:t>
      </w:r>
      <w:r>
        <w:rPr>
          <w:rFonts w:ascii="Times New Roman" w:hAnsi="Times New Roman" w:cs="Times New Roman"/>
        </w:rPr>
        <w:t>1.1饮用水水源保护区图形标志</w:t>
      </w:r>
      <w:bookmarkEnd w:id="274"/>
      <w:bookmarkEnd w:id="275"/>
      <w:bookmarkEnd w:id="276"/>
      <w:bookmarkEnd w:id="277"/>
    </w:p>
    <w:p>
      <w:pPr>
        <w:spacing w:line="360" w:lineRule="auto"/>
        <w:ind w:firstLine="480" w:firstLineChars="200"/>
        <w:rPr>
          <w:rFonts w:cs="Times New Roman"/>
        </w:rPr>
      </w:pPr>
      <w:r>
        <w:rPr>
          <w:rFonts w:cs="Times New Roman"/>
        </w:rPr>
        <w:t>饮用水水源保护区标志包括饮用水水源保护区界标、饮用水水源保护区交通警示牌和饮用水水源保护区宣传牌。</w:t>
      </w:r>
    </w:p>
    <w:p>
      <w:pPr>
        <w:spacing w:line="360" w:lineRule="auto"/>
        <w:ind w:firstLine="480" w:firstLineChars="200"/>
        <w:rPr>
          <w:rFonts w:cs="Times New Roman"/>
        </w:rPr>
      </w:pPr>
      <w:r>
        <w:rPr>
          <w:rFonts w:cs="Times New Roman"/>
        </w:rPr>
        <w:t>（1）饮用水水源保护区界标：是在饮用水水源保护区的地理边界设立的标志。标识饮用水水源保护区范围，并警示人们需谨慎行为。</w:t>
      </w:r>
    </w:p>
    <w:p>
      <w:pPr>
        <w:spacing w:line="360" w:lineRule="auto"/>
        <w:ind w:firstLine="480" w:firstLineChars="200"/>
        <w:rPr>
          <w:rFonts w:cs="Times New Roman"/>
        </w:rPr>
      </w:pPr>
      <w:r>
        <w:rPr>
          <w:rFonts w:cs="Times New Roman"/>
        </w:rPr>
        <w:t>（2）饮用水水源保护区交通警示牌：警示车辆或行人进入饮用水水源保护区道路，需谨慎驾驶或谨慎行为的标志。</w:t>
      </w:r>
    </w:p>
    <w:p>
      <w:pPr>
        <w:spacing w:line="360" w:lineRule="auto"/>
        <w:ind w:firstLine="480" w:firstLineChars="200"/>
        <w:rPr>
          <w:rFonts w:cs="Times New Roman"/>
        </w:rPr>
      </w:pPr>
      <w:r>
        <w:rPr>
          <w:rFonts w:cs="Times New Roman"/>
        </w:rPr>
        <w:t>（3）饮用水水源保护区宣传牌：根据实际需要，为保护当地饮用水水源而对过往人群进行宣传教育所设立的标志。</w:t>
      </w:r>
    </w:p>
    <w:p>
      <w:pPr>
        <w:spacing w:line="360" w:lineRule="auto"/>
        <w:ind w:firstLine="480" w:firstLineChars="200"/>
        <w:rPr>
          <w:rFonts w:cs="Times New Roman"/>
        </w:rPr>
      </w:pPr>
      <w:r>
        <w:rPr>
          <w:rFonts w:cs="Times New Roman"/>
        </w:rPr>
        <w:t>饮用水水源保护区图形标志及尺寸比例如下图所示，饮用水水源 保护区图形标的尺寸可根据实际情况按比例缩放。</w:t>
      </w:r>
    </w:p>
    <w:p>
      <w:pPr>
        <w:spacing w:line="360" w:lineRule="auto"/>
        <w:jc w:val="center"/>
        <w:rPr>
          <w:rFonts w:cs="Times New Roman"/>
        </w:rPr>
      </w:pPr>
      <w:r>
        <w:rPr>
          <w:rFonts w:cs="Times New Roman"/>
        </w:rPr>
        <w:drawing>
          <wp:inline distT="0" distB="0" distL="114300" distR="114300">
            <wp:extent cx="2725420" cy="2745740"/>
            <wp:effectExtent l="0" t="0" r="17780" b="165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
                    <a:stretch>
                      <a:fillRect/>
                    </a:stretch>
                  </pic:blipFill>
                  <pic:spPr>
                    <a:xfrm>
                      <a:off x="0" y="0"/>
                      <a:ext cx="2725420" cy="2745740"/>
                    </a:xfrm>
                    <a:prstGeom prst="rect">
                      <a:avLst/>
                    </a:prstGeom>
                    <a:noFill/>
                    <a:ln w="9525">
                      <a:noFill/>
                    </a:ln>
                  </pic:spPr>
                </pic:pic>
              </a:graphicData>
            </a:graphic>
          </wp:inline>
        </w:drawing>
      </w:r>
    </w:p>
    <w:p>
      <w:pPr>
        <w:jc w:val="center"/>
        <w:rPr>
          <w:rFonts w:cs="Times New Roman"/>
          <w:b/>
          <w:kern w:val="0"/>
          <w:sz w:val="23"/>
          <w:szCs w:val="23"/>
        </w:rPr>
      </w:pPr>
      <w:r>
        <w:rPr>
          <w:rFonts w:cs="Times New Roman"/>
          <w:b/>
          <w:kern w:val="0"/>
          <w:sz w:val="23"/>
          <w:szCs w:val="23"/>
        </w:rPr>
        <w:t>图</w:t>
      </w:r>
      <w:r>
        <w:rPr>
          <w:rFonts w:hint="eastAsia" w:cs="Times New Roman"/>
          <w:b/>
          <w:bCs/>
          <w:kern w:val="0"/>
          <w:sz w:val="23"/>
          <w:szCs w:val="23"/>
        </w:rPr>
        <w:t>6-</w:t>
      </w:r>
      <w:r>
        <w:rPr>
          <w:rFonts w:cs="Times New Roman"/>
          <w:b/>
          <w:bCs/>
          <w:kern w:val="0"/>
          <w:sz w:val="23"/>
          <w:szCs w:val="23"/>
        </w:rPr>
        <w:t>1</w:t>
      </w:r>
      <w:r>
        <w:rPr>
          <w:rFonts w:cs="Times New Roman"/>
          <w:b/>
          <w:kern w:val="0"/>
          <w:sz w:val="23"/>
          <w:szCs w:val="23"/>
        </w:rPr>
        <w:t>饮用水水源保护区图形标志及尺寸比例示意图</w:t>
      </w:r>
    </w:p>
    <w:p>
      <w:pPr>
        <w:jc w:val="center"/>
        <w:rPr>
          <w:rFonts w:cs="Times New Roman"/>
          <w:b/>
          <w:kern w:val="0"/>
          <w:sz w:val="23"/>
          <w:szCs w:val="23"/>
        </w:rPr>
      </w:pPr>
    </w:p>
    <w:p>
      <w:pPr>
        <w:jc w:val="center"/>
        <w:rPr>
          <w:rFonts w:cs="Times New Roman"/>
          <w:kern w:val="0"/>
        </w:rPr>
      </w:pPr>
      <w:r>
        <w:rPr>
          <w:rFonts w:cs="Times New Roman"/>
          <w:kern w:val="0"/>
        </w:rPr>
        <w:drawing>
          <wp:inline distT="0" distB="0" distL="114300" distR="114300">
            <wp:extent cx="5085715" cy="2996565"/>
            <wp:effectExtent l="0" t="0" r="635"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a:stretch>
                      <a:fillRect/>
                    </a:stretch>
                  </pic:blipFill>
                  <pic:spPr>
                    <a:xfrm>
                      <a:off x="0" y="0"/>
                      <a:ext cx="5085715" cy="2996565"/>
                    </a:xfrm>
                    <a:prstGeom prst="rect">
                      <a:avLst/>
                    </a:prstGeom>
                    <a:noFill/>
                    <a:ln w="9525">
                      <a:noFill/>
                    </a:ln>
                  </pic:spPr>
                </pic:pic>
              </a:graphicData>
            </a:graphic>
          </wp:inline>
        </w:drawing>
      </w:r>
    </w:p>
    <w:p>
      <w:pPr>
        <w:rPr>
          <w:rFonts w:cs="Times New Roman"/>
          <w:b/>
          <w:kern w:val="0"/>
          <w:sz w:val="23"/>
          <w:szCs w:val="23"/>
        </w:rPr>
      </w:pPr>
      <w:r>
        <w:rPr>
          <w:rFonts w:cs="Times New Roman"/>
          <w:b/>
          <w:kern w:val="0"/>
          <w:sz w:val="23"/>
          <w:szCs w:val="23"/>
        </w:rPr>
        <w:t>图</w:t>
      </w:r>
      <w:r>
        <w:rPr>
          <w:rFonts w:hint="eastAsia" w:cs="Times New Roman"/>
          <w:b/>
          <w:bCs/>
          <w:kern w:val="0"/>
          <w:sz w:val="23"/>
          <w:szCs w:val="23"/>
        </w:rPr>
        <w:t>6-</w:t>
      </w:r>
      <w:r>
        <w:rPr>
          <w:rFonts w:cs="Times New Roman"/>
          <w:b/>
          <w:bCs/>
          <w:kern w:val="0"/>
          <w:sz w:val="23"/>
          <w:szCs w:val="23"/>
        </w:rPr>
        <w:t>2</w:t>
      </w:r>
      <w:r>
        <w:rPr>
          <w:rFonts w:cs="Times New Roman"/>
          <w:b/>
          <w:kern w:val="0"/>
          <w:sz w:val="23"/>
          <w:szCs w:val="23"/>
        </w:rPr>
        <w:t>饮用水水源保护区界标正面示意图 图</w:t>
      </w:r>
      <w:r>
        <w:rPr>
          <w:rFonts w:hint="eastAsia" w:cs="Times New Roman"/>
          <w:b/>
          <w:bCs/>
          <w:kern w:val="0"/>
          <w:sz w:val="23"/>
          <w:szCs w:val="23"/>
        </w:rPr>
        <w:t>6-</w:t>
      </w:r>
      <w:r>
        <w:rPr>
          <w:rFonts w:cs="Times New Roman"/>
          <w:b/>
          <w:bCs/>
          <w:kern w:val="0"/>
          <w:sz w:val="23"/>
          <w:szCs w:val="23"/>
        </w:rPr>
        <w:t>3</w:t>
      </w:r>
      <w:r>
        <w:rPr>
          <w:rFonts w:cs="Times New Roman"/>
          <w:b/>
          <w:kern w:val="0"/>
          <w:sz w:val="23"/>
          <w:szCs w:val="23"/>
        </w:rPr>
        <w:t>饮用水水源保护区界标背面示意图</w:t>
      </w:r>
    </w:p>
    <w:p>
      <w:pPr>
        <w:jc w:val="center"/>
        <w:rPr>
          <w:rFonts w:cs="Times New Roman"/>
        </w:rPr>
      </w:pPr>
      <w:r>
        <w:rPr>
          <w:rFonts w:cs="Times New Roman"/>
        </w:rPr>
        <w:drawing>
          <wp:inline distT="0" distB="0" distL="114300" distR="114300">
            <wp:extent cx="3503930" cy="1457960"/>
            <wp:effectExtent l="0" t="0" r="127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0"/>
                    <a:stretch>
                      <a:fillRect/>
                    </a:stretch>
                  </pic:blipFill>
                  <pic:spPr>
                    <a:xfrm>
                      <a:off x="0" y="0"/>
                      <a:ext cx="3503930" cy="1457960"/>
                    </a:xfrm>
                    <a:prstGeom prst="rect">
                      <a:avLst/>
                    </a:prstGeom>
                    <a:noFill/>
                    <a:ln w="9525">
                      <a:noFill/>
                    </a:ln>
                  </pic:spPr>
                </pic:pic>
              </a:graphicData>
            </a:graphic>
          </wp:inline>
        </w:drawing>
      </w:r>
    </w:p>
    <w:p>
      <w:pPr>
        <w:jc w:val="center"/>
        <w:rPr>
          <w:rFonts w:cs="Times New Roman"/>
          <w:b/>
          <w:kern w:val="0"/>
          <w:sz w:val="23"/>
          <w:szCs w:val="23"/>
        </w:rPr>
      </w:pPr>
      <w:r>
        <w:rPr>
          <w:rFonts w:cs="Times New Roman"/>
          <w:b/>
          <w:kern w:val="0"/>
          <w:sz w:val="23"/>
          <w:szCs w:val="23"/>
        </w:rPr>
        <w:t>图</w:t>
      </w:r>
      <w:r>
        <w:rPr>
          <w:rFonts w:hint="eastAsia" w:cs="Times New Roman"/>
          <w:b/>
          <w:bCs/>
          <w:kern w:val="0"/>
          <w:sz w:val="23"/>
          <w:szCs w:val="23"/>
        </w:rPr>
        <w:t>6-</w:t>
      </w:r>
      <w:r>
        <w:rPr>
          <w:rFonts w:cs="Times New Roman"/>
          <w:b/>
          <w:bCs/>
          <w:kern w:val="0"/>
          <w:sz w:val="23"/>
          <w:szCs w:val="23"/>
        </w:rPr>
        <w:t>4</w:t>
      </w:r>
      <w:r>
        <w:rPr>
          <w:rFonts w:cs="Times New Roman"/>
          <w:b/>
          <w:kern w:val="0"/>
          <w:sz w:val="23"/>
          <w:szCs w:val="23"/>
        </w:rPr>
        <w:t>饮用水水源保护区道路警示牌示意图（一般道路）</w:t>
      </w:r>
    </w:p>
    <w:p>
      <w:pPr>
        <w:jc w:val="center"/>
        <w:rPr>
          <w:rFonts w:cs="Times New Roman"/>
          <w:b/>
          <w:kern w:val="0"/>
          <w:sz w:val="23"/>
          <w:szCs w:val="23"/>
        </w:rPr>
      </w:pPr>
      <w:r>
        <w:rPr>
          <w:rFonts w:cs="Times New Roman"/>
          <w:b/>
          <w:kern w:val="0"/>
          <w:sz w:val="23"/>
          <w:szCs w:val="23"/>
        </w:rPr>
        <w:drawing>
          <wp:inline distT="0" distB="0" distL="114300" distR="114300">
            <wp:extent cx="3465830" cy="1398905"/>
            <wp:effectExtent l="0" t="0" r="1270"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3465830" cy="1398905"/>
                    </a:xfrm>
                    <a:prstGeom prst="rect">
                      <a:avLst/>
                    </a:prstGeom>
                    <a:noFill/>
                    <a:ln w="9525">
                      <a:noFill/>
                    </a:ln>
                  </pic:spPr>
                </pic:pic>
              </a:graphicData>
            </a:graphic>
          </wp:inline>
        </w:drawing>
      </w:r>
    </w:p>
    <w:p>
      <w:pPr>
        <w:jc w:val="center"/>
        <w:rPr>
          <w:rFonts w:cs="Times New Roman"/>
          <w:b/>
          <w:kern w:val="0"/>
          <w:sz w:val="23"/>
          <w:szCs w:val="23"/>
        </w:rPr>
      </w:pPr>
      <w:r>
        <w:rPr>
          <w:rFonts w:cs="Times New Roman"/>
          <w:b/>
          <w:kern w:val="0"/>
          <w:sz w:val="23"/>
          <w:szCs w:val="23"/>
        </w:rPr>
        <w:t>图</w:t>
      </w:r>
      <w:r>
        <w:rPr>
          <w:rFonts w:hint="eastAsia" w:cs="Times New Roman"/>
          <w:b/>
          <w:bCs/>
          <w:kern w:val="0"/>
          <w:sz w:val="23"/>
          <w:szCs w:val="23"/>
        </w:rPr>
        <w:t>6-</w:t>
      </w:r>
      <w:r>
        <w:rPr>
          <w:rFonts w:cs="Times New Roman"/>
          <w:b/>
          <w:bCs/>
          <w:kern w:val="0"/>
          <w:sz w:val="23"/>
          <w:szCs w:val="23"/>
        </w:rPr>
        <w:t>5</w:t>
      </w:r>
      <w:r>
        <w:rPr>
          <w:rFonts w:cs="Times New Roman"/>
          <w:b/>
          <w:kern w:val="0"/>
          <w:sz w:val="23"/>
          <w:szCs w:val="23"/>
        </w:rPr>
        <w:t>饮用水水源保护区道路警示牌示意图（高速公路）</w:t>
      </w:r>
    </w:p>
    <w:p>
      <w:pPr>
        <w:jc w:val="center"/>
        <w:rPr>
          <w:rFonts w:cs="Times New Roman"/>
        </w:rPr>
      </w:pPr>
      <w:r>
        <w:rPr>
          <w:rFonts w:cs="Times New Roman"/>
        </w:rPr>
        <w:drawing>
          <wp:inline distT="0" distB="0" distL="114300" distR="114300">
            <wp:extent cx="3503930" cy="1457960"/>
            <wp:effectExtent l="0" t="0" r="127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2"/>
                    <a:stretch>
                      <a:fillRect/>
                    </a:stretch>
                  </pic:blipFill>
                  <pic:spPr>
                    <a:xfrm>
                      <a:off x="0" y="0"/>
                      <a:ext cx="3503930" cy="1457960"/>
                    </a:xfrm>
                    <a:prstGeom prst="rect">
                      <a:avLst/>
                    </a:prstGeom>
                    <a:noFill/>
                    <a:ln w="9525">
                      <a:noFill/>
                    </a:ln>
                  </pic:spPr>
                </pic:pic>
              </a:graphicData>
            </a:graphic>
          </wp:inline>
        </w:drawing>
      </w:r>
    </w:p>
    <w:p>
      <w:pPr>
        <w:jc w:val="center"/>
        <w:rPr>
          <w:rFonts w:cs="Times New Roman"/>
        </w:rPr>
      </w:pPr>
      <w:r>
        <w:rPr>
          <w:rFonts w:cs="Times New Roman"/>
          <w:b/>
          <w:kern w:val="0"/>
          <w:sz w:val="23"/>
          <w:szCs w:val="23"/>
        </w:rPr>
        <w:t>图</w:t>
      </w:r>
      <w:r>
        <w:rPr>
          <w:rFonts w:hint="eastAsia" w:cs="Times New Roman"/>
          <w:b/>
          <w:bCs/>
          <w:kern w:val="0"/>
          <w:sz w:val="23"/>
          <w:szCs w:val="23"/>
        </w:rPr>
        <w:t>6-</w:t>
      </w:r>
      <w:r>
        <w:rPr>
          <w:rFonts w:cs="Times New Roman"/>
          <w:b/>
          <w:bCs/>
          <w:kern w:val="0"/>
          <w:sz w:val="23"/>
          <w:szCs w:val="23"/>
        </w:rPr>
        <w:t>6驶离</w:t>
      </w:r>
      <w:r>
        <w:rPr>
          <w:rFonts w:cs="Times New Roman"/>
          <w:b/>
          <w:kern w:val="0"/>
          <w:sz w:val="23"/>
          <w:szCs w:val="23"/>
        </w:rPr>
        <w:t>饮用水水源保护区道路告示牌示意图（一般道路）</w:t>
      </w:r>
    </w:p>
    <w:p>
      <w:pPr>
        <w:jc w:val="center"/>
        <w:rPr>
          <w:rFonts w:cs="Times New Roman"/>
        </w:rPr>
      </w:pPr>
      <w:r>
        <w:rPr>
          <w:rFonts w:cs="Times New Roman"/>
        </w:rPr>
        <w:drawing>
          <wp:inline distT="0" distB="0" distL="114300" distR="114300">
            <wp:extent cx="3609975" cy="14573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3"/>
                    <a:stretch>
                      <a:fillRect/>
                    </a:stretch>
                  </pic:blipFill>
                  <pic:spPr>
                    <a:xfrm>
                      <a:off x="0" y="0"/>
                      <a:ext cx="3609975" cy="1457325"/>
                    </a:xfrm>
                    <a:prstGeom prst="rect">
                      <a:avLst/>
                    </a:prstGeom>
                    <a:noFill/>
                    <a:ln w="9525">
                      <a:noFill/>
                    </a:ln>
                  </pic:spPr>
                </pic:pic>
              </a:graphicData>
            </a:graphic>
          </wp:inline>
        </w:drawing>
      </w:r>
    </w:p>
    <w:p>
      <w:pPr>
        <w:jc w:val="center"/>
        <w:rPr>
          <w:rFonts w:cs="Times New Roman"/>
        </w:rPr>
      </w:pPr>
      <w:r>
        <w:rPr>
          <w:rFonts w:cs="Times New Roman"/>
          <w:b/>
          <w:kern w:val="0"/>
          <w:sz w:val="23"/>
          <w:szCs w:val="23"/>
        </w:rPr>
        <w:t>图</w:t>
      </w:r>
      <w:r>
        <w:rPr>
          <w:rFonts w:hint="eastAsia" w:cs="Times New Roman"/>
          <w:b/>
          <w:bCs/>
          <w:kern w:val="0"/>
          <w:sz w:val="23"/>
          <w:szCs w:val="23"/>
        </w:rPr>
        <w:t>6-</w:t>
      </w:r>
      <w:r>
        <w:rPr>
          <w:rFonts w:cs="Times New Roman"/>
          <w:b/>
          <w:bCs/>
          <w:kern w:val="0"/>
          <w:sz w:val="23"/>
          <w:szCs w:val="23"/>
        </w:rPr>
        <w:t>7 驶离</w:t>
      </w:r>
      <w:r>
        <w:rPr>
          <w:rFonts w:cs="Times New Roman"/>
          <w:b/>
          <w:kern w:val="0"/>
          <w:sz w:val="23"/>
          <w:szCs w:val="23"/>
        </w:rPr>
        <w:t>饮用水水源保护区道路告示牌示意图（高速公路）</w:t>
      </w:r>
    </w:p>
    <w:p>
      <w:pPr>
        <w:pStyle w:val="4"/>
        <w:spacing w:beforeAutospacing="0" w:afterAutospacing="0" w:line="360" w:lineRule="auto"/>
        <w:rPr>
          <w:rFonts w:ascii="Times New Roman" w:hAnsi="Times New Roman" w:cs="Times New Roman"/>
        </w:rPr>
      </w:pPr>
      <w:bookmarkStart w:id="278" w:name="_Toc24133"/>
      <w:bookmarkStart w:id="279" w:name="_Toc6031"/>
      <w:bookmarkStart w:id="280" w:name="_Toc15046"/>
      <w:bookmarkStart w:id="281" w:name="_Toc28824"/>
      <w:r>
        <w:rPr>
          <w:rFonts w:hint="eastAsia" w:ascii="Times New Roman" w:hAnsi="Times New Roman" w:cs="Times New Roman"/>
        </w:rPr>
        <w:t>6.</w:t>
      </w:r>
      <w:r>
        <w:rPr>
          <w:rFonts w:ascii="Times New Roman" w:hAnsi="Times New Roman" w:cs="Times New Roman"/>
        </w:rPr>
        <w:t>1.2饮用水水源保护区标志内容</w:t>
      </w:r>
      <w:bookmarkEnd w:id="278"/>
      <w:bookmarkEnd w:id="279"/>
      <w:bookmarkEnd w:id="280"/>
      <w:bookmarkEnd w:id="281"/>
    </w:p>
    <w:p>
      <w:pPr>
        <w:spacing w:line="360" w:lineRule="auto"/>
        <w:ind w:firstLine="480" w:firstLineChars="200"/>
        <w:rPr>
          <w:rFonts w:cs="Times New Roman"/>
        </w:rPr>
      </w:pPr>
      <w:r>
        <w:rPr>
          <w:rFonts w:cs="Times New Roman"/>
        </w:rPr>
        <w:t xml:space="preserve">（1）界标内容 </w:t>
      </w:r>
    </w:p>
    <w:p>
      <w:pPr>
        <w:spacing w:line="360" w:lineRule="auto"/>
        <w:ind w:firstLine="480" w:firstLineChars="200"/>
        <w:rPr>
          <w:rFonts w:cs="Times New Roman"/>
        </w:rPr>
      </w:pPr>
      <w:r>
        <w:rPr>
          <w:rFonts w:cs="Times New Roman"/>
        </w:rPr>
        <w:t>界标正面的上方为饮用水水源保护区图形标。中下方书写饮用水水源保护区名称，如：饮用水水源一级保护区、饮用水水源二级保护区等。下方为“监督管理电话：XXXXXXXX”等。监督管理方面的信息，监督管理电话一般为当地环境保护行政主管部门联系电话。饮用水水源保护区界标正面内容的示意图如图</w:t>
      </w:r>
      <w:r>
        <w:rPr>
          <w:rFonts w:hint="eastAsia" w:cs="Times New Roman"/>
        </w:rPr>
        <w:t>6-</w:t>
      </w:r>
      <w:r>
        <w:rPr>
          <w:rFonts w:cs="Times New Roman"/>
        </w:rPr>
        <w:t>2。</w:t>
      </w:r>
    </w:p>
    <w:p>
      <w:pPr>
        <w:spacing w:line="360" w:lineRule="auto"/>
        <w:ind w:firstLine="480" w:firstLineChars="200"/>
        <w:rPr>
          <w:rFonts w:cs="Times New Roman"/>
        </w:rPr>
      </w:pPr>
      <w:r>
        <w:rPr>
          <w:rFonts w:cs="Times New Roman"/>
        </w:rPr>
        <w:t>界标背面的上方用清晰、易懂的图形或文字说明根据《饮用水水源保护区划分技术规范》（HJ/T338-2007）划定的饮用水水源保护区范围，以标明保护区准确地理坐标和范围参数等为宜。中下方书写饮用水水源保护区具体的管理要求，可引用《中华人民共和国水污染防治法》以及其它有关法律法规中关于饮用水水源保护区的条款和内容。最下方靠右处书写“XX政府XXXX年设立”字样。饮用水水源保护区界标背面内容的示意图如图</w:t>
      </w:r>
      <w:r>
        <w:rPr>
          <w:rFonts w:hint="eastAsia" w:cs="Times New Roman"/>
        </w:rPr>
        <w:t>6-</w:t>
      </w:r>
      <w:r>
        <w:rPr>
          <w:rFonts w:cs="Times New Roman"/>
        </w:rPr>
        <w:t>3。</w:t>
      </w:r>
    </w:p>
    <w:p>
      <w:pPr>
        <w:spacing w:line="360" w:lineRule="auto"/>
        <w:ind w:firstLine="480" w:firstLineChars="200"/>
        <w:rPr>
          <w:rFonts w:cs="Times New Roman"/>
        </w:rPr>
      </w:pPr>
      <w:r>
        <w:rPr>
          <w:rFonts w:cs="Times New Roman"/>
        </w:rPr>
        <w:t>（2）交通警示牌内容</w:t>
      </w:r>
    </w:p>
    <w:p>
      <w:pPr>
        <w:spacing w:line="360" w:lineRule="auto"/>
        <w:ind w:firstLine="480" w:firstLineChars="200"/>
        <w:rPr>
          <w:rFonts w:cs="Times New Roman"/>
        </w:rPr>
      </w:pPr>
      <w:r>
        <w:rPr>
          <w:rFonts w:cs="Times New Roman"/>
        </w:rPr>
        <w:t xml:space="preserve">饮用水水源保护区道路警示牌：一般公路如图 </w:t>
      </w:r>
      <w:r>
        <w:rPr>
          <w:rFonts w:hint="eastAsia" w:cs="Times New Roman"/>
        </w:rPr>
        <w:t>6-</w:t>
      </w:r>
      <w:r>
        <w:rPr>
          <w:rFonts w:cs="Times New Roman"/>
        </w:rPr>
        <w:t xml:space="preserve">4，高速公路如图 </w:t>
      </w:r>
      <w:r>
        <w:rPr>
          <w:rFonts w:hint="eastAsia" w:cs="Times New Roman"/>
        </w:rPr>
        <w:t>6-</w:t>
      </w:r>
      <w:r>
        <w:rPr>
          <w:rFonts w:cs="Times New Roman"/>
        </w:rPr>
        <w:t>5。</w:t>
      </w:r>
    </w:p>
    <w:p>
      <w:pPr>
        <w:spacing w:line="360" w:lineRule="auto"/>
        <w:rPr>
          <w:rFonts w:cs="Times New Roman"/>
        </w:rPr>
      </w:pPr>
      <w:r>
        <w:rPr>
          <w:rFonts w:cs="Times New Roman"/>
        </w:rPr>
        <w:t xml:space="preserve">在驶离饮用水水源保护区的路侧，可设立驶离告示牌，一般公路如图 </w:t>
      </w:r>
      <w:r>
        <w:rPr>
          <w:rFonts w:hint="eastAsia" w:cs="Times New Roman"/>
        </w:rPr>
        <w:t>6-</w:t>
      </w:r>
      <w:r>
        <w:rPr>
          <w:rFonts w:cs="Times New Roman"/>
        </w:rPr>
        <w:t xml:space="preserve">6，高速公路如图 </w:t>
      </w:r>
      <w:r>
        <w:rPr>
          <w:rFonts w:hint="eastAsia" w:cs="Times New Roman"/>
        </w:rPr>
        <w:t>6-</w:t>
      </w:r>
      <w:r>
        <w:rPr>
          <w:rFonts w:cs="Times New Roman"/>
        </w:rPr>
        <w:t>7。</w:t>
      </w:r>
    </w:p>
    <w:p>
      <w:pPr>
        <w:spacing w:line="360" w:lineRule="auto"/>
        <w:ind w:firstLine="480" w:firstLineChars="200"/>
        <w:rPr>
          <w:rFonts w:cs="Times New Roman"/>
        </w:rPr>
      </w:pPr>
      <w:r>
        <w:rPr>
          <w:rFonts w:cs="Times New Roman"/>
        </w:rPr>
        <w:t>（3）宣传牌内容</w:t>
      </w:r>
    </w:p>
    <w:p>
      <w:pPr>
        <w:spacing w:line="360" w:lineRule="auto"/>
        <w:ind w:firstLine="480" w:firstLineChars="200"/>
        <w:rPr>
          <w:rFonts w:cs="Times New Roman"/>
        </w:rPr>
      </w:pPr>
      <w:r>
        <w:rPr>
          <w:rFonts w:cs="Times New Roman"/>
        </w:rPr>
        <w:t>各地方政府可根据实际需求设计宣传牌上的图形和文字，如介绍当地饮用水水源保护区的地形地貌、划分情况、保护现状、管理要求等。同时，针对本饮用水水源地位于藏族聚居区，因此，还应在宣传牌上设计对应的藏文内容。</w:t>
      </w:r>
    </w:p>
    <w:p>
      <w:pPr>
        <w:spacing w:line="360" w:lineRule="auto"/>
        <w:rPr>
          <w:rFonts w:cs="Times New Roman"/>
        </w:rPr>
      </w:pPr>
      <w:r>
        <w:rPr>
          <w:rFonts w:cs="Times New Roman"/>
        </w:rPr>
        <w:t>饮用水水源保护区宣传牌宜在明显位置采用饮用水水源保护区图形标。</w:t>
      </w:r>
    </w:p>
    <w:p>
      <w:pPr>
        <w:pStyle w:val="4"/>
        <w:spacing w:beforeAutospacing="0" w:afterAutospacing="0" w:line="360" w:lineRule="auto"/>
        <w:rPr>
          <w:rFonts w:ascii="Times New Roman" w:hAnsi="Times New Roman" w:cs="Times New Roman"/>
        </w:rPr>
      </w:pPr>
      <w:bookmarkStart w:id="282" w:name="_Toc20408"/>
      <w:bookmarkStart w:id="283" w:name="_Toc20633"/>
      <w:bookmarkStart w:id="284" w:name="_Toc182"/>
      <w:bookmarkStart w:id="285" w:name="_Toc13744"/>
      <w:r>
        <w:rPr>
          <w:rFonts w:hint="eastAsia" w:ascii="Times New Roman" w:hAnsi="Times New Roman" w:cs="Times New Roman"/>
        </w:rPr>
        <w:t>6.</w:t>
      </w:r>
      <w:r>
        <w:rPr>
          <w:rFonts w:ascii="Times New Roman" w:hAnsi="Times New Roman" w:cs="Times New Roman"/>
        </w:rPr>
        <w:t>1.3饮用水水源保护区标志的构造</w:t>
      </w:r>
      <w:bookmarkEnd w:id="282"/>
      <w:bookmarkEnd w:id="283"/>
      <w:bookmarkEnd w:id="284"/>
      <w:bookmarkEnd w:id="285"/>
    </w:p>
    <w:p>
      <w:pPr>
        <w:spacing w:line="360" w:lineRule="auto"/>
        <w:ind w:firstLine="480" w:firstLineChars="200"/>
        <w:rPr>
          <w:rFonts w:cs="Times New Roman"/>
        </w:rPr>
      </w:pPr>
      <w:bookmarkStart w:id="286" w:name="_Toc29534"/>
      <w:r>
        <w:rPr>
          <w:rFonts w:cs="Times New Roman"/>
        </w:rPr>
        <w:t xml:space="preserve">（1）颜色 </w:t>
      </w:r>
    </w:p>
    <w:p>
      <w:pPr>
        <w:spacing w:line="360" w:lineRule="auto"/>
        <w:ind w:firstLine="480" w:firstLineChars="200"/>
        <w:rPr>
          <w:rFonts w:cs="Times New Roman"/>
        </w:rPr>
      </w:pPr>
      <w:r>
        <w:rPr>
          <w:rFonts w:cs="Times New Roman"/>
        </w:rPr>
        <w:t>饮用水水源保护区图形标的基本色为蓝色，“两滴水”为绿色，“饮用水杯”为白色，文字为蓝色。饮用水水源保护区道路警示牌的颜色一般道路为蓝底、白边，图案背景和文字为白色；高速公路为绿底、白边，图案背景和文字为白色。</w:t>
      </w:r>
    </w:p>
    <w:p>
      <w:pPr>
        <w:spacing w:line="360" w:lineRule="auto"/>
        <w:ind w:firstLine="480" w:firstLineChars="200"/>
        <w:rPr>
          <w:rFonts w:cs="Times New Roman"/>
        </w:rPr>
      </w:pPr>
      <w:r>
        <w:rPr>
          <w:rFonts w:cs="Times New Roman"/>
        </w:rPr>
        <w:t>饮用水水源保护区航道警示牌的颜色为黄底、黑边、白色图案背 景，黑色文字；立柱为黄色和黑色相间的斜向条纹。</w:t>
      </w:r>
    </w:p>
    <w:p>
      <w:pPr>
        <w:spacing w:line="360" w:lineRule="auto"/>
        <w:ind w:firstLine="480" w:firstLineChars="200"/>
        <w:rPr>
          <w:rFonts w:cs="Times New Roman"/>
        </w:rPr>
      </w:pPr>
      <w:r>
        <w:rPr>
          <w:rFonts w:cs="Times New Roman"/>
        </w:rPr>
        <w:t>饮用水水源保护区宣传牌颜色由各地方政府根据实际情况确定。</w:t>
      </w:r>
    </w:p>
    <w:p>
      <w:pPr>
        <w:ind w:firstLine="480" w:firstLineChars="200"/>
        <w:rPr>
          <w:rFonts w:cs="Times New Roman"/>
        </w:rPr>
      </w:pPr>
      <w:r>
        <w:rPr>
          <w:rFonts w:cs="Times New Roman"/>
        </w:rPr>
        <w:t xml:space="preserve">（2）尺寸 </w:t>
      </w:r>
    </w:p>
    <w:p>
      <w:pPr>
        <w:spacing w:line="360" w:lineRule="auto"/>
        <w:ind w:firstLine="480" w:firstLineChars="200"/>
        <w:jc w:val="left"/>
        <w:rPr>
          <w:rFonts w:cs="Times New Roman"/>
        </w:rPr>
      </w:pPr>
      <w:r>
        <w:rPr>
          <w:rFonts w:cs="Times New Roman"/>
        </w:rPr>
        <w:t>饮用水水源保护区标志的尺寸见《饮用水水源保护区标志技术要求》（HJ/T433-2008）附录B。饮用水水源保护区标志的尺寸可根据实际情况按比例缩放。</w:t>
      </w:r>
    </w:p>
    <w:p>
      <w:pPr>
        <w:ind w:firstLine="480" w:firstLineChars="200"/>
        <w:rPr>
          <w:rFonts w:cs="Times New Roman"/>
        </w:rPr>
      </w:pPr>
      <w:r>
        <w:rPr>
          <w:rFonts w:cs="Times New Roman"/>
        </w:rPr>
        <w:t xml:space="preserve">（3）支持方式 </w:t>
      </w:r>
    </w:p>
    <w:p>
      <w:pPr>
        <w:spacing w:line="360" w:lineRule="auto"/>
        <w:ind w:firstLine="480" w:firstLineChars="200"/>
        <w:rPr>
          <w:rFonts w:cs="Times New Roman"/>
        </w:rPr>
      </w:pPr>
      <w:r>
        <w:rPr>
          <w:rFonts w:cs="Times New Roman"/>
        </w:rPr>
        <w:t>饮用水水源保护区界标宜采用双柱式的支持方式，尺寸可参考《道路交通标志和标线》（GB5768-2009）。饮用水水源保护区交通警示牌的支持方式形式可多样，但必须符合《道路交通标志和标线》（GB5768-2009）的规定。饮用水水源保护区宣传牌的支持方式由地方主管部门根据实际情况确定。</w:t>
      </w:r>
    </w:p>
    <w:p>
      <w:pPr>
        <w:spacing w:line="360" w:lineRule="auto"/>
        <w:ind w:firstLine="480" w:firstLineChars="200"/>
        <w:rPr>
          <w:rFonts w:cs="Times New Roman"/>
        </w:rPr>
      </w:pPr>
      <w:r>
        <w:rPr>
          <w:rFonts w:cs="Times New Roman"/>
        </w:rPr>
        <w:t>标志柱的结构设计可参考《道路交通标志和标线》（GB5768-2009）中交通标志柱的结构设计进行。</w:t>
      </w:r>
    </w:p>
    <w:p>
      <w:pPr>
        <w:ind w:firstLine="480" w:firstLineChars="200"/>
        <w:rPr>
          <w:rFonts w:cs="Times New Roman"/>
        </w:rPr>
      </w:pPr>
      <w:r>
        <w:rPr>
          <w:rFonts w:cs="Times New Roman"/>
        </w:rPr>
        <w:t xml:space="preserve">（4）材质 </w:t>
      </w:r>
    </w:p>
    <w:p>
      <w:pPr>
        <w:spacing w:line="360" w:lineRule="auto"/>
        <w:ind w:firstLine="480" w:firstLineChars="200"/>
        <w:rPr>
          <w:rFonts w:cs="Times New Roman"/>
        </w:rPr>
      </w:pPr>
      <w:r>
        <w:rPr>
          <w:rFonts w:cs="Times New Roman"/>
        </w:rPr>
        <w:t>饮用水水源保护区标志应遵循耐久、经济的原则，宜采用铝合金板、合成树脂类板材等材质。饮用水水源保护区界标如有必要，也可采用大理石等材质。</w:t>
      </w:r>
    </w:p>
    <w:p>
      <w:pPr>
        <w:spacing w:line="360" w:lineRule="auto"/>
        <w:ind w:firstLine="480" w:firstLineChars="200"/>
        <w:rPr>
          <w:rFonts w:cs="Times New Roman"/>
        </w:rPr>
      </w:pPr>
      <w:r>
        <w:rPr>
          <w:rFonts w:cs="Times New Roman"/>
        </w:rPr>
        <w:t>标志表面宜采用反光材料。道路警示牌的反光性能按照《道路交通标志标线》（GB5768-2009）执行。</w:t>
      </w:r>
    </w:p>
    <w:p>
      <w:pPr>
        <w:pStyle w:val="4"/>
        <w:spacing w:beforeAutospacing="0" w:afterAutospacing="0" w:line="360" w:lineRule="auto"/>
        <w:rPr>
          <w:rFonts w:ascii="Times New Roman" w:hAnsi="Times New Roman" w:cs="Times New Roman"/>
        </w:rPr>
      </w:pPr>
      <w:bookmarkStart w:id="287" w:name="_Toc6717"/>
      <w:bookmarkStart w:id="288" w:name="_Toc31242"/>
      <w:bookmarkStart w:id="289" w:name="_Toc24653"/>
      <w:r>
        <w:rPr>
          <w:rFonts w:hint="eastAsia" w:ascii="Times New Roman" w:hAnsi="Times New Roman" w:cs="Times New Roman"/>
        </w:rPr>
        <w:t>6.</w:t>
      </w:r>
      <w:r>
        <w:rPr>
          <w:rFonts w:ascii="Times New Roman" w:hAnsi="Times New Roman" w:cs="Times New Roman"/>
        </w:rPr>
        <w:t>1.4饮用水水源保护区标志的制作</w:t>
      </w:r>
      <w:bookmarkEnd w:id="286"/>
      <w:bookmarkEnd w:id="287"/>
      <w:bookmarkEnd w:id="288"/>
      <w:bookmarkEnd w:id="289"/>
    </w:p>
    <w:p>
      <w:pPr>
        <w:spacing w:line="360" w:lineRule="auto"/>
        <w:ind w:firstLine="480" w:firstLineChars="200"/>
        <w:rPr>
          <w:rFonts w:cs="Times New Roman"/>
        </w:rPr>
      </w:pPr>
      <w:r>
        <w:rPr>
          <w:rFonts w:cs="Times New Roman"/>
        </w:rPr>
        <w:t>饮用水水源保护区标志由各级地方人民政府设立，国家环境保护行政主管部门统一监制。</w:t>
      </w:r>
    </w:p>
    <w:p>
      <w:pPr>
        <w:spacing w:line="360" w:lineRule="auto"/>
        <w:ind w:firstLine="480" w:firstLineChars="200"/>
        <w:rPr>
          <w:rFonts w:cs="Times New Roman"/>
        </w:rPr>
      </w:pPr>
      <w:r>
        <w:rPr>
          <w:rFonts w:cs="Times New Roman"/>
        </w:rPr>
        <w:t>标志的加工要求、外观质量及其测试方法可参照《道路交通标志板及支撑件》（GB/T2382</w:t>
      </w:r>
      <w:r>
        <w:rPr>
          <w:rFonts w:hint="eastAsia" w:cs="Times New Roman"/>
        </w:rPr>
        <w:t>7-</w:t>
      </w:r>
      <w:r>
        <w:rPr>
          <w:rFonts w:cs="Times New Roman"/>
        </w:rPr>
        <w:t>2009）的有关规定执行。</w:t>
      </w:r>
    </w:p>
    <w:p>
      <w:pPr>
        <w:pStyle w:val="4"/>
        <w:spacing w:beforeAutospacing="0" w:afterAutospacing="0" w:line="360" w:lineRule="auto"/>
        <w:rPr>
          <w:rFonts w:ascii="Times New Roman" w:hAnsi="Times New Roman" w:cs="Times New Roman"/>
        </w:rPr>
      </w:pPr>
      <w:bookmarkStart w:id="290" w:name="_Toc24709"/>
      <w:bookmarkStart w:id="291" w:name="_Toc31690"/>
      <w:bookmarkStart w:id="292" w:name="_Toc15748"/>
      <w:bookmarkStart w:id="293" w:name="_Toc12877"/>
      <w:r>
        <w:rPr>
          <w:rFonts w:hint="eastAsia" w:ascii="Times New Roman" w:hAnsi="Times New Roman" w:cs="Times New Roman"/>
        </w:rPr>
        <w:t>6.</w:t>
      </w:r>
      <w:r>
        <w:rPr>
          <w:rFonts w:ascii="Times New Roman" w:hAnsi="Times New Roman" w:cs="Times New Roman"/>
        </w:rPr>
        <w:t>1.5饮用水水源保护区标志的设立位置</w:t>
      </w:r>
      <w:bookmarkEnd w:id="290"/>
      <w:bookmarkEnd w:id="291"/>
      <w:bookmarkEnd w:id="292"/>
      <w:bookmarkEnd w:id="293"/>
    </w:p>
    <w:p>
      <w:pPr>
        <w:spacing w:line="360" w:lineRule="auto"/>
        <w:ind w:firstLine="480" w:firstLineChars="200"/>
        <w:rPr>
          <w:rFonts w:cs="Times New Roman"/>
        </w:rPr>
      </w:pPr>
      <w:r>
        <w:rPr>
          <w:rFonts w:cs="Times New Roman"/>
        </w:rPr>
        <w:t xml:space="preserve">参照《饮用水水源保护区标志技术要求》（HJ/T433-2008），水源保护区标志的设立位置如下： </w:t>
      </w:r>
    </w:p>
    <w:p>
      <w:pPr>
        <w:ind w:firstLine="480" w:firstLineChars="200"/>
        <w:rPr>
          <w:rFonts w:cs="Times New Roman"/>
        </w:rPr>
      </w:pPr>
      <w:r>
        <w:rPr>
          <w:rFonts w:cs="Times New Roman"/>
        </w:rPr>
        <w:t xml:space="preserve">1、一级保护区 </w:t>
      </w:r>
    </w:p>
    <w:p>
      <w:pPr>
        <w:spacing w:line="360" w:lineRule="auto"/>
        <w:ind w:firstLine="480" w:firstLineChars="200"/>
        <w:rPr>
          <w:rFonts w:cs="Times New Roman"/>
        </w:rPr>
      </w:pPr>
      <w:r>
        <w:rPr>
          <w:rFonts w:cs="Times New Roman"/>
        </w:rPr>
        <w:t xml:space="preserve">①一级保护区水域范围界标设立位置 </w:t>
      </w:r>
    </w:p>
    <w:p>
      <w:pPr>
        <w:spacing w:line="360" w:lineRule="auto"/>
        <w:ind w:firstLine="480" w:firstLineChars="200"/>
        <w:rPr>
          <w:rFonts w:cs="Times New Roman"/>
        </w:rPr>
      </w:pPr>
      <w:r>
        <w:rPr>
          <w:rFonts w:cs="Times New Roman"/>
        </w:rPr>
        <w:t>取水口靠岸水域宽度处设立1个保护区界标（如上图中A0点）。上游水域陆地边界处，以根据《饮用水水源保护区划分技术规范》（HJ/T338-2007）划定的取水口上游水域长度和水域宽度确定的上游水域陆地边界处设立1个界标（如上图中A1点）。</w:t>
      </w:r>
    </w:p>
    <w:p>
      <w:pPr>
        <w:spacing w:line="360" w:lineRule="auto"/>
        <w:ind w:firstLine="480" w:firstLineChars="200"/>
        <w:rPr>
          <w:rFonts w:cs="Times New Roman"/>
        </w:rPr>
      </w:pPr>
      <w:r>
        <w:rPr>
          <w:rFonts w:cs="Times New Roman"/>
        </w:rPr>
        <w:t>沿上游水域，以根据《饮用水水源保护区划分技术规范》（HJ/T338-2007）划定的水域宽度为宽度，若上游水域陆地边界处与取水口水平距离小于1500米，则在取水口与上游水域陆地边界处的中间长度位置设置1个界标（如上图中D1点）；若上游水域陆地边界处与取水口水平距离超过1500米，需每隔不超过750米长度的距离等距设立界标。</w:t>
      </w:r>
    </w:p>
    <w:p>
      <w:pPr>
        <w:spacing w:line="360" w:lineRule="auto"/>
        <w:ind w:firstLine="480" w:firstLineChars="200"/>
        <w:rPr>
          <w:rFonts w:cs="Times New Roman"/>
        </w:rPr>
      </w:pPr>
      <w:r>
        <w:rPr>
          <w:rFonts w:cs="Times New Roman"/>
        </w:rPr>
        <w:t>下游水域陆地边界处，以根据《饮用水水源保护区划分技术规范》（HJ/T338-2007）划定的取水口下游水域长度和水域宽度确定的下游水域陆地边界处设立1个界标（如上图中A2点）。若下游范围与上游范围相当（如潮汐河段水源地），则参考沿上游水域界标设置方式沿下游水域设置界标。</w:t>
      </w:r>
    </w:p>
    <w:p>
      <w:pPr>
        <w:spacing w:line="360" w:lineRule="auto"/>
        <w:ind w:firstLine="480" w:firstLineChars="200"/>
        <w:rPr>
          <w:rFonts w:cs="Times New Roman"/>
        </w:rPr>
      </w:pPr>
      <w:r>
        <w:rPr>
          <w:rFonts w:cs="Times New Roman"/>
        </w:rPr>
        <w:t>若水源保护区水域宽度为整个河道范围，则在取水口对岸相应位置设立界标。</w:t>
      </w:r>
    </w:p>
    <w:p>
      <w:pPr>
        <w:spacing w:line="360" w:lineRule="auto"/>
        <w:ind w:firstLine="480" w:firstLineChars="200"/>
        <w:rPr>
          <w:rFonts w:cs="Times New Roman"/>
          <w:color w:val="FF0000"/>
        </w:rPr>
      </w:pPr>
      <w:r>
        <w:rPr>
          <w:rFonts w:cs="Times New Roman"/>
          <w:color w:val="FF0000"/>
        </w:rPr>
        <w:t>②一级保护区陆域范围界标设立位置</w:t>
      </w:r>
    </w:p>
    <w:p>
      <w:pPr>
        <w:spacing w:line="360" w:lineRule="auto"/>
        <w:ind w:firstLine="480" w:firstLineChars="200"/>
        <w:rPr>
          <w:rFonts w:cs="Times New Roman"/>
          <w:color w:val="FF0000"/>
        </w:rPr>
      </w:pPr>
      <w:r>
        <w:rPr>
          <w:rFonts w:cs="Times New Roman"/>
          <w:color w:val="FF0000"/>
        </w:rPr>
        <w:t>以根据《饮用水水源保护区划分技术规范》（HJ/T338-2007）划定的陆域沿岸纵深距离为宽度，参考水域长度的距离设立界标（如上 图中A3、A4、A5、D2点）。</w:t>
      </w:r>
    </w:p>
    <w:p>
      <w:pPr>
        <w:spacing w:line="360" w:lineRule="auto"/>
        <w:ind w:firstLine="480" w:firstLineChars="200"/>
        <w:rPr>
          <w:rFonts w:cs="Times New Roman"/>
          <w:color w:val="FF0000"/>
        </w:rPr>
      </w:pPr>
      <w:r>
        <w:rPr>
          <w:rFonts w:cs="Times New Roman"/>
          <w:color w:val="FF0000"/>
        </w:rPr>
        <w:t>在划定的陆域范围内，应根据实际需要在人群易见、活动处（如交叉路口，绿地休闲区等）设立界标。 可依据自然地理、环境特征和环境管理需要设立界标。</w:t>
      </w:r>
    </w:p>
    <w:p>
      <w:pPr>
        <w:spacing w:line="360" w:lineRule="auto"/>
        <w:ind w:firstLine="480" w:firstLineChars="200"/>
        <w:rPr>
          <w:rFonts w:cs="Times New Roman"/>
          <w:color w:val="FF0000"/>
        </w:rPr>
      </w:pPr>
      <w:r>
        <w:rPr>
          <w:rFonts w:cs="Times New Roman"/>
          <w:color w:val="FF0000"/>
        </w:rPr>
        <w:t>③若根据《饮用水水源保护区划分技术规范》（HJ/T338-2007）划定的陆域沿岸纵深与河岸的水平距离小于500米，则水域范围边界不设立界标，而在保护区的陆域范围边界设立。</w:t>
      </w:r>
    </w:p>
    <w:p>
      <w:pPr>
        <w:spacing w:line="360" w:lineRule="auto"/>
        <w:ind w:firstLine="480" w:firstLineChars="200"/>
        <w:rPr>
          <w:rFonts w:cs="Times New Roman"/>
          <w:color w:val="FF0000"/>
        </w:rPr>
      </w:pPr>
      <w:r>
        <w:rPr>
          <w:rFonts w:cs="Times New Roman"/>
          <w:color w:val="FF0000"/>
        </w:rPr>
        <w:t>2、二级保护区</w:t>
      </w:r>
    </w:p>
    <w:p>
      <w:pPr>
        <w:spacing w:line="360" w:lineRule="auto"/>
        <w:ind w:firstLine="480" w:firstLineChars="200"/>
        <w:rPr>
          <w:rFonts w:cs="Times New Roman"/>
          <w:color w:val="FF0000"/>
        </w:rPr>
      </w:pPr>
      <w:r>
        <w:rPr>
          <w:rFonts w:cs="Times New Roman"/>
          <w:color w:val="FF0000"/>
        </w:rPr>
        <w:t>①二级保护区水域范围界标设立位置二级保护区上游水域陆地边界处，以根据《饮用水水源保护区划分技术规范》（HJ/T338-2007）划定的二级保护区上游水域长度和水域宽度确定的上游水域陆地边界处设立 1 个界标（如上图中 B1、B3 点）。</w:t>
      </w:r>
    </w:p>
    <w:p>
      <w:pPr>
        <w:spacing w:line="360" w:lineRule="auto"/>
        <w:ind w:firstLine="480" w:firstLineChars="200"/>
        <w:rPr>
          <w:rFonts w:cs="Times New Roman"/>
          <w:color w:val="FF0000"/>
        </w:rPr>
      </w:pPr>
      <w:r>
        <w:rPr>
          <w:rFonts w:cs="Times New Roman"/>
          <w:color w:val="FF0000"/>
        </w:rPr>
        <w:t>沿上游水域，以根据《饮用水水源保护区划分技术规范》（HJ/T338-2007）划定的水域宽度为宽度，若二级保护区上游边界与一级保护区上游边界的水平距离小于3000米，则在二级保护区上游边界与一级保护区上游边界的中间长度位置设置1个界标（如上图中C1点）；若上游水域陆地边界处与一级保护区上游边界的水平距离超过3000米，需不超过1500米长度的间隔等距设立界标。</w:t>
      </w:r>
    </w:p>
    <w:p>
      <w:pPr>
        <w:spacing w:line="360" w:lineRule="auto"/>
        <w:ind w:firstLine="480" w:firstLineChars="200"/>
        <w:rPr>
          <w:rFonts w:cs="Times New Roman"/>
        </w:rPr>
      </w:pPr>
      <w:r>
        <w:rPr>
          <w:rFonts w:cs="Times New Roman"/>
        </w:rPr>
        <w:t>二级保护区下游水域陆地边界处，以根据《饮用水水源保护区划分技术规范》（HJ/T338-2007）划定的二级保护区下游水域长度和水域宽度确定的下游水域陆地边界处设立1个界标（如上图中B2、B4点）。</w:t>
      </w:r>
    </w:p>
    <w:p>
      <w:pPr>
        <w:spacing w:line="360" w:lineRule="auto"/>
        <w:ind w:firstLine="480" w:firstLineChars="200"/>
        <w:rPr>
          <w:rFonts w:cs="Times New Roman"/>
        </w:rPr>
      </w:pPr>
      <w:r>
        <w:rPr>
          <w:rFonts w:cs="Times New Roman"/>
        </w:rPr>
        <w:t xml:space="preserve">②二级保护区陆域范围界标设立位置 </w:t>
      </w:r>
    </w:p>
    <w:p>
      <w:pPr>
        <w:spacing w:line="360" w:lineRule="auto"/>
        <w:ind w:firstLine="480" w:firstLineChars="200"/>
        <w:rPr>
          <w:rFonts w:cs="Times New Roman"/>
        </w:rPr>
      </w:pPr>
      <w:r>
        <w:rPr>
          <w:rFonts w:cs="Times New Roman"/>
        </w:rPr>
        <w:t>根据《饮用水水源保护区划分技术规范》（HJ/T338-2007）划定的二级保护区陆域沿岸纵深距离为宽度，参考水域长度的距离设立界标（如上图中B5、B6、B7、B8点）。</w:t>
      </w:r>
    </w:p>
    <w:p>
      <w:pPr>
        <w:spacing w:line="360" w:lineRule="auto"/>
        <w:ind w:firstLine="480" w:firstLineChars="200"/>
        <w:rPr>
          <w:rFonts w:cs="Times New Roman"/>
        </w:rPr>
      </w:pPr>
      <w:r>
        <w:rPr>
          <w:rFonts w:cs="Times New Roman"/>
        </w:rPr>
        <w:t>在划定的陆域范围内，应根据实际需要在人群易见、活动处（如交叉路口，绿地休闲区等）设立界标。</w:t>
      </w:r>
    </w:p>
    <w:p>
      <w:pPr>
        <w:spacing w:line="360" w:lineRule="auto"/>
        <w:ind w:firstLine="480" w:firstLineChars="200"/>
        <w:rPr>
          <w:rFonts w:cs="Times New Roman"/>
        </w:rPr>
      </w:pPr>
      <w:r>
        <w:rPr>
          <w:rFonts w:cs="Times New Roman"/>
        </w:rPr>
        <w:t>可依据自然地理、环境特征和环境管理需要设立界标。</w:t>
      </w:r>
    </w:p>
    <w:p>
      <w:pPr>
        <w:spacing w:line="360" w:lineRule="auto"/>
        <w:ind w:firstLine="480" w:firstLineChars="200"/>
        <w:rPr>
          <w:rFonts w:cs="Times New Roman"/>
        </w:rPr>
      </w:pPr>
      <w:r>
        <w:rPr>
          <w:rFonts w:cs="Times New Roman"/>
        </w:rPr>
        <w:t>3、准保护区</w:t>
      </w:r>
    </w:p>
    <w:p>
      <w:pPr>
        <w:spacing w:line="360" w:lineRule="auto"/>
        <w:ind w:firstLine="480" w:firstLineChars="200"/>
        <w:jc w:val="left"/>
        <w:rPr>
          <w:rFonts w:cs="Times New Roman"/>
        </w:rPr>
      </w:pPr>
      <w:r>
        <w:rPr>
          <w:rFonts w:cs="Times New Roman"/>
        </w:rPr>
        <w:t>准保护区参考二级保护区标志的设立位置进行设立。</w:t>
      </w:r>
    </w:p>
    <w:p>
      <w:pPr>
        <w:spacing w:line="360" w:lineRule="auto"/>
        <w:ind w:firstLine="480" w:firstLineChars="200"/>
        <w:rPr>
          <w:rFonts w:cs="Times New Roman"/>
        </w:rPr>
      </w:pPr>
      <w:r>
        <w:rPr>
          <w:rFonts w:cs="Times New Roman"/>
        </w:rPr>
        <w:t>综上，水源地保护区图形标志数量统计见下表。</w:t>
      </w:r>
    </w:p>
    <w:p>
      <w:pPr>
        <w:pStyle w:val="24"/>
        <w:jc w:val="center"/>
        <w:rPr>
          <w:rFonts w:ascii="Times New Roman" w:hAnsi="Times New Roman" w:cs="Times New Roman"/>
          <w:color w:val="auto"/>
        </w:rPr>
      </w:pPr>
      <w:r>
        <w:rPr>
          <w:rFonts w:ascii="Times New Roman" w:hAnsi="Times New Roman" w:cs="Times New Roman"/>
          <w:b/>
          <w:color w:val="auto"/>
          <w:sz w:val="21"/>
          <w:szCs w:val="21"/>
        </w:rPr>
        <w:t>表</w:t>
      </w:r>
      <w:r>
        <w:rPr>
          <w:rFonts w:hint="eastAsia" w:ascii="Times New Roman" w:hAnsi="Times New Roman" w:cs="Times New Roman"/>
          <w:b/>
          <w:bCs/>
          <w:color w:val="auto"/>
          <w:sz w:val="21"/>
          <w:szCs w:val="21"/>
        </w:rPr>
        <w:t>6-</w:t>
      </w:r>
      <w:r>
        <w:rPr>
          <w:rFonts w:ascii="Times New Roman" w:hAnsi="Times New Roman" w:cs="Times New Roman"/>
          <w:b/>
          <w:bCs/>
          <w:color w:val="auto"/>
          <w:sz w:val="21"/>
          <w:szCs w:val="21"/>
        </w:rPr>
        <w:t>1  水源地保护区图形标志数量统计表表</w:t>
      </w:r>
    </w:p>
    <w:tbl>
      <w:tblPr>
        <w:tblStyle w:val="21"/>
        <w:tblW w:w="84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005"/>
        <w:gridCol w:w="720"/>
        <w:gridCol w:w="1275"/>
        <w:gridCol w:w="1650"/>
        <w:gridCol w:w="3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399" w:type="dxa"/>
            <w:vAlign w:val="center"/>
          </w:tcPr>
          <w:p>
            <w:pPr>
              <w:jc w:val="center"/>
              <w:rPr>
                <w:rFonts w:cs="Times New Roman"/>
                <w:sz w:val="21"/>
                <w:szCs w:val="21"/>
              </w:rPr>
            </w:pPr>
            <w:r>
              <w:rPr>
                <w:rFonts w:cs="Times New Roman"/>
                <w:sz w:val="21"/>
                <w:szCs w:val="21"/>
              </w:rPr>
              <w:t>序号</w:t>
            </w:r>
          </w:p>
        </w:tc>
        <w:tc>
          <w:tcPr>
            <w:tcW w:w="1005" w:type="dxa"/>
            <w:vAlign w:val="center"/>
          </w:tcPr>
          <w:p>
            <w:pPr>
              <w:jc w:val="center"/>
              <w:rPr>
                <w:rFonts w:cs="Times New Roman"/>
                <w:sz w:val="21"/>
                <w:szCs w:val="21"/>
              </w:rPr>
            </w:pPr>
            <w:r>
              <w:rPr>
                <w:rFonts w:cs="Times New Roman"/>
                <w:sz w:val="21"/>
                <w:szCs w:val="21"/>
              </w:rPr>
              <w:t>水源地名称</w:t>
            </w:r>
          </w:p>
        </w:tc>
        <w:tc>
          <w:tcPr>
            <w:tcW w:w="720" w:type="dxa"/>
            <w:vAlign w:val="center"/>
          </w:tcPr>
          <w:p>
            <w:pPr>
              <w:jc w:val="center"/>
              <w:rPr>
                <w:rFonts w:cs="Times New Roman"/>
                <w:sz w:val="21"/>
                <w:szCs w:val="21"/>
              </w:rPr>
            </w:pPr>
            <w:r>
              <w:rPr>
                <w:rFonts w:cs="Times New Roman"/>
                <w:sz w:val="21"/>
                <w:szCs w:val="21"/>
              </w:rPr>
              <w:t>界标</w:t>
            </w:r>
          </w:p>
        </w:tc>
        <w:tc>
          <w:tcPr>
            <w:tcW w:w="1275" w:type="dxa"/>
            <w:vAlign w:val="center"/>
          </w:tcPr>
          <w:p>
            <w:pPr>
              <w:jc w:val="center"/>
              <w:rPr>
                <w:rFonts w:cs="Times New Roman"/>
                <w:sz w:val="21"/>
                <w:szCs w:val="21"/>
              </w:rPr>
            </w:pPr>
            <w:r>
              <w:rPr>
                <w:rFonts w:cs="Times New Roman"/>
                <w:sz w:val="21"/>
                <w:szCs w:val="21"/>
              </w:rPr>
              <w:t>交通警示牌</w:t>
            </w:r>
          </w:p>
        </w:tc>
        <w:tc>
          <w:tcPr>
            <w:tcW w:w="1650" w:type="dxa"/>
            <w:vAlign w:val="center"/>
          </w:tcPr>
          <w:p>
            <w:pPr>
              <w:jc w:val="center"/>
              <w:rPr>
                <w:rFonts w:cs="Times New Roman"/>
                <w:sz w:val="21"/>
                <w:szCs w:val="21"/>
              </w:rPr>
            </w:pPr>
            <w:r>
              <w:rPr>
                <w:rFonts w:cs="Times New Roman"/>
                <w:sz w:val="21"/>
                <w:szCs w:val="21"/>
              </w:rPr>
              <w:t>饮用水水源保护区宣传牌</w:t>
            </w:r>
          </w:p>
        </w:tc>
        <w:tc>
          <w:tcPr>
            <w:tcW w:w="3413" w:type="dxa"/>
            <w:vAlign w:val="center"/>
          </w:tcPr>
          <w:p>
            <w:pPr>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 w:type="dxa"/>
            <w:vAlign w:val="center"/>
          </w:tcPr>
          <w:p>
            <w:pPr>
              <w:jc w:val="center"/>
              <w:rPr>
                <w:rFonts w:cs="Times New Roman"/>
                <w:sz w:val="21"/>
                <w:szCs w:val="21"/>
              </w:rPr>
            </w:pPr>
            <w:r>
              <w:rPr>
                <w:rFonts w:cs="Times New Roman"/>
                <w:sz w:val="21"/>
                <w:szCs w:val="21"/>
              </w:rPr>
              <w:t>1</w:t>
            </w:r>
          </w:p>
        </w:tc>
        <w:tc>
          <w:tcPr>
            <w:tcW w:w="1005" w:type="dxa"/>
            <w:vAlign w:val="center"/>
          </w:tcPr>
          <w:p>
            <w:pPr>
              <w:ind w:left="-2" w:leftChars="-1"/>
              <w:jc w:val="center"/>
              <w:rPr>
                <w:rFonts w:cs="Times New Roman"/>
                <w:sz w:val="21"/>
                <w:szCs w:val="21"/>
              </w:rPr>
            </w:pPr>
            <w:r>
              <w:rPr>
                <w:rFonts w:cs="Times New Roman"/>
                <w:sz w:val="21"/>
                <w:szCs w:val="21"/>
              </w:rPr>
              <w:t>开江县</w:t>
            </w:r>
            <w:r>
              <w:rPr>
                <w:rFonts w:hint="eastAsia" w:cs="Times New Roman"/>
                <w:sz w:val="21"/>
                <w:szCs w:val="21"/>
              </w:rPr>
              <w:t>宝石桥水库</w:t>
            </w:r>
          </w:p>
        </w:tc>
        <w:tc>
          <w:tcPr>
            <w:tcW w:w="720" w:type="dxa"/>
            <w:vAlign w:val="center"/>
          </w:tcPr>
          <w:p>
            <w:pPr>
              <w:jc w:val="center"/>
              <w:rPr>
                <w:rFonts w:cs="Times New Roman"/>
                <w:sz w:val="21"/>
                <w:szCs w:val="21"/>
              </w:rPr>
            </w:pPr>
            <w:r>
              <w:rPr>
                <w:rFonts w:cs="Times New Roman"/>
                <w:sz w:val="21"/>
                <w:szCs w:val="21"/>
              </w:rPr>
              <w:t>51</w:t>
            </w:r>
          </w:p>
        </w:tc>
        <w:tc>
          <w:tcPr>
            <w:tcW w:w="1275" w:type="dxa"/>
            <w:vAlign w:val="center"/>
          </w:tcPr>
          <w:p>
            <w:pPr>
              <w:jc w:val="center"/>
              <w:rPr>
                <w:rFonts w:cs="Times New Roman"/>
                <w:sz w:val="21"/>
                <w:szCs w:val="21"/>
              </w:rPr>
            </w:pPr>
            <w:r>
              <w:rPr>
                <w:rFonts w:cs="Times New Roman"/>
                <w:sz w:val="21"/>
                <w:szCs w:val="21"/>
              </w:rPr>
              <w:t>1</w:t>
            </w:r>
          </w:p>
        </w:tc>
        <w:tc>
          <w:tcPr>
            <w:tcW w:w="1650" w:type="dxa"/>
            <w:vAlign w:val="center"/>
          </w:tcPr>
          <w:p>
            <w:pPr>
              <w:jc w:val="center"/>
              <w:rPr>
                <w:rFonts w:cs="Times New Roman"/>
                <w:sz w:val="21"/>
                <w:szCs w:val="21"/>
              </w:rPr>
            </w:pPr>
            <w:r>
              <w:rPr>
                <w:rFonts w:cs="Times New Roman"/>
                <w:sz w:val="21"/>
                <w:szCs w:val="21"/>
              </w:rPr>
              <w:t>1</w:t>
            </w:r>
          </w:p>
        </w:tc>
        <w:tc>
          <w:tcPr>
            <w:tcW w:w="3413" w:type="dxa"/>
            <w:vAlign w:val="center"/>
          </w:tcPr>
          <w:p>
            <w:pPr>
              <w:jc w:val="center"/>
              <w:rPr>
                <w:rFonts w:cs="Times New Roman"/>
                <w:sz w:val="21"/>
                <w:szCs w:val="21"/>
              </w:rPr>
            </w:pPr>
            <w:r>
              <w:rPr>
                <w:rFonts w:cs="Times New Roman"/>
                <w:sz w:val="21"/>
                <w:szCs w:val="21"/>
              </w:rPr>
              <w:t>1级保护区取水口附近有居民，在居民附近河道旁设置1个警示牌</w:t>
            </w:r>
          </w:p>
        </w:tc>
      </w:tr>
    </w:tbl>
    <w:p>
      <w:pPr>
        <w:pStyle w:val="4"/>
        <w:spacing w:beforeAutospacing="0" w:afterAutospacing="0" w:line="360" w:lineRule="auto"/>
        <w:rPr>
          <w:rFonts w:ascii="Times New Roman" w:hAnsi="Times New Roman" w:cs="Times New Roman"/>
        </w:rPr>
      </w:pPr>
      <w:bookmarkStart w:id="294" w:name="_Toc11519"/>
      <w:bookmarkStart w:id="295" w:name="_Toc3333"/>
      <w:bookmarkStart w:id="296" w:name="_Toc16727"/>
      <w:bookmarkStart w:id="297" w:name="_Toc21721"/>
      <w:r>
        <w:rPr>
          <w:rFonts w:hint="eastAsia" w:ascii="Times New Roman" w:hAnsi="Times New Roman" w:cs="Times New Roman"/>
        </w:rPr>
        <w:t>6.</w:t>
      </w:r>
      <w:r>
        <w:rPr>
          <w:rFonts w:ascii="Times New Roman" w:hAnsi="Times New Roman" w:cs="Times New Roman"/>
        </w:rPr>
        <w:t>1.6饮用水水源保护区标志的管理与维护</w:t>
      </w:r>
      <w:bookmarkEnd w:id="294"/>
      <w:bookmarkEnd w:id="295"/>
      <w:bookmarkEnd w:id="296"/>
      <w:bookmarkEnd w:id="297"/>
    </w:p>
    <w:p>
      <w:pPr>
        <w:spacing w:line="360" w:lineRule="auto"/>
        <w:ind w:firstLine="480" w:firstLineChars="200"/>
        <w:rPr>
          <w:rFonts w:cs="Times New Roman"/>
        </w:rPr>
      </w:pPr>
      <w:r>
        <w:rPr>
          <w:rFonts w:cs="Times New Roman"/>
        </w:rPr>
        <w:t>饮用水水源保护区标志由各级地方政府或其环境保护行政主管部门负责管理和维护。</w:t>
      </w:r>
    </w:p>
    <w:p>
      <w:pPr>
        <w:pStyle w:val="3"/>
        <w:spacing w:before="0" w:after="0" w:line="360" w:lineRule="auto"/>
        <w:rPr>
          <w:rFonts w:ascii="Times New Roman" w:hAnsi="Times New Roman" w:cs="Times New Roman"/>
        </w:rPr>
      </w:pPr>
      <w:bookmarkStart w:id="298" w:name="_Toc25954"/>
      <w:bookmarkStart w:id="299" w:name="_Toc14405"/>
      <w:bookmarkStart w:id="300" w:name="_Toc30719"/>
      <w:r>
        <w:rPr>
          <w:rFonts w:hint="eastAsia" w:ascii="Times New Roman" w:hAnsi="Times New Roman" w:cs="Times New Roman"/>
        </w:rPr>
        <w:t>6.</w:t>
      </w:r>
      <w:r>
        <w:rPr>
          <w:rFonts w:ascii="Times New Roman" w:hAnsi="Times New Roman" w:cs="Times New Roman"/>
        </w:rPr>
        <w:t>2饮用水水源保护区防护隔离工程</w:t>
      </w:r>
      <w:bookmarkEnd w:id="298"/>
      <w:bookmarkEnd w:id="299"/>
      <w:bookmarkEnd w:id="300"/>
    </w:p>
    <w:p>
      <w:pPr>
        <w:spacing w:line="360" w:lineRule="auto"/>
        <w:ind w:firstLine="480" w:firstLineChars="200"/>
        <w:rPr>
          <w:rFonts w:cs="Times New Roman"/>
        </w:rPr>
      </w:pPr>
      <w:r>
        <w:rPr>
          <w:rFonts w:cs="Times New Roman"/>
        </w:rPr>
        <w:t xml:space="preserve">为分隔人类活动和牛羊群对水源的干扰，减少污染物排放，增加保护区的生物多样性，需对水源地一级保护区进行隔离防护。《四川省饮用水水源保护管理条例》规定：饮用水水源一级保护区应当设置 隔离设施，实行封闭式管理。 </w:t>
      </w:r>
    </w:p>
    <w:p>
      <w:pPr>
        <w:spacing w:line="360" w:lineRule="auto"/>
        <w:ind w:firstLine="480" w:firstLineChars="200"/>
        <w:rPr>
          <w:rFonts w:cs="Times New Roman"/>
        </w:rPr>
      </w:pPr>
      <w:r>
        <w:rPr>
          <w:rFonts w:cs="Times New Roman"/>
        </w:rPr>
        <w:t xml:space="preserve">在水源地一级保护区陆域周围建设隔离防护设施。结合具体情况，可采用在水源保护区的边界建护栏、围网等物理隔离设施。 </w:t>
      </w:r>
    </w:p>
    <w:p>
      <w:pPr>
        <w:rPr>
          <w:rFonts w:cs="Times New Roman"/>
        </w:rPr>
      </w:pPr>
      <w:r>
        <w:rPr>
          <w:rFonts w:cs="Times New Roman"/>
        </w:rPr>
        <w:t xml:space="preserve">1、隔离设施建设范围 </w:t>
      </w:r>
    </w:p>
    <w:p>
      <w:pPr>
        <w:spacing w:line="360" w:lineRule="auto"/>
        <w:ind w:firstLine="480" w:firstLineChars="200"/>
        <w:rPr>
          <w:rFonts w:cs="Times New Roman"/>
        </w:rPr>
      </w:pPr>
      <w:r>
        <w:rPr>
          <w:rFonts w:cs="Times New Roman"/>
        </w:rPr>
        <w:t xml:space="preserve">为了有效保护饮用水水源保护区不受外界干扰，特别是牛羊群的进入，在一级保护区内设置隔离围栏（围网）。 </w:t>
      </w:r>
    </w:p>
    <w:p>
      <w:pPr>
        <w:rPr>
          <w:rFonts w:cs="Times New Roman"/>
        </w:rPr>
      </w:pPr>
      <w:r>
        <w:rPr>
          <w:rFonts w:cs="Times New Roman"/>
        </w:rPr>
        <w:t xml:space="preserve">2、围栏规格、标准 </w:t>
      </w:r>
    </w:p>
    <w:p>
      <w:pPr>
        <w:spacing w:line="360" w:lineRule="auto"/>
        <w:ind w:firstLine="480" w:firstLineChars="200"/>
        <w:rPr>
          <w:rFonts w:cs="Times New Roman"/>
        </w:rPr>
      </w:pPr>
      <w:r>
        <w:rPr>
          <w:rFonts w:cs="Times New Roman"/>
        </w:rPr>
        <w:t xml:space="preserve">采用高150cm的铁丝网围栏，用3-5mm粗低碳钢丝焊接而成，其 具有很好的抗老化、抗晒、耐腐蚀等特点，网孔5cm×15cm，网片做折弯处理，既达到美观、又能增强抗冲击力。支柱采用上边5cm、下边8cm的梯形立柱，顶部做135度的弯头处理，底部加20cm×20cm法兰盘焊接而成。 </w:t>
      </w:r>
    </w:p>
    <w:p>
      <w:pPr>
        <w:rPr>
          <w:rFonts w:cs="Times New Roman"/>
        </w:rPr>
      </w:pPr>
      <w:r>
        <w:rPr>
          <w:rFonts w:cs="Times New Roman"/>
        </w:rPr>
        <w:t xml:space="preserve">3、网围栏建设技术要求 </w:t>
      </w:r>
    </w:p>
    <w:p>
      <w:pPr>
        <w:spacing w:line="360" w:lineRule="auto"/>
        <w:ind w:firstLine="480" w:firstLineChars="200"/>
        <w:rPr>
          <w:rFonts w:cs="Times New Roman"/>
        </w:rPr>
      </w:pPr>
      <w:r>
        <w:rPr>
          <w:rFonts w:cs="Times New Roman"/>
        </w:rPr>
        <w:t xml:space="preserve">①立柱每2m栽一根，地下埋深为50cm，应压紧、夯实、垂直。 </w:t>
      </w:r>
    </w:p>
    <w:p>
      <w:pPr>
        <w:spacing w:line="360" w:lineRule="auto"/>
        <w:ind w:firstLine="480" w:firstLineChars="200"/>
        <w:rPr>
          <w:rFonts w:cs="Times New Roman"/>
        </w:rPr>
      </w:pPr>
      <w:r>
        <w:rPr>
          <w:rFonts w:cs="Times New Roman"/>
        </w:rPr>
        <w:t xml:space="preserve">②围栏必须绷紧拉直，固定牢固。 </w:t>
      </w:r>
    </w:p>
    <w:p>
      <w:pPr>
        <w:spacing w:line="360" w:lineRule="auto"/>
        <w:ind w:firstLine="480" w:firstLineChars="200"/>
        <w:rPr>
          <w:rFonts w:cs="Times New Roman"/>
        </w:rPr>
      </w:pPr>
      <w:r>
        <w:rPr>
          <w:rFonts w:cs="Times New Roman"/>
        </w:rPr>
        <w:t xml:space="preserve">4、围栏投资 </w:t>
      </w:r>
    </w:p>
    <w:p>
      <w:pPr>
        <w:spacing w:line="360" w:lineRule="auto"/>
        <w:ind w:firstLine="480" w:firstLineChars="200"/>
        <w:rPr>
          <w:rFonts w:cs="Times New Roman"/>
        </w:rPr>
      </w:pPr>
      <w:r>
        <w:rPr>
          <w:rFonts w:cs="Times New Roman"/>
        </w:rPr>
        <w:t xml:space="preserve">铁丝网围栏每米按200元计算。 </w:t>
      </w:r>
    </w:p>
    <w:p>
      <w:pPr>
        <w:spacing w:line="360" w:lineRule="auto"/>
        <w:rPr>
          <w:rFonts w:cs="Times New Roman"/>
        </w:rPr>
      </w:pPr>
      <w:r>
        <w:rPr>
          <w:rFonts w:cs="Times New Roman"/>
        </w:rPr>
        <w:drawing>
          <wp:inline distT="0" distB="0" distL="114300" distR="114300">
            <wp:extent cx="4943475" cy="22002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a:stretch>
                      <a:fillRect/>
                    </a:stretch>
                  </pic:blipFill>
                  <pic:spPr>
                    <a:xfrm>
                      <a:off x="0" y="0"/>
                      <a:ext cx="4943475" cy="2200275"/>
                    </a:xfrm>
                    <a:prstGeom prst="rect">
                      <a:avLst/>
                    </a:prstGeom>
                    <a:noFill/>
                    <a:ln w="9525">
                      <a:noFill/>
                    </a:ln>
                  </pic:spPr>
                </pic:pic>
              </a:graphicData>
            </a:graphic>
          </wp:inline>
        </w:drawing>
      </w:r>
    </w:p>
    <w:p>
      <w:pPr>
        <w:spacing w:line="360" w:lineRule="auto"/>
        <w:jc w:val="center"/>
        <w:rPr>
          <w:rFonts w:cs="Times New Roman"/>
          <w:b/>
          <w:bCs/>
          <w:kern w:val="0"/>
          <w:sz w:val="23"/>
          <w:szCs w:val="23"/>
        </w:rPr>
      </w:pPr>
      <w:r>
        <w:rPr>
          <w:rFonts w:cs="Times New Roman"/>
          <w:b/>
          <w:kern w:val="0"/>
          <w:sz w:val="23"/>
          <w:szCs w:val="23"/>
        </w:rPr>
        <w:t>图</w:t>
      </w:r>
      <w:r>
        <w:rPr>
          <w:rFonts w:hint="eastAsia" w:cs="Times New Roman"/>
          <w:b/>
          <w:bCs/>
          <w:kern w:val="0"/>
          <w:sz w:val="23"/>
          <w:szCs w:val="23"/>
        </w:rPr>
        <w:t>6-</w:t>
      </w:r>
      <w:r>
        <w:rPr>
          <w:rFonts w:cs="Times New Roman"/>
          <w:b/>
          <w:bCs/>
          <w:kern w:val="0"/>
          <w:sz w:val="23"/>
          <w:szCs w:val="23"/>
        </w:rPr>
        <w:t>9 铁丝网围栏示意图</w:t>
      </w:r>
    </w:p>
    <w:p>
      <w:pPr>
        <w:pStyle w:val="24"/>
        <w:rPr>
          <w:rFonts w:ascii="Times New Roman" w:hAnsi="Times New Roman" w:cs="Times New Roman"/>
          <w:color w:val="auto"/>
        </w:rPr>
      </w:pPr>
      <w:r>
        <w:rPr>
          <w:rFonts w:ascii="Times New Roman" w:hAnsi="Times New Roman" w:cs="Times New Roman"/>
          <w:color w:val="auto"/>
        </w:rPr>
        <w:t>围栏数量统计见下表：</w:t>
      </w:r>
    </w:p>
    <w:p>
      <w:pPr>
        <w:ind w:firstLine="422" w:firstLineChars="200"/>
        <w:jc w:val="center"/>
        <w:rPr>
          <w:rFonts w:cs="Times New Roman"/>
          <w:b/>
          <w:bCs/>
          <w:sz w:val="21"/>
          <w:szCs w:val="21"/>
        </w:rPr>
      </w:pPr>
      <w:r>
        <w:rPr>
          <w:rFonts w:cs="Times New Roman"/>
          <w:b/>
          <w:sz w:val="21"/>
          <w:szCs w:val="21"/>
        </w:rPr>
        <w:t>表</w:t>
      </w:r>
      <w:r>
        <w:rPr>
          <w:rFonts w:hint="eastAsia" w:cs="Times New Roman"/>
          <w:b/>
          <w:bCs/>
          <w:sz w:val="21"/>
          <w:szCs w:val="21"/>
        </w:rPr>
        <w:t>6-</w:t>
      </w:r>
      <w:r>
        <w:rPr>
          <w:rFonts w:cs="Times New Roman"/>
          <w:b/>
          <w:bCs/>
          <w:sz w:val="21"/>
          <w:szCs w:val="21"/>
        </w:rPr>
        <w:t>2  水源地护区围栏数量统计表</w:t>
      </w:r>
    </w:p>
    <w:tbl>
      <w:tblPr>
        <w:tblStyle w:val="21"/>
        <w:tblW w:w="8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350"/>
        <w:gridCol w:w="1680"/>
        <w:gridCol w:w="4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636" w:type="dxa"/>
            <w:vAlign w:val="center"/>
          </w:tcPr>
          <w:p>
            <w:pPr>
              <w:jc w:val="center"/>
              <w:rPr>
                <w:rFonts w:cs="Times New Roman"/>
                <w:sz w:val="21"/>
                <w:szCs w:val="21"/>
              </w:rPr>
            </w:pPr>
            <w:r>
              <w:rPr>
                <w:rFonts w:cs="Times New Roman"/>
                <w:sz w:val="21"/>
                <w:szCs w:val="21"/>
              </w:rPr>
              <w:t>序号</w:t>
            </w:r>
          </w:p>
        </w:tc>
        <w:tc>
          <w:tcPr>
            <w:tcW w:w="1350" w:type="dxa"/>
            <w:vAlign w:val="center"/>
          </w:tcPr>
          <w:p>
            <w:pPr>
              <w:jc w:val="center"/>
              <w:rPr>
                <w:rFonts w:cs="Times New Roman"/>
                <w:sz w:val="21"/>
                <w:szCs w:val="21"/>
              </w:rPr>
            </w:pPr>
            <w:r>
              <w:rPr>
                <w:rFonts w:cs="Times New Roman"/>
                <w:sz w:val="21"/>
                <w:szCs w:val="21"/>
              </w:rPr>
              <w:t>水源地名称</w:t>
            </w:r>
          </w:p>
        </w:tc>
        <w:tc>
          <w:tcPr>
            <w:tcW w:w="1680" w:type="dxa"/>
            <w:vAlign w:val="center"/>
          </w:tcPr>
          <w:p>
            <w:pPr>
              <w:jc w:val="center"/>
              <w:rPr>
                <w:rFonts w:cs="Times New Roman"/>
                <w:sz w:val="21"/>
                <w:szCs w:val="21"/>
              </w:rPr>
            </w:pPr>
            <w:r>
              <w:rPr>
                <w:rFonts w:cs="Times New Roman"/>
                <w:sz w:val="21"/>
                <w:szCs w:val="21"/>
              </w:rPr>
              <w:t>围栏长度约（m）</w:t>
            </w:r>
          </w:p>
        </w:tc>
        <w:tc>
          <w:tcPr>
            <w:tcW w:w="4850" w:type="dxa"/>
            <w:vAlign w:val="center"/>
          </w:tcPr>
          <w:p>
            <w:pPr>
              <w:jc w:val="center"/>
              <w:rPr>
                <w:rFonts w:cs="Times New Roman"/>
                <w:sz w:val="21"/>
                <w:szCs w:val="21"/>
              </w:rPr>
            </w:pPr>
            <w:r>
              <w:rPr>
                <w:rFonts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jc w:val="center"/>
              <w:rPr>
                <w:rFonts w:cs="Times New Roman"/>
                <w:sz w:val="21"/>
                <w:szCs w:val="21"/>
              </w:rPr>
            </w:pPr>
            <w:r>
              <w:rPr>
                <w:rFonts w:cs="Times New Roman"/>
                <w:sz w:val="21"/>
                <w:szCs w:val="21"/>
              </w:rPr>
              <w:t>1</w:t>
            </w:r>
          </w:p>
        </w:tc>
        <w:tc>
          <w:tcPr>
            <w:tcW w:w="1350" w:type="dxa"/>
            <w:vAlign w:val="center"/>
          </w:tcPr>
          <w:p>
            <w:pPr>
              <w:jc w:val="center"/>
              <w:rPr>
                <w:rFonts w:cs="Times New Roman"/>
                <w:sz w:val="21"/>
                <w:szCs w:val="21"/>
              </w:rPr>
            </w:pPr>
            <w:r>
              <w:rPr>
                <w:rFonts w:cs="Times New Roman"/>
                <w:sz w:val="21"/>
                <w:szCs w:val="21"/>
              </w:rPr>
              <w:t>开江县</w:t>
            </w:r>
            <w:r>
              <w:rPr>
                <w:rFonts w:hint="eastAsia" w:cs="Times New Roman"/>
                <w:sz w:val="21"/>
                <w:szCs w:val="21"/>
              </w:rPr>
              <w:t>宝石桥水库</w:t>
            </w:r>
          </w:p>
        </w:tc>
        <w:tc>
          <w:tcPr>
            <w:tcW w:w="1680" w:type="dxa"/>
            <w:vAlign w:val="center"/>
          </w:tcPr>
          <w:p>
            <w:pPr>
              <w:jc w:val="center"/>
              <w:rPr>
                <w:rFonts w:eastAsia="宋体" w:cs="Times New Roman"/>
                <w:sz w:val="21"/>
                <w:szCs w:val="21"/>
              </w:rPr>
            </w:pPr>
            <w:r>
              <w:rPr>
                <w:rFonts w:hint="eastAsia" w:cs="Times New Roman"/>
                <w:sz w:val="21"/>
                <w:szCs w:val="21"/>
              </w:rPr>
              <w:t>1500</w:t>
            </w:r>
          </w:p>
        </w:tc>
        <w:tc>
          <w:tcPr>
            <w:tcW w:w="4850" w:type="dxa"/>
            <w:vAlign w:val="center"/>
          </w:tcPr>
          <w:p>
            <w:pPr>
              <w:jc w:val="center"/>
              <w:rPr>
                <w:rFonts w:cs="Times New Roman"/>
                <w:sz w:val="21"/>
                <w:szCs w:val="21"/>
              </w:rPr>
            </w:pPr>
            <w:r>
              <w:rPr>
                <w:rFonts w:cs="Times New Roman"/>
                <w:sz w:val="21"/>
                <w:szCs w:val="21"/>
              </w:rPr>
              <w:t>当地环境很好，植被覆盖良好，山体陡峭，就是天然的屏障，不需要人工修建围栏，反而破坏了植被。在一级保护区上下游横向用栅栏封堵即可。</w:t>
            </w:r>
          </w:p>
        </w:tc>
      </w:tr>
    </w:tbl>
    <w:p>
      <w:pPr>
        <w:pStyle w:val="3"/>
        <w:spacing w:before="0" w:after="0" w:line="360" w:lineRule="auto"/>
        <w:rPr>
          <w:rFonts w:ascii="Times New Roman" w:hAnsi="Times New Roman" w:cs="Times New Roman"/>
        </w:rPr>
      </w:pPr>
      <w:bookmarkStart w:id="301" w:name="_Toc26462"/>
      <w:bookmarkStart w:id="302" w:name="_Toc19188"/>
      <w:bookmarkStart w:id="303" w:name="_Toc16540"/>
      <w:r>
        <w:rPr>
          <w:rFonts w:hint="eastAsia" w:ascii="Times New Roman" w:hAnsi="Times New Roman" w:cs="Times New Roman"/>
        </w:rPr>
        <w:t>6.</w:t>
      </w:r>
      <w:r>
        <w:rPr>
          <w:rFonts w:ascii="Times New Roman" w:hAnsi="Times New Roman" w:cs="Times New Roman"/>
        </w:rPr>
        <w:t>3饮用水水源保护区污染源治理工程</w:t>
      </w:r>
      <w:bookmarkEnd w:id="301"/>
      <w:bookmarkEnd w:id="302"/>
      <w:bookmarkEnd w:id="303"/>
    </w:p>
    <w:p>
      <w:pPr>
        <w:pStyle w:val="4"/>
        <w:spacing w:beforeAutospacing="0" w:afterAutospacing="0" w:line="360" w:lineRule="auto"/>
        <w:rPr>
          <w:rFonts w:ascii="Times New Roman" w:hAnsi="Times New Roman" w:cs="Times New Roman"/>
          <w:sz w:val="21"/>
        </w:rPr>
      </w:pPr>
      <w:bookmarkStart w:id="304" w:name="_Toc8576"/>
      <w:bookmarkStart w:id="305" w:name="_Toc6488"/>
      <w:r>
        <w:rPr>
          <w:rFonts w:hint="eastAsia" w:ascii="Times New Roman" w:hAnsi="Times New Roman" w:cs="Times New Roman"/>
          <w:sz w:val="21"/>
        </w:rPr>
        <w:t>6.3.1坚决取缔违法建设项目</w:t>
      </w:r>
      <w:bookmarkEnd w:id="304"/>
    </w:p>
    <w:p>
      <w:pPr>
        <w:spacing w:line="360" w:lineRule="auto"/>
        <w:ind w:firstLine="480" w:firstLineChars="200"/>
        <w:rPr>
          <w:rFonts w:cs="Times New Roman"/>
        </w:rPr>
      </w:pPr>
      <w:r>
        <w:rPr>
          <w:rFonts w:hint="eastAsia" w:cs="Times New Roman"/>
        </w:rPr>
        <w:t>对一级保护区内的几户居民进行搬迁。</w:t>
      </w:r>
    </w:p>
    <w:p>
      <w:pPr>
        <w:pStyle w:val="4"/>
        <w:spacing w:beforeAutospacing="0" w:afterAutospacing="0" w:line="360" w:lineRule="auto"/>
        <w:rPr>
          <w:rFonts w:ascii="Times New Roman" w:hAnsi="Times New Roman" w:cs="Times New Roman"/>
          <w:sz w:val="21"/>
        </w:rPr>
      </w:pPr>
      <w:bookmarkStart w:id="306" w:name="_Toc25026"/>
      <w:r>
        <w:rPr>
          <w:rFonts w:hint="eastAsia" w:ascii="Times New Roman" w:hAnsi="Times New Roman" w:cs="Times New Roman"/>
          <w:sz w:val="21"/>
        </w:rPr>
        <w:t>6.3.2推进保护区工业点源综合整治</w:t>
      </w:r>
      <w:bookmarkEnd w:id="306"/>
    </w:p>
    <w:p>
      <w:pPr>
        <w:tabs>
          <w:tab w:val="center" w:pos="4870"/>
        </w:tabs>
        <w:adjustRightInd w:val="0"/>
        <w:snapToGrid w:val="0"/>
        <w:ind w:firstLine="480" w:firstLineChars="200"/>
      </w:pPr>
      <w:r>
        <w:t>对规划区内的6家酒厂，当地政府应采取措施予以搬迁。</w:t>
      </w:r>
    </w:p>
    <w:p>
      <w:pPr>
        <w:pStyle w:val="4"/>
        <w:spacing w:beforeAutospacing="0" w:afterAutospacing="0" w:line="360" w:lineRule="auto"/>
      </w:pPr>
      <w:bookmarkStart w:id="307" w:name="_Toc17974"/>
      <w:r>
        <w:rPr>
          <w:rFonts w:hint="eastAsia" w:ascii="Times New Roman" w:hAnsi="Times New Roman" w:cs="Times New Roman"/>
          <w:sz w:val="21"/>
        </w:rPr>
        <w:t>6.3.3推进农村生活源整治</w:t>
      </w:r>
      <w:bookmarkEnd w:id="307"/>
    </w:p>
    <w:p>
      <w:pPr>
        <w:spacing w:line="360" w:lineRule="auto"/>
        <w:ind w:firstLine="480" w:firstLineChars="200"/>
        <w:rPr>
          <w:rFonts w:cs="Times New Roman"/>
        </w:rPr>
      </w:pPr>
      <w:r>
        <w:rPr>
          <w:rFonts w:hint="eastAsia" w:cs="Times New Roman"/>
        </w:rPr>
        <w:t>（1）</w:t>
      </w:r>
      <w:r>
        <w:rPr>
          <w:rFonts w:cs="Times New Roman"/>
        </w:rPr>
        <w:t>当地政府应将</w:t>
      </w:r>
      <w:r>
        <w:rPr>
          <w:rFonts w:hint="eastAsia" w:cs="Times New Roman"/>
        </w:rPr>
        <w:t>水源生态控制区（梅家镇区、沙坝镇区除外）、水源生态保育区（程家沟村除外），以及水源生态涵养区内坡度大于25°的区域，全部进行退耕还林和退村还林，对于</w:t>
      </w:r>
      <w:r>
        <w:rPr>
          <w:rFonts w:cs="Times New Roman"/>
        </w:rPr>
        <w:t>坡度</w:t>
      </w:r>
      <w:r>
        <w:rPr>
          <w:rFonts w:hint="eastAsia" w:cs="Times New Roman"/>
        </w:rPr>
        <w:t>小</w:t>
      </w:r>
      <w:r>
        <w:rPr>
          <w:rFonts w:cs="Times New Roman"/>
        </w:rPr>
        <w:t>于</w:t>
      </w:r>
      <w:r>
        <w:rPr>
          <w:rFonts w:hint="eastAsia" w:cs="Times New Roman"/>
        </w:rPr>
        <w:t>25°的区域采取人工造林方式（对于有坡度易于水土流失的地区，可采用取坡改梯等工程）减小污染，该区域内的居民搬迁至规划区南部的移民新镇集中安置；</w:t>
      </w:r>
    </w:p>
    <w:p>
      <w:pPr>
        <w:spacing w:line="360" w:lineRule="auto"/>
        <w:ind w:firstLine="480" w:firstLineChars="200"/>
        <w:rPr>
          <w:rFonts w:cs="Times New Roman"/>
        </w:rPr>
      </w:pPr>
      <w:r>
        <w:rPr>
          <w:rFonts w:hint="eastAsia" w:cs="Times New Roman"/>
        </w:rPr>
        <w:t>（2）</w:t>
      </w:r>
      <w:r>
        <w:rPr>
          <w:rFonts w:cs="Times New Roman"/>
        </w:rPr>
        <w:t>在梅家乡、沙坝场乡、新镇、程家沟村建设雨污分流管网系统；</w:t>
      </w:r>
    </w:p>
    <w:p>
      <w:pPr>
        <w:spacing w:line="360" w:lineRule="auto"/>
        <w:ind w:firstLine="480" w:firstLineChars="200"/>
        <w:rPr>
          <w:rFonts w:cs="Times New Roman"/>
        </w:rPr>
      </w:pPr>
      <w:r>
        <w:rPr>
          <w:rFonts w:hint="eastAsia" w:cs="Times New Roman"/>
        </w:rPr>
        <w:t>（3）</w:t>
      </w:r>
      <w:r>
        <w:rPr>
          <w:rFonts w:cs="Times New Roman"/>
        </w:rPr>
        <w:t>在程家沟村建设污水导流管道，通过管网将生活污水导入</w:t>
      </w:r>
      <w:r>
        <w:rPr>
          <w:rFonts w:hint="eastAsia" w:cs="Times New Roman"/>
        </w:rPr>
        <w:t>移民新镇的</w:t>
      </w:r>
      <w:r>
        <w:rPr>
          <w:rFonts w:cs="Times New Roman"/>
        </w:rPr>
        <w:t>污水处理</w:t>
      </w:r>
      <w:r>
        <w:rPr>
          <w:rFonts w:hint="eastAsia" w:cs="Times New Roman"/>
        </w:rPr>
        <w:t>厂</w:t>
      </w:r>
      <w:r>
        <w:rPr>
          <w:rFonts w:cs="Times New Roman"/>
        </w:rPr>
        <w:t>处理，做到达标排放；</w:t>
      </w:r>
    </w:p>
    <w:p>
      <w:pPr>
        <w:spacing w:line="360" w:lineRule="auto"/>
        <w:ind w:firstLine="480" w:firstLineChars="200"/>
        <w:rPr>
          <w:rFonts w:cs="Times New Roman"/>
        </w:rPr>
      </w:pPr>
      <w:r>
        <w:rPr>
          <w:rFonts w:hint="eastAsia" w:cs="Times New Roman"/>
        </w:rPr>
        <w:t>（4）</w:t>
      </w:r>
      <w:r>
        <w:rPr>
          <w:rFonts w:cs="Times New Roman"/>
        </w:rPr>
        <w:t>在沙坝场乡梅子桥建设污水导流管道和人工湿地，污水经管道导入污水处理厂处理后排入人工湿地进行生物净化，净化后排入新宁河；</w:t>
      </w:r>
    </w:p>
    <w:p>
      <w:pPr>
        <w:spacing w:line="360" w:lineRule="auto"/>
        <w:ind w:firstLine="480" w:firstLineChars="200"/>
        <w:rPr>
          <w:rFonts w:cs="Times New Roman"/>
        </w:rPr>
      </w:pPr>
      <w:r>
        <w:rPr>
          <w:rFonts w:hint="eastAsia" w:cs="Times New Roman"/>
        </w:rPr>
        <w:t>（5）</w:t>
      </w:r>
      <w:r>
        <w:rPr>
          <w:rFonts w:cs="Times New Roman"/>
        </w:rPr>
        <w:t>在梅家乡、沙坝乡</w:t>
      </w:r>
      <w:r>
        <w:rPr>
          <w:rFonts w:hint="eastAsia" w:cs="Times New Roman"/>
        </w:rPr>
        <w:t>、程家沟村和</w:t>
      </w:r>
      <w:r>
        <w:rPr>
          <w:rFonts w:cs="Times New Roman"/>
        </w:rPr>
        <w:t>新镇，</w:t>
      </w:r>
      <w:r>
        <w:rPr>
          <w:rFonts w:hint="eastAsia" w:cs="Times New Roman"/>
        </w:rPr>
        <w:t>分别</w:t>
      </w:r>
      <w:r>
        <w:rPr>
          <w:rFonts w:cs="Times New Roman"/>
        </w:rPr>
        <w:t>建设处理能力</w:t>
      </w:r>
      <w:r>
        <w:rPr>
          <w:rFonts w:hint="eastAsia" w:cs="Times New Roman"/>
        </w:rPr>
        <w:t>为</w:t>
      </w:r>
      <w:r>
        <w:rPr>
          <w:rFonts w:cs="Times New Roman"/>
        </w:rPr>
        <w:t>300t/d、300t/d</w:t>
      </w:r>
      <w:r>
        <w:rPr>
          <w:rFonts w:hint="eastAsia" w:cs="Times New Roman"/>
        </w:rPr>
        <w:t>、150</w:t>
      </w:r>
      <w:r>
        <w:rPr>
          <w:rFonts w:cs="Times New Roman"/>
        </w:rPr>
        <w:t xml:space="preserve"> t/d</w:t>
      </w:r>
      <w:r>
        <w:rPr>
          <w:rFonts w:hint="eastAsia" w:cs="Times New Roman"/>
        </w:rPr>
        <w:t>和</w:t>
      </w:r>
      <w:r>
        <w:rPr>
          <w:rFonts w:cs="Times New Roman"/>
        </w:rPr>
        <w:t>4000 t/d的污水处理厂，污水处理厂必须配备专业人员管理，同时给予一定的资金，保证污水处理厂正常运行；</w:t>
      </w:r>
    </w:p>
    <w:p>
      <w:pPr>
        <w:spacing w:line="360" w:lineRule="auto"/>
        <w:ind w:firstLine="480" w:firstLineChars="200"/>
        <w:rPr>
          <w:rFonts w:cs="Times New Roman"/>
        </w:rPr>
      </w:pPr>
      <w:r>
        <w:rPr>
          <w:rFonts w:hint="eastAsia" w:cs="Times New Roman"/>
        </w:rPr>
        <w:t>（6）</w:t>
      </w:r>
      <w:r>
        <w:rPr>
          <w:rFonts w:cs="Times New Roman"/>
        </w:rPr>
        <w:t>农村居民点修建旱厕，生活污水和粪便通过旱厕处理后，用于附近农田施肥；</w:t>
      </w:r>
    </w:p>
    <w:p>
      <w:pPr>
        <w:spacing w:line="360" w:lineRule="auto"/>
        <w:ind w:firstLine="480" w:firstLineChars="200"/>
        <w:rPr>
          <w:rFonts w:cs="Times New Roman"/>
        </w:rPr>
      </w:pPr>
      <w:r>
        <w:rPr>
          <w:rFonts w:hint="eastAsia" w:cs="Times New Roman"/>
        </w:rPr>
        <w:t>（7）</w:t>
      </w:r>
      <w:r>
        <w:rPr>
          <w:rFonts w:cs="Times New Roman"/>
        </w:rPr>
        <w:t>在梅家乡、沙坝场乡、新镇、讲治镇、</w:t>
      </w:r>
      <w:r>
        <w:rPr>
          <w:rFonts w:hint="eastAsia" w:cs="Times New Roman"/>
        </w:rPr>
        <w:t>宝石乡</w:t>
      </w:r>
      <w:r>
        <w:rPr>
          <w:rFonts w:cs="Times New Roman"/>
        </w:rPr>
        <w:t>设置垃圾中转站，</w:t>
      </w:r>
      <w:bookmarkStart w:id="308" w:name="OLE_LINK35"/>
      <w:bookmarkStart w:id="309" w:name="OLE_LINK34"/>
      <w:r>
        <w:rPr>
          <w:rFonts w:cs="Times New Roman"/>
        </w:rPr>
        <w:t>生活垃圾实现定点存放、统一收集、定时清运至县垃圾处理厂处理</w:t>
      </w:r>
      <w:bookmarkEnd w:id="308"/>
      <w:bookmarkEnd w:id="309"/>
      <w:r>
        <w:rPr>
          <w:rFonts w:cs="Times New Roman"/>
        </w:rPr>
        <w:t>。</w:t>
      </w:r>
    </w:p>
    <w:p>
      <w:pPr>
        <w:pStyle w:val="4"/>
        <w:spacing w:beforeAutospacing="0" w:afterAutospacing="0" w:line="360" w:lineRule="auto"/>
      </w:pPr>
      <w:bookmarkStart w:id="310" w:name="_Toc5727"/>
      <w:r>
        <w:rPr>
          <w:rFonts w:hint="eastAsia" w:ascii="Times New Roman" w:hAnsi="Times New Roman" w:cs="Times New Roman"/>
          <w:sz w:val="21"/>
        </w:rPr>
        <w:t>6.3.4加强农业生产污染源防治</w:t>
      </w:r>
      <w:bookmarkEnd w:id="310"/>
    </w:p>
    <w:p>
      <w:pPr>
        <w:spacing w:line="360" w:lineRule="auto"/>
        <w:ind w:firstLine="480" w:firstLineChars="200"/>
        <w:rPr>
          <w:rFonts w:cs="Times New Roman"/>
        </w:rPr>
      </w:pPr>
      <w:r>
        <w:rPr>
          <w:rFonts w:hint="eastAsia" w:cs="Times New Roman"/>
        </w:rPr>
        <w:t>（1）</w:t>
      </w:r>
      <w:r>
        <w:rPr>
          <w:rFonts w:cs="Times New Roman"/>
        </w:rPr>
        <w:t>规划范围内的耕地，应发展生态农业和有机农业，改造耕作、施肥制度和施肥方式，严格限制农药和化肥的使用量，推广低毒高效快速分解农药，大力提倡施用有机肥料</w:t>
      </w:r>
      <w:r>
        <w:rPr>
          <w:rFonts w:hint="eastAsia" w:cs="Times New Roman"/>
        </w:rPr>
        <w:t>；</w:t>
      </w:r>
    </w:p>
    <w:p>
      <w:pPr>
        <w:spacing w:line="360" w:lineRule="auto"/>
        <w:ind w:firstLine="480" w:firstLineChars="200"/>
        <w:rPr>
          <w:rFonts w:cs="Times New Roman"/>
        </w:rPr>
      </w:pPr>
      <w:r>
        <w:rPr>
          <w:rFonts w:hint="eastAsia" w:cs="Times New Roman"/>
        </w:rPr>
        <w:t>（2）</w:t>
      </w:r>
      <w:r>
        <w:rPr>
          <w:rFonts w:cs="Times New Roman"/>
        </w:rPr>
        <w:t>对</w:t>
      </w:r>
      <w:r>
        <w:rPr>
          <w:rFonts w:hint="eastAsia" w:cs="Times New Roman"/>
        </w:rPr>
        <w:t>于</w:t>
      </w:r>
      <w:r>
        <w:rPr>
          <w:rFonts w:cs="Times New Roman"/>
        </w:rPr>
        <w:t>规划范围内</w:t>
      </w:r>
      <w:r>
        <w:rPr>
          <w:rFonts w:hint="eastAsia" w:cs="Times New Roman"/>
        </w:rPr>
        <w:t>滨湖区</w:t>
      </w:r>
      <w:r>
        <w:rPr>
          <w:rFonts w:cs="Times New Roman"/>
        </w:rPr>
        <w:t>及河道两侧所有规模化畜禽养殖企业应全部关闭或搬迁</w:t>
      </w:r>
      <w:r>
        <w:rPr>
          <w:rFonts w:hint="eastAsia" w:cs="Times New Roman"/>
        </w:rPr>
        <w:t>，并</w:t>
      </w:r>
      <w:r>
        <w:rPr>
          <w:rFonts w:cs="Times New Roman"/>
        </w:rPr>
        <w:t>禁止农户在河道边散养畜禽。对规划范围</w:t>
      </w:r>
      <w:r>
        <w:rPr>
          <w:rFonts w:hint="eastAsia" w:cs="Times New Roman"/>
        </w:rPr>
        <w:t>内滨湖区</w:t>
      </w:r>
      <w:r>
        <w:rPr>
          <w:rFonts w:cs="Times New Roman"/>
        </w:rPr>
        <w:t>以外的</w:t>
      </w:r>
      <w:r>
        <w:rPr>
          <w:rFonts w:hint="eastAsia" w:cs="Times New Roman"/>
        </w:rPr>
        <w:t>规模化</w:t>
      </w:r>
      <w:r>
        <w:rPr>
          <w:rFonts w:cs="Times New Roman"/>
        </w:rPr>
        <w:t>畜禽养殖企业，必须设置化粪池和污水处理系统</w:t>
      </w:r>
      <w:r>
        <w:rPr>
          <w:rFonts w:hint="eastAsia" w:cs="Times New Roman"/>
        </w:rPr>
        <w:t>；</w:t>
      </w:r>
    </w:p>
    <w:p>
      <w:pPr>
        <w:pStyle w:val="4"/>
        <w:spacing w:beforeAutospacing="0" w:afterAutospacing="0" w:line="360" w:lineRule="auto"/>
        <w:rPr>
          <w:rFonts w:ascii="Times New Roman" w:hAnsi="Times New Roman" w:cs="Times New Roman"/>
          <w:sz w:val="21"/>
        </w:rPr>
      </w:pPr>
      <w:bookmarkStart w:id="311" w:name="_Toc9674"/>
      <w:r>
        <w:rPr>
          <w:rFonts w:hint="eastAsia" w:ascii="Times New Roman" w:hAnsi="Times New Roman" w:cs="Times New Roman"/>
          <w:sz w:val="21"/>
        </w:rPr>
        <w:t>6.3.5加强水域污染源治理措施</w:t>
      </w:r>
      <w:bookmarkEnd w:id="311"/>
    </w:p>
    <w:p>
      <w:pPr>
        <w:spacing w:line="360" w:lineRule="auto"/>
        <w:ind w:firstLine="480" w:firstLineChars="200"/>
        <w:rPr>
          <w:rFonts w:cs="Times New Roman"/>
        </w:rPr>
      </w:pPr>
      <w:r>
        <w:rPr>
          <w:rFonts w:hint="eastAsia" w:cs="Times New Roman"/>
        </w:rPr>
        <w:t>（1）禁止在水源保护区垂钓；</w:t>
      </w:r>
    </w:p>
    <w:p>
      <w:pPr>
        <w:spacing w:line="360" w:lineRule="auto"/>
        <w:ind w:firstLine="480" w:firstLineChars="200"/>
        <w:rPr>
          <w:rFonts w:cs="Times New Roman"/>
        </w:rPr>
      </w:pPr>
      <w:r>
        <w:rPr>
          <w:rFonts w:hint="eastAsia" w:cs="Times New Roman"/>
        </w:rPr>
        <w:t>（2）定期对规划区尤其是湖滨区的垃圾进行清捡、清运；</w:t>
      </w:r>
    </w:p>
    <w:p>
      <w:pPr>
        <w:spacing w:line="360" w:lineRule="auto"/>
        <w:ind w:firstLine="480" w:firstLineChars="200"/>
        <w:rPr>
          <w:rFonts w:cs="Times New Roman"/>
        </w:rPr>
      </w:pPr>
      <w:r>
        <w:rPr>
          <w:rFonts w:hint="eastAsia" w:cs="Times New Roman"/>
        </w:rPr>
        <w:t>（3）禁止在宝石水库内网箱养鱼及投喂饲料；</w:t>
      </w:r>
    </w:p>
    <w:p>
      <w:pPr>
        <w:spacing w:line="360" w:lineRule="auto"/>
        <w:ind w:firstLine="480" w:firstLineChars="200"/>
        <w:rPr>
          <w:rFonts w:cs="Times New Roman"/>
        </w:rPr>
      </w:pPr>
      <w:r>
        <w:rPr>
          <w:rFonts w:hint="eastAsia" w:cs="Times New Roman"/>
        </w:rPr>
        <w:t>（4）在宝石水库周边道路旁设置垃圾收集点，定期清运至县城垃圾填埋场；</w:t>
      </w:r>
    </w:p>
    <w:p>
      <w:pPr>
        <w:spacing w:line="360" w:lineRule="auto"/>
        <w:ind w:firstLine="480" w:firstLineChars="200"/>
        <w:rPr>
          <w:rFonts w:cs="Times New Roman"/>
        </w:rPr>
      </w:pPr>
      <w:r>
        <w:rPr>
          <w:rFonts w:hint="eastAsia" w:cs="Times New Roman"/>
        </w:rPr>
        <w:t>（5）在沙坝场乡镇区、梅家乡镇区和县生活用水取水点建设三个水文监测站。</w:t>
      </w:r>
    </w:p>
    <w:p>
      <w:pPr>
        <w:pStyle w:val="4"/>
        <w:spacing w:beforeAutospacing="0" w:afterAutospacing="0" w:line="360" w:lineRule="auto"/>
        <w:rPr>
          <w:rFonts w:ascii="Times New Roman" w:hAnsi="Times New Roman" w:cs="Times New Roman"/>
          <w:sz w:val="21"/>
        </w:rPr>
      </w:pPr>
      <w:bookmarkStart w:id="312" w:name="_Toc20103"/>
      <w:r>
        <w:rPr>
          <w:rFonts w:hint="eastAsia" w:ascii="Times New Roman" w:hAnsi="Times New Roman" w:cs="Times New Roman"/>
          <w:sz w:val="21"/>
        </w:rPr>
        <w:t>6.3.6加强水库淤泥治理措施</w:t>
      </w:r>
      <w:bookmarkEnd w:id="312"/>
    </w:p>
    <w:p>
      <w:pPr>
        <w:spacing w:line="360" w:lineRule="auto"/>
        <w:ind w:firstLine="480" w:firstLineChars="200"/>
        <w:rPr>
          <w:rFonts w:cs="Times New Roman"/>
        </w:rPr>
      </w:pPr>
      <w:r>
        <w:rPr>
          <w:rFonts w:hint="eastAsia" w:cs="Times New Roman"/>
        </w:rPr>
        <w:t>开江宝石桥水库管理处要制定水库丰水期泄洪规划，要科学合理地调度库区内的水资源，加大水库水体的交换量，提高水体的流速和流动性，以增强水体的自然净化力而改善宝石桥水库的水质。同时采取相关措施对水库进行清淤工作，县政府应将宝石桥水库底泥清淤工作经费纳入财政预算，要及时组建专门的清淤工作队伍，将库底含氮、磷浓度较高的底泥直接从水体取出，以减少水库内源污染物释放，降低水体营养物质浓度，达到改善水质和修复水生态的目的。</w:t>
      </w:r>
    </w:p>
    <w:p>
      <w:pPr>
        <w:spacing w:line="360" w:lineRule="auto"/>
        <w:ind w:firstLine="480" w:firstLineChars="200"/>
        <w:rPr>
          <w:rFonts w:cs="Times New Roman"/>
        </w:rPr>
      </w:pPr>
      <w:r>
        <w:rPr>
          <w:rFonts w:hint="eastAsia" w:cs="Times New Roman"/>
        </w:rPr>
        <w:t>目前水库清淤方法有排沙、冲沙和疏浚。排沙和冲沙都是通过开启水库的底部泄沙涵闸门、用水力来冲排。疏浚是用机械清淤。</w:t>
      </w:r>
    </w:p>
    <w:p>
      <w:pPr>
        <w:pStyle w:val="3"/>
        <w:rPr>
          <w:rFonts w:ascii="Times New Roman" w:hAnsi="Times New Roman" w:cs="Times New Roman"/>
        </w:rPr>
      </w:pPr>
      <w:bookmarkStart w:id="313" w:name="_Toc2883"/>
      <w:bookmarkStart w:id="314" w:name="_Toc18132"/>
      <w:r>
        <w:rPr>
          <w:rFonts w:hint="eastAsia" w:ascii="Times New Roman" w:hAnsi="Times New Roman" w:cs="Times New Roman"/>
        </w:rPr>
        <w:t>6.</w:t>
      </w:r>
      <w:r>
        <w:rPr>
          <w:rFonts w:ascii="Times New Roman" w:hAnsi="Times New Roman" w:cs="Times New Roman"/>
        </w:rPr>
        <w:t>4 制定水源地保护区污染防治管理办法</w:t>
      </w:r>
      <w:bookmarkEnd w:id="305"/>
      <w:bookmarkEnd w:id="313"/>
      <w:bookmarkEnd w:id="314"/>
      <w:r>
        <w:rPr>
          <w:rFonts w:ascii="Times New Roman" w:hAnsi="Times New Roman" w:cs="Times New Roman"/>
        </w:rPr>
        <w:t xml:space="preserve"> </w:t>
      </w:r>
    </w:p>
    <w:p>
      <w:pPr>
        <w:spacing w:line="360" w:lineRule="auto"/>
        <w:ind w:firstLine="480" w:firstLineChars="200"/>
        <w:rPr>
          <w:rFonts w:cs="Times New Roman"/>
        </w:rPr>
      </w:pPr>
      <w:bookmarkStart w:id="315" w:name="_Toc18909"/>
      <w:r>
        <w:rPr>
          <w:rFonts w:cs="Times New Roman"/>
        </w:rPr>
        <w:t xml:space="preserve">为保证饮用水源安全，保障人体健康，防止工农业生产、城市建设、居民生活对水源地造成污染和破坏，县环保部门应根据《中华人民共和国水污染防治法》，牵头制定《开江县饮用水源保护区污染防治管理办法》，报请县政府审批后在全县所有乡镇推广实施。 </w:t>
      </w:r>
    </w:p>
    <w:p>
      <w:pPr>
        <w:spacing w:line="360" w:lineRule="auto"/>
        <w:ind w:firstLine="480" w:firstLineChars="200"/>
        <w:rPr>
          <w:rFonts w:cs="Times New Roman"/>
        </w:rPr>
      </w:pPr>
      <w:r>
        <w:rPr>
          <w:rFonts w:cs="Times New Roman"/>
        </w:rPr>
        <w:t xml:space="preserve">水源地保护区内必须遵守下列规定 </w:t>
      </w:r>
    </w:p>
    <w:p>
      <w:pPr>
        <w:spacing w:line="360" w:lineRule="auto"/>
        <w:ind w:firstLine="480" w:firstLineChars="200"/>
        <w:rPr>
          <w:rFonts w:cs="Times New Roman"/>
        </w:rPr>
      </w:pPr>
      <w:r>
        <w:rPr>
          <w:rFonts w:cs="Times New Roman"/>
        </w:rPr>
        <w:t xml:space="preserve">①禁止利用渗坑、渗井等排放污水和其他有害废弃物。 </w:t>
      </w:r>
    </w:p>
    <w:p>
      <w:pPr>
        <w:spacing w:line="360" w:lineRule="auto"/>
        <w:ind w:firstLine="480" w:firstLineChars="200"/>
        <w:rPr>
          <w:rFonts w:cs="Times New Roman"/>
        </w:rPr>
      </w:pPr>
      <w:r>
        <w:rPr>
          <w:rFonts w:cs="Times New Roman"/>
        </w:rPr>
        <w:t xml:space="preserve">②禁止利用透水层孔隙、裂隙及废弃矿坑储存石油、天然气、放 射性物质、有毒有害化工原料、农药等。 </w:t>
      </w:r>
    </w:p>
    <w:p>
      <w:pPr>
        <w:spacing w:line="360" w:lineRule="auto"/>
        <w:ind w:firstLine="480" w:firstLineChars="200"/>
        <w:rPr>
          <w:rFonts w:cs="Times New Roman"/>
        </w:rPr>
      </w:pPr>
      <w:r>
        <w:rPr>
          <w:rFonts w:cs="Times New Roman"/>
        </w:rPr>
        <w:t xml:space="preserve">③未经批准，禁止任何单位和个人在一级、二级水源保护区内打井开采地下水资源。 </w:t>
      </w:r>
    </w:p>
    <w:p>
      <w:pPr>
        <w:spacing w:line="360" w:lineRule="auto"/>
        <w:ind w:firstLine="480" w:firstLineChars="200"/>
        <w:rPr>
          <w:rFonts w:cs="Times New Roman"/>
        </w:rPr>
      </w:pPr>
      <w:r>
        <w:rPr>
          <w:rFonts w:cs="Times New Roman"/>
        </w:rPr>
        <w:t xml:space="preserve">（2）一级保护区内禁止下列行为 </w:t>
      </w:r>
    </w:p>
    <w:p>
      <w:pPr>
        <w:spacing w:line="360" w:lineRule="auto"/>
        <w:ind w:firstLine="480" w:firstLineChars="200"/>
        <w:rPr>
          <w:rFonts w:cs="Times New Roman"/>
        </w:rPr>
      </w:pPr>
      <w:r>
        <w:rPr>
          <w:rFonts w:cs="Times New Roman"/>
        </w:rPr>
        <w:t xml:space="preserve">①禁止修建与取水设施无关的建筑物。 </w:t>
      </w:r>
    </w:p>
    <w:p>
      <w:pPr>
        <w:spacing w:line="360" w:lineRule="auto"/>
        <w:ind w:firstLine="480" w:firstLineChars="200"/>
        <w:rPr>
          <w:rFonts w:cs="Times New Roman"/>
        </w:rPr>
      </w:pPr>
      <w:r>
        <w:rPr>
          <w:rFonts w:cs="Times New Roman"/>
        </w:rPr>
        <w:t xml:space="preserve">②禁止从事牧业活动或集中式养殖业。 </w:t>
      </w:r>
    </w:p>
    <w:p>
      <w:pPr>
        <w:spacing w:line="360" w:lineRule="auto"/>
        <w:ind w:firstLine="480" w:firstLineChars="200"/>
        <w:rPr>
          <w:rFonts w:cs="Times New Roman"/>
        </w:rPr>
      </w:pPr>
      <w:r>
        <w:rPr>
          <w:rFonts w:cs="Times New Roman"/>
        </w:rPr>
        <w:t xml:space="preserve">③禁止倾倒、堆放工业废渣及城市垃圾、粪便和其它有害废弃物。 </w:t>
      </w:r>
    </w:p>
    <w:p>
      <w:pPr>
        <w:spacing w:line="360" w:lineRule="auto"/>
        <w:ind w:firstLine="480" w:firstLineChars="200"/>
        <w:rPr>
          <w:rFonts w:cs="Times New Roman"/>
        </w:rPr>
      </w:pPr>
      <w:r>
        <w:rPr>
          <w:rFonts w:cs="Times New Roman"/>
        </w:rPr>
        <w:t xml:space="preserve">④禁止输送污水的渠道、管道及输油管道通过本区。 </w:t>
      </w:r>
    </w:p>
    <w:p>
      <w:pPr>
        <w:spacing w:line="360" w:lineRule="auto"/>
        <w:ind w:firstLine="480" w:firstLineChars="200"/>
        <w:rPr>
          <w:rFonts w:cs="Times New Roman"/>
        </w:rPr>
      </w:pPr>
      <w:r>
        <w:rPr>
          <w:rFonts w:cs="Times New Roman"/>
        </w:rPr>
        <w:t xml:space="preserve">⑤禁止修建油库。 </w:t>
      </w:r>
    </w:p>
    <w:p>
      <w:pPr>
        <w:spacing w:line="360" w:lineRule="auto"/>
        <w:ind w:firstLine="480" w:firstLineChars="200"/>
        <w:rPr>
          <w:rFonts w:cs="Times New Roman"/>
        </w:rPr>
      </w:pPr>
      <w:r>
        <w:rPr>
          <w:rFonts w:cs="Times New Roman"/>
        </w:rPr>
        <w:t xml:space="preserve">⑥禁止建立墓地。 </w:t>
      </w:r>
    </w:p>
    <w:p>
      <w:pPr>
        <w:spacing w:line="360" w:lineRule="auto"/>
        <w:ind w:firstLine="480" w:firstLineChars="200"/>
        <w:rPr>
          <w:rFonts w:cs="Times New Roman"/>
        </w:rPr>
      </w:pPr>
      <w:r>
        <w:rPr>
          <w:rFonts w:cs="Times New Roman"/>
        </w:rPr>
        <w:t xml:space="preserve">（3）二级保护区内禁止下列行为 </w:t>
      </w:r>
    </w:p>
    <w:p>
      <w:pPr>
        <w:spacing w:line="360" w:lineRule="auto"/>
        <w:ind w:firstLine="480" w:firstLineChars="200"/>
        <w:rPr>
          <w:rFonts w:cs="Times New Roman"/>
        </w:rPr>
      </w:pPr>
      <w:r>
        <w:rPr>
          <w:rFonts w:cs="Times New Roman"/>
        </w:rPr>
        <w:t xml:space="preserve">①禁止修建化工、电镀、皮革、造纸、制浆、冶炼、放射性、印染、染料、炼焦、炼油及其它有严重污染的企业。 </w:t>
      </w:r>
    </w:p>
    <w:p>
      <w:pPr>
        <w:spacing w:line="360" w:lineRule="auto"/>
        <w:ind w:firstLine="480" w:firstLineChars="200"/>
        <w:rPr>
          <w:rFonts w:cs="Times New Roman"/>
        </w:rPr>
      </w:pPr>
      <w:r>
        <w:rPr>
          <w:rFonts w:cs="Times New Roman"/>
        </w:rPr>
        <w:t xml:space="preserve">②禁止设立城市垃圾、粪便和易溶、有毒有害废弃物堆放场和转 运站。 </w:t>
      </w:r>
    </w:p>
    <w:p>
      <w:pPr>
        <w:spacing w:line="360" w:lineRule="auto"/>
        <w:ind w:firstLine="480" w:firstLineChars="200"/>
        <w:rPr>
          <w:rFonts w:cs="Times New Roman"/>
        </w:rPr>
      </w:pPr>
      <w:r>
        <w:rPr>
          <w:rFonts w:cs="Times New Roman"/>
        </w:rPr>
        <w:t xml:space="preserve">③化工原料、矿物、油类及有毒有害矿产品的堆放场所必须有防 雨、防渗漏措施。 </w:t>
      </w:r>
    </w:p>
    <w:p>
      <w:pPr>
        <w:spacing w:line="360" w:lineRule="auto"/>
        <w:ind w:firstLine="480" w:firstLineChars="200"/>
        <w:rPr>
          <w:rFonts w:cs="Times New Roman"/>
        </w:rPr>
      </w:pPr>
      <w:r>
        <w:rPr>
          <w:rFonts w:cs="Times New Roman"/>
        </w:rPr>
        <w:t xml:space="preserve">④严禁石油勘探、钻探及开采。预防由于油井施工造成的原油对 水质的污染及由于油井施工过程中采取的止水措施不当，造成上下水 体互相串通，高矿化度水对可开采淡水资源的污染。 </w:t>
      </w:r>
    </w:p>
    <w:p>
      <w:pPr>
        <w:numPr>
          <w:ilvl w:val="0"/>
          <w:numId w:val="7"/>
        </w:numPr>
        <w:spacing w:line="360" w:lineRule="auto"/>
        <w:ind w:firstLine="480" w:firstLineChars="200"/>
        <w:rPr>
          <w:rFonts w:cs="Times New Roman"/>
        </w:rPr>
      </w:pPr>
      <w:r>
        <w:rPr>
          <w:rFonts w:cs="Times New Roman"/>
        </w:rPr>
        <w:t xml:space="preserve">准保护区内禁止下列行为 </w:t>
      </w:r>
    </w:p>
    <w:p>
      <w:pPr>
        <w:spacing w:line="360" w:lineRule="auto"/>
        <w:ind w:firstLine="480" w:firstLineChars="200"/>
        <w:rPr>
          <w:rFonts w:cs="Times New Roman"/>
        </w:rPr>
      </w:pPr>
      <w:r>
        <w:rPr>
          <w:rFonts w:cs="Times New Roman"/>
        </w:rPr>
        <w:t>①禁止新建、扩建对水体污染严重的建设项目；改建建设项目，不得增加排污量；</w:t>
      </w:r>
    </w:p>
    <w:p>
      <w:pPr>
        <w:spacing w:line="360" w:lineRule="auto"/>
        <w:ind w:firstLine="480" w:firstLineChars="200"/>
        <w:rPr>
          <w:rFonts w:cs="Times New Roman"/>
        </w:rPr>
      </w:pPr>
      <w:r>
        <w:rPr>
          <w:rFonts w:cs="Times New Roman"/>
        </w:rPr>
        <w:t>②禁止向水体排放油类、酸液、碱液或者有毒废液；</w:t>
      </w:r>
    </w:p>
    <w:p>
      <w:pPr>
        <w:spacing w:line="360" w:lineRule="auto"/>
        <w:ind w:firstLine="480" w:firstLineChars="200"/>
        <w:rPr>
          <w:rFonts w:cs="Times New Roman"/>
        </w:rPr>
      </w:pPr>
      <w:r>
        <w:rPr>
          <w:rFonts w:cs="Times New Roman"/>
        </w:rPr>
        <w:t>③禁止在水体清洗装贮过油类或者有毒污染物的车辆和容器；</w:t>
      </w:r>
    </w:p>
    <w:p>
      <w:pPr>
        <w:spacing w:line="360" w:lineRule="auto"/>
        <w:ind w:firstLine="480" w:firstLineChars="200"/>
        <w:rPr>
          <w:rFonts w:cs="Times New Roman"/>
        </w:rPr>
      </w:pPr>
      <w:r>
        <w:rPr>
          <w:rFonts w:cs="Times New Roman"/>
        </w:rPr>
        <w:t>④禁止向水体排放、倾倒废水、含病原体的污水、放射性固体废物；</w:t>
      </w:r>
    </w:p>
    <w:p>
      <w:pPr>
        <w:spacing w:line="360" w:lineRule="auto"/>
        <w:ind w:firstLine="480" w:firstLineChars="200"/>
        <w:rPr>
          <w:rFonts w:cs="Times New Roman"/>
        </w:rPr>
      </w:pPr>
      <w:r>
        <w:rPr>
          <w:rFonts w:cs="Times New Roman"/>
        </w:rPr>
        <w:t>⑤禁止向水体排放、倾倒工业废渣、城镇垃圾和医疗垃圾等其他废弃物；</w:t>
      </w:r>
    </w:p>
    <w:p>
      <w:pPr>
        <w:spacing w:line="360" w:lineRule="auto"/>
        <w:ind w:firstLine="480" w:firstLineChars="200"/>
        <w:rPr>
          <w:rFonts w:cs="Times New Roman"/>
        </w:rPr>
      </w:pPr>
      <w:r>
        <w:rPr>
          <w:rFonts w:cs="Times New Roman"/>
        </w:rPr>
        <w:t>⑥禁止将含有汞、镉、砷、铬、铅、氰化物、黄磷等的可溶性剧毒废渣向水体排放、倾倒或者直接埋入地下；</w:t>
      </w:r>
    </w:p>
    <w:p>
      <w:pPr>
        <w:spacing w:line="360" w:lineRule="auto"/>
        <w:ind w:firstLine="480" w:firstLineChars="200"/>
        <w:rPr>
          <w:rFonts w:cs="Times New Roman"/>
        </w:rPr>
      </w:pPr>
      <w:r>
        <w:rPr>
          <w:rFonts w:cs="Times New Roman"/>
        </w:rPr>
        <w:fldChar w:fldCharType="begin"/>
      </w:r>
      <w:r>
        <w:rPr>
          <w:rFonts w:cs="Times New Roman"/>
        </w:rPr>
        <w:instrText xml:space="preserve"> = 7 \* GB3 \* MERGEFORMAT </w:instrText>
      </w:r>
      <w:r>
        <w:rPr>
          <w:rFonts w:cs="Times New Roman"/>
        </w:rPr>
        <w:fldChar w:fldCharType="separate"/>
      </w:r>
      <w:r>
        <w:rPr>
          <w:rFonts w:cs="Times New Roman"/>
        </w:rPr>
        <w:t>⑦</w:t>
      </w:r>
      <w:r>
        <w:rPr>
          <w:rFonts w:cs="Times New Roman"/>
        </w:rPr>
        <w:fldChar w:fldCharType="end"/>
      </w:r>
      <w:r>
        <w:rPr>
          <w:rFonts w:cs="Times New Roman"/>
        </w:rPr>
        <w:t>禁止船舶向水体倾倒垃圾或者排放含油污水、生活污水；</w:t>
      </w:r>
    </w:p>
    <w:p>
      <w:pPr>
        <w:spacing w:line="360" w:lineRule="auto"/>
        <w:ind w:firstLine="480" w:firstLineChars="200"/>
        <w:rPr>
          <w:rFonts w:cs="Times New Roman"/>
        </w:rPr>
      </w:pPr>
      <w:r>
        <w:rPr>
          <w:rFonts w:cs="Times New Roman"/>
        </w:rPr>
        <w:fldChar w:fldCharType="begin"/>
      </w:r>
      <w:r>
        <w:rPr>
          <w:rFonts w:cs="Times New Roman"/>
        </w:rPr>
        <w:instrText xml:space="preserve"> = 8 \* GB3 \* MERGEFORMAT </w:instrText>
      </w:r>
      <w:r>
        <w:rPr>
          <w:rFonts w:cs="Times New Roman"/>
        </w:rPr>
        <w:fldChar w:fldCharType="separate"/>
      </w:r>
      <w:r>
        <w:rPr>
          <w:rFonts w:cs="Times New Roman"/>
        </w:rPr>
        <w:t>⑧</w:t>
      </w:r>
      <w:r>
        <w:rPr>
          <w:rFonts w:cs="Times New Roman"/>
        </w:rPr>
        <w:fldChar w:fldCharType="end"/>
      </w:r>
      <w:r>
        <w:rPr>
          <w:rFonts w:cs="Times New Roman"/>
        </w:rPr>
        <w:t>禁止设置化工原料、矿物油类及有毒有害矿产品的贮存场所，以及生活垃圾、工业固体废物和危险废物的堆放场所和转运站；</w:t>
      </w:r>
    </w:p>
    <w:p>
      <w:pPr>
        <w:spacing w:line="360" w:lineRule="auto"/>
        <w:ind w:firstLine="480" w:firstLineChars="200"/>
        <w:rPr>
          <w:rFonts w:cs="Times New Roman"/>
        </w:rPr>
      </w:pPr>
      <w:r>
        <w:rPr>
          <w:rFonts w:cs="Times New Roman"/>
        </w:rPr>
        <w:fldChar w:fldCharType="begin"/>
      </w:r>
      <w:r>
        <w:rPr>
          <w:rFonts w:cs="Times New Roman"/>
        </w:rPr>
        <w:instrText xml:space="preserve"> = 9 \* GB3 \* MERGEFORMAT </w:instrText>
      </w:r>
      <w:r>
        <w:rPr>
          <w:rFonts w:cs="Times New Roman"/>
        </w:rPr>
        <w:fldChar w:fldCharType="separate"/>
      </w:r>
      <w:r>
        <w:rPr>
          <w:rFonts w:cs="Times New Roman"/>
        </w:rPr>
        <w:t>⑨</w:t>
      </w:r>
      <w:r>
        <w:rPr>
          <w:rFonts w:cs="Times New Roman"/>
        </w:rPr>
        <w:fldChar w:fldCharType="end"/>
      </w:r>
      <w:r>
        <w:rPr>
          <w:rFonts w:cs="Times New Roman"/>
        </w:rPr>
        <w:t>禁止通行装载剧毒化学品或者危险废物的船舶、车辆。装载其他危险品的船舶、车辆确需驶入饮用水水源保护区内的，应当在驶入该区域的二十四小时前向当地海事管理机构或者公安机关交通管理部门报告，配备防止污染物散落、溢流、渗漏的设施设备，指定专人保障危险品运输安全；</w:t>
      </w:r>
    </w:p>
    <w:p>
      <w:pPr>
        <w:spacing w:line="360" w:lineRule="auto"/>
        <w:ind w:firstLine="480" w:firstLineChars="200"/>
        <w:rPr>
          <w:rFonts w:cs="Times New Roman"/>
        </w:rPr>
      </w:pPr>
      <w:r>
        <w:rPr>
          <w:rFonts w:cs="Times New Roman"/>
        </w:rPr>
        <w:t> </w:t>
      </w:r>
      <w:r>
        <w:rPr>
          <w:rFonts w:cs="Times New Roman"/>
        </w:rPr>
        <w:fldChar w:fldCharType="begin"/>
      </w:r>
      <w:r>
        <w:rPr>
          <w:rFonts w:cs="Times New Roman"/>
        </w:rPr>
        <w:instrText xml:space="preserve"> = 10 \* GB3 \* MERGEFORMAT </w:instrText>
      </w:r>
      <w:r>
        <w:rPr>
          <w:rFonts w:cs="Times New Roman"/>
        </w:rPr>
        <w:fldChar w:fldCharType="separate"/>
      </w:r>
      <w:r>
        <w:rPr>
          <w:rFonts w:cs="Times New Roman"/>
        </w:rPr>
        <w:t>⑩</w:t>
      </w:r>
      <w:r>
        <w:rPr>
          <w:rFonts w:cs="Times New Roman"/>
        </w:rPr>
        <w:fldChar w:fldCharType="end"/>
      </w:r>
      <w:r>
        <w:rPr>
          <w:rFonts w:cs="Times New Roman"/>
        </w:rPr>
        <w:t>禁止进行可能严重影响饮用水水源水质的矿产勘查、开采等活动；</w:t>
      </w:r>
    </w:p>
    <w:p>
      <w:pPr>
        <w:spacing w:line="360" w:lineRule="auto"/>
        <w:ind w:firstLine="480" w:firstLineChars="200"/>
        <w:rPr>
          <w:rFonts w:cs="Times New Roman"/>
        </w:rPr>
      </w:pPr>
      <w:r>
        <w:rPr>
          <w:rFonts w:cs="Times New Roman"/>
        </w:rPr>
        <w:t> </w:t>
      </w:r>
      <w:r>
        <w:rPr>
          <w:rFonts w:cs="Times New Roman"/>
        </w:rPr>
        <w:fldChar w:fldCharType="begin"/>
      </w:r>
      <w:r>
        <w:rPr>
          <w:rFonts w:cs="Times New Roman"/>
        </w:rPr>
        <w:instrText xml:space="preserve"> = 11 \* GB2 \* MERGEFORMAT </w:instrText>
      </w:r>
      <w:r>
        <w:rPr>
          <w:rFonts w:cs="Times New Roman"/>
        </w:rPr>
        <w:fldChar w:fldCharType="separate"/>
      </w:r>
      <w:r>
        <w:rPr>
          <w:rFonts w:cs="Times New Roman"/>
        </w:rPr>
        <w:t>⑾</w:t>
      </w:r>
      <w:r>
        <w:rPr>
          <w:rFonts w:cs="Times New Roman"/>
        </w:rPr>
        <w:fldChar w:fldCharType="end"/>
      </w:r>
      <w:r>
        <w:rPr>
          <w:rFonts w:cs="Times New Roman"/>
        </w:rPr>
        <w:t>禁止非更新性、非抚育性砍伐和破坏饮用水水源涵养林、护岸林和其他植被。</w:t>
      </w:r>
    </w:p>
    <w:p>
      <w:pPr>
        <w:pStyle w:val="3"/>
        <w:spacing w:before="0" w:after="0" w:line="360" w:lineRule="auto"/>
        <w:rPr>
          <w:rFonts w:ascii="Times New Roman" w:hAnsi="Times New Roman" w:cs="Times New Roman"/>
        </w:rPr>
      </w:pPr>
      <w:bookmarkStart w:id="316" w:name="_Toc4255"/>
      <w:bookmarkStart w:id="317" w:name="_Toc15456"/>
      <w:r>
        <w:rPr>
          <w:rFonts w:hint="eastAsia" w:ascii="Times New Roman" w:hAnsi="Times New Roman" w:cs="Times New Roman"/>
        </w:rPr>
        <w:t>6.</w:t>
      </w:r>
      <w:r>
        <w:rPr>
          <w:rFonts w:ascii="Times New Roman" w:hAnsi="Times New Roman" w:cs="Times New Roman"/>
        </w:rPr>
        <w:t>5 建立水源地保护区监督管理机制</w:t>
      </w:r>
      <w:bookmarkEnd w:id="315"/>
      <w:bookmarkEnd w:id="316"/>
      <w:bookmarkEnd w:id="317"/>
      <w:r>
        <w:rPr>
          <w:rFonts w:ascii="Times New Roman" w:hAnsi="Times New Roman" w:cs="Times New Roman"/>
        </w:rPr>
        <w:t xml:space="preserve"> </w:t>
      </w:r>
    </w:p>
    <w:p>
      <w:pPr>
        <w:spacing w:line="360" w:lineRule="auto"/>
        <w:ind w:firstLine="480" w:firstLineChars="200"/>
        <w:rPr>
          <w:rFonts w:cs="Times New Roman"/>
        </w:rPr>
      </w:pPr>
      <w:r>
        <w:rPr>
          <w:rFonts w:cs="Times New Roman"/>
        </w:rPr>
        <w:t xml:space="preserve">由县政府牵头组织，成立一个由县环保局、水务局、卫生局、属地乡（镇）政府等，具有政府行为能力或相关监测资质的部门参加的监督管理机构。在水源保护区内水源地附近以及人们生产生活活动接近水源地的区域设置警示标志、公告牌，明确水源地各级保护区边界，公布监督危害水源行为的举报电话等。同时，在交通干线进出口设置运输有毒有害化学品车辆绕行标志，禁止装载有毒有害化学品的车辆通过各水源地一级保护区；在各水源地一级保护区内的所有道路、界碑上设置警示标牌，公布危险化学品等有毒有害物质泄漏的报警电话等。   </w:t>
      </w:r>
    </w:p>
    <w:p>
      <w:pPr>
        <w:pStyle w:val="3"/>
        <w:spacing w:before="0" w:after="0" w:line="360" w:lineRule="auto"/>
        <w:rPr>
          <w:rFonts w:ascii="Times New Roman" w:hAnsi="Times New Roman" w:cs="Times New Roman"/>
        </w:rPr>
      </w:pPr>
      <w:bookmarkStart w:id="318" w:name="_Toc20688"/>
      <w:bookmarkStart w:id="319" w:name="_Toc3723"/>
      <w:bookmarkStart w:id="320" w:name="_Toc29030"/>
      <w:r>
        <w:rPr>
          <w:rFonts w:hint="eastAsia" w:ascii="Times New Roman" w:hAnsi="Times New Roman" w:cs="Times New Roman"/>
        </w:rPr>
        <w:t>6.</w:t>
      </w:r>
      <w:r>
        <w:rPr>
          <w:rFonts w:ascii="Times New Roman" w:hAnsi="Times New Roman" w:cs="Times New Roman"/>
        </w:rPr>
        <w:t>6 建立水源地监测预警系统</w:t>
      </w:r>
      <w:bookmarkEnd w:id="318"/>
      <w:bookmarkEnd w:id="319"/>
      <w:bookmarkEnd w:id="320"/>
      <w:r>
        <w:rPr>
          <w:rFonts w:ascii="Times New Roman" w:hAnsi="Times New Roman" w:cs="Times New Roman"/>
        </w:rPr>
        <w:t xml:space="preserve"> </w:t>
      </w:r>
    </w:p>
    <w:p>
      <w:pPr>
        <w:spacing w:line="360" w:lineRule="auto"/>
        <w:ind w:firstLine="480" w:firstLineChars="200"/>
        <w:rPr>
          <w:rFonts w:cs="Times New Roman"/>
        </w:rPr>
      </w:pPr>
      <w:r>
        <w:rPr>
          <w:rFonts w:cs="Times New Roman"/>
        </w:rPr>
        <w:t>为了加强对水源地水质的监控，需要建立开江县水源地监测预警系统。由县政府责成县水务局、环保局等相关部门应定期对保护区内的水质进行监测，及时发现水质变化情况，防患于未然。 对水源地的溶解氧、高锰酸盐指数、BOD</w:t>
      </w:r>
      <w:r>
        <w:rPr>
          <w:rFonts w:cs="Times New Roman"/>
          <w:vertAlign w:val="subscript"/>
        </w:rPr>
        <w:t>5</w:t>
      </w:r>
      <w:r>
        <w:rPr>
          <w:rFonts w:cs="Times New Roman"/>
        </w:rPr>
        <w:t>、氨氮等项目每月监测不少于一次，确保一级保护区水质达到《地表水环境质量标准》（GB3838-2002）</w:t>
      </w:r>
      <w:r>
        <w:rPr>
          <w:rFonts w:cs="Times New Roman"/>
          <w:color w:val="FF0000"/>
        </w:rPr>
        <w:t>Ⅱ</w:t>
      </w:r>
      <w:r>
        <w:rPr>
          <w:rFonts w:cs="Times New Roman"/>
        </w:rPr>
        <w:t xml:space="preserve">类标准要求及《生活饮用水卫生标准》（GB5749-2006）关于生活饮用水水源水质卫生要求的规定。 </w:t>
      </w:r>
    </w:p>
    <w:p>
      <w:pPr>
        <w:pStyle w:val="3"/>
        <w:spacing w:before="0" w:after="0" w:line="360" w:lineRule="auto"/>
        <w:rPr>
          <w:rFonts w:ascii="Times New Roman" w:hAnsi="Times New Roman" w:cs="Times New Roman"/>
        </w:rPr>
      </w:pPr>
      <w:bookmarkStart w:id="321" w:name="_Toc22627"/>
      <w:bookmarkStart w:id="322" w:name="_Toc21818"/>
      <w:bookmarkStart w:id="323" w:name="_Toc28815"/>
      <w:r>
        <w:rPr>
          <w:rFonts w:hint="eastAsia" w:ascii="Times New Roman" w:hAnsi="Times New Roman" w:cs="Times New Roman"/>
        </w:rPr>
        <w:t>6.</w:t>
      </w:r>
      <w:r>
        <w:rPr>
          <w:rFonts w:ascii="Times New Roman" w:hAnsi="Times New Roman" w:cs="Times New Roman"/>
        </w:rPr>
        <w:t>7 建立健全水源地安全保障应急机制</w:t>
      </w:r>
      <w:bookmarkEnd w:id="321"/>
      <w:bookmarkEnd w:id="322"/>
      <w:bookmarkEnd w:id="323"/>
      <w:r>
        <w:rPr>
          <w:rFonts w:ascii="Times New Roman" w:hAnsi="Times New Roman" w:cs="Times New Roman"/>
        </w:rPr>
        <w:t xml:space="preserve"> </w:t>
      </w:r>
    </w:p>
    <w:p>
      <w:pPr>
        <w:spacing w:line="360" w:lineRule="auto"/>
        <w:ind w:firstLine="480" w:firstLineChars="200"/>
        <w:rPr>
          <w:rFonts w:cs="Times New Roman"/>
        </w:rPr>
      </w:pPr>
      <w:r>
        <w:rPr>
          <w:rFonts w:cs="Times New Roman"/>
        </w:rPr>
        <w:t xml:space="preserve">县环保部门要制定和完善《水源地供水应急预案》，建立健全应急指挥系统，落实处置措施。认真执行水源地安全值班、报告制度和有效的预警、应急救助机制，一旦发生突发性污染事件，要及时启动应急监测、紧急处置、信息发布等各项程序，措施落实要到位。 </w:t>
      </w:r>
    </w:p>
    <w:p>
      <w:pPr>
        <w:pStyle w:val="3"/>
        <w:spacing w:before="0" w:after="0" w:line="360" w:lineRule="auto"/>
        <w:rPr>
          <w:rFonts w:ascii="Times New Roman" w:hAnsi="Times New Roman" w:cs="Times New Roman"/>
        </w:rPr>
      </w:pPr>
      <w:bookmarkStart w:id="324" w:name="_Toc31378"/>
      <w:bookmarkStart w:id="325" w:name="_Toc15052"/>
      <w:bookmarkStart w:id="326" w:name="_Toc16521"/>
      <w:r>
        <w:rPr>
          <w:rFonts w:hint="eastAsia" w:ascii="Times New Roman" w:hAnsi="Times New Roman" w:cs="Times New Roman"/>
        </w:rPr>
        <w:t>6.</w:t>
      </w:r>
      <w:r>
        <w:rPr>
          <w:rFonts w:ascii="Times New Roman" w:hAnsi="Times New Roman" w:cs="Times New Roman"/>
        </w:rPr>
        <w:t>8 加强饮用水水源保护宣传与教育</w:t>
      </w:r>
      <w:bookmarkEnd w:id="324"/>
      <w:bookmarkEnd w:id="325"/>
      <w:bookmarkEnd w:id="326"/>
      <w:r>
        <w:rPr>
          <w:rFonts w:ascii="Times New Roman" w:hAnsi="Times New Roman" w:cs="Times New Roman"/>
        </w:rPr>
        <w:t xml:space="preserve"> </w:t>
      </w:r>
    </w:p>
    <w:p>
      <w:pPr>
        <w:spacing w:line="360" w:lineRule="auto"/>
        <w:ind w:firstLine="480" w:firstLineChars="200"/>
        <w:rPr>
          <w:rFonts w:cs="Times New Roman"/>
        </w:rPr>
      </w:pPr>
      <w:r>
        <w:rPr>
          <w:rFonts w:cs="Times New Roman"/>
        </w:rPr>
        <w:t xml:space="preserve">新闻宣传部门和有关单位要积极配合供水部门，加强饮用水水源 保护的宣传与教育，提高人民群众环境保护意识，共同参与水源地保 护工作，为经济社会发展和人民群众健康生活提供保障。 </w:t>
      </w:r>
    </w:p>
    <w:p>
      <w:pPr>
        <w:pStyle w:val="3"/>
        <w:spacing w:before="0" w:after="0" w:line="360" w:lineRule="auto"/>
        <w:rPr>
          <w:rFonts w:ascii="Times New Roman" w:hAnsi="Times New Roman" w:cs="Times New Roman"/>
        </w:rPr>
      </w:pPr>
      <w:bookmarkStart w:id="327" w:name="_Toc16476"/>
      <w:bookmarkStart w:id="328" w:name="_Toc32448"/>
      <w:bookmarkStart w:id="329" w:name="_Toc7092"/>
      <w:r>
        <w:rPr>
          <w:rFonts w:hint="eastAsia" w:ascii="Times New Roman" w:hAnsi="Times New Roman" w:cs="Times New Roman"/>
        </w:rPr>
        <w:t>6.</w:t>
      </w:r>
      <w:r>
        <w:rPr>
          <w:rFonts w:ascii="Times New Roman" w:hAnsi="Times New Roman" w:cs="Times New Roman"/>
        </w:rPr>
        <w:t>9 应急保障措施</w:t>
      </w:r>
      <w:bookmarkEnd w:id="327"/>
      <w:bookmarkEnd w:id="328"/>
      <w:bookmarkEnd w:id="329"/>
      <w:r>
        <w:rPr>
          <w:rFonts w:ascii="Times New Roman" w:hAnsi="Times New Roman" w:cs="Times New Roman"/>
        </w:rPr>
        <w:t xml:space="preserve"> </w:t>
      </w:r>
    </w:p>
    <w:p>
      <w:pPr>
        <w:spacing w:line="360" w:lineRule="auto"/>
        <w:ind w:firstLine="480" w:firstLineChars="200"/>
        <w:rPr>
          <w:rFonts w:cs="Times New Roman"/>
        </w:rPr>
      </w:pPr>
      <w:r>
        <w:rPr>
          <w:rFonts w:cs="Times New Roman"/>
        </w:rPr>
        <w:t xml:space="preserve">为保证在供水水源地发生意外事故或严重局部污染时，不影响正常供水，应启动备用水源供水系统。直接向群众输送达标的饮用水，以保证人民群众的正常生活。 </w:t>
      </w:r>
    </w:p>
    <w:p>
      <w:pPr>
        <w:spacing w:line="360" w:lineRule="auto"/>
        <w:ind w:firstLine="480" w:firstLineChars="200"/>
        <w:rPr>
          <w:rFonts w:cs="Times New Roman"/>
        </w:rPr>
        <w:sectPr>
          <w:pgSz w:w="11906" w:h="16838"/>
          <w:pgMar w:top="1440" w:right="1803" w:bottom="1440" w:left="1803" w:header="851" w:footer="992" w:gutter="0"/>
          <w:cols w:space="720" w:num="1"/>
          <w:docGrid w:type="lines" w:linePitch="332" w:charSpace="0"/>
        </w:sectPr>
      </w:pPr>
      <w:r>
        <w:rPr>
          <w:rFonts w:cs="Times New Roman"/>
        </w:rPr>
        <w:t xml:space="preserve">设立突发事件应急指挥部，总指挥由开江县及乡镇政府有关领导担任，指挥部负责水源地段突发事件应急处置的统一指挥和组织协调；收集、分析、上报突发事故的危害程度和发展趋势，及时启动和停止应急预案；负责与上级主管部门及相关部门的协调工作；统一对外发布突发性事故所造成的危害信息；参与追究造成突发性环境污染事故的当事人的责任。 </w:t>
      </w:r>
    </w:p>
    <w:p>
      <w:pPr>
        <w:pStyle w:val="2"/>
        <w:jc w:val="center"/>
        <w:rPr>
          <w:rFonts w:cs="Times New Roman"/>
        </w:rPr>
      </w:pPr>
      <w:bookmarkStart w:id="330" w:name="_Toc24921"/>
      <w:bookmarkStart w:id="331" w:name="_Toc4229"/>
      <w:bookmarkStart w:id="332" w:name="_Toc24888"/>
      <w:r>
        <w:rPr>
          <w:rFonts w:hint="eastAsia" w:cs="Times New Roman"/>
        </w:rPr>
        <w:t>7</w:t>
      </w:r>
      <w:r>
        <w:rPr>
          <w:rFonts w:cs="Times New Roman"/>
        </w:rPr>
        <w:t xml:space="preserve"> 结论与建议</w:t>
      </w:r>
      <w:bookmarkEnd w:id="330"/>
      <w:bookmarkEnd w:id="331"/>
      <w:bookmarkEnd w:id="332"/>
    </w:p>
    <w:p>
      <w:pPr>
        <w:pStyle w:val="3"/>
        <w:rPr>
          <w:rFonts w:ascii="Times New Roman" w:hAnsi="Times New Roman" w:cs="Times New Roman"/>
        </w:rPr>
      </w:pPr>
      <w:bookmarkStart w:id="333" w:name="_Toc11779"/>
      <w:bookmarkStart w:id="334" w:name="_Toc5231"/>
      <w:bookmarkStart w:id="335" w:name="_Toc16298"/>
      <w:r>
        <w:rPr>
          <w:rFonts w:hint="eastAsia" w:ascii="Times New Roman" w:hAnsi="Times New Roman" w:cs="Times New Roman"/>
        </w:rPr>
        <w:t>7</w:t>
      </w:r>
      <w:r>
        <w:rPr>
          <w:rFonts w:ascii="Times New Roman" w:hAnsi="Times New Roman" w:cs="Times New Roman"/>
        </w:rPr>
        <w:t>.1结论</w:t>
      </w:r>
      <w:bookmarkEnd w:id="333"/>
      <w:bookmarkEnd w:id="334"/>
      <w:bookmarkEnd w:id="335"/>
    </w:p>
    <w:p>
      <w:pPr>
        <w:autoSpaceDE w:val="0"/>
        <w:autoSpaceDN w:val="0"/>
        <w:adjustRightInd w:val="0"/>
        <w:spacing w:line="360" w:lineRule="auto"/>
        <w:ind w:firstLine="480" w:firstLineChars="200"/>
        <w:jc w:val="left"/>
        <w:rPr>
          <w:rFonts w:cs="Times New Roman"/>
          <w:color w:val="000000"/>
          <w:kern w:val="0"/>
        </w:rPr>
      </w:pPr>
      <w:bookmarkStart w:id="336" w:name="_Toc18995"/>
      <w:r>
        <w:rPr>
          <w:rFonts w:cs="Times New Roman"/>
          <w:color w:val="000000"/>
          <w:kern w:val="0"/>
        </w:rPr>
        <w:t xml:space="preserve">1、根据监测和统计结果表明，拟划定的水源保护区的水质各指标均能达到Ⅱ类标准。因此本水源地水质量较好，符合饮用水源保护区的建立要求。 </w:t>
      </w:r>
    </w:p>
    <w:p>
      <w:pPr>
        <w:autoSpaceDE w:val="0"/>
        <w:autoSpaceDN w:val="0"/>
        <w:adjustRightInd w:val="0"/>
        <w:spacing w:line="360" w:lineRule="auto"/>
        <w:ind w:firstLine="480" w:firstLineChars="200"/>
        <w:jc w:val="left"/>
        <w:rPr>
          <w:rFonts w:cs="Times New Roman"/>
          <w:color w:val="000000"/>
          <w:kern w:val="0"/>
        </w:rPr>
      </w:pPr>
      <w:r>
        <w:rPr>
          <w:rFonts w:cs="Times New Roman"/>
          <w:color w:val="000000"/>
          <w:kern w:val="0"/>
        </w:rPr>
        <w:t xml:space="preserve">2、保护区现有污染源主要为少量放牧产生，总体而言，污染物产生量不大。 </w:t>
      </w:r>
    </w:p>
    <w:p>
      <w:pPr>
        <w:autoSpaceDE w:val="0"/>
        <w:autoSpaceDN w:val="0"/>
        <w:adjustRightInd w:val="0"/>
        <w:spacing w:line="360" w:lineRule="auto"/>
        <w:ind w:firstLine="480" w:firstLineChars="200"/>
        <w:jc w:val="left"/>
        <w:rPr>
          <w:rFonts w:cs="Times New Roman"/>
          <w:color w:val="000000"/>
          <w:kern w:val="0"/>
        </w:rPr>
      </w:pPr>
      <w:r>
        <w:rPr>
          <w:rFonts w:cs="Times New Roman"/>
          <w:color w:val="000000"/>
          <w:kern w:val="0"/>
        </w:rPr>
        <w:t xml:space="preserve">3、水源保护区区域划定 </w:t>
      </w:r>
    </w:p>
    <w:p>
      <w:pPr>
        <w:autoSpaceDE w:val="0"/>
        <w:autoSpaceDN w:val="0"/>
        <w:adjustRightInd w:val="0"/>
        <w:spacing w:line="360" w:lineRule="auto"/>
        <w:ind w:firstLine="480" w:firstLineChars="200"/>
        <w:jc w:val="left"/>
        <w:rPr>
          <w:rFonts w:cs="Times New Roman"/>
          <w:color w:val="000000"/>
          <w:kern w:val="0"/>
        </w:rPr>
      </w:pPr>
      <w:r>
        <w:rPr>
          <w:rFonts w:cs="Times New Roman"/>
          <w:color w:val="000000"/>
          <w:kern w:val="0"/>
        </w:rPr>
        <w:t xml:space="preserve">（1）水源保护区区域划定范围 </w:t>
      </w:r>
    </w:p>
    <w:p>
      <w:pPr>
        <w:autoSpaceDE w:val="0"/>
        <w:autoSpaceDN w:val="0"/>
        <w:adjustRightInd w:val="0"/>
        <w:spacing w:line="360" w:lineRule="auto"/>
        <w:ind w:firstLine="480" w:firstLineChars="200"/>
        <w:jc w:val="left"/>
        <w:rPr>
          <w:rFonts w:cs="Times New Roman"/>
          <w:color w:val="000000"/>
          <w:kern w:val="0"/>
        </w:rPr>
      </w:pPr>
      <w:r>
        <w:rPr>
          <w:rFonts w:cs="Times New Roman"/>
          <w:color w:val="000000"/>
          <w:kern w:val="0"/>
        </w:rPr>
        <w:t xml:space="preserve">根据饮用水水源保护区划分原则，结合影响环境水力特性等相关因素，综合经验法的划分成果，划定开江县城集中式饮用水水源保护区。保护区分为三级，即一级保护区、二级保护区和准保护区，保护区面积见6章节。 </w:t>
      </w:r>
    </w:p>
    <w:p>
      <w:pPr>
        <w:ind w:firstLine="480" w:firstLineChars="200"/>
        <w:rPr>
          <w:rFonts w:cs="Times New Roman"/>
          <w:kern w:val="0"/>
        </w:rPr>
      </w:pPr>
      <w:r>
        <w:rPr>
          <w:rFonts w:cs="Times New Roman"/>
          <w:kern w:val="0"/>
        </w:rPr>
        <w:t xml:space="preserve">（2）水源保护区区域位置关键点地理坐标 </w:t>
      </w:r>
    </w:p>
    <w:p>
      <w:pPr>
        <w:autoSpaceDE w:val="0"/>
        <w:autoSpaceDN w:val="0"/>
        <w:adjustRightInd w:val="0"/>
        <w:spacing w:line="360" w:lineRule="auto"/>
        <w:ind w:firstLine="480" w:firstLineChars="200"/>
        <w:jc w:val="left"/>
        <w:rPr>
          <w:rFonts w:cs="Times New Roman"/>
          <w:color w:val="000000"/>
          <w:kern w:val="0"/>
        </w:rPr>
      </w:pPr>
      <w:r>
        <w:rPr>
          <w:rFonts w:cs="Times New Roman"/>
          <w:color w:val="000000"/>
          <w:kern w:val="0"/>
        </w:rPr>
        <w:t xml:space="preserve">开江县城集中式饮用水水源地各级保护区水域边界点详见“ 水源地保护区划图”。 </w:t>
      </w:r>
    </w:p>
    <w:p>
      <w:pPr>
        <w:pStyle w:val="3"/>
        <w:spacing w:line="360" w:lineRule="auto"/>
        <w:rPr>
          <w:rFonts w:ascii="Times New Roman" w:hAnsi="Times New Roman" w:cs="Times New Roman"/>
        </w:rPr>
      </w:pPr>
      <w:bookmarkStart w:id="337" w:name="_Toc9905"/>
      <w:bookmarkStart w:id="338" w:name="_Toc14568"/>
      <w:r>
        <w:rPr>
          <w:rFonts w:hint="eastAsia" w:ascii="Times New Roman" w:hAnsi="Times New Roman" w:cs="Times New Roman"/>
        </w:rPr>
        <w:t>7</w:t>
      </w:r>
      <w:r>
        <w:rPr>
          <w:rFonts w:ascii="Times New Roman" w:hAnsi="Times New Roman" w:cs="Times New Roman"/>
        </w:rPr>
        <w:t>.2 建议</w:t>
      </w:r>
      <w:bookmarkEnd w:id="336"/>
      <w:bookmarkEnd w:id="337"/>
      <w:bookmarkEnd w:id="338"/>
      <w:r>
        <w:rPr>
          <w:rFonts w:ascii="Times New Roman" w:hAnsi="Times New Roman" w:cs="Times New Roman"/>
        </w:rPr>
        <w:t xml:space="preserve"> </w:t>
      </w:r>
    </w:p>
    <w:p>
      <w:pPr>
        <w:autoSpaceDE w:val="0"/>
        <w:autoSpaceDN w:val="0"/>
        <w:adjustRightInd w:val="0"/>
        <w:spacing w:line="360" w:lineRule="auto"/>
        <w:ind w:firstLine="480" w:firstLineChars="200"/>
        <w:jc w:val="left"/>
        <w:rPr>
          <w:rFonts w:cs="Times New Roman"/>
          <w:color w:val="000000"/>
          <w:kern w:val="0"/>
        </w:rPr>
      </w:pPr>
      <w:bookmarkStart w:id="339" w:name="_Toc28508"/>
      <w:r>
        <w:rPr>
          <w:rFonts w:cs="Times New Roman"/>
          <w:color w:val="000000"/>
          <w:kern w:val="0"/>
        </w:rPr>
        <w:t>开江县城集中式饮用水水源保护区建立后，为切实保护好各级保 护区内的水质，建议尽快完成以下工作：</w:t>
      </w:r>
    </w:p>
    <w:p>
      <w:pPr>
        <w:autoSpaceDE w:val="0"/>
        <w:autoSpaceDN w:val="0"/>
        <w:adjustRightInd w:val="0"/>
        <w:spacing w:line="360" w:lineRule="auto"/>
        <w:ind w:firstLine="480" w:firstLineChars="200"/>
        <w:jc w:val="left"/>
        <w:rPr>
          <w:rFonts w:cs="Times New Roman"/>
          <w:color w:val="000000"/>
          <w:kern w:val="0"/>
        </w:rPr>
      </w:pPr>
      <w:r>
        <w:rPr>
          <w:rFonts w:hint="eastAsia" w:cs="Times New Roman"/>
          <w:color w:val="000000"/>
          <w:kern w:val="0"/>
        </w:rPr>
        <w:t>1</w:t>
      </w:r>
      <w:r>
        <w:rPr>
          <w:rFonts w:cs="Times New Roman"/>
          <w:color w:val="000000"/>
          <w:kern w:val="0"/>
        </w:rPr>
        <w:t>、建议远期建立城镇污水处理厂，污水排放经净化处理，可以用于农作物及场镇绿地灌溉，提高废水的综合利用率，逐步达到废水资源化。</w:t>
      </w:r>
    </w:p>
    <w:p>
      <w:pPr>
        <w:autoSpaceDE w:val="0"/>
        <w:autoSpaceDN w:val="0"/>
        <w:adjustRightInd w:val="0"/>
        <w:spacing w:line="360" w:lineRule="auto"/>
        <w:ind w:firstLine="480" w:firstLineChars="200"/>
        <w:jc w:val="left"/>
        <w:rPr>
          <w:rFonts w:cs="Times New Roman"/>
          <w:color w:val="000000"/>
          <w:kern w:val="0"/>
        </w:rPr>
      </w:pPr>
      <w:r>
        <w:rPr>
          <w:rFonts w:hint="eastAsia" w:cs="Times New Roman"/>
          <w:color w:val="000000"/>
          <w:kern w:val="0"/>
        </w:rPr>
        <w:t>2</w:t>
      </w:r>
      <w:r>
        <w:rPr>
          <w:rFonts w:cs="Times New Roman"/>
          <w:color w:val="000000"/>
          <w:kern w:val="0"/>
        </w:rPr>
        <w:t>、禁止在取水点上游引进工矿企业，切实控制保护区的污染源。</w:t>
      </w:r>
    </w:p>
    <w:p>
      <w:pPr>
        <w:autoSpaceDE w:val="0"/>
        <w:autoSpaceDN w:val="0"/>
        <w:adjustRightInd w:val="0"/>
        <w:spacing w:line="360" w:lineRule="auto"/>
        <w:ind w:firstLine="480" w:firstLineChars="200"/>
        <w:jc w:val="left"/>
        <w:rPr>
          <w:rFonts w:cs="Times New Roman"/>
          <w:color w:val="000000"/>
          <w:kern w:val="0"/>
        </w:rPr>
      </w:pPr>
      <w:r>
        <w:rPr>
          <w:rFonts w:hint="eastAsia" w:cs="Times New Roman"/>
          <w:color w:val="000000"/>
          <w:kern w:val="0"/>
        </w:rPr>
        <w:t>3</w:t>
      </w:r>
      <w:r>
        <w:rPr>
          <w:rFonts w:cs="Times New Roman"/>
          <w:color w:val="000000"/>
          <w:kern w:val="0"/>
        </w:rPr>
        <w:t>、尽管水源地存在农业面源污染的风险较小，但仍建议保护区附近的农田使用生态肥料，并减少农药的使用量。</w:t>
      </w:r>
    </w:p>
    <w:p>
      <w:pPr>
        <w:autoSpaceDE w:val="0"/>
        <w:autoSpaceDN w:val="0"/>
        <w:adjustRightInd w:val="0"/>
        <w:spacing w:line="360" w:lineRule="auto"/>
        <w:ind w:firstLine="480" w:firstLineChars="200"/>
        <w:jc w:val="left"/>
        <w:rPr>
          <w:rFonts w:cs="Times New Roman"/>
          <w:color w:val="000000"/>
          <w:kern w:val="0"/>
        </w:rPr>
      </w:pPr>
      <w:r>
        <w:rPr>
          <w:rFonts w:hint="eastAsia" w:cs="Times New Roman"/>
          <w:color w:val="000000"/>
          <w:kern w:val="0"/>
        </w:rPr>
        <w:t>4</w:t>
      </w:r>
      <w:r>
        <w:rPr>
          <w:rFonts w:cs="Times New Roman"/>
          <w:color w:val="000000"/>
          <w:kern w:val="0"/>
        </w:rPr>
        <w:t>、管理能力建设，建立健全领导班子，组建领导小组，有关单位各负其责，各司其职。完善各项规章制度及岗位责任制，强化环保 意识，提高环境执法水平。</w:t>
      </w:r>
    </w:p>
    <w:p>
      <w:pPr>
        <w:autoSpaceDE w:val="0"/>
        <w:autoSpaceDN w:val="0"/>
        <w:adjustRightInd w:val="0"/>
        <w:spacing w:line="360" w:lineRule="auto"/>
        <w:ind w:firstLine="480" w:firstLineChars="200"/>
        <w:jc w:val="left"/>
        <w:rPr>
          <w:rFonts w:cs="Times New Roman"/>
          <w:color w:val="000000"/>
          <w:kern w:val="0"/>
        </w:rPr>
      </w:pPr>
      <w:r>
        <w:rPr>
          <w:rFonts w:hint="eastAsia" w:cs="Times New Roman"/>
          <w:color w:val="000000"/>
          <w:kern w:val="0"/>
        </w:rPr>
        <w:t>5</w:t>
      </w:r>
      <w:r>
        <w:rPr>
          <w:rFonts w:cs="Times New Roman"/>
          <w:color w:val="000000"/>
          <w:kern w:val="0"/>
        </w:rPr>
        <w:t>、建立一整套的抢救、处理、监测、治安管理体系及机制，由指挥中心负责全盘工作，具体由环境保护局、水务局、乡镇政府负责，会同各职能部门共同落实应急预案。</w:t>
      </w:r>
    </w:p>
    <w:p>
      <w:pPr>
        <w:autoSpaceDE w:val="0"/>
        <w:autoSpaceDN w:val="0"/>
        <w:adjustRightInd w:val="0"/>
        <w:spacing w:line="360" w:lineRule="auto"/>
        <w:ind w:firstLine="480" w:firstLineChars="200"/>
        <w:jc w:val="left"/>
        <w:rPr>
          <w:rFonts w:cs="Times New Roman"/>
          <w:color w:val="000000"/>
          <w:kern w:val="0"/>
        </w:rPr>
      </w:pPr>
      <w:r>
        <w:rPr>
          <w:rFonts w:hint="eastAsia" w:cs="Times New Roman"/>
          <w:color w:val="000000"/>
          <w:kern w:val="0"/>
        </w:rPr>
        <w:t>6</w:t>
      </w:r>
      <w:r>
        <w:rPr>
          <w:rFonts w:cs="Times New Roman"/>
          <w:color w:val="000000"/>
          <w:kern w:val="0"/>
        </w:rPr>
        <w:t>、建议远期建立饮用水水源地自动监测系统。</w:t>
      </w:r>
    </w:p>
    <w:p>
      <w:pPr>
        <w:autoSpaceDE w:val="0"/>
        <w:autoSpaceDN w:val="0"/>
        <w:adjustRightInd w:val="0"/>
        <w:spacing w:line="360" w:lineRule="auto"/>
        <w:ind w:firstLine="480" w:firstLineChars="200"/>
        <w:jc w:val="left"/>
        <w:rPr>
          <w:rFonts w:cs="Times New Roman"/>
          <w:color w:val="000000"/>
          <w:kern w:val="0"/>
        </w:rPr>
      </w:pPr>
      <w:r>
        <w:rPr>
          <w:rFonts w:hint="eastAsia" w:cs="Times New Roman"/>
          <w:color w:val="000000"/>
          <w:kern w:val="0"/>
        </w:rPr>
        <w:t>7</w:t>
      </w:r>
      <w:r>
        <w:rPr>
          <w:rFonts w:cs="Times New Roman"/>
          <w:color w:val="000000"/>
          <w:kern w:val="0"/>
        </w:rPr>
        <w:t>、根据《四川省饮用水水源保护管理条例（2012）》：地表水饮用水源二级保护区内禁止新建、改建、扩建排放污染物的建设项目；已建成的排放污染物的建设项目，由县级以上地方人民政府责令拆除或者关闭。如保护区内有农户，建议远期结合新农村、村镇建设规划等逐步迁出保护区外。</w:t>
      </w:r>
    </w:p>
    <w:p>
      <w:pPr>
        <w:autoSpaceDE w:val="0"/>
        <w:autoSpaceDN w:val="0"/>
        <w:adjustRightInd w:val="0"/>
        <w:spacing w:line="360" w:lineRule="auto"/>
        <w:ind w:firstLine="480" w:firstLineChars="200"/>
        <w:jc w:val="left"/>
        <w:rPr>
          <w:rFonts w:cs="Times New Roman"/>
          <w:color w:val="000000"/>
          <w:kern w:val="0"/>
        </w:rPr>
      </w:pPr>
      <w:r>
        <w:rPr>
          <w:rFonts w:hint="eastAsia" w:cs="Times New Roman"/>
          <w:color w:val="000000"/>
          <w:kern w:val="0"/>
        </w:rPr>
        <w:t>8</w:t>
      </w:r>
      <w:r>
        <w:rPr>
          <w:rFonts w:cs="Times New Roman"/>
          <w:color w:val="000000"/>
          <w:kern w:val="0"/>
        </w:rPr>
        <w:t>、保护区范围内现状无污染源，未来应加大区域管理，严防新增污染源的产生，杜绝水源污染。</w:t>
      </w:r>
    </w:p>
    <w:p>
      <w:pPr>
        <w:rPr>
          <w:rFonts w:cs="Times New Roman"/>
        </w:rPr>
        <w:sectPr>
          <w:pgSz w:w="11906" w:h="16838"/>
          <w:pgMar w:top="1440" w:right="1800" w:bottom="1440" w:left="1800" w:header="851" w:footer="992" w:gutter="0"/>
          <w:cols w:space="720" w:num="1"/>
          <w:docGrid w:type="lines" w:linePitch="326" w:charSpace="0"/>
        </w:sectPr>
      </w:pPr>
    </w:p>
    <w:p>
      <w:pPr>
        <w:pStyle w:val="2"/>
        <w:jc w:val="center"/>
        <w:rPr>
          <w:rFonts w:cs="Times New Roman"/>
        </w:rPr>
      </w:pPr>
      <w:bookmarkStart w:id="340" w:name="_Toc27339"/>
      <w:bookmarkStart w:id="341" w:name="_Toc25690"/>
      <w:r>
        <w:rPr>
          <w:rFonts w:hint="eastAsia" w:cs="Times New Roman"/>
        </w:rPr>
        <w:t>8</w:t>
      </w:r>
      <w:r>
        <w:rPr>
          <w:rFonts w:cs="Times New Roman"/>
        </w:rPr>
        <w:t xml:space="preserve"> 附录</w:t>
      </w:r>
      <w:bookmarkEnd w:id="339"/>
      <w:bookmarkEnd w:id="340"/>
      <w:bookmarkEnd w:id="341"/>
    </w:p>
    <w:p>
      <w:pPr>
        <w:pStyle w:val="3"/>
        <w:spacing w:before="0" w:after="0" w:line="360" w:lineRule="auto"/>
        <w:rPr>
          <w:rFonts w:ascii="Times New Roman" w:hAnsi="Times New Roman" w:cs="Times New Roman"/>
        </w:rPr>
      </w:pPr>
      <w:bookmarkStart w:id="342" w:name="_Toc20066"/>
      <w:bookmarkStart w:id="343" w:name="_Toc11705"/>
      <w:bookmarkStart w:id="344" w:name="_Toc8903"/>
      <w:r>
        <w:rPr>
          <w:rFonts w:hint="eastAsia" w:ascii="Times New Roman" w:hAnsi="Times New Roman" w:cs="Times New Roman"/>
        </w:rPr>
        <w:t>8</w:t>
      </w:r>
      <w:r>
        <w:rPr>
          <w:rFonts w:ascii="Times New Roman" w:hAnsi="Times New Roman" w:cs="Times New Roman"/>
        </w:rPr>
        <w:t>.1附表</w:t>
      </w:r>
      <w:bookmarkEnd w:id="342"/>
      <w:bookmarkEnd w:id="343"/>
      <w:bookmarkEnd w:id="344"/>
      <w:bookmarkStart w:id="345" w:name="_Toc12126"/>
    </w:p>
    <w:p>
      <w:pPr>
        <w:jc w:val="center"/>
        <w:rPr>
          <w:rFonts w:cs="Times New Roman"/>
        </w:rPr>
      </w:pPr>
      <w:bookmarkStart w:id="346" w:name="_Toc492565844"/>
      <w:bookmarkStart w:id="347" w:name="_Toc492740627"/>
      <w:r>
        <w:rPr>
          <w:rFonts w:cs="Times New Roman"/>
          <w:b/>
          <w:kern w:val="0"/>
          <w:sz w:val="20"/>
          <w:szCs w:val="20"/>
          <w:lang w:val="zh-CN"/>
        </w:rPr>
        <w:t>附表1  开江县</w:t>
      </w:r>
      <w:r>
        <w:rPr>
          <w:rFonts w:hint="eastAsia" w:cs="Times New Roman"/>
          <w:b/>
          <w:kern w:val="0"/>
          <w:sz w:val="20"/>
          <w:szCs w:val="20"/>
          <w:lang w:val="zh-CN"/>
        </w:rPr>
        <w:t>宝石桥水库</w:t>
      </w:r>
      <w:r>
        <w:rPr>
          <w:rFonts w:cs="Times New Roman"/>
          <w:b/>
          <w:kern w:val="0"/>
          <w:sz w:val="20"/>
          <w:szCs w:val="20"/>
          <w:lang w:val="zh-CN"/>
        </w:rPr>
        <w:t>集中式地表水水源地水质评价结果</w:t>
      </w:r>
      <w:r>
        <w:rPr>
          <w:rFonts w:cs="Times New Roman"/>
          <w:b/>
          <w:kern w:val="0"/>
          <w:sz w:val="20"/>
          <w:szCs w:val="20"/>
        </w:rPr>
        <w:t xml:space="preserve">  </w:t>
      </w:r>
      <w:r>
        <w:rPr>
          <w:rFonts w:cs="Times New Roman"/>
          <w:b/>
          <w:kern w:val="0"/>
          <w:sz w:val="20"/>
          <w:szCs w:val="20"/>
          <w:lang w:val="zh-CN"/>
        </w:rPr>
        <w:t>单位：mg/L</w:t>
      </w:r>
      <w:bookmarkEnd w:id="346"/>
      <w:bookmarkEnd w:id="347"/>
    </w:p>
    <w:tbl>
      <w:tblPr>
        <w:tblStyle w:val="21"/>
        <w:tblW w:w="8175" w:type="dxa"/>
        <w:tblInd w:w="158"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97"/>
        <w:gridCol w:w="2367"/>
        <w:gridCol w:w="1633"/>
        <w:gridCol w:w="1684"/>
        <w:gridCol w:w="129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95" w:hRule="atLeast"/>
          <w:tblHeader/>
        </w:trPr>
        <w:tc>
          <w:tcPr>
            <w:tcW w:w="1197"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监测地点</w:t>
            </w:r>
          </w:p>
        </w:tc>
        <w:tc>
          <w:tcPr>
            <w:tcW w:w="2367"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监测项目</w:t>
            </w:r>
          </w:p>
        </w:tc>
        <w:tc>
          <w:tcPr>
            <w:tcW w:w="1633"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单位</w:t>
            </w:r>
          </w:p>
        </w:tc>
        <w:tc>
          <w:tcPr>
            <w:tcW w:w="168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监测结果</w:t>
            </w: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结果评价</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0" w:hRule="atLeast"/>
        </w:trPr>
        <w:tc>
          <w:tcPr>
            <w:tcW w:w="1197" w:type="dxa"/>
            <w:vMerge w:val="restart"/>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开江县</w:t>
            </w:r>
            <w:r>
              <w:rPr>
                <w:rFonts w:hint="eastAsia" w:eastAsia="宋体" w:cs="Times New Roman"/>
                <w:color w:val="000000"/>
                <w:kern w:val="0"/>
                <w:sz w:val="18"/>
                <w:szCs w:val="18"/>
                <w:lang w:bidi="ar"/>
              </w:rPr>
              <w:t>宝石桥水库</w:t>
            </w:r>
            <w:r>
              <w:rPr>
                <w:rFonts w:eastAsia="宋体" w:cs="Times New Roman"/>
                <w:color w:val="000000"/>
                <w:kern w:val="0"/>
                <w:sz w:val="18"/>
                <w:szCs w:val="18"/>
                <w:lang w:bidi="ar"/>
              </w:rPr>
              <w:t>水源地</w:t>
            </w: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水温</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w:t>
            </w:r>
          </w:p>
        </w:tc>
        <w:tc>
          <w:tcPr>
            <w:tcW w:w="1684" w:type="dxa"/>
            <w:vAlign w:val="center"/>
          </w:tcPr>
          <w:p>
            <w:pPr>
              <w:widowControl/>
              <w:jc w:val="center"/>
              <w:textAlignment w:val="center"/>
              <w:rPr>
                <w:rFonts w:eastAsia="宋体" w:cs="Times New Roman"/>
                <w:kern w:val="0"/>
                <w:sz w:val="18"/>
                <w:szCs w:val="18"/>
              </w:rPr>
            </w:pPr>
          </w:p>
        </w:tc>
        <w:tc>
          <w:tcPr>
            <w:tcW w:w="1294" w:type="dxa"/>
            <w:vAlign w:val="center"/>
          </w:tcPr>
          <w:p>
            <w:pPr>
              <w:widowControl/>
              <w:jc w:val="center"/>
              <w:textAlignment w:val="center"/>
              <w:rPr>
                <w:rFonts w:cs="Times New Roman"/>
                <w:b/>
                <w:kern w:val="0"/>
                <w:sz w:val="18"/>
                <w:szCs w:val="18"/>
              </w:rPr>
            </w:pPr>
            <w:r>
              <w:rPr>
                <w:rFonts w:eastAsia="宋体" w:cs="Times New Roman"/>
                <w:b/>
                <w:color w:val="000000"/>
                <w:kern w:val="0"/>
                <w:sz w:val="18"/>
                <w:szCs w:val="18"/>
                <w:lang w:bidi="ar"/>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pH</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无量纲</w:t>
            </w:r>
          </w:p>
        </w:tc>
        <w:tc>
          <w:tcPr>
            <w:tcW w:w="1684" w:type="dxa"/>
            <w:vAlign w:val="center"/>
          </w:tcPr>
          <w:p>
            <w:pPr>
              <w:widowControl/>
              <w:jc w:val="center"/>
              <w:textAlignment w:val="center"/>
              <w:rPr>
                <w:rFonts w:eastAsia="宋体" w:cs="Times New Roman"/>
                <w:kern w:val="0"/>
                <w:sz w:val="18"/>
                <w:szCs w:val="18"/>
              </w:rPr>
            </w:pPr>
          </w:p>
        </w:tc>
        <w:tc>
          <w:tcPr>
            <w:tcW w:w="1294" w:type="dxa"/>
            <w:vAlign w:val="center"/>
          </w:tcPr>
          <w:p>
            <w:pPr>
              <w:widowControl/>
              <w:jc w:val="center"/>
              <w:textAlignment w:val="center"/>
              <w:rPr>
                <w:rFonts w:cs="Times New Roman"/>
                <w:b/>
                <w:kern w:val="0"/>
                <w:sz w:val="18"/>
                <w:szCs w:val="18"/>
              </w:rPr>
            </w:pPr>
            <w:r>
              <w:rPr>
                <w:rFonts w:eastAsia="宋体" w:cs="Times New Roman"/>
                <w:b/>
                <w:color w:val="000000"/>
                <w:kern w:val="0"/>
                <w:sz w:val="18"/>
                <w:szCs w:val="18"/>
                <w:lang w:bidi="ar"/>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溶解氧</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eastAsia="宋体" w:cs="Times New Roman"/>
                <w:kern w:val="0"/>
                <w:sz w:val="18"/>
                <w:szCs w:val="18"/>
              </w:rPr>
            </w:pPr>
          </w:p>
        </w:tc>
        <w:tc>
          <w:tcPr>
            <w:tcW w:w="1294" w:type="dxa"/>
            <w:vAlign w:val="center"/>
          </w:tcPr>
          <w:p>
            <w:pPr>
              <w:widowControl/>
              <w:jc w:val="center"/>
              <w:textAlignment w:val="center"/>
              <w:rPr>
                <w:rFonts w:cs="Times New Roman"/>
                <w:b/>
                <w:kern w:val="0"/>
                <w:sz w:val="18"/>
                <w:szCs w:val="18"/>
              </w:rPr>
            </w:pPr>
            <w:r>
              <w:rPr>
                <w:rFonts w:eastAsia="宋体" w:cs="Times New Roman"/>
                <w:b/>
                <w:color w:val="000000"/>
                <w:kern w:val="0"/>
                <w:sz w:val="18"/>
                <w:szCs w:val="18"/>
                <w:lang w:bidi="ar"/>
              </w:rPr>
              <w:t>Ⅱ</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高锰酸盐指数</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kern w:val="0"/>
                <w:sz w:val="18"/>
                <w:szCs w:val="18"/>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化学需氧量</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eastAsia="宋体" w:cs="Times New Roman"/>
                <w:kern w:val="0"/>
                <w:sz w:val="18"/>
                <w:szCs w:val="18"/>
              </w:rPr>
            </w:pPr>
          </w:p>
        </w:tc>
        <w:tc>
          <w:tcPr>
            <w:tcW w:w="1294" w:type="dxa"/>
            <w:vAlign w:val="center"/>
          </w:tcPr>
          <w:p>
            <w:pPr>
              <w:widowControl/>
              <w:jc w:val="center"/>
              <w:textAlignment w:val="center"/>
              <w:rPr>
                <w:rFonts w:cs="Times New Roman"/>
                <w:b/>
                <w:kern w:val="0"/>
                <w:sz w:val="18"/>
                <w:szCs w:val="18"/>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五日生化需氧量</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kern w:val="0"/>
                <w:sz w:val="18"/>
                <w:szCs w:val="18"/>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氨氮</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kern w:val="0"/>
                <w:sz w:val="18"/>
                <w:szCs w:val="18"/>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总磷</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总氮</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rPr>
            </w:pPr>
            <w:r>
              <w:rPr>
                <w:rFonts w:eastAsia="宋体" w:cs="Times New Roman"/>
                <w:b/>
                <w:color w:val="000000"/>
                <w:kern w:val="0"/>
                <w:sz w:val="18"/>
                <w:szCs w:val="18"/>
                <w:lang w:bidi="ar"/>
              </w:rPr>
              <w:t>Ⅱ</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铜</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锌</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eastAsia="宋体" w:cs="Times New Roman"/>
                <w:kern w:val="0"/>
                <w:sz w:val="18"/>
                <w:szCs w:val="18"/>
              </w:rPr>
            </w:pPr>
          </w:p>
        </w:tc>
        <w:tc>
          <w:tcPr>
            <w:tcW w:w="1294" w:type="dxa"/>
          </w:tcPr>
          <w:p>
            <w:pPr>
              <w:widowControl/>
              <w:jc w:val="center"/>
              <w:textAlignment w:val="top"/>
              <w:rPr>
                <w:rFonts w:cs="Times New Roman"/>
                <w:b/>
                <w:kern w:val="0"/>
                <w:sz w:val="18"/>
                <w:szCs w:val="18"/>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氟化物</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硒</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砷</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汞</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镉</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kern w:val="0"/>
                <w:sz w:val="18"/>
                <w:szCs w:val="18"/>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六价铬</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铅</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kern w:val="0"/>
                <w:sz w:val="18"/>
                <w:szCs w:val="18"/>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氰化物</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kern w:val="0"/>
                <w:sz w:val="18"/>
                <w:szCs w:val="18"/>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挥发酚</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kern w:val="0"/>
                <w:sz w:val="18"/>
                <w:szCs w:val="18"/>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石油类</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阴离子表面活性剂</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硫化物</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粪大肠菌群数</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个/L</w:t>
            </w:r>
          </w:p>
        </w:tc>
        <w:tc>
          <w:tcPr>
            <w:tcW w:w="1684" w:type="dxa"/>
            <w:vAlign w:val="center"/>
          </w:tcPr>
          <w:p>
            <w:pPr>
              <w:widowControl/>
              <w:jc w:val="center"/>
              <w:textAlignment w:val="center"/>
              <w:rPr>
                <w:rFonts w:eastAsia="宋体" w:cs="Times New Roman"/>
                <w:kern w:val="0"/>
                <w:sz w:val="18"/>
                <w:szCs w:val="18"/>
              </w:rPr>
            </w:pPr>
          </w:p>
        </w:tc>
        <w:tc>
          <w:tcPr>
            <w:tcW w:w="1294" w:type="dxa"/>
            <w:vAlign w:val="center"/>
          </w:tcPr>
          <w:p>
            <w:pPr>
              <w:widowControl/>
              <w:jc w:val="center"/>
              <w:textAlignment w:val="center"/>
              <w:rPr>
                <w:rFonts w:cs="Times New Roman"/>
                <w:b/>
              </w:rPr>
            </w:pPr>
            <w:r>
              <w:rPr>
                <w:rFonts w:eastAsia="宋体" w:cs="Times New Roman"/>
                <w:b/>
                <w:color w:val="000000"/>
                <w:kern w:val="0"/>
                <w:sz w:val="18"/>
                <w:szCs w:val="18"/>
                <w:lang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硫酸盐</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氯化物</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82"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硝酸盐（以N</w:t>
            </w:r>
            <w:r>
              <w:rPr>
                <w:rStyle w:val="29"/>
                <w:rFonts w:hint="default" w:ascii="Times New Roman" w:hAnsi="Times New Roman" w:cs="Times New Roman"/>
                <w:lang w:bidi="ar"/>
              </w:rPr>
              <w:t>计）</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铁</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锰</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三氯甲烷</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四氯化碳</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三溴甲烷</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二氯甲烷</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1,2-二氯乙烷</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环氧氯丙烷</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氯乙烯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1,1-二氯乙烯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1,2二氯乙烯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三氯乙烯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四氯乙烯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氯丁二烯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六氯丁二烯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苯乙烯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甲醛</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乙醛</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丙烯醛</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三氯乙醛</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甲苯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乙苯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二甲苯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异丙苯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氯苯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1,2-二氯苯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1,4-二氯苯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三氯苯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四氯苯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六氯苯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硝基苯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二硝基苯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2,4二硝基甲苯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2,4,6三硝基甲苯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硝基氯苯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2,4二硝基氯苯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2,4二氯苯酚</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2,3,6三氯苯酚</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五氯酚</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苯胺</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联苯胺</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丙烯酰胺</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丙烯腈</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0"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邻苯二甲酸二丁酯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邻苯二甲酸二（2-乙基己基）酯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水合肼</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四乙基铅</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吡啶</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松节油</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苦味酸</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丁基黄原酸</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活性氯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滴滴涕</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林丹</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环氧七氯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对硫磷</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甲基对硫磷</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tcPr>
          <w:p>
            <w:pPr>
              <w:widowControl/>
              <w:jc w:val="center"/>
              <w:textAlignment w:val="top"/>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马拉硫磷</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乐果</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敌敌畏</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敌百虫</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内吸磷</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百菌清</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甲萘威</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溴氰菊酯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阿特拉津</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苯并（</w:t>
            </w:r>
            <w:r>
              <w:rPr>
                <w:rStyle w:val="30"/>
                <w:rFonts w:ascii="Times New Roman" w:hAnsi="Times New Roman" w:eastAsia="宋体" w:cs="Times New Roman"/>
                <w:lang w:bidi="ar"/>
              </w:rPr>
              <w:t>α</w:t>
            </w:r>
            <w:r>
              <w:rPr>
                <w:rStyle w:val="29"/>
                <w:rFonts w:hint="default" w:ascii="Times New Roman" w:hAnsi="Times New Roman" w:cs="Times New Roman"/>
                <w:lang w:bidi="ar"/>
              </w:rPr>
              <w:t>）花</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甲基汞</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多氯联苯</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微囊藻毒素-LR</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黄磷</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钼</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钴</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铍</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硼</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锑</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镍</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钡</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钒</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钛</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cs="Times New Roman"/>
                <w:b/>
                <w:bCs/>
                <w:kern w:val="0"/>
                <w:sz w:val="18"/>
                <w:szCs w:val="18"/>
              </w:rPr>
            </w:pPr>
          </w:p>
        </w:tc>
        <w:tc>
          <w:tcPr>
            <w:tcW w:w="2367" w:type="dxa"/>
            <w:vAlign w:val="center"/>
          </w:tcPr>
          <w:p>
            <w:pPr>
              <w:widowControl/>
              <w:jc w:val="center"/>
              <w:textAlignment w:val="center"/>
              <w:rPr>
                <w:rFonts w:eastAsia="宋体" w:cs="Times New Roman"/>
                <w:kern w:val="0"/>
                <w:sz w:val="18"/>
                <w:szCs w:val="18"/>
              </w:rPr>
            </w:pPr>
            <w:r>
              <w:rPr>
                <w:rFonts w:eastAsia="宋体" w:cs="Times New Roman"/>
                <w:color w:val="000000"/>
                <w:kern w:val="0"/>
                <w:sz w:val="18"/>
                <w:szCs w:val="18"/>
                <w:lang w:bidi="ar"/>
              </w:rPr>
              <w:t>铊</w:t>
            </w:r>
          </w:p>
        </w:tc>
        <w:tc>
          <w:tcPr>
            <w:tcW w:w="1633" w:type="dxa"/>
            <w:vAlign w:val="center"/>
          </w:tcPr>
          <w:p>
            <w:pPr>
              <w:widowControl/>
              <w:jc w:val="center"/>
              <w:textAlignment w:val="center"/>
              <w:rPr>
                <w:rFonts w:cs="Times New Roman"/>
                <w:kern w:val="0"/>
                <w:sz w:val="18"/>
                <w:szCs w:val="18"/>
              </w:rPr>
            </w:pPr>
            <w:r>
              <w:rPr>
                <w:rFonts w:eastAsia="宋体" w:cs="Times New Roman"/>
                <w:color w:val="000000"/>
                <w:kern w:val="0"/>
                <w:sz w:val="18"/>
                <w:szCs w:val="18"/>
                <w:lang w:bidi="ar"/>
              </w:rPr>
              <w:t>mg/L</w:t>
            </w:r>
          </w:p>
        </w:tc>
        <w:tc>
          <w:tcPr>
            <w:tcW w:w="1684" w:type="dxa"/>
            <w:vAlign w:val="center"/>
          </w:tcPr>
          <w:p>
            <w:pPr>
              <w:widowControl/>
              <w:jc w:val="center"/>
              <w:textAlignment w:val="center"/>
              <w:rPr>
                <w:rFonts w:cs="Times New Roman"/>
                <w:kern w:val="0"/>
                <w:sz w:val="18"/>
                <w:szCs w:val="18"/>
              </w:rPr>
            </w:pPr>
          </w:p>
        </w:tc>
        <w:tc>
          <w:tcPr>
            <w:tcW w:w="1294" w:type="dxa"/>
            <w:vAlign w:val="center"/>
          </w:tcPr>
          <w:p>
            <w:pPr>
              <w:widowControl/>
              <w:jc w:val="center"/>
              <w:textAlignment w:val="center"/>
              <w:rPr>
                <w:rFonts w:cs="Times New Roman"/>
                <w:b/>
                <w:bCs/>
                <w:kern w:val="0"/>
                <w:sz w:val="18"/>
                <w:szCs w:val="18"/>
              </w:rPr>
            </w:pPr>
            <w:r>
              <w:rPr>
                <w:rFonts w:eastAsia="宋体" w:cs="Times New Roman"/>
                <w:b/>
                <w:color w:val="000000"/>
                <w:kern w:val="0"/>
                <w:sz w:val="18"/>
                <w:szCs w:val="18"/>
                <w:lang w:bidi="ar"/>
              </w:rPr>
              <w:t>达标</w:t>
            </w:r>
          </w:p>
        </w:tc>
      </w:tr>
    </w:tbl>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pStyle w:val="3"/>
        <w:rPr>
          <w:rFonts w:ascii="Times New Roman" w:hAnsi="Times New Roman" w:cs="Times New Roman"/>
        </w:rPr>
      </w:pPr>
      <w:bookmarkStart w:id="348" w:name="_Toc17208"/>
      <w:bookmarkStart w:id="349" w:name="_Toc1753"/>
      <w:r>
        <w:rPr>
          <w:rFonts w:hint="eastAsia" w:ascii="Times New Roman" w:hAnsi="Times New Roman" w:cs="Times New Roman"/>
        </w:rPr>
        <w:t>8</w:t>
      </w:r>
      <w:r>
        <w:rPr>
          <w:rFonts w:ascii="Times New Roman" w:hAnsi="Times New Roman" w:cs="Times New Roman"/>
        </w:rPr>
        <w:t>.2附件</w:t>
      </w:r>
      <w:bookmarkEnd w:id="345"/>
      <w:bookmarkEnd w:id="348"/>
      <w:bookmarkEnd w:id="349"/>
    </w:p>
    <w:p>
      <w:pPr>
        <w:pStyle w:val="4"/>
        <w:rPr>
          <w:rFonts w:ascii="Times New Roman" w:hAnsi="Times New Roman" w:cs="Times New Roman"/>
        </w:rPr>
      </w:pPr>
      <w:bookmarkStart w:id="350" w:name="_Toc21162"/>
      <w:bookmarkStart w:id="351" w:name="_Toc4101"/>
      <w:bookmarkStart w:id="352" w:name="_Toc1267"/>
      <w:bookmarkStart w:id="353" w:name="_Toc13993"/>
      <w:r>
        <w:rPr>
          <w:rFonts w:hint="eastAsia" w:ascii="Times New Roman" w:hAnsi="Times New Roman" w:cs="Times New Roman"/>
        </w:rPr>
        <w:t>8</w:t>
      </w:r>
      <w:r>
        <w:rPr>
          <w:rFonts w:ascii="Times New Roman" w:hAnsi="Times New Roman" w:cs="Times New Roman"/>
        </w:rPr>
        <w:t>.2.1关于进一步加强饮用水水源保护工作的通知</w:t>
      </w:r>
      <w:bookmarkEnd w:id="350"/>
      <w:bookmarkEnd w:id="351"/>
      <w:bookmarkEnd w:id="352"/>
      <w:bookmarkEnd w:id="353"/>
    </w:p>
    <w:p>
      <w:pPr>
        <w:rPr>
          <w:rFonts w:cs="Times New Roman"/>
        </w:rPr>
      </w:pPr>
      <w:r>
        <w:rPr>
          <w:rFonts w:cs="Times New Roman"/>
        </w:rPr>
        <w:drawing>
          <wp:inline distT="0" distB="0" distL="114300" distR="114300">
            <wp:extent cx="5133340" cy="7057390"/>
            <wp:effectExtent l="0" t="0" r="10160" b="10160"/>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35"/>
                    <a:stretch>
                      <a:fillRect/>
                    </a:stretch>
                  </pic:blipFill>
                  <pic:spPr>
                    <a:xfrm>
                      <a:off x="0" y="0"/>
                      <a:ext cx="5133340" cy="7057390"/>
                    </a:xfrm>
                    <a:prstGeom prst="rect">
                      <a:avLst/>
                    </a:prstGeom>
                    <a:noFill/>
                    <a:ln w="9525">
                      <a:noFill/>
                    </a:ln>
                  </pic:spPr>
                </pic:pic>
              </a:graphicData>
            </a:graphic>
          </wp:inline>
        </w:drawing>
      </w:r>
      <w:r>
        <w:rPr>
          <w:rFonts w:cs="Times New Roman"/>
        </w:rPr>
        <w:drawing>
          <wp:inline distT="0" distB="0" distL="114300" distR="114300">
            <wp:extent cx="5269865" cy="7254240"/>
            <wp:effectExtent l="0" t="0" r="6985" b="3810"/>
            <wp:docPr id="18"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
                    <pic:cNvPicPr>
                      <a:picLocks noChangeAspect="1"/>
                    </pic:cNvPicPr>
                  </pic:nvPicPr>
                  <pic:blipFill>
                    <a:blip r:embed="rId36"/>
                    <a:stretch>
                      <a:fillRect/>
                    </a:stretch>
                  </pic:blipFill>
                  <pic:spPr>
                    <a:xfrm>
                      <a:off x="0" y="0"/>
                      <a:ext cx="5269865" cy="7254240"/>
                    </a:xfrm>
                    <a:prstGeom prst="rect">
                      <a:avLst/>
                    </a:prstGeom>
                    <a:noFill/>
                    <a:ln w="9525">
                      <a:noFill/>
                    </a:ln>
                  </pic:spPr>
                </pic:pic>
              </a:graphicData>
            </a:graphic>
          </wp:inline>
        </w:drawing>
      </w:r>
      <w:r>
        <w:rPr>
          <w:rFonts w:cs="Times New Roman"/>
        </w:rPr>
        <w:drawing>
          <wp:inline distT="0" distB="0" distL="114300" distR="114300">
            <wp:extent cx="5066665" cy="7085965"/>
            <wp:effectExtent l="0" t="0" r="635" b="635"/>
            <wp:docPr id="17"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3"/>
                    <pic:cNvPicPr>
                      <a:picLocks noChangeAspect="1"/>
                    </pic:cNvPicPr>
                  </pic:nvPicPr>
                  <pic:blipFill>
                    <a:blip r:embed="rId37"/>
                    <a:stretch>
                      <a:fillRect/>
                    </a:stretch>
                  </pic:blipFill>
                  <pic:spPr>
                    <a:xfrm>
                      <a:off x="0" y="0"/>
                      <a:ext cx="5066665" cy="7085965"/>
                    </a:xfrm>
                    <a:prstGeom prst="rect">
                      <a:avLst/>
                    </a:prstGeom>
                    <a:noFill/>
                    <a:ln w="9525">
                      <a:noFill/>
                    </a:ln>
                  </pic:spPr>
                </pic:pic>
              </a:graphicData>
            </a:graphic>
          </wp:inline>
        </w:drawing>
      </w:r>
      <w:r>
        <w:rPr>
          <w:rFonts w:cs="Times New Roman"/>
        </w:rPr>
        <w:drawing>
          <wp:inline distT="0" distB="0" distL="114300" distR="114300">
            <wp:extent cx="5273675" cy="7298690"/>
            <wp:effectExtent l="0" t="0" r="3175" b="16510"/>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38"/>
                    <a:stretch>
                      <a:fillRect/>
                    </a:stretch>
                  </pic:blipFill>
                  <pic:spPr>
                    <a:xfrm>
                      <a:off x="0" y="0"/>
                      <a:ext cx="5273675" cy="7298690"/>
                    </a:xfrm>
                    <a:prstGeom prst="rect">
                      <a:avLst/>
                    </a:prstGeom>
                    <a:noFill/>
                    <a:ln w="9525">
                      <a:noFill/>
                    </a:ln>
                  </pic:spPr>
                </pic:pic>
              </a:graphicData>
            </a:graphic>
          </wp:inline>
        </w:drawing>
      </w:r>
      <w:r>
        <w:rPr>
          <w:rFonts w:cs="Times New Roman"/>
        </w:rPr>
        <w:drawing>
          <wp:inline distT="0" distB="0" distL="114300" distR="114300">
            <wp:extent cx="5238115" cy="7514590"/>
            <wp:effectExtent l="0" t="0" r="635" b="10160"/>
            <wp:docPr id="20"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
                    <pic:cNvPicPr>
                      <a:picLocks noChangeAspect="1"/>
                    </pic:cNvPicPr>
                  </pic:nvPicPr>
                  <pic:blipFill>
                    <a:blip r:embed="rId39"/>
                    <a:stretch>
                      <a:fillRect/>
                    </a:stretch>
                  </pic:blipFill>
                  <pic:spPr>
                    <a:xfrm>
                      <a:off x="0" y="0"/>
                      <a:ext cx="5238115" cy="7514590"/>
                    </a:xfrm>
                    <a:prstGeom prst="rect">
                      <a:avLst/>
                    </a:prstGeom>
                    <a:noFill/>
                    <a:ln w="9525">
                      <a:noFill/>
                    </a:ln>
                  </pic:spPr>
                </pic:pic>
              </a:graphicData>
            </a:graphic>
          </wp:inline>
        </w:drawing>
      </w:r>
    </w:p>
    <w:p>
      <w:pPr>
        <w:rPr>
          <w:rFonts w:cs="Times New Roman"/>
        </w:rPr>
      </w:pPr>
    </w:p>
    <w:p>
      <w:pPr>
        <w:rPr>
          <w:rFonts w:cs="Times New Roman"/>
        </w:rPr>
      </w:pPr>
    </w:p>
    <w:p>
      <w:pPr>
        <w:rPr>
          <w:rFonts w:cs="Times New Roman"/>
        </w:rPr>
      </w:pPr>
    </w:p>
    <w:p>
      <w:pPr>
        <w:rPr>
          <w:rFonts w:cs="Times New Roman"/>
        </w:rPr>
      </w:pPr>
    </w:p>
    <w:p>
      <w:pPr>
        <w:rPr>
          <w:rFonts w:cs="Times New Roman"/>
        </w:rPr>
      </w:pPr>
    </w:p>
    <w:p>
      <w:pPr>
        <w:jc w:val="left"/>
        <w:rPr>
          <w:rFonts w:cs="Times New Roman"/>
        </w:rPr>
      </w:pPr>
    </w:p>
    <w:p>
      <w:pPr>
        <w:jc w:val="left"/>
        <w:rPr>
          <w:rFonts w:cs="Times New Roman"/>
        </w:rPr>
        <w:sectPr>
          <w:pgSz w:w="11906" w:h="16838"/>
          <w:pgMar w:top="1440" w:right="1803" w:bottom="1440" w:left="1803" w:header="851" w:footer="992" w:gutter="0"/>
          <w:cols w:space="720" w:num="1"/>
          <w:docGrid w:type="lines" w:linePitch="332" w:charSpace="0"/>
        </w:sectPr>
      </w:pPr>
    </w:p>
    <w:p>
      <w:pPr>
        <w:pStyle w:val="4"/>
        <w:rPr>
          <w:rFonts w:ascii="Times New Roman" w:hAnsi="Times New Roman" w:cs="Times New Roman"/>
        </w:rPr>
      </w:pPr>
      <w:bookmarkStart w:id="354" w:name="_Toc29399"/>
      <w:bookmarkStart w:id="355" w:name="_Toc29554"/>
      <w:bookmarkStart w:id="356" w:name="_Toc6220"/>
      <w:bookmarkStart w:id="357" w:name="_Toc19318"/>
      <w:r>
        <w:rPr>
          <w:rFonts w:hint="eastAsia" w:ascii="Times New Roman" w:hAnsi="Times New Roman" w:cs="Times New Roman"/>
        </w:rPr>
        <w:t>8</w:t>
      </w:r>
      <w:r>
        <w:rPr>
          <w:rFonts w:ascii="Times New Roman" w:hAnsi="Times New Roman" w:cs="Times New Roman"/>
        </w:rPr>
        <w:t>.2.2水质监测报告</w:t>
      </w:r>
      <w:bookmarkEnd w:id="354"/>
      <w:bookmarkEnd w:id="355"/>
      <w:bookmarkEnd w:id="356"/>
      <w:bookmarkEnd w:id="357"/>
    </w:p>
    <w:p>
      <w:pPr>
        <w:pStyle w:val="4"/>
        <w:keepNext/>
        <w:keepLines/>
        <w:widowControl w:val="0"/>
        <w:spacing w:beforeAutospacing="0" w:afterAutospacing="0" w:line="360" w:lineRule="auto"/>
        <w:jc w:val="both"/>
        <w:rPr>
          <w:rFonts w:ascii="Times New Roman" w:hAnsi="Times New Roman" w:cs="Times New Roman"/>
        </w:rPr>
      </w:pPr>
      <w:bookmarkStart w:id="358" w:name="_Toc29152"/>
      <w:bookmarkStart w:id="359" w:name="_Toc11235"/>
      <w:bookmarkStart w:id="360" w:name="_Toc13268"/>
      <w:bookmarkStart w:id="361" w:name="_Toc8996"/>
      <w:r>
        <w:rPr>
          <w:rFonts w:hint="eastAsia" w:ascii="Times New Roman" w:hAnsi="Times New Roman" w:cs="Times New Roman"/>
        </w:rPr>
        <w:t>8</w:t>
      </w:r>
      <w:r>
        <w:rPr>
          <w:rFonts w:ascii="Times New Roman" w:hAnsi="Times New Roman" w:cs="Times New Roman"/>
        </w:rPr>
        <w:t>.2.3卫生防疫许可证明</w:t>
      </w:r>
      <w:bookmarkEnd w:id="358"/>
      <w:bookmarkEnd w:id="359"/>
      <w:bookmarkEnd w:id="360"/>
    </w:p>
    <w:p>
      <w:pPr>
        <w:keepNext/>
        <w:keepLines/>
        <w:spacing w:before="100" w:beforeAutospacing="1" w:after="100" w:afterAutospacing="1" w:line="416" w:lineRule="auto"/>
        <w:rPr>
          <w:rFonts w:cs="Times New Roman"/>
        </w:rPr>
      </w:pPr>
    </w:p>
    <w:p>
      <w:pPr>
        <w:keepNext/>
        <w:keepLines/>
        <w:spacing w:line="360" w:lineRule="auto"/>
        <w:rPr>
          <w:rFonts w:cs="Times New Roman"/>
        </w:rPr>
      </w:pPr>
      <w:r>
        <w:rPr>
          <w:rFonts w:cs="Times New Roman"/>
        </w:rPr>
        <w:br w:type="page"/>
      </w:r>
    </w:p>
    <w:p>
      <w:pPr>
        <w:pStyle w:val="4"/>
        <w:keepNext/>
        <w:keepLines/>
        <w:widowControl w:val="0"/>
        <w:spacing w:beforeAutospacing="0" w:afterAutospacing="0" w:line="360" w:lineRule="auto"/>
        <w:rPr>
          <w:rFonts w:ascii="Times New Roman" w:hAnsi="Times New Roman" w:cs="Times New Roman"/>
        </w:rPr>
      </w:pPr>
      <w:bookmarkStart w:id="362" w:name="_Toc1713"/>
      <w:r>
        <w:rPr>
          <w:rFonts w:ascii="Times New Roman" w:hAnsi="Times New Roman" w:cs="Times New Roman"/>
        </w:rPr>
        <w:t>9.2.4专家评审意见</w:t>
      </w:r>
      <w:bookmarkEnd w:id="361"/>
      <w:bookmarkEnd w:id="362"/>
    </w:p>
    <w:sectPr>
      <w:pgSz w:w="11906" w:h="16838"/>
      <w:pgMar w:top="1440" w:right="1803" w:bottom="1440" w:left="1803" w:header="851" w:footer="992" w:gutter="0"/>
      <w:cols w:space="72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MS Mincho">
    <w:panose1 w:val="02020609040205080304"/>
    <w:charset w:val="80"/>
    <w:family w:val="modern"/>
    <w:pitch w:val="default"/>
    <w:sig w:usb0="E00002FF" w:usb1="6AC7FDFB" w:usb2="00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47</w:t>
    </w:r>
    <w:r>
      <w:fldChar w:fldCharType="end"/>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b/>
        <w:sz w:val="20"/>
      </w:rPr>
    </w:pPr>
    <w:r>
      <w:rPr>
        <w:rFonts w:hint="eastAsia"/>
        <w:b/>
        <w:sz w:val="20"/>
      </w:rPr>
      <w:t>开江县县城宝石桥水库集中式饮用水水源保护区划分调整技术报告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E1F61"/>
    <w:multiLevelType w:val="singleLevel"/>
    <w:tmpl w:val="15DE1F61"/>
    <w:lvl w:ilvl="0" w:tentative="0">
      <w:start w:val="1"/>
      <w:numFmt w:val="decimal"/>
      <w:suff w:val="nothing"/>
      <w:lvlText w:val="%1、"/>
      <w:lvlJc w:val="left"/>
    </w:lvl>
  </w:abstractNum>
  <w:abstractNum w:abstractNumId="1">
    <w:nsid w:val="238A2C54"/>
    <w:multiLevelType w:val="multilevel"/>
    <w:tmpl w:val="238A2C54"/>
    <w:lvl w:ilvl="0" w:tentative="0">
      <w:start w:val="1"/>
      <w:numFmt w:val="bullet"/>
      <w:lvlText w:val=""/>
      <w:lvlJc w:val="left"/>
      <w:pPr>
        <w:ind w:left="846" w:hanging="420"/>
      </w:pPr>
      <w:rPr>
        <w:rFonts w:hint="default" w:ascii="Wingdings" w:hAnsi="Wingdings"/>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2">
    <w:nsid w:val="245C137A"/>
    <w:multiLevelType w:val="multilevel"/>
    <w:tmpl w:val="245C137A"/>
    <w:lvl w:ilvl="0" w:tentative="0">
      <w:start w:val="1"/>
      <w:numFmt w:val="bullet"/>
      <w:lvlText w:val=""/>
      <w:lvlJc w:val="left"/>
      <w:pPr>
        <w:ind w:left="961" w:hanging="420"/>
      </w:pPr>
      <w:rPr>
        <w:rFonts w:hint="default" w:ascii="Wingdings" w:hAnsi="Wingdings"/>
      </w:rPr>
    </w:lvl>
    <w:lvl w:ilvl="1" w:tentative="0">
      <w:start w:val="1"/>
      <w:numFmt w:val="bullet"/>
      <w:lvlText w:val=""/>
      <w:lvlJc w:val="left"/>
      <w:pPr>
        <w:ind w:left="1381" w:hanging="420"/>
      </w:pPr>
      <w:rPr>
        <w:rFonts w:hint="default" w:ascii="Wingdings" w:hAnsi="Wingdings"/>
      </w:rPr>
    </w:lvl>
    <w:lvl w:ilvl="2" w:tentative="0">
      <w:start w:val="1"/>
      <w:numFmt w:val="bullet"/>
      <w:lvlText w:val=""/>
      <w:lvlJc w:val="left"/>
      <w:pPr>
        <w:ind w:left="1801" w:hanging="420"/>
      </w:pPr>
      <w:rPr>
        <w:rFonts w:hint="default" w:ascii="Wingdings" w:hAnsi="Wingdings"/>
      </w:rPr>
    </w:lvl>
    <w:lvl w:ilvl="3" w:tentative="0">
      <w:start w:val="1"/>
      <w:numFmt w:val="bullet"/>
      <w:lvlText w:val=""/>
      <w:lvlJc w:val="left"/>
      <w:pPr>
        <w:ind w:left="2221" w:hanging="420"/>
      </w:pPr>
      <w:rPr>
        <w:rFonts w:hint="default" w:ascii="Wingdings" w:hAnsi="Wingdings"/>
      </w:rPr>
    </w:lvl>
    <w:lvl w:ilvl="4" w:tentative="0">
      <w:start w:val="1"/>
      <w:numFmt w:val="bullet"/>
      <w:lvlText w:val=""/>
      <w:lvlJc w:val="left"/>
      <w:pPr>
        <w:ind w:left="2641" w:hanging="420"/>
      </w:pPr>
      <w:rPr>
        <w:rFonts w:hint="default" w:ascii="Wingdings" w:hAnsi="Wingdings"/>
      </w:rPr>
    </w:lvl>
    <w:lvl w:ilvl="5" w:tentative="0">
      <w:start w:val="1"/>
      <w:numFmt w:val="bullet"/>
      <w:lvlText w:val=""/>
      <w:lvlJc w:val="left"/>
      <w:pPr>
        <w:ind w:left="3061" w:hanging="420"/>
      </w:pPr>
      <w:rPr>
        <w:rFonts w:hint="default" w:ascii="Wingdings" w:hAnsi="Wingdings"/>
      </w:rPr>
    </w:lvl>
    <w:lvl w:ilvl="6" w:tentative="0">
      <w:start w:val="1"/>
      <w:numFmt w:val="bullet"/>
      <w:lvlText w:val=""/>
      <w:lvlJc w:val="left"/>
      <w:pPr>
        <w:ind w:left="3481" w:hanging="420"/>
      </w:pPr>
      <w:rPr>
        <w:rFonts w:hint="default" w:ascii="Wingdings" w:hAnsi="Wingdings"/>
      </w:rPr>
    </w:lvl>
    <w:lvl w:ilvl="7" w:tentative="0">
      <w:start w:val="1"/>
      <w:numFmt w:val="bullet"/>
      <w:lvlText w:val=""/>
      <w:lvlJc w:val="left"/>
      <w:pPr>
        <w:ind w:left="3901" w:hanging="420"/>
      </w:pPr>
      <w:rPr>
        <w:rFonts w:hint="default" w:ascii="Wingdings" w:hAnsi="Wingdings"/>
      </w:rPr>
    </w:lvl>
    <w:lvl w:ilvl="8" w:tentative="0">
      <w:start w:val="1"/>
      <w:numFmt w:val="bullet"/>
      <w:lvlText w:val=""/>
      <w:lvlJc w:val="left"/>
      <w:pPr>
        <w:ind w:left="4321" w:hanging="420"/>
      </w:pPr>
      <w:rPr>
        <w:rFonts w:hint="default" w:ascii="Wingdings" w:hAnsi="Wingdings"/>
      </w:rPr>
    </w:lvl>
  </w:abstractNum>
  <w:abstractNum w:abstractNumId="3">
    <w:nsid w:val="32C164BE"/>
    <w:multiLevelType w:val="multilevel"/>
    <w:tmpl w:val="32C164BE"/>
    <w:lvl w:ilvl="0" w:tentative="0">
      <w:start w:val="1"/>
      <w:numFmt w:val="bullet"/>
      <w:lvlText w:val=""/>
      <w:lvlJc w:val="left"/>
      <w:pPr>
        <w:ind w:left="980" w:hanging="420"/>
      </w:pPr>
      <w:rPr>
        <w:rFonts w:hint="default" w:ascii="Wingdings" w:hAnsi="Wingdings"/>
        <w:color w:val="auto"/>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4">
    <w:nsid w:val="43414EBA"/>
    <w:multiLevelType w:val="multilevel"/>
    <w:tmpl w:val="43414EBA"/>
    <w:lvl w:ilvl="0" w:tentative="0">
      <w:start w:val="1"/>
      <w:numFmt w:val="bullet"/>
      <w:lvlText w:val=""/>
      <w:lvlJc w:val="left"/>
      <w:pPr>
        <w:ind w:left="980" w:hanging="420"/>
      </w:pPr>
      <w:rPr>
        <w:rFonts w:hint="default" w:ascii="Wingdings" w:hAnsi="Wingdings"/>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5">
    <w:nsid w:val="4F888C08"/>
    <w:multiLevelType w:val="singleLevel"/>
    <w:tmpl w:val="4F888C08"/>
    <w:lvl w:ilvl="0" w:tentative="0">
      <w:start w:val="1"/>
      <w:numFmt w:val="decimal"/>
      <w:lvlText w:val="表4-%1"/>
      <w:lvlJc w:val="left"/>
      <w:pPr>
        <w:tabs>
          <w:tab w:val="left" w:pos="420"/>
        </w:tabs>
        <w:ind w:left="425" w:hanging="425"/>
      </w:pPr>
      <w:rPr>
        <w:rFonts w:hint="default" w:ascii="宋体" w:hAnsi="宋体" w:eastAsia="宋体" w:cs="宋体"/>
      </w:rPr>
    </w:lvl>
  </w:abstractNum>
  <w:abstractNum w:abstractNumId="6">
    <w:nsid w:val="5A27E33E"/>
    <w:multiLevelType w:val="singleLevel"/>
    <w:tmpl w:val="5A27E33E"/>
    <w:lvl w:ilvl="0" w:tentative="0">
      <w:start w:val="3"/>
      <w:numFmt w:val="decimal"/>
      <w:suff w:val="nothing"/>
      <w:lvlText w:val="（%1）"/>
      <w:lvlJc w:val="left"/>
    </w:lvl>
  </w:abstractNum>
  <w:num w:numId="1">
    <w:abstractNumId w:val="0"/>
  </w:num>
  <w:num w:numId="2">
    <w:abstractNumId w:val="5"/>
  </w:num>
  <w:num w:numId="3">
    <w:abstractNumId w:val="2"/>
  </w:num>
  <w:num w:numId="4">
    <w:abstractNumId w:val="1"/>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337F27"/>
    <w:rsid w:val="00031B37"/>
    <w:rsid w:val="000832A4"/>
    <w:rsid w:val="000C1283"/>
    <w:rsid w:val="000F798C"/>
    <w:rsid w:val="0051316A"/>
    <w:rsid w:val="008A003E"/>
    <w:rsid w:val="00CB2109"/>
    <w:rsid w:val="027C60D4"/>
    <w:rsid w:val="0CD0403A"/>
    <w:rsid w:val="0F5341BB"/>
    <w:rsid w:val="13F847D5"/>
    <w:rsid w:val="198A79DD"/>
    <w:rsid w:val="1EC076AB"/>
    <w:rsid w:val="230A72A1"/>
    <w:rsid w:val="231B752F"/>
    <w:rsid w:val="2D905254"/>
    <w:rsid w:val="31533D83"/>
    <w:rsid w:val="35337F27"/>
    <w:rsid w:val="361D78C4"/>
    <w:rsid w:val="3BBF5809"/>
    <w:rsid w:val="3BE2561B"/>
    <w:rsid w:val="3C791B7C"/>
    <w:rsid w:val="3E9603A4"/>
    <w:rsid w:val="3F672DE8"/>
    <w:rsid w:val="410339C1"/>
    <w:rsid w:val="44D93682"/>
    <w:rsid w:val="484B3924"/>
    <w:rsid w:val="4A766F20"/>
    <w:rsid w:val="4EE665FE"/>
    <w:rsid w:val="543677BE"/>
    <w:rsid w:val="54C55CB6"/>
    <w:rsid w:val="595C2345"/>
    <w:rsid w:val="5DB45A0C"/>
    <w:rsid w:val="608935A1"/>
    <w:rsid w:val="667E29CA"/>
    <w:rsid w:val="67B979EB"/>
    <w:rsid w:val="67CB2F24"/>
    <w:rsid w:val="6EFE54E9"/>
    <w:rsid w:val="75832C05"/>
    <w:rsid w:val="75C96BF5"/>
    <w:rsid w:val="76824B70"/>
    <w:rsid w:val="7B74185D"/>
    <w:rsid w:val="7B742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140" w:after="140" w:line="416" w:lineRule="auto"/>
      <w:outlineLvl w:val="1"/>
    </w:pPr>
    <w:rPr>
      <w:rFonts w:ascii="Cambria" w:hAnsi="Cambria"/>
      <w:b/>
      <w:bCs/>
      <w:sz w:val="28"/>
      <w:szCs w:val="32"/>
    </w:rPr>
  </w:style>
  <w:style w:type="paragraph" w:styleId="4">
    <w:name w:val="heading 3"/>
    <w:basedOn w:val="1"/>
    <w:next w:val="1"/>
    <w:semiHidden/>
    <w:unhideWhenUsed/>
    <w:qFormat/>
    <w:uiPriority w:val="0"/>
    <w:pPr>
      <w:widowControl/>
      <w:spacing w:beforeAutospacing="1" w:afterAutospacing="1"/>
      <w:jc w:val="left"/>
      <w:outlineLvl w:val="2"/>
    </w:pPr>
    <w:rPr>
      <w:rFonts w:ascii="宋体" w:hAnsi="宋体"/>
      <w:b/>
      <w:bCs/>
      <w:kern w:val="0"/>
      <w:szCs w:val="27"/>
    </w:rPr>
  </w:style>
  <w:style w:type="paragraph" w:styleId="5">
    <w:name w:val="heading 4"/>
    <w:basedOn w:val="1"/>
    <w:next w:val="1"/>
    <w:unhideWhenUsed/>
    <w:qFormat/>
    <w:uiPriority w:val="0"/>
    <w:pPr>
      <w:keepNext/>
      <w:keepLines/>
      <w:adjustRightInd w:val="0"/>
      <w:snapToGrid w:val="0"/>
      <w:ind w:firstLine="200" w:firstLineChars="200"/>
      <w:outlineLvl w:val="3"/>
    </w:pPr>
    <w:rPr>
      <w:rFonts w:ascii="Cambria" w:hAnsi="Cambria"/>
      <w:b/>
      <w:bCs/>
      <w:szCs w:val="28"/>
    </w:rPr>
  </w:style>
  <w:style w:type="character" w:default="1" w:styleId="16">
    <w:name w:val="Default Paragraph Font"/>
    <w:semiHidden/>
    <w:unhideWhenUsed/>
    <w:uiPriority w:val="1"/>
  </w:style>
  <w:style w:type="table" w:default="1" w:styleId="21">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35"/>
    <w:uiPriority w:val="0"/>
    <w:rPr>
      <w:b/>
      <w:bCs/>
    </w:rPr>
  </w:style>
  <w:style w:type="paragraph" w:styleId="7">
    <w:name w:val="annotation text"/>
    <w:basedOn w:val="1"/>
    <w:link w:val="34"/>
    <w:uiPriority w:val="0"/>
    <w:pPr>
      <w:jc w:val="left"/>
    </w:pPr>
  </w:style>
  <w:style w:type="paragraph" w:styleId="8">
    <w:name w:val="Body Text"/>
    <w:basedOn w:val="1"/>
    <w:qFormat/>
    <w:uiPriority w:val="0"/>
    <w:pPr>
      <w:spacing w:after="120" w:line="360" w:lineRule="auto"/>
      <w:ind w:firstLine="200" w:firstLineChars="200"/>
    </w:pPr>
  </w:style>
  <w:style w:type="paragraph" w:styleId="9">
    <w:name w:val="toc 3"/>
    <w:basedOn w:val="1"/>
    <w:next w:val="1"/>
    <w:qFormat/>
    <w:uiPriority w:val="0"/>
    <w:pPr>
      <w:ind w:left="840" w:leftChars="400"/>
    </w:pPr>
  </w:style>
  <w:style w:type="paragraph" w:styleId="10">
    <w:name w:val="Balloon Text"/>
    <w:basedOn w:val="1"/>
    <w:link w:val="36"/>
    <w:qFormat/>
    <w:uiPriority w:val="0"/>
    <w:rPr>
      <w:sz w:val="18"/>
      <w:szCs w:val="18"/>
    </w:rPr>
  </w:style>
  <w:style w:type="paragraph" w:styleId="11">
    <w:name w:val="footer"/>
    <w:basedOn w:val="1"/>
    <w:qFormat/>
    <w:uiPriority w:val="0"/>
    <w:pPr>
      <w:tabs>
        <w:tab w:val="center" w:pos="4153"/>
        <w:tab w:val="right" w:pos="8306"/>
      </w:tabs>
      <w:snapToGrid w:val="0"/>
      <w:jc w:val="left"/>
    </w:pPr>
    <w:rPr>
      <w:rFonts w:ascii="Calibri" w:hAnsi="Calibri"/>
      <w:kern w:val="0"/>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qFormat/>
    <w:uiPriority w:val="0"/>
  </w:style>
  <w:style w:type="paragraph" w:styleId="14">
    <w:name w:val="toc 2"/>
    <w:basedOn w:val="1"/>
    <w:next w:val="1"/>
    <w:qFormat/>
    <w:uiPriority w:val="0"/>
    <w:pPr>
      <w:widowControl/>
      <w:spacing w:after="100" w:line="276" w:lineRule="auto"/>
      <w:ind w:left="220"/>
      <w:jc w:val="left"/>
    </w:pPr>
    <w:rPr>
      <w:rFonts w:ascii="Calibri" w:hAnsi="Calibri" w:eastAsia="宋体" w:cs="Times New Roman"/>
      <w:kern w:val="0"/>
      <w:sz w:val="22"/>
      <w:szCs w:val="22"/>
    </w:rPr>
  </w:style>
  <w:style w:type="paragraph" w:styleId="15">
    <w:name w:val="Normal (Web)"/>
    <w:basedOn w:val="1"/>
    <w:qFormat/>
    <w:uiPriority w:val="0"/>
    <w:pPr>
      <w:spacing w:beforeAutospacing="1" w:afterAutospacing="1"/>
      <w:jc w:val="left"/>
    </w:pPr>
    <w:rPr>
      <w:rFonts w:cs="Times New Roman"/>
      <w:kern w:val="0"/>
    </w:rPr>
  </w:style>
  <w:style w:type="character" w:styleId="17">
    <w:name w:val="FollowedHyperlink"/>
    <w:basedOn w:val="16"/>
    <w:qFormat/>
    <w:uiPriority w:val="0"/>
    <w:rPr>
      <w:rFonts w:hint="eastAsia" w:ascii="微软雅黑" w:hAnsi="微软雅黑" w:eastAsia="微软雅黑" w:cs="微软雅黑"/>
      <w:color w:val="3D3D3D"/>
      <w:u w:val="none"/>
    </w:rPr>
  </w:style>
  <w:style w:type="character" w:styleId="18">
    <w:name w:val="Hyperlink"/>
    <w:qFormat/>
    <w:uiPriority w:val="0"/>
    <w:rPr>
      <w:color w:val="0000FF"/>
      <w:u w:val="single"/>
    </w:rPr>
  </w:style>
  <w:style w:type="character" w:styleId="19">
    <w:name w:val="HTML Code"/>
    <w:basedOn w:val="16"/>
    <w:qFormat/>
    <w:uiPriority w:val="0"/>
    <w:rPr>
      <w:rFonts w:ascii="Courier New" w:hAnsi="Courier New"/>
      <w:sz w:val="20"/>
    </w:rPr>
  </w:style>
  <w:style w:type="character" w:styleId="20">
    <w:name w:val="annotation reference"/>
    <w:basedOn w:val="16"/>
    <w:qFormat/>
    <w:uiPriority w:val="0"/>
    <w:rPr>
      <w:sz w:val="21"/>
      <w:szCs w:val="21"/>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3">
    <w:name w:val="_Style 6"/>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4">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customStyle="1" w:styleId="25">
    <w:name w:val="正文文字1"/>
    <w:basedOn w:val="1"/>
    <w:qFormat/>
    <w:uiPriority w:val="0"/>
    <w:pPr>
      <w:snapToGrid w:val="0"/>
      <w:spacing w:line="324" w:lineRule="auto"/>
      <w:ind w:firstLine="480" w:firstLineChars="200"/>
    </w:pPr>
    <w:rPr>
      <w:rFonts w:eastAsia="华文中宋"/>
    </w:rPr>
  </w:style>
  <w:style w:type="paragraph" w:customStyle="1" w:styleId="26">
    <w:name w:val="样式4"/>
    <w:basedOn w:val="1"/>
    <w:qFormat/>
    <w:uiPriority w:val="0"/>
    <w:pPr>
      <w:ind w:firstLine="480" w:firstLineChars="200"/>
    </w:pPr>
    <w:rPr>
      <w:color w:val="000000"/>
      <w:kern w:val="0"/>
      <w:szCs w:val="20"/>
    </w:rPr>
  </w:style>
  <w:style w:type="paragraph" w:customStyle="1" w:styleId="27">
    <w:name w:val="表格文字"/>
    <w:basedOn w:val="1"/>
    <w:qFormat/>
    <w:uiPriority w:val="0"/>
    <w:pPr>
      <w:jc w:val="center"/>
    </w:pPr>
    <w:rPr>
      <w:rFonts w:eastAsia="仿宋" w:cs="黑体"/>
      <w:szCs w:val="18"/>
    </w:rPr>
  </w:style>
  <w:style w:type="character" w:customStyle="1" w:styleId="28">
    <w:name w:val="font41"/>
    <w:basedOn w:val="16"/>
    <w:qFormat/>
    <w:uiPriority w:val="0"/>
    <w:rPr>
      <w:rFonts w:hint="default" w:ascii="Times New Roman" w:hAnsi="Times New Roman" w:cs="Times New Roman"/>
      <w:color w:val="000000"/>
      <w:sz w:val="18"/>
      <w:szCs w:val="18"/>
      <w:u w:val="none"/>
    </w:rPr>
  </w:style>
  <w:style w:type="character" w:customStyle="1" w:styleId="29">
    <w:name w:val="font01"/>
    <w:basedOn w:val="16"/>
    <w:qFormat/>
    <w:uiPriority w:val="0"/>
    <w:rPr>
      <w:rFonts w:hint="eastAsia" w:ascii="宋体" w:hAnsi="宋体" w:eastAsia="宋体" w:cs="宋体"/>
      <w:color w:val="000000"/>
      <w:sz w:val="18"/>
      <w:szCs w:val="18"/>
      <w:u w:val="none"/>
    </w:rPr>
  </w:style>
  <w:style w:type="character" w:customStyle="1" w:styleId="30">
    <w:name w:val="font21"/>
    <w:basedOn w:val="16"/>
    <w:qFormat/>
    <w:uiPriority w:val="0"/>
    <w:rPr>
      <w:rFonts w:ascii="Arial" w:hAnsi="Arial" w:cs="Arial"/>
      <w:color w:val="000000"/>
      <w:sz w:val="18"/>
      <w:szCs w:val="18"/>
      <w:u w:val="none"/>
    </w:rPr>
  </w:style>
  <w:style w:type="character" w:customStyle="1" w:styleId="31">
    <w:name w:val="正文 Char Char Char Char Char Char"/>
    <w:link w:val="32"/>
    <w:qFormat/>
    <w:uiPriority w:val="0"/>
    <w:rPr>
      <w:rFonts w:ascii="宋体" w:cs="宋体" w:hAnsiTheme="minorHAnsi" w:eastAsiaTheme="minorEastAsia"/>
    </w:rPr>
  </w:style>
  <w:style w:type="paragraph" w:customStyle="1" w:styleId="32">
    <w:name w:val="正文 Char Char Char Char Char"/>
    <w:basedOn w:val="1"/>
    <w:link w:val="31"/>
    <w:qFormat/>
    <w:uiPriority w:val="0"/>
    <w:pPr>
      <w:ind w:firstLine="480" w:firstLineChars="200"/>
    </w:pPr>
    <w:rPr>
      <w:rFonts w:ascii="宋体" w:cs="宋体" w:hAnsiTheme="minorHAnsi"/>
    </w:rPr>
  </w:style>
  <w:style w:type="character" w:customStyle="1" w:styleId="33">
    <w:name w:val="bsharetext"/>
    <w:basedOn w:val="16"/>
    <w:qFormat/>
    <w:uiPriority w:val="0"/>
  </w:style>
  <w:style w:type="character" w:customStyle="1" w:styleId="34">
    <w:name w:val="批注文字 Char"/>
    <w:basedOn w:val="16"/>
    <w:link w:val="7"/>
    <w:uiPriority w:val="0"/>
    <w:rPr>
      <w:rFonts w:eastAsiaTheme="minorEastAsia" w:cstheme="minorBidi"/>
      <w:kern w:val="2"/>
      <w:sz w:val="24"/>
      <w:szCs w:val="24"/>
    </w:rPr>
  </w:style>
  <w:style w:type="character" w:customStyle="1" w:styleId="35">
    <w:name w:val="批注主题 Char"/>
    <w:basedOn w:val="34"/>
    <w:link w:val="6"/>
    <w:qFormat/>
    <w:uiPriority w:val="0"/>
    <w:rPr>
      <w:rFonts w:eastAsiaTheme="minorEastAsia" w:cstheme="minorBidi"/>
      <w:b/>
      <w:bCs/>
      <w:kern w:val="2"/>
      <w:sz w:val="24"/>
      <w:szCs w:val="24"/>
    </w:rPr>
  </w:style>
  <w:style w:type="character" w:customStyle="1" w:styleId="36">
    <w:name w:val="批注框文本 Char"/>
    <w:basedOn w:val="16"/>
    <w:link w:val="10"/>
    <w:uiPriority w:val="0"/>
    <w:rPr>
      <w:rFonts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emf"/><Relationship Id="rId33" Type="http://schemas.openxmlformats.org/officeDocument/2006/relationships/image" Target="media/image23.emf"/><Relationship Id="rId32" Type="http://schemas.openxmlformats.org/officeDocument/2006/relationships/image" Target="media/image22.emf"/><Relationship Id="rId31" Type="http://schemas.openxmlformats.org/officeDocument/2006/relationships/image" Target="media/image21.emf"/><Relationship Id="rId30" Type="http://schemas.openxmlformats.org/officeDocument/2006/relationships/image" Target="media/image20.emf"/><Relationship Id="rId3" Type="http://schemas.openxmlformats.org/officeDocument/2006/relationships/header" Target="header1.xml"/><Relationship Id="rId29" Type="http://schemas.openxmlformats.org/officeDocument/2006/relationships/image" Target="media/image19.emf"/><Relationship Id="rId28" Type="http://schemas.openxmlformats.org/officeDocument/2006/relationships/image" Target="media/image18.emf"/><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emf"/><Relationship Id="rId21" Type="http://schemas.openxmlformats.org/officeDocument/2006/relationships/oleObject" Target="embeddings/oleObject5.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10.wmf"/><Relationship Id="rId17" Type="http://schemas.openxmlformats.org/officeDocument/2006/relationships/oleObject" Target="embeddings/oleObject3.bin"/><Relationship Id="rId16" Type="http://schemas.openxmlformats.org/officeDocument/2006/relationships/image" Target="media/image9.wmf"/><Relationship Id="rId15" Type="http://schemas.openxmlformats.org/officeDocument/2006/relationships/oleObject" Target="embeddings/oleObject2.bin"/><Relationship Id="rId14" Type="http://schemas.openxmlformats.org/officeDocument/2006/relationships/image" Target="media/image8.wmf"/><Relationship Id="rId13" Type="http://schemas.openxmlformats.org/officeDocument/2006/relationships/oleObject" Target="embeddings/oleObject1.bin"/><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82</Pages>
  <Words>7611</Words>
  <Characters>43384</Characters>
  <Lines>361</Lines>
  <Paragraphs>101</Paragraphs>
  <TotalTime>2</TotalTime>
  <ScaleCrop>false</ScaleCrop>
  <LinksUpToDate>false</LinksUpToDate>
  <CharactersWithSpaces>50894</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2018-03-19T06:28:00Z</dcterms:created>
  <dc:creator>勿忘心安</dc:creator>
  <cp:lastModifiedBy>nl</cp:lastModifiedBy>
  <dcterms:modified xsi:type="dcterms:W3CDTF">2018-05-24T08:27:08Z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