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eastAsiaTheme="minorEastAsia"/>
          <w:b/>
          <w:color w:val="000000"/>
          <w:sz w:val="52"/>
          <w:szCs w:val="52"/>
          <w:lang w:eastAsia="zh-CN"/>
        </w:rPr>
      </w:pPr>
      <w:r>
        <w:rPr>
          <w:rFonts w:hint="default" w:ascii="Times New Roman" w:hAnsi="Times New Roman" w:cs="Times New Roman"/>
          <w:b/>
          <w:color w:val="000000"/>
          <w:sz w:val="52"/>
          <w:szCs w:val="52"/>
          <w:lang w:eastAsia="zh-CN"/>
        </w:rPr>
        <w:t>开江县</w:t>
      </w:r>
      <w:r>
        <w:rPr>
          <w:rFonts w:hint="eastAsia" w:cs="Times New Roman"/>
          <w:b/>
          <w:color w:val="000000"/>
          <w:sz w:val="52"/>
          <w:szCs w:val="52"/>
          <w:lang w:eastAsia="zh-CN"/>
        </w:rPr>
        <w:t>老河堰</w:t>
      </w:r>
      <w:r>
        <w:rPr>
          <w:rFonts w:hint="default" w:ascii="Times New Roman" w:hAnsi="Times New Roman" w:cs="Times New Roman"/>
          <w:b/>
          <w:color w:val="000000"/>
          <w:sz w:val="52"/>
          <w:szCs w:val="52"/>
          <w:lang w:eastAsia="zh-CN"/>
        </w:rPr>
        <w:t>水库</w:t>
      </w:r>
      <w:r>
        <w:rPr>
          <w:rFonts w:hint="eastAsia" w:cs="Times New Roman"/>
          <w:b/>
          <w:color w:val="000000"/>
          <w:sz w:val="52"/>
          <w:szCs w:val="52"/>
          <w:lang w:eastAsia="zh-CN"/>
        </w:rPr>
        <w:t>备用饮用水</w:t>
      </w:r>
    </w:p>
    <w:p>
      <w:pPr>
        <w:jc w:val="center"/>
        <w:rPr>
          <w:rFonts w:hint="eastAsia" w:cs="Times New Roman"/>
          <w:b/>
          <w:color w:val="000000"/>
          <w:sz w:val="52"/>
          <w:szCs w:val="52"/>
          <w:lang w:eastAsia="zh-CN"/>
        </w:rPr>
      </w:pPr>
      <w:r>
        <w:rPr>
          <w:rFonts w:hint="eastAsia" w:cs="Times New Roman"/>
          <w:b/>
          <w:color w:val="000000"/>
          <w:sz w:val="52"/>
          <w:szCs w:val="52"/>
          <w:lang w:eastAsia="zh-CN"/>
        </w:rPr>
        <w:t>水源保护区划分技术报告</w:t>
      </w:r>
    </w:p>
    <w:p>
      <w:pPr>
        <w:jc w:val="center"/>
        <w:rPr>
          <w:rFonts w:hint="default" w:ascii="Times New Roman" w:hAnsi="Times New Roman" w:cs="Times New Roman"/>
          <w:b/>
          <w:color w:val="auto"/>
          <w:sz w:val="48"/>
          <w:szCs w:val="48"/>
        </w:rPr>
      </w:pPr>
    </w:p>
    <w:p>
      <w:pPr>
        <w:jc w:val="center"/>
        <w:outlineLvl w:val="0"/>
        <w:rPr>
          <w:rFonts w:hint="default" w:ascii="Times New Roman" w:hAnsi="Times New Roman" w:eastAsia="宋体" w:cs="Times New Roman"/>
          <w:b/>
          <w:color w:val="auto"/>
          <w:sz w:val="32"/>
          <w:szCs w:val="32"/>
          <w:lang w:eastAsia="zh-CN"/>
        </w:rPr>
      </w:pPr>
      <w:r>
        <w:rPr>
          <w:rFonts w:hint="default" w:ascii="Times New Roman" w:hAnsi="Times New Roman" w:cs="Times New Roman"/>
          <w:b/>
          <w:color w:val="auto"/>
          <w:sz w:val="32"/>
          <w:szCs w:val="32"/>
          <w:lang w:eastAsia="zh-CN"/>
        </w:rPr>
        <w:t>（送审稿）</w:t>
      </w:r>
    </w:p>
    <w:p>
      <w:pPr>
        <w:rPr>
          <w:rFonts w:hint="default" w:ascii="Times New Roman" w:hAnsi="Times New Roman" w:cs="Times New Roman"/>
          <w:b/>
          <w:color w:val="auto"/>
          <w:sz w:val="52"/>
          <w:szCs w:val="52"/>
        </w:rPr>
      </w:pPr>
    </w:p>
    <w:p>
      <w:pPr>
        <w:rPr>
          <w:rFonts w:hint="default" w:ascii="Times New Roman" w:hAnsi="Times New Roman" w:cs="Times New Roman"/>
          <w:b/>
          <w:color w:val="auto"/>
          <w:sz w:val="52"/>
          <w:szCs w:val="52"/>
        </w:rPr>
      </w:pPr>
    </w:p>
    <w:p>
      <w:pPr>
        <w:rPr>
          <w:rFonts w:hint="default" w:ascii="Times New Roman" w:hAnsi="Times New Roman" w:cs="Times New Roman"/>
          <w:b/>
          <w:color w:val="auto"/>
          <w:sz w:val="52"/>
          <w:szCs w:val="52"/>
        </w:rPr>
      </w:pPr>
    </w:p>
    <w:p>
      <w:pPr>
        <w:rPr>
          <w:rFonts w:hint="default" w:ascii="Times New Roman" w:hAnsi="Times New Roman" w:cs="Times New Roman"/>
          <w:b/>
          <w:color w:val="auto"/>
          <w:sz w:val="52"/>
          <w:szCs w:val="52"/>
        </w:rPr>
      </w:pPr>
    </w:p>
    <w:p>
      <w:pPr>
        <w:jc w:val="center"/>
        <w:rPr>
          <w:rFonts w:hint="default" w:ascii="Times New Roman" w:hAnsi="Times New Roman" w:eastAsia="隶书" w:cs="Times New Roman"/>
          <w:b/>
          <w:color w:val="auto"/>
          <w:sz w:val="32"/>
          <w:szCs w:val="32"/>
        </w:rPr>
      </w:pPr>
      <w:bookmarkStart w:id="0" w:name="_Toc199238847"/>
    </w:p>
    <w:bookmarkEnd w:id="0"/>
    <w:p>
      <w:pPr>
        <w:jc w:val="center"/>
        <w:rPr>
          <w:rFonts w:hint="default" w:ascii="Times New Roman" w:hAnsi="Times New Roman" w:cs="Times New Roman"/>
          <w:color w:val="auto"/>
          <w:sz w:val="36"/>
          <w:szCs w:val="36"/>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spacing w:line="360" w:lineRule="auto"/>
        <w:ind w:firstLine="482" w:firstLineChars="200"/>
        <w:rPr>
          <w:rFonts w:hint="default" w:ascii="Times New Roman" w:hAnsi="Times New Roman" w:cs="Times New Roman"/>
          <w:b/>
          <w:snapToGrid w:val="0"/>
          <w:color w:val="auto"/>
          <w:kern w:val="0"/>
        </w:rPr>
      </w:pPr>
    </w:p>
    <w:p>
      <w:pPr>
        <w:autoSpaceDE w:val="0"/>
        <w:autoSpaceDN w:val="0"/>
        <w:adjustRightInd w:val="0"/>
        <w:spacing w:line="360" w:lineRule="auto"/>
        <w:ind w:firstLine="1285" w:firstLineChars="400"/>
        <w:jc w:val="both"/>
        <w:rPr>
          <w:rFonts w:hint="default" w:ascii="Times New Roman" w:hAnsi="Times New Roman" w:cs="Times New Roman"/>
          <w:b/>
          <w:color w:val="auto"/>
          <w:sz w:val="32"/>
          <w:szCs w:val="30"/>
          <w:lang w:eastAsia="zh-CN"/>
        </w:rPr>
      </w:pPr>
      <w:r>
        <w:rPr>
          <w:rFonts w:hint="default" w:ascii="Times New Roman" w:hAnsi="Times New Roman" w:cs="Times New Roman"/>
          <w:b/>
          <w:color w:val="auto"/>
          <w:sz w:val="32"/>
          <w:szCs w:val="30"/>
          <w:lang w:eastAsia="zh-CN"/>
        </w:rPr>
        <w:t>委托单位：开江县环境保护局</w:t>
      </w:r>
    </w:p>
    <w:p>
      <w:pPr>
        <w:autoSpaceDE w:val="0"/>
        <w:autoSpaceDN w:val="0"/>
        <w:adjustRightInd w:val="0"/>
        <w:spacing w:line="360" w:lineRule="auto"/>
        <w:ind w:firstLine="1285" w:firstLineChars="400"/>
        <w:jc w:val="both"/>
        <w:rPr>
          <w:rFonts w:hint="default" w:ascii="Times New Roman" w:hAnsi="Times New Roman" w:cs="Times New Roman"/>
          <w:b/>
          <w:color w:val="auto"/>
          <w:sz w:val="32"/>
          <w:szCs w:val="30"/>
          <w:lang w:eastAsia="zh-CN"/>
        </w:rPr>
      </w:pPr>
      <w:r>
        <w:rPr>
          <w:rFonts w:hint="default" w:ascii="Times New Roman" w:hAnsi="Times New Roman" w:cs="Times New Roman"/>
          <w:b/>
          <w:color w:val="auto"/>
          <w:sz w:val="32"/>
          <w:szCs w:val="30"/>
          <w:lang w:eastAsia="zh-CN"/>
        </w:rPr>
        <w:t>编制单位：四川国投环保科技有限公司</w:t>
      </w:r>
    </w:p>
    <w:p>
      <w:pPr>
        <w:spacing w:before="156"/>
        <w:jc w:val="center"/>
        <w:rPr>
          <w:rFonts w:hint="default" w:ascii="Times New Roman" w:hAnsi="Times New Roman" w:cs="Times New Roman"/>
          <w:b/>
          <w:color w:val="auto"/>
          <w:sz w:val="32"/>
          <w:szCs w:val="30"/>
        </w:rPr>
      </w:pPr>
      <w:r>
        <w:rPr>
          <w:rFonts w:hint="default" w:ascii="Times New Roman" w:hAnsi="Times New Roman" w:cs="Times New Roman"/>
          <w:b/>
          <w:color w:val="auto"/>
          <w:sz w:val="32"/>
          <w:szCs w:val="30"/>
        </w:rPr>
        <w:t>二〇一八年</w:t>
      </w:r>
      <w:r>
        <w:rPr>
          <w:rFonts w:hint="default" w:ascii="Times New Roman" w:hAnsi="Times New Roman" w:cs="Times New Roman"/>
          <w:b/>
          <w:color w:val="auto"/>
          <w:sz w:val="32"/>
          <w:szCs w:val="30"/>
          <w:lang w:eastAsia="zh-CN"/>
        </w:rPr>
        <w:t>五月</w:t>
      </w:r>
    </w:p>
    <w:p>
      <w:pPr>
        <w:spacing w:before="156"/>
        <w:jc w:val="both"/>
        <w:rPr>
          <w:rFonts w:hint="default" w:ascii="Times New Roman" w:hAnsi="Times New Roman" w:cs="Times New Roman"/>
          <w:b/>
          <w:color w:val="auto"/>
          <w:sz w:val="32"/>
          <w:szCs w:val="30"/>
        </w:rPr>
      </w:pPr>
    </w:p>
    <w:p>
      <w:pPr>
        <w:jc w:val="center"/>
        <w:rPr>
          <w:rFonts w:hint="default" w:ascii="Times New Roman" w:hAnsi="Times New Roman" w:cs="Times New Roman"/>
          <w:b/>
          <w:color w:val="000000"/>
          <w:sz w:val="36"/>
          <w:szCs w:val="36"/>
        </w:rPr>
      </w:pPr>
      <w:r>
        <w:rPr>
          <w:rFonts w:hint="default" w:ascii="Times New Roman" w:hAnsi="Times New Roman" w:cs="Times New Roman"/>
          <w:b/>
          <w:color w:val="000000"/>
          <w:sz w:val="36"/>
          <w:szCs w:val="36"/>
        </w:rPr>
        <w:br w:type="page"/>
      </w:r>
    </w:p>
    <w:p>
      <w:pPr>
        <w:jc w:val="center"/>
        <w:rPr>
          <w:rFonts w:hint="default" w:ascii="Times New Roman" w:hAnsi="Times New Roman" w:cs="Times New Roman"/>
          <w:b/>
          <w:color w:val="000000"/>
          <w:sz w:val="36"/>
          <w:szCs w:val="36"/>
          <w:lang w:eastAsia="zh-CN"/>
        </w:rPr>
      </w:pPr>
      <w:r>
        <w:rPr>
          <w:rFonts w:hint="default" w:ascii="Times New Roman" w:hAnsi="Times New Roman" w:cs="Times New Roman"/>
          <w:b/>
          <w:color w:val="000000"/>
          <w:sz w:val="36"/>
          <w:szCs w:val="36"/>
          <w:lang w:eastAsia="zh-CN"/>
        </w:rPr>
        <w:t>开江县县城</w:t>
      </w:r>
      <w:r>
        <w:rPr>
          <w:rFonts w:hint="eastAsia" w:cs="Times New Roman"/>
          <w:b/>
          <w:color w:val="000000"/>
          <w:sz w:val="36"/>
          <w:szCs w:val="36"/>
          <w:lang w:eastAsia="zh-CN"/>
        </w:rPr>
        <w:t>老河堰</w:t>
      </w:r>
      <w:r>
        <w:rPr>
          <w:rFonts w:hint="default" w:ascii="Times New Roman" w:hAnsi="Times New Roman" w:cs="Times New Roman"/>
          <w:b/>
          <w:color w:val="000000"/>
          <w:sz w:val="36"/>
          <w:szCs w:val="36"/>
          <w:lang w:eastAsia="zh-CN"/>
        </w:rPr>
        <w:t>水库备用饮用水</w:t>
      </w:r>
    </w:p>
    <w:p>
      <w:pPr>
        <w:jc w:val="center"/>
        <w:rPr>
          <w:rFonts w:hint="eastAsia" w:ascii="Times New Roman" w:hAnsi="Times New Roman" w:cs="Times New Roman" w:eastAsiaTheme="minorEastAsia"/>
          <w:b/>
          <w:color w:val="auto"/>
          <w:sz w:val="48"/>
          <w:szCs w:val="48"/>
          <w:lang w:eastAsia="zh-CN"/>
        </w:rPr>
      </w:pPr>
      <w:r>
        <w:rPr>
          <w:rFonts w:hint="default" w:ascii="Times New Roman" w:hAnsi="Times New Roman" w:cs="Times New Roman"/>
          <w:b/>
          <w:color w:val="000000"/>
          <w:sz w:val="36"/>
          <w:szCs w:val="36"/>
        </w:rPr>
        <w:t>水源</w:t>
      </w:r>
      <w:r>
        <w:rPr>
          <w:rFonts w:hint="eastAsia" w:cs="Times New Roman"/>
          <w:b/>
          <w:color w:val="000000"/>
          <w:sz w:val="36"/>
          <w:szCs w:val="36"/>
          <w:lang w:eastAsia="zh-CN"/>
        </w:rPr>
        <w:t>保护区</w:t>
      </w:r>
      <w:r>
        <w:rPr>
          <w:rFonts w:hint="default" w:ascii="Times New Roman" w:hAnsi="Times New Roman" w:cs="Times New Roman"/>
          <w:b/>
          <w:color w:val="000000"/>
          <w:sz w:val="36"/>
          <w:szCs w:val="36"/>
        </w:rPr>
        <w:t>划分</w:t>
      </w:r>
      <w:r>
        <w:rPr>
          <w:rFonts w:hint="eastAsia" w:cs="Times New Roman"/>
          <w:b/>
          <w:color w:val="000000"/>
          <w:sz w:val="36"/>
          <w:szCs w:val="36"/>
          <w:lang w:eastAsia="zh-CN"/>
        </w:rPr>
        <w:t>技术报告</w:t>
      </w:r>
    </w:p>
    <w:p>
      <w:pPr>
        <w:spacing w:before="156"/>
        <w:jc w:val="center"/>
        <w:rPr>
          <w:rFonts w:hint="default" w:ascii="Times New Roman" w:hAnsi="Times New Roman" w:cs="Times New Roman"/>
          <w:b/>
          <w:color w:val="auto"/>
          <w:sz w:val="30"/>
          <w:szCs w:val="30"/>
        </w:rPr>
      </w:pPr>
      <w:r>
        <w:rPr>
          <w:rFonts w:hint="default" w:ascii="Times New Roman" w:hAnsi="Times New Roman" w:cs="Times New Roman"/>
          <w:b/>
          <w:color w:val="auto"/>
          <w:sz w:val="30"/>
          <w:szCs w:val="30"/>
        </w:rPr>
        <w:t>（</w:t>
      </w:r>
      <w:r>
        <w:rPr>
          <w:rFonts w:hint="eastAsia" w:cs="Times New Roman"/>
          <w:b/>
          <w:color w:val="auto"/>
          <w:sz w:val="30"/>
          <w:szCs w:val="30"/>
          <w:lang w:eastAsia="zh-CN"/>
        </w:rPr>
        <w:t>送审稿</w:t>
      </w:r>
      <w:r>
        <w:rPr>
          <w:rFonts w:hint="default" w:ascii="Times New Roman" w:hAnsi="Times New Roman" w:cs="Times New Roman"/>
          <w:b/>
          <w:color w:val="auto"/>
          <w:sz w:val="30"/>
          <w:szCs w:val="30"/>
        </w:rPr>
        <w:t>）</w:t>
      </w:r>
    </w:p>
    <w:p>
      <w:pPr>
        <w:spacing w:before="156" w:line="380" w:lineRule="exact"/>
        <w:jc w:val="center"/>
        <w:rPr>
          <w:rFonts w:hint="default" w:ascii="Times New Roman" w:hAnsi="Times New Roman" w:cs="Times New Roman"/>
          <w:b/>
          <w:color w:val="auto"/>
          <w:sz w:val="30"/>
          <w:szCs w:val="30"/>
        </w:rPr>
      </w:pPr>
    </w:p>
    <w:p>
      <w:pPr>
        <w:spacing w:before="156" w:line="380" w:lineRule="exact"/>
        <w:jc w:val="center"/>
        <w:rPr>
          <w:rFonts w:hint="default" w:ascii="Times New Roman" w:hAnsi="Times New Roman" w:cs="Times New Roman"/>
          <w:b/>
          <w:color w:val="auto"/>
          <w:sz w:val="30"/>
          <w:szCs w:val="30"/>
        </w:rPr>
      </w:pPr>
    </w:p>
    <w:p>
      <w:pPr>
        <w:spacing w:before="156" w:line="380" w:lineRule="exact"/>
        <w:jc w:val="center"/>
        <w:rPr>
          <w:rFonts w:hint="default" w:ascii="Times New Roman" w:hAnsi="Times New Roman" w:cs="Times New Roman"/>
          <w:b/>
          <w:color w:val="auto"/>
          <w:sz w:val="30"/>
          <w:szCs w:val="30"/>
        </w:rPr>
      </w:pPr>
    </w:p>
    <w:p>
      <w:pPr>
        <w:spacing w:before="156" w:line="360" w:lineRule="auto"/>
        <w:rPr>
          <w:rFonts w:hint="default" w:ascii="Times New Roman" w:hAnsi="Times New Roman" w:cs="Times New Roman"/>
          <w:color w:val="auto"/>
          <w:sz w:val="36"/>
          <w:szCs w:val="36"/>
          <w:lang w:eastAsia="zh-CN"/>
        </w:rPr>
      </w:pPr>
      <w:r>
        <w:rPr>
          <w:rFonts w:hint="default" w:ascii="Times New Roman" w:hAnsi="Times New Roman" w:cs="Times New Roman"/>
          <w:b/>
          <w:color w:val="auto"/>
          <w:sz w:val="36"/>
          <w:szCs w:val="36"/>
        </w:rPr>
        <w:t>委托单位：</w:t>
      </w:r>
      <w:r>
        <w:rPr>
          <w:rFonts w:hint="default" w:ascii="Times New Roman" w:hAnsi="Times New Roman" w:cs="Times New Roman"/>
          <w:color w:val="auto"/>
          <w:sz w:val="36"/>
          <w:szCs w:val="36"/>
          <w:lang w:eastAsia="zh-CN"/>
        </w:rPr>
        <w:t>开江县环境保护局</w:t>
      </w:r>
    </w:p>
    <w:p>
      <w:pPr>
        <w:spacing w:before="156" w:line="360" w:lineRule="auto"/>
        <w:rPr>
          <w:rFonts w:hint="default" w:ascii="Times New Roman" w:hAnsi="Times New Roman" w:cs="Times New Roman"/>
          <w:color w:val="auto"/>
          <w:sz w:val="36"/>
          <w:szCs w:val="36"/>
        </w:rPr>
      </w:pPr>
      <w:r>
        <w:rPr>
          <w:rFonts w:hint="default" w:ascii="Times New Roman" w:hAnsi="Times New Roman" w:cs="Times New Roman"/>
          <w:b/>
          <w:color w:val="auto"/>
          <w:sz w:val="36"/>
          <w:szCs w:val="36"/>
        </w:rPr>
        <w:t>编制单位：</w:t>
      </w:r>
      <w:r>
        <w:rPr>
          <w:rFonts w:hint="default" w:ascii="Times New Roman" w:hAnsi="Times New Roman" w:cs="Times New Roman"/>
          <w:color w:val="auto"/>
          <w:sz w:val="36"/>
          <w:szCs w:val="36"/>
          <w:lang w:eastAsia="zh-CN"/>
        </w:rPr>
        <w:t>四川国投环保科技有限公司</w:t>
      </w:r>
    </w:p>
    <w:p>
      <w:pPr>
        <w:spacing w:before="156" w:line="360" w:lineRule="auto"/>
        <w:rPr>
          <w:rFonts w:hint="default" w:ascii="Times New Roman" w:hAnsi="Times New Roman" w:cs="Times New Roman"/>
          <w:b/>
          <w:color w:val="auto"/>
          <w:sz w:val="36"/>
          <w:szCs w:val="36"/>
          <w:lang w:val="en-US" w:eastAsia="zh-CN"/>
        </w:rPr>
      </w:pPr>
      <w:r>
        <w:rPr>
          <w:rFonts w:hint="default" w:ascii="Times New Roman" w:hAnsi="Times New Roman" w:cs="Times New Roman"/>
          <w:b/>
          <w:color w:val="auto"/>
          <w:sz w:val="36"/>
          <w:szCs w:val="36"/>
          <w:lang w:val="en-US" w:eastAsia="zh-CN"/>
        </w:rPr>
        <w:t xml:space="preserve">  </w:t>
      </w:r>
    </w:p>
    <w:p>
      <w:pPr>
        <w:spacing w:before="156" w:line="360" w:lineRule="auto"/>
        <w:rPr>
          <w:rFonts w:hint="default" w:ascii="Times New Roman" w:hAnsi="Times New Roman" w:cs="Times New Roman"/>
          <w:b/>
          <w:color w:val="auto"/>
          <w:sz w:val="36"/>
          <w:szCs w:val="36"/>
          <w:lang w:val="en-US" w:eastAsia="zh-CN"/>
        </w:rPr>
      </w:pPr>
    </w:p>
    <w:p>
      <w:pPr>
        <w:spacing w:before="156" w:line="360" w:lineRule="auto"/>
        <w:rPr>
          <w:rFonts w:hint="default" w:ascii="Times New Roman" w:hAnsi="Times New Roman" w:cs="Times New Roman"/>
          <w:b/>
          <w:color w:val="auto"/>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default" w:ascii="Times New Roman" w:hAnsi="Times New Roman" w:cs="Times New Roman"/>
          <w:color w:val="auto"/>
          <w:sz w:val="36"/>
          <w:szCs w:val="36"/>
        </w:rPr>
      </w:pPr>
      <w:r>
        <w:rPr>
          <w:rFonts w:hint="default" w:ascii="Times New Roman" w:hAnsi="Times New Roman" w:cs="Times New Roman"/>
          <w:b/>
          <w:color w:val="auto"/>
          <w:sz w:val="36"/>
          <w:szCs w:val="36"/>
        </w:rPr>
        <w:t>项目负责人：</w:t>
      </w:r>
      <w:r>
        <w:rPr>
          <w:rFonts w:hint="default" w:ascii="Times New Roman" w:hAnsi="Times New Roman" w:cs="Times New Roman"/>
          <w:color w:val="auto"/>
          <w:sz w:val="36"/>
          <w:szCs w:val="36"/>
          <w:lang w:eastAsia="zh-CN"/>
        </w:rPr>
        <w:t>喻</w:t>
      </w:r>
      <w:r>
        <w:rPr>
          <w:rFonts w:hint="default" w:ascii="Times New Roman" w:hAnsi="Times New Roman" w:cs="Times New Roman"/>
          <w:color w:val="auto"/>
          <w:sz w:val="36"/>
          <w:szCs w:val="36"/>
          <w:lang w:val="en-US" w:eastAsia="zh-CN"/>
        </w:rPr>
        <w:t xml:space="preserve">  </w:t>
      </w:r>
      <w:r>
        <w:rPr>
          <w:rFonts w:hint="default" w:ascii="Times New Roman" w:hAnsi="Times New Roman" w:cs="Times New Roman"/>
          <w:color w:val="auto"/>
          <w:sz w:val="36"/>
          <w:szCs w:val="36"/>
          <w:lang w:eastAsia="zh-CN"/>
        </w:rPr>
        <w:t>川</w:t>
      </w:r>
      <w:r>
        <w:rPr>
          <w:rFonts w:hint="default" w:ascii="Times New Roman" w:hAnsi="Times New Roman" w:cs="Times New Roman"/>
          <w:color w:val="auto"/>
          <w:sz w:val="36"/>
          <w:szCs w:val="36"/>
        </w:rPr>
        <w:t>（</w:t>
      </w:r>
      <w:r>
        <w:rPr>
          <w:rFonts w:hint="default" w:ascii="Times New Roman" w:hAnsi="Times New Roman" w:cs="Times New Roman"/>
          <w:color w:val="auto"/>
          <w:sz w:val="36"/>
          <w:szCs w:val="36"/>
          <w:lang w:eastAsia="zh-CN"/>
        </w:rPr>
        <w:t>高级工程师</w:t>
      </w:r>
      <w:r>
        <w:rPr>
          <w:rFonts w:hint="default" w:ascii="Times New Roman" w:hAnsi="Times New Roman" w:cs="Times New Roman"/>
          <w:color w:val="auto"/>
          <w:sz w:val="36"/>
          <w:szCs w:val="36"/>
        </w:rPr>
        <w:t>）</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default" w:ascii="Times New Roman" w:hAnsi="Times New Roman" w:cs="Times New Roman"/>
          <w:b w:val="0"/>
          <w:bCs/>
          <w:color w:val="auto"/>
          <w:sz w:val="36"/>
          <w:szCs w:val="36"/>
        </w:rPr>
      </w:pPr>
      <w:r>
        <w:rPr>
          <w:rFonts w:hint="default" w:ascii="Times New Roman" w:hAnsi="Times New Roman" w:cs="Times New Roman"/>
          <w:b/>
          <w:color w:val="auto"/>
          <w:spacing w:val="50"/>
          <w:kern w:val="0"/>
          <w:sz w:val="36"/>
          <w:szCs w:val="36"/>
          <w:fitText w:val="1505" w:id="0"/>
        </w:rPr>
        <w:t>编制人</w:t>
      </w:r>
      <w:r>
        <w:rPr>
          <w:rFonts w:hint="default" w:ascii="Times New Roman" w:hAnsi="Times New Roman" w:cs="Times New Roman"/>
          <w:b/>
          <w:color w:val="auto"/>
          <w:kern w:val="0"/>
          <w:sz w:val="36"/>
          <w:szCs w:val="36"/>
          <w:fitText w:val="1505" w:id="0"/>
        </w:rPr>
        <w:t>员</w:t>
      </w:r>
      <w:r>
        <w:rPr>
          <w:rFonts w:hint="default" w:ascii="Times New Roman" w:hAnsi="Times New Roman" w:cs="Times New Roman"/>
          <w:b/>
          <w:color w:val="auto"/>
          <w:sz w:val="36"/>
          <w:szCs w:val="36"/>
        </w:rPr>
        <w:t>：</w:t>
      </w:r>
      <w:r>
        <w:rPr>
          <w:rFonts w:hint="eastAsia" w:cs="Times New Roman"/>
          <w:b w:val="0"/>
          <w:bCs/>
          <w:color w:val="auto"/>
          <w:sz w:val="36"/>
          <w:szCs w:val="36"/>
          <w:lang w:eastAsia="zh-CN"/>
        </w:rPr>
        <w:t>宁兰</w:t>
      </w:r>
      <w:r>
        <w:rPr>
          <w:rFonts w:hint="eastAsia" w:cs="Times New Roman"/>
          <w:b w:val="0"/>
          <w:bCs/>
          <w:color w:val="auto"/>
          <w:sz w:val="36"/>
          <w:szCs w:val="36"/>
          <w:lang w:val="en-US" w:eastAsia="zh-CN"/>
        </w:rPr>
        <w:t xml:space="preserve"> </w:t>
      </w:r>
      <w:r>
        <w:rPr>
          <w:rFonts w:hint="default" w:ascii="Times New Roman" w:hAnsi="Times New Roman" w:cs="Times New Roman"/>
          <w:b w:val="0"/>
          <w:bCs/>
          <w:color w:val="auto"/>
          <w:sz w:val="36"/>
          <w:szCs w:val="36"/>
          <w:lang w:val="en-US" w:eastAsia="zh-CN"/>
        </w:rPr>
        <w:t xml:space="preserve">      王  宇</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default" w:ascii="Times New Roman" w:hAnsi="Times New Roman" w:cs="Times New Roman"/>
          <w:b/>
          <w:bCs/>
          <w:color w:val="auto"/>
          <w:sz w:val="44"/>
          <w:szCs w:val="32"/>
        </w:rPr>
      </w:pPr>
      <w:r>
        <w:rPr>
          <w:rFonts w:hint="default" w:ascii="Times New Roman" w:hAnsi="Times New Roman" w:cs="Times New Roman"/>
          <w:b/>
          <w:color w:val="auto"/>
          <w:spacing w:val="50"/>
          <w:kern w:val="0"/>
          <w:sz w:val="36"/>
          <w:szCs w:val="36"/>
          <w:fitText w:val="1505" w:id="1"/>
        </w:rPr>
        <w:t>制图人</w:t>
      </w:r>
      <w:r>
        <w:rPr>
          <w:rFonts w:hint="default" w:ascii="Times New Roman" w:hAnsi="Times New Roman" w:cs="Times New Roman"/>
          <w:b/>
          <w:color w:val="auto"/>
          <w:kern w:val="0"/>
          <w:sz w:val="36"/>
          <w:szCs w:val="36"/>
          <w:fitText w:val="1505" w:id="1"/>
        </w:rPr>
        <w:t>员</w:t>
      </w:r>
      <w:r>
        <w:rPr>
          <w:rFonts w:hint="default" w:ascii="Times New Roman" w:hAnsi="Times New Roman" w:cs="Times New Roman"/>
          <w:b/>
          <w:color w:val="auto"/>
          <w:sz w:val="36"/>
          <w:szCs w:val="36"/>
        </w:rPr>
        <w:t>：</w:t>
      </w:r>
      <w:r>
        <w:rPr>
          <w:rFonts w:hint="eastAsia" w:cs="Times New Roman"/>
          <w:color w:val="auto"/>
          <w:sz w:val="36"/>
          <w:szCs w:val="36"/>
          <w:lang w:eastAsia="zh-CN"/>
        </w:rPr>
        <w:t>李思雨</w:t>
      </w:r>
    </w:p>
    <w:p>
      <w:pPr>
        <w:jc w:val="center"/>
        <w:rPr>
          <w:rFonts w:hint="default" w:ascii="Times New Roman" w:hAnsi="Times New Roman" w:cs="Times New Roman"/>
          <w:bCs/>
          <w:color w:val="auto"/>
        </w:rPr>
      </w:pPr>
    </w:p>
    <w:p>
      <w:pPr>
        <w:rPr>
          <w:rFonts w:hint="default" w:ascii="Times New Roman" w:hAnsi="Times New Roman" w:cs="Times New Roman"/>
          <w:color w:val="auto"/>
        </w:rPr>
      </w:pPr>
      <w:r>
        <w:rPr>
          <w:rFonts w:hint="default" w:ascii="Times New Roman" w:hAnsi="Times New Roman" w:cs="Times New Roman"/>
          <w:color w:val="auto"/>
        </w:rPr>
        <w:t xml:space="preserve"> </w:t>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cs="Times New Roman"/>
          <w:b/>
          <w:bCs/>
          <w:color w:val="000000"/>
          <w:sz w:val="28"/>
        </w:rPr>
      </w:pPr>
      <w:r>
        <w:rPr>
          <w:rFonts w:hint="default" w:ascii="Times New Roman" w:hAnsi="Times New Roman" w:cs="Times New Roman"/>
          <w:b/>
          <w:bCs/>
          <w:color w:val="000000"/>
          <w:sz w:val="28"/>
        </w:rPr>
        <w:br w:type="page"/>
      </w:r>
    </w:p>
    <w:p>
      <w:pPr>
        <w:pStyle w:val="18"/>
        <w:jc w:val="center"/>
        <w:rPr>
          <w:rFonts w:hint="default" w:ascii="Times New Roman" w:hAnsi="Times New Roman" w:cs="Times New Roman"/>
          <w:color w:val="auto"/>
          <w:sz w:val="52"/>
          <w:szCs w:val="52"/>
        </w:rPr>
      </w:pPr>
      <w:bookmarkStart w:id="1" w:name="_Toc17603"/>
      <w:r>
        <w:rPr>
          <w:rFonts w:hint="default" w:ascii="Times New Roman" w:hAnsi="Times New Roman" w:cs="Times New Roman"/>
          <w:color w:val="auto"/>
          <w:sz w:val="52"/>
          <w:szCs w:val="52"/>
          <w:lang w:val="zh-CN"/>
        </w:rPr>
        <w:t>目录</w:t>
      </w:r>
      <w:bookmarkEnd w:id="1"/>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TOC \o "1-3" \h \z \u </w:instrText>
      </w:r>
      <w:r>
        <w:rPr>
          <w:rFonts w:hint="default" w:ascii="Times New Roman" w:hAnsi="Times New Roman" w:cs="Times New Roman"/>
          <w:color w:val="auto"/>
        </w:rPr>
        <w:fldChar w:fldCharType="separate"/>
      </w: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_Toc17603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zh-CN"/>
        </w:rPr>
        <w:t>目录</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_Toc17603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_Toc6002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前  言</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_Toc6002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_Toc1900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概</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述</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_Toc1900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_Toc10711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1.1任务由来及意义</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_Toc10711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_Toc15345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1.2划分依据及原则</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_Toc15345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_Toc17398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1.3水源保护区划分的一般技术原则</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_Toc17398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_Toc8365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1.4水源保护区水质要求</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_Toc8365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_Toc6706 </w:instrText>
      </w:r>
      <w:r>
        <w:rPr>
          <w:rFonts w:hint="default" w:ascii="Times New Roman" w:hAnsi="Times New Roman" w:cs="Times New Roman"/>
          <w:sz w:val="21"/>
          <w:szCs w:val="21"/>
        </w:rPr>
        <w:fldChar w:fldCharType="separate"/>
      </w:r>
      <w:r>
        <w:rPr>
          <w:rFonts w:hint="default" w:ascii="Times New Roman" w:hAnsi="Times New Roman" w:eastAsia="黑体" w:cs="Times New Roman"/>
          <w:kern w:val="0"/>
          <w:sz w:val="21"/>
          <w:szCs w:val="21"/>
          <w:lang w:val="zh-CN"/>
        </w:rPr>
        <w:t xml:space="preserve">2 </w:t>
      </w:r>
      <w:r>
        <w:rPr>
          <w:rFonts w:hint="default" w:ascii="Times New Roman" w:hAnsi="Times New Roman" w:eastAsia="宋体" w:cs="Times New Roman"/>
          <w:kern w:val="0"/>
          <w:sz w:val="21"/>
          <w:szCs w:val="21"/>
          <w:lang w:val="zh-CN"/>
        </w:rPr>
        <w:t>水源地概况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_Toc6706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_Toc23897 </w:instrText>
      </w:r>
      <w:r>
        <w:rPr>
          <w:rFonts w:hint="default" w:ascii="Times New Roman" w:hAnsi="Times New Roman" w:cs="Times New Roman"/>
          <w:sz w:val="21"/>
          <w:szCs w:val="21"/>
        </w:rPr>
        <w:fldChar w:fldCharType="separate"/>
      </w:r>
      <w:r>
        <w:rPr>
          <w:rFonts w:hint="default" w:ascii="Times New Roman" w:hAnsi="Times New Roman" w:eastAsia="黑体" w:cs="Times New Roman"/>
          <w:kern w:val="0"/>
          <w:sz w:val="21"/>
          <w:szCs w:val="21"/>
        </w:rPr>
        <w:t xml:space="preserve">2.1 </w:t>
      </w:r>
      <w:r>
        <w:rPr>
          <w:rFonts w:hint="default" w:ascii="Times New Roman" w:hAnsi="Times New Roman" w:eastAsia="宋体" w:cs="Times New Roman"/>
          <w:bCs w:val="0"/>
          <w:kern w:val="0"/>
          <w:sz w:val="21"/>
          <w:szCs w:val="21"/>
        </w:rPr>
        <w:t>水源地基本情况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_Toc23897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_Toc10411 </w:instrText>
      </w:r>
      <w:r>
        <w:rPr>
          <w:rFonts w:hint="default" w:ascii="Times New Roman" w:hAnsi="Times New Roman" w:cs="Times New Roman"/>
          <w:sz w:val="21"/>
          <w:szCs w:val="21"/>
        </w:rPr>
        <w:fldChar w:fldCharType="separate"/>
      </w:r>
      <w:r>
        <w:rPr>
          <w:rFonts w:hint="default" w:ascii="Times New Roman" w:hAnsi="Times New Roman" w:eastAsia="黑体" w:cs="Times New Roman"/>
          <w:kern w:val="0"/>
          <w:sz w:val="21"/>
          <w:szCs w:val="21"/>
        </w:rPr>
        <w:t xml:space="preserve">2.2 </w:t>
      </w:r>
      <w:r>
        <w:rPr>
          <w:rFonts w:hint="default" w:ascii="Times New Roman" w:hAnsi="Times New Roman" w:eastAsia="宋体" w:cs="Times New Roman"/>
          <w:bCs w:val="0"/>
          <w:kern w:val="0"/>
          <w:sz w:val="21"/>
          <w:szCs w:val="21"/>
        </w:rPr>
        <w:t>保护区划分情况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_Toc10411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_Toc46 </w:instrText>
      </w:r>
      <w:r>
        <w:rPr>
          <w:rFonts w:hint="default" w:ascii="Times New Roman" w:hAnsi="Times New Roman" w:cs="Times New Roman"/>
          <w:sz w:val="21"/>
          <w:szCs w:val="21"/>
        </w:rPr>
        <w:fldChar w:fldCharType="separate"/>
      </w:r>
      <w:r>
        <w:rPr>
          <w:rFonts w:hint="default" w:ascii="Times New Roman" w:hAnsi="Times New Roman" w:eastAsia="黑体" w:cs="Times New Roman"/>
          <w:kern w:val="0"/>
          <w:sz w:val="21"/>
          <w:szCs w:val="21"/>
        </w:rPr>
        <w:t xml:space="preserve">2.3 </w:t>
      </w:r>
      <w:r>
        <w:rPr>
          <w:rFonts w:hint="default" w:ascii="Times New Roman" w:hAnsi="Times New Roman" w:eastAsia="宋体" w:cs="Times New Roman"/>
          <w:bCs w:val="0"/>
          <w:kern w:val="0"/>
          <w:sz w:val="21"/>
          <w:szCs w:val="21"/>
        </w:rPr>
        <w:t>水质状况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_Toc46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8</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_Toc32186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 饮用水水源保护区背景分析</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_Toc32186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_Toc1158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3.1饮用水水源地保护区所在区域的自然状况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_Toc1158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10</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_Toc25473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3.2社会经济状况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_Toc25473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_Toc3137 </w:instrText>
      </w:r>
      <w:r>
        <w:rPr>
          <w:rFonts w:hint="default" w:ascii="Times New Roman" w:hAnsi="Times New Roman" w:cs="Times New Roman"/>
          <w:sz w:val="21"/>
          <w:szCs w:val="21"/>
        </w:rPr>
        <w:fldChar w:fldCharType="separate"/>
      </w:r>
      <w:r>
        <w:rPr>
          <w:rFonts w:hint="default" w:ascii="Times New Roman" w:hAnsi="Times New Roman" w:cs="Times New Roman"/>
          <w:bCs/>
          <w:sz w:val="21"/>
          <w:szCs w:val="21"/>
        </w:rPr>
        <w:t>3.3土地利用现状及规划</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_Toc3137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15</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_Toc6615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4</w:t>
      </w:r>
      <w:r>
        <w:rPr>
          <w:rFonts w:hint="default" w:ascii="Times New Roman" w:hAnsi="Times New Roman" w:cs="Times New Roman"/>
          <w:sz w:val="21"/>
          <w:szCs w:val="21"/>
        </w:rPr>
        <w:t xml:space="preserve"> </w:t>
      </w:r>
      <w:r>
        <w:rPr>
          <w:rFonts w:hint="default" w:ascii="Times New Roman" w:hAnsi="Times New Roman" w:cs="Times New Roman"/>
          <w:sz w:val="21"/>
          <w:szCs w:val="21"/>
          <w:lang w:eastAsia="zh-CN"/>
        </w:rPr>
        <w:t>水系结构分析</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_Toc6615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_Toc13377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4.1</w:t>
      </w: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r>
        <w:rPr>
          <w:rFonts w:hint="default" w:ascii="Times New Roman" w:hAnsi="Times New Roman" w:cs="Times New Roman"/>
          <w:sz w:val="21"/>
          <w:szCs w:val="21"/>
        </w:rPr>
        <w:t>水源地</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_Toc13377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_Toc19315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 xml:space="preserve">5 </w:t>
      </w:r>
      <w:r>
        <w:rPr>
          <w:rFonts w:hint="default" w:ascii="Times New Roman" w:hAnsi="Times New Roman" w:cs="Times New Roman"/>
          <w:sz w:val="21"/>
          <w:szCs w:val="21"/>
          <w:lang w:eastAsia="zh-CN"/>
        </w:rPr>
        <w:t>水源地环境状况</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_Toc19315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19</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_Toc705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5.1水环境风险识别</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_Toc705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19</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_Toc21199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5.2水环境系统分析</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_Toc21199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_Toc16817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5.3水环境风险控制</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_Toc16817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25</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_Toc859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5.4饮用水水源保护区环境保护工程</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_Toc859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29</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_Toc9497 </w:instrText>
      </w:r>
      <w:r>
        <w:rPr>
          <w:rFonts w:hint="default" w:ascii="Times New Roman" w:hAnsi="Times New Roman" w:cs="Times New Roman"/>
          <w:sz w:val="21"/>
          <w:szCs w:val="21"/>
        </w:rPr>
        <w:fldChar w:fldCharType="separate"/>
      </w:r>
      <w:r>
        <w:rPr>
          <w:rFonts w:hint="default" w:ascii="Times New Roman" w:hAnsi="Times New Roman" w:eastAsia="宋体" w:cs="Times New Roman"/>
          <w:bCs/>
          <w:kern w:val="0"/>
          <w:sz w:val="21"/>
          <w:szCs w:val="21"/>
          <w:lang w:val="zh-CN"/>
        </w:rPr>
        <w:t>6</w:t>
      </w:r>
      <w:r>
        <w:rPr>
          <w:rFonts w:hint="default" w:ascii="Times New Roman" w:hAnsi="Times New Roman" w:eastAsia="宋体" w:cs="Times New Roman"/>
          <w:bCs/>
          <w:kern w:val="0"/>
          <w:sz w:val="21"/>
          <w:szCs w:val="21"/>
          <w:lang w:val="en-US" w:eastAsia="zh-CN"/>
        </w:rPr>
        <w:t xml:space="preserve"> </w:t>
      </w:r>
      <w:r>
        <w:rPr>
          <w:rFonts w:hint="default" w:ascii="Times New Roman" w:hAnsi="Times New Roman" w:eastAsia="宋体" w:cs="Times New Roman"/>
          <w:bCs/>
          <w:kern w:val="0"/>
          <w:sz w:val="21"/>
          <w:szCs w:val="21"/>
          <w:lang w:val="zh-CN"/>
        </w:rPr>
        <w:t>饮用水源保护区划定</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_Toc9497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_Toc16375 </w:instrText>
      </w:r>
      <w:r>
        <w:rPr>
          <w:rFonts w:hint="default" w:ascii="Times New Roman" w:hAnsi="Times New Roman" w:cs="Times New Roman"/>
          <w:sz w:val="21"/>
          <w:szCs w:val="21"/>
        </w:rPr>
        <w:fldChar w:fldCharType="separate"/>
      </w:r>
      <w:r>
        <w:rPr>
          <w:rFonts w:hint="default" w:ascii="Times New Roman" w:hAnsi="Times New Roman" w:eastAsia="黑体" w:cs="Times New Roman"/>
          <w:bCs w:val="0"/>
          <w:kern w:val="0"/>
          <w:sz w:val="21"/>
          <w:szCs w:val="21"/>
        </w:rPr>
        <w:t>6.1</w:t>
      </w:r>
      <w:r>
        <w:rPr>
          <w:rFonts w:hint="default" w:ascii="Times New Roman" w:hAnsi="Times New Roman" w:eastAsia="宋体" w:cs="Times New Roman"/>
          <w:bCs w:val="0"/>
          <w:kern w:val="0"/>
          <w:sz w:val="21"/>
          <w:szCs w:val="21"/>
        </w:rPr>
        <w:t>水源类型及保护区设置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_Toc16375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_Toc11433 </w:instrText>
      </w:r>
      <w:r>
        <w:rPr>
          <w:rFonts w:hint="default" w:ascii="Times New Roman" w:hAnsi="Times New Roman" w:cs="Times New Roman"/>
          <w:sz w:val="21"/>
          <w:szCs w:val="21"/>
        </w:rPr>
        <w:fldChar w:fldCharType="separate"/>
      </w:r>
      <w:r>
        <w:rPr>
          <w:rFonts w:hint="default" w:ascii="Times New Roman" w:hAnsi="Times New Roman" w:cs="Times New Roman"/>
          <w:bCs/>
          <w:sz w:val="21"/>
          <w:szCs w:val="21"/>
        </w:rPr>
        <w:t>6.2</w:t>
      </w:r>
      <w:r>
        <w:rPr>
          <w:rFonts w:hint="eastAsia" w:ascii="Times New Roman" w:hAnsi="Times New Roman" w:cs="Times New Roman"/>
          <w:bCs/>
          <w:sz w:val="21"/>
          <w:szCs w:val="21"/>
          <w:lang w:eastAsia="zh-CN"/>
        </w:rPr>
        <w:t>水库型</w:t>
      </w:r>
      <w:r>
        <w:rPr>
          <w:rFonts w:hint="default" w:ascii="Times New Roman" w:hAnsi="Times New Roman" w:cs="Times New Roman"/>
          <w:bCs/>
          <w:sz w:val="21"/>
          <w:szCs w:val="21"/>
        </w:rPr>
        <w:t>水源地保护区划分</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_Toc11433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_Toc10233 </w:instrText>
      </w:r>
      <w:r>
        <w:rPr>
          <w:rFonts w:hint="default" w:ascii="Times New Roman" w:hAnsi="Times New Roman" w:cs="Times New Roman"/>
          <w:sz w:val="21"/>
          <w:szCs w:val="21"/>
        </w:rPr>
        <w:fldChar w:fldCharType="separate"/>
      </w:r>
      <w:r>
        <w:rPr>
          <w:rFonts w:hint="default" w:ascii="Times New Roman" w:hAnsi="Times New Roman" w:cs="Times New Roman"/>
          <w:bCs/>
          <w:sz w:val="21"/>
          <w:szCs w:val="21"/>
        </w:rPr>
        <w:t>6.</w:t>
      </w:r>
      <w:r>
        <w:rPr>
          <w:rFonts w:hint="default" w:ascii="Times New Roman" w:hAnsi="Times New Roman" w:cs="Times New Roman"/>
          <w:bCs/>
          <w:sz w:val="21"/>
          <w:szCs w:val="21"/>
          <w:lang w:val="en-US" w:eastAsia="zh-CN"/>
        </w:rPr>
        <w:t>3</w:t>
      </w:r>
      <w:r>
        <w:rPr>
          <w:rFonts w:hint="default" w:ascii="Times New Roman" w:hAnsi="Times New Roman" w:cs="Times New Roman"/>
          <w:bCs/>
          <w:sz w:val="21"/>
          <w:szCs w:val="21"/>
        </w:rPr>
        <w:t>饮用水源保护区最终定界</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_Toc10233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37</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_Toc32508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7</w:t>
      </w:r>
      <w:r>
        <w:rPr>
          <w:rFonts w:hint="default" w:ascii="Times New Roman" w:hAnsi="Times New Roman" w:cs="Times New Roman"/>
          <w:sz w:val="21"/>
          <w:szCs w:val="21"/>
        </w:rPr>
        <w:t xml:space="preserve"> 水源保护区管理措施</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_Toc32508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42</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_Toc18598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1饮用水水源保护区界标标志工程</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_Toc18598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42</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_Toc9207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2饮用水水源保护区防护隔离工程</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_Toc9207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49</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_Toc21880 </w:instrText>
      </w:r>
      <w:r>
        <w:rPr>
          <w:rFonts w:hint="default" w:ascii="Times New Roman" w:hAnsi="Times New Roman" w:cs="Times New Roman"/>
          <w:sz w:val="21"/>
          <w:szCs w:val="21"/>
        </w:rPr>
        <w:fldChar w:fldCharType="separate"/>
      </w:r>
      <w:r>
        <w:rPr>
          <w:rFonts w:hint="eastAsia" w:ascii="Times New Roman" w:hAnsi="Times New Roman" w:cs="Times New Roman"/>
          <w:bCs/>
          <w:sz w:val="21"/>
          <w:szCs w:val="21"/>
          <w:lang w:val="en-US" w:eastAsia="zh-CN"/>
        </w:rPr>
        <w:t>6.</w:t>
      </w:r>
      <w:r>
        <w:rPr>
          <w:rFonts w:hint="default" w:ascii="Times New Roman" w:hAnsi="Times New Roman" w:cs="Times New Roman"/>
          <w:bCs/>
          <w:sz w:val="21"/>
          <w:szCs w:val="21"/>
          <w:lang w:val="en-US" w:eastAsia="zh-CN"/>
        </w:rPr>
        <w:t>3饮用水水源保护区污染源治理工程</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_Toc21880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50</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_Toc6955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4 制定水源地保护区污染防治管理办法</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_Toc6955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51</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_Toc8990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5 建立水源地保护区监督管理机制</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_Toc8990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52</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_Toc2317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6 建立水源地监测预警系统</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_Toc2317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_Toc793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7 建立健全水源地安全保障应急机制</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_Toc793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_Toc25049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8 加强饮用水水源保护宣传与教育</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_Toc25049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_Toc11679 </w:instrText>
      </w:r>
      <w:r>
        <w:rPr>
          <w:rFonts w:hint="default" w:ascii="Times New Roman" w:hAnsi="Times New Roman" w:cs="Times New Roman"/>
          <w:sz w:val="21"/>
          <w:szCs w:val="21"/>
        </w:rPr>
        <w:fldChar w:fldCharType="separate"/>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rPr>
        <w:t>9 应急保障措施</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_Toc11679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53</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_Toc26160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 xml:space="preserve"> 结论与建议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_Toc26160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_Toc11523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.1结论</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_Toc11523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_Toc31334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8</w:t>
      </w:r>
      <w:r>
        <w:rPr>
          <w:rFonts w:hint="default" w:ascii="Times New Roman" w:hAnsi="Times New Roman" w:cs="Times New Roman"/>
          <w:sz w:val="21"/>
          <w:szCs w:val="21"/>
        </w:rPr>
        <w:t>.2 建议</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_Toc31334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54</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9"/>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_Toc4693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 xml:space="preserve"> 附录</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_Toc4693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56</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_Toc22836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.1附表</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_Toc22836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56</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sz w:val="21"/>
          <w:szCs w:val="21"/>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_Toc27590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.2附件</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_Toc27590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60</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pStyle w:val="10"/>
        <w:tabs>
          <w:tab w:val="right" w:leader="dot" w:pos="8300"/>
        </w:tabs>
        <w:spacing w:line="240" w:lineRule="auto"/>
        <w:rPr>
          <w:rFonts w:hint="default" w:ascii="Times New Roman" w:hAnsi="Times New Roman" w:cs="Times New Roman"/>
        </w:rPr>
      </w:pPr>
      <w:r>
        <w:rPr>
          <w:rFonts w:hint="default" w:ascii="Times New Roman" w:hAnsi="Times New Roman" w:cs="Times New Roman"/>
          <w:color w:val="auto"/>
          <w:sz w:val="21"/>
          <w:szCs w:val="21"/>
        </w:rPr>
        <w:fldChar w:fldCharType="begin"/>
      </w:r>
      <w:r>
        <w:rPr>
          <w:rFonts w:hint="default" w:ascii="Times New Roman" w:hAnsi="Times New Roman" w:cs="Times New Roman"/>
          <w:sz w:val="21"/>
          <w:szCs w:val="21"/>
        </w:rPr>
        <w:instrText xml:space="preserve"> HYPERLINK \l _Toc24897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lang w:val="en-US" w:eastAsia="zh-CN"/>
        </w:rPr>
        <w:t>9</w:t>
      </w:r>
      <w:r>
        <w:rPr>
          <w:rFonts w:hint="default" w:ascii="Times New Roman" w:hAnsi="Times New Roman" w:cs="Times New Roman"/>
          <w:sz w:val="21"/>
          <w:szCs w:val="21"/>
        </w:rPr>
        <w:t>.3附图</w:t>
      </w:r>
      <w:r>
        <w:rPr>
          <w:rFonts w:hint="default" w:ascii="Times New Roman" w:hAnsi="Times New Roman" w:cs="Times New Roman"/>
          <w:sz w:val="21"/>
          <w:szCs w:val="21"/>
        </w:rPr>
        <w:tab/>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PAGEREF _Toc24897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76</w:t>
      </w:r>
      <w:r>
        <w:rPr>
          <w:rFonts w:hint="default" w:ascii="Times New Roman" w:hAnsi="Times New Roman" w:cs="Times New Roman"/>
          <w:sz w:val="21"/>
          <w:szCs w:val="21"/>
        </w:rPr>
        <w:fldChar w:fldCharType="end"/>
      </w:r>
      <w:r>
        <w:rPr>
          <w:rFonts w:hint="default" w:ascii="Times New Roman" w:hAnsi="Times New Roman" w:cs="Times New Roman"/>
          <w:color w:val="auto"/>
          <w:sz w:val="21"/>
          <w:szCs w:val="21"/>
        </w:rPr>
        <w:fldChar w:fldCharType="end"/>
      </w:r>
    </w:p>
    <w:p>
      <w:pPr>
        <w:keepNext w:val="0"/>
        <w:keepLines w:val="0"/>
        <w:pageBreakBefore w:val="0"/>
        <w:kinsoku/>
        <w:wordWrap/>
        <w:overflowPunct/>
        <w:topLinePunct w:val="0"/>
        <w:autoSpaceDE/>
        <w:autoSpaceDN/>
        <w:bidi w:val="0"/>
        <w:adjustRightInd/>
        <w:snapToGrid/>
        <w:spacing w:line="360" w:lineRule="auto"/>
        <w:ind w:right="0" w:rightChars="0" w:firstLine="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fldChar w:fldCharType="end"/>
      </w:r>
    </w:p>
    <w:p>
      <w:pPr>
        <w:rPr>
          <w:rFonts w:hint="default" w:ascii="Times New Roman" w:hAnsi="Times New Roman" w:cs="Times New Roman"/>
          <w:color w:val="auto"/>
        </w:rPr>
      </w:pPr>
    </w:p>
    <w:p>
      <w:pPr>
        <w:rPr>
          <w:rFonts w:hint="default" w:ascii="Times New Roman" w:hAnsi="Times New Roman" w:cs="Times New Roman"/>
          <w:color w:val="auto"/>
        </w:rPr>
      </w:pPr>
    </w:p>
    <w:p>
      <w:pPr>
        <w:jc w:val="center"/>
        <w:rPr>
          <w:rFonts w:hint="default" w:ascii="Times New Roman" w:hAnsi="Times New Roman" w:cs="Times New Roman"/>
          <w:b/>
          <w:color w:val="auto"/>
          <w:sz w:val="32"/>
        </w:rPr>
        <w:sectPr>
          <w:head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rtlGutter w:val="0"/>
          <w:docGrid w:type="lines" w:linePitch="332" w:charSpace="0"/>
        </w:sectPr>
      </w:pPr>
    </w:p>
    <w:p>
      <w:pPr>
        <w:pStyle w:val="2"/>
        <w:jc w:val="center"/>
        <w:rPr>
          <w:rFonts w:hint="default" w:ascii="Times New Roman" w:hAnsi="Times New Roman" w:cs="Times New Roman"/>
          <w:color w:val="auto"/>
        </w:rPr>
      </w:pPr>
      <w:bookmarkStart w:id="2" w:name="_Toc30527"/>
      <w:bookmarkStart w:id="3" w:name="_Toc466227298"/>
      <w:bookmarkStart w:id="4" w:name="_Toc6002"/>
      <w:r>
        <w:rPr>
          <w:rFonts w:hint="default" w:ascii="Times New Roman" w:hAnsi="Times New Roman" w:cs="Times New Roman"/>
          <w:color w:val="auto"/>
        </w:rPr>
        <w:t>前  言</w:t>
      </w:r>
      <w:bookmarkEnd w:id="2"/>
      <w:bookmarkEnd w:id="3"/>
      <w:bookmarkEnd w:id="4"/>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饮水安全工程是一项重大的民生工程，是群众最关心、最直接、最现实的利益问题，是推进基本公共服务均等化的重要内容。饮用水水源地是直接关系人民生命和身体健康的重要基础，是人与社会经济协调发展的根本保证。目前，水资源开发利用程度不断加大，水体污染日趋严重，水源水质环境安全受到威胁。近年来，我国饮用水水源保护工作取得积极进展，城乡居民饮用水安全保障水平持</w:t>
      </w:r>
    </w:p>
    <w:p>
      <w:pPr>
        <w:spacing w:line="360" w:lineRule="auto"/>
        <w:rPr>
          <w:rFonts w:hint="default" w:ascii="Times New Roman" w:hAnsi="Times New Roman" w:cs="Times New Roman"/>
          <w:color w:val="000000"/>
        </w:rPr>
      </w:pPr>
      <w:r>
        <w:rPr>
          <w:rFonts w:hint="default" w:ascii="Times New Roman" w:hAnsi="Times New Roman" w:cs="Times New Roman"/>
          <w:color w:val="000000"/>
        </w:rPr>
        <w:t>续提升。但是，由于城乡饮用水水源点多面广、单个水源规模较小、部分早期建设的饮水工程老化失修等原因，水源保护管理基础薄弱、防护措施不足、长效运行机制不完善等问题依然存在，水源污染事件时有发生。加强饮用水源保护、开展饮用水源保护区划分迫在眉睫。</w:t>
      </w:r>
    </w:p>
    <w:p>
      <w:pPr>
        <w:spacing w:line="360" w:lineRule="auto"/>
        <w:ind w:firstLine="480" w:firstLineChars="200"/>
        <w:rPr>
          <w:rFonts w:hint="default" w:ascii="Times New Roman" w:hAnsi="Times New Roman" w:eastAsia="宋体" w:cs="Times New Roman"/>
          <w:color w:val="000000"/>
        </w:rPr>
      </w:pPr>
      <w:r>
        <w:rPr>
          <w:rFonts w:hint="default" w:ascii="Times New Roman" w:hAnsi="Times New Roman" w:cs="Times New Roman"/>
          <w:color w:val="000000"/>
        </w:rPr>
        <w:t>国务院《关于落实科学发展观加强环境保护的决定》（国发【2005】39号），明确提</w:t>
      </w:r>
      <w:r>
        <w:rPr>
          <w:rFonts w:hint="default" w:ascii="Times New Roman" w:hAnsi="Times New Roman" w:eastAsia="宋体" w:cs="Times New Roman"/>
          <w:color w:val="000000"/>
        </w:rPr>
        <w:t>出“以饮水安全和重点流域治理为重点，加强水污染防治。要科学划定和调整饮用水水源保护区、切实加强饮用水水源保护、建设好城市备用水源、解决好农村饮水安全问题、坚决取缔水源保护区内的直接排污口、严防养殖业污染水源、禁止有毒有害物质进入饮用水水源保护区、强化水污染事故的预防和应急处理，以确保群众饮水安全”。</w:t>
      </w:r>
    </w:p>
    <w:p>
      <w:pPr>
        <w:spacing w:line="360" w:lineRule="auto"/>
        <w:ind w:firstLine="480" w:firstLineChars="200"/>
        <w:rPr>
          <w:rFonts w:hint="default" w:ascii="Times New Roman" w:hAnsi="Times New Roman" w:cs="Times New Roman" w:eastAsiaTheme="minorEastAsia"/>
          <w:color w:val="000000"/>
          <w:lang w:eastAsia="zh-CN"/>
        </w:rPr>
      </w:pPr>
      <w:r>
        <w:rPr>
          <w:rFonts w:hint="default" w:ascii="Times New Roman" w:hAnsi="Times New Roman" w:cs="Times New Roman"/>
          <w:color w:val="000000"/>
        </w:rPr>
        <w:t>2012年1月1日，省十一届人大常委会新修订并审议通过的《四川省饮用水水源保护管理条例》（以下简称《条例》）正式颁布实施。2012年5月，四川省环境保护厅办公室《关于贯彻实施〈四川省饮用水水源保护管理条例〉的通知》（川环办发[2012]69号）要求各地要站在维护广大人民群众根本利益的高度，充分认识加强饮用水源保护管理的重要意义，切实增强饮用水源保护管理的紧迫感、使命感和责任感，根据《条例》规定，要切实抓好饮用水源地保护区划定调整工作。2014年9月四川省人民政府办公厅《关于进一步加强饮用水水源保护工作的通知》（川办函〔2014〕143号）要求加快划定城市和乡镇集中式饮用水水源保护区。2015年2月，四川省环境保护厅办公室《四川省环境保护厅办公室关于加强农村饮水环境安全的通知》（川环办发〔2015〕49号）要求进一步加强农村饮水环境安全工作，对未划定保护区的乡镇集中式饮用水源地应尽快制定保护区划分方案并依法报市（州）人民政府批复</w:t>
      </w:r>
      <w:r>
        <w:rPr>
          <w:rFonts w:hint="default" w:ascii="Times New Roman" w:hAnsi="Times New Roman" w:cs="Times New Roman"/>
          <w:color w:val="000000"/>
          <w:lang w:eastAsia="zh-CN"/>
        </w:rPr>
        <w:t>。</w:t>
      </w:r>
    </w:p>
    <w:p>
      <w:pPr>
        <w:numPr>
          <w:ilvl w:val="0"/>
          <w:numId w:val="0"/>
        </w:numPr>
        <w:adjustRightInd w:val="0"/>
        <w:snapToGrid w:val="0"/>
        <w:spacing w:line="360" w:lineRule="auto"/>
        <w:ind w:firstLine="720" w:firstLineChars="300"/>
        <w:rPr>
          <w:rFonts w:hint="default" w:ascii="Times New Roman" w:hAnsi="Times New Roman" w:cs="Times New Roman"/>
          <w:color w:val="000000"/>
        </w:rPr>
      </w:pPr>
      <w:r>
        <w:rPr>
          <w:rFonts w:hint="default" w:ascii="Times New Roman" w:hAnsi="Times New Roman" w:cs="Times New Roman"/>
          <w:color w:val="000000"/>
        </w:rPr>
        <w:t>根据《中华人民共和国水污染防治法》、《四川省饮用水水源保护管理条例》、《集中式饮用水水源环境保护指南（试行）》等相关法律、法规要求，饮用水源保护区的调整划定按国家要求需编制饮用水源保护区划分技术报告。</w:t>
      </w:r>
      <w:r>
        <w:rPr>
          <w:rFonts w:hint="eastAsia" w:cs="Times New Roman"/>
          <w:lang w:val="en-US" w:eastAsia="zh-CN"/>
        </w:rPr>
        <w:t>开江县人民政府拟将开江县老河堰水库作为备用饮用水源。</w:t>
      </w:r>
      <w:r>
        <w:rPr>
          <w:rFonts w:hint="default" w:ascii="Times New Roman" w:hAnsi="Times New Roman" w:cs="Times New Roman"/>
          <w:color w:val="000000"/>
        </w:rPr>
        <w:t>并由</w:t>
      </w:r>
      <w:r>
        <w:rPr>
          <w:rFonts w:hint="default" w:ascii="Times New Roman" w:hAnsi="Times New Roman" w:cs="Times New Roman"/>
          <w:color w:val="000000"/>
          <w:lang w:eastAsia="zh-CN"/>
        </w:rPr>
        <w:t>开江县</w:t>
      </w:r>
      <w:r>
        <w:rPr>
          <w:rFonts w:hint="default" w:ascii="Times New Roman" w:hAnsi="Times New Roman" w:cs="Times New Roman"/>
          <w:color w:val="000000"/>
        </w:rPr>
        <w:t>环境保护牵头，委托四川国投环保科技有限公司编制《</w:t>
      </w:r>
      <w:r>
        <w:rPr>
          <w:rFonts w:hint="default" w:ascii="Times New Roman" w:hAnsi="Times New Roman" w:cs="Times New Roman"/>
          <w:color w:val="000000"/>
          <w:lang w:eastAsia="zh-CN"/>
        </w:rPr>
        <w:t>开江县县城</w:t>
      </w:r>
      <w:r>
        <w:rPr>
          <w:rFonts w:hint="eastAsia" w:cs="Times New Roman"/>
          <w:color w:val="000000"/>
          <w:lang w:eastAsia="zh-CN"/>
        </w:rPr>
        <w:t>老河堰</w:t>
      </w:r>
      <w:r>
        <w:rPr>
          <w:rFonts w:hint="default" w:ascii="Times New Roman" w:hAnsi="Times New Roman" w:cs="Times New Roman"/>
          <w:color w:val="000000"/>
          <w:lang w:eastAsia="zh-CN"/>
        </w:rPr>
        <w:t>水库</w:t>
      </w:r>
      <w:r>
        <w:rPr>
          <w:rFonts w:hint="default" w:ascii="Times New Roman" w:hAnsi="Times New Roman" w:cs="Times New Roman"/>
          <w:color w:val="000000"/>
        </w:rPr>
        <w:t>集中式饮用水水源保护区划分技术报告》（以下简称《报告》）。</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本《报告》的技术路线、评价方法、技术标准主要以国家颁布的相关法律、法规，技术规范及标准，四川省的有关文件及大纲要求为依据，以收集现有的气象、降水、蒸发、径流、水质、生态和环境等方面的基本资料为基础；以2014年为基准年，调查收集了</w:t>
      </w:r>
      <w:r>
        <w:rPr>
          <w:rFonts w:hint="default" w:ascii="Times New Roman" w:hAnsi="Times New Roman" w:cs="Times New Roman"/>
          <w:color w:val="000000"/>
          <w:lang w:eastAsia="zh-CN"/>
        </w:rPr>
        <w:t>开江县</w:t>
      </w:r>
      <w:r>
        <w:rPr>
          <w:rFonts w:hint="default" w:ascii="Times New Roman" w:hAnsi="Times New Roman" w:cs="Times New Roman"/>
          <w:color w:val="000000"/>
        </w:rPr>
        <w:t>及水源地的自然地理概况、国民经济和社会发展、水资源及水利工程现状等诸多内容的基本数据。《报告》确定了饮用水水源地的一级、二级</w:t>
      </w:r>
      <w:r>
        <w:rPr>
          <w:rFonts w:hint="default" w:ascii="Times New Roman" w:hAnsi="Times New Roman" w:cs="Times New Roman"/>
          <w:color w:val="000000"/>
          <w:lang w:eastAsia="zh-CN"/>
        </w:rPr>
        <w:t>和准</w:t>
      </w:r>
      <w:r>
        <w:rPr>
          <w:rFonts w:hint="default" w:ascii="Times New Roman" w:hAnsi="Times New Roman" w:cs="Times New Roman"/>
          <w:color w:val="000000"/>
        </w:rPr>
        <w:t>保护区的范围、面积，提出了饮用水水源保护区保护措施，界桩和保护标志设立及规划实施保障等内容。</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在报告编制工作中，得到</w:t>
      </w:r>
      <w:r>
        <w:rPr>
          <w:rFonts w:hint="default" w:ascii="Times New Roman" w:hAnsi="Times New Roman" w:cs="Times New Roman"/>
          <w:color w:val="000000"/>
          <w:lang w:eastAsia="zh-CN"/>
        </w:rPr>
        <w:t>开江县</w:t>
      </w:r>
      <w:r>
        <w:rPr>
          <w:rFonts w:hint="default" w:ascii="Times New Roman" w:hAnsi="Times New Roman" w:cs="Times New Roman"/>
          <w:color w:val="000000"/>
        </w:rPr>
        <w:t>环境保护、</w:t>
      </w:r>
      <w:r>
        <w:rPr>
          <w:rFonts w:hint="default" w:ascii="Times New Roman" w:hAnsi="Times New Roman" w:cs="Times New Roman"/>
          <w:color w:val="000000"/>
          <w:lang w:eastAsia="zh-CN"/>
        </w:rPr>
        <w:t>开江县</w:t>
      </w:r>
      <w:r>
        <w:rPr>
          <w:rFonts w:hint="default" w:ascii="Times New Roman" w:hAnsi="Times New Roman" w:cs="Times New Roman"/>
          <w:color w:val="000000"/>
        </w:rPr>
        <w:t xml:space="preserve">水务局、各乡镇人民政府等单位的积极配合，为完成该报告提供了许多指导、帮助， 在此深表感谢！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000000"/>
        </w:rPr>
        <w:t>由于时间短、工作任务大及基础资料的局限性，报告中不足之处在所难免，谨请提出宝贵的意见和建议，以便在今后的工作中改进。</w:t>
      </w:r>
    </w:p>
    <w:p>
      <w:pPr>
        <w:spacing w:line="360" w:lineRule="auto"/>
        <w:ind w:firstLine="480" w:firstLineChars="200"/>
        <w:rPr>
          <w:rFonts w:hint="default" w:ascii="Times New Roman" w:hAnsi="Times New Roman" w:cs="Times New Roman"/>
          <w:color w:val="auto"/>
        </w:rPr>
        <w:sectPr>
          <w:footerReference r:id="rId4" w:type="default"/>
          <w:pgSz w:w="11906" w:h="16838"/>
          <w:pgMar w:top="1440" w:right="1803" w:bottom="1440" w:left="1803" w:header="851" w:footer="992" w:gutter="0"/>
          <w:pgBorders>
            <w:top w:val="none" w:sz="0" w:space="0"/>
            <w:left w:val="none" w:sz="0" w:space="0"/>
            <w:bottom w:val="none" w:sz="0" w:space="0"/>
            <w:right w:val="none" w:sz="0" w:space="0"/>
          </w:pgBorders>
          <w:pgNumType w:start="1"/>
          <w:cols w:space="720" w:num="1"/>
          <w:rtlGutter w:val="0"/>
          <w:docGrid w:type="lines" w:linePitch="332" w:charSpace="0"/>
        </w:sectPr>
      </w:pPr>
    </w:p>
    <w:p>
      <w:pPr>
        <w:pStyle w:val="2"/>
        <w:jc w:val="center"/>
        <w:rPr>
          <w:rFonts w:hint="default" w:ascii="Times New Roman" w:hAnsi="Times New Roman" w:cs="Times New Roman"/>
          <w:color w:val="auto"/>
        </w:rPr>
      </w:pPr>
      <w:bookmarkStart w:id="5" w:name="_Toc1900"/>
      <w:bookmarkStart w:id="6" w:name="_Toc9259"/>
      <w:bookmarkStart w:id="7" w:name="_Toc466227299"/>
      <w:r>
        <w:rPr>
          <w:rFonts w:hint="default" w:ascii="Times New Roman" w:hAnsi="Times New Roman" w:cs="Times New Roman"/>
          <w:color w:val="auto"/>
        </w:rPr>
        <w:t>1</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概</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述</w:t>
      </w:r>
      <w:bookmarkEnd w:id="5"/>
      <w:bookmarkEnd w:id="6"/>
      <w:bookmarkEnd w:id="7"/>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8" w:name="_Toc22769"/>
      <w:bookmarkStart w:id="9" w:name="_Toc10711"/>
      <w:r>
        <w:rPr>
          <w:rFonts w:hint="default" w:ascii="Times New Roman" w:hAnsi="Times New Roman" w:cs="Times New Roman"/>
          <w:color w:val="auto"/>
        </w:rPr>
        <w:t>1.1任务由来及意义</w:t>
      </w:r>
      <w:bookmarkEnd w:id="8"/>
      <w:bookmarkEnd w:id="9"/>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10" w:name="_Toc8682"/>
      <w:bookmarkStart w:id="11" w:name="_Toc11326"/>
      <w:bookmarkStart w:id="12" w:name="_Toc25007"/>
      <w:r>
        <w:rPr>
          <w:rFonts w:hint="default" w:ascii="Times New Roman" w:hAnsi="Times New Roman" w:cs="Times New Roman"/>
          <w:color w:val="auto"/>
        </w:rPr>
        <w:t>1.1.1任务由来</w:t>
      </w:r>
      <w:bookmarkEnd w:id="10"/>
      <w:bookmarkEnd w:id="11"/>
      <w:bookmarkEnd w:id="12"/>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rPr>
      </w:pPr>
      <w:bookmarkStart w:id="13" w:name="_Toc1334"/>
      <w:r>
        <w:rPr>
          <w:rFonts w:hint="default" w:ascii="Times New Roman" w:hAnsi="Times New Roman" w:cs="Times New Roman"/>
          <w:color w:val="auto"/>
        </w:rPr>
        <w:t>开江县，隶属于四川省达州市，地处四川省东部，达州地区东南端，</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"http://baike.baidu.com/view/43698.htm"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大巴山</w:t>
      </w:r>
      <w:r>
        <w:rPr>
          <w:rFonts w:hint="default" w:ascii="Times New Roman" w:hAnsi="Times New Roman" w:cs="Times New Roman"/>
          <w:color w:val="auto"/>
        </w:rPr>
        <w:fldChar w:fldCharType="end"/>
      </w:r>
      <w:r>
        <w:rPr>
          <w:rFonts w:hint="default" w:ascii="Times New Roman" w:hAnsi="Times New Roman" w:cs="Times New Roman"/>
          <w:color w:val="auto"/>
        </w:rPr>
        <w:t>南麓，位于渠江支流明月江的两大源头</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"http://baike.baidu.com/view/7724592.htm"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白岩河</w:t>
      </w:r>
      <w:r>
        <w:rPr>
          <w:rFonts w:hint="default" w:ascii="Times New Roman" w:hAnsi="Times New Roman" w:cs="Times New Roman"/>
          <w:color w:val="auto"/>
        </w:rPr>
        <w:fldChar w:fldCharType="end"/>
      </w:r>
      <w:r>
        <w:rPr>
          <w:rFonts w:hint="default" w:ascii="Times New Roman" w:hAnsi="Times New Roman" w:cs="Times New Roman"/>
          <w:color w:val="auto"/>
        </w:rPr>
        <w:t>、新宁河流经之地。东连</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"http://baike.baidu.com/view/2470.htm"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开县</w:t>
      </w:r>
      <w:r>
        <w:rPr>
          <w:rFonts w:hint="default" w:ascii="Times New Roman" w:hAnsi="Times New Roman" w:cs="Times New Roman"/>
          <w:color w:val="auto"/>
        </w:rPr>
        <w:fldChar w:fldCharType="end"/>
      </w:r>
      <w:r>
        <w:rPr>
          <w:rFonts w:hint="default" w:ascii="Times New Roman" w:hAnsi="Times New Roman" w:cs="Times New Roman"/>
          <w:color w:val="auto"/>
        </w:rPr>
        <w:t>，南临梁平，西接</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"http://baike.baidu.com/view/341499.htm" \t "_blank" </w:instrText>
      </w:r>
      <w:r>
        <w:rPr>
          <w:rFonts w:hint="default" w:ascii="Times New Roman" w:hAnsi="Times New Roman" w:cs="Times New Roman"/>
          <w:color w:val="auto"/>
        </w:rPr>
        <w:fldChar w:fldCharType="separate"/>
      </w:r>
      <w:r>
        <w:rPr>
          <w:rFonts w:hint="default" w:ascii="Times New Roman" w:hAnsi="Times New Roman" w:cs="Times New Roman"/>
          <w:color w:val="auto"/>
        </w:rPr>
        <w:t>达县</w:t>
      </w:r>
      <w:r>
        <w:rPr>
          <w:rFonts w:hint="default" w:ascii="Times New Roman" w:hAnsi="Times New Roman" w:cs="Times New Roman"/>
          <w:color w:val="auto"/>
        </w:rPr>
        <w:fldChar w:fldCharType="end"/>
      </w:r>
      <w:r>
        <w:rPr>
          <w:rFonts w:hint="default" w:ascii="Times New Roman" w:hAnsi="Times New Roman" w:cs="Times New Roman"/>
          <w:color w:val="auto"/>
        </w:rPr>
        <w:t>，北依宣汉。开江县地处川东平行岭谷区的东北部，耕地集中，土地肥沃，但水资源贪乏，人均水资源量1145m</w:t>
      </w:r>
      <w:r>
        <w:rPr>
          <w:rFonts w:hint="default" w:ascii="Times New Roman" w:hAnsi="Times New Roman" w:cs="Times New Roman"/>
          <w:color w:val="auto"/>
          <w:vertAlign w:val="superscript"/>
        </w:rPr>
        <w:t>3</w:t>
      </w:r>
      <w:r>
        <w:rPr>
          <w:rFonts w:hint="default" w:ascii="Times New Roman" w:hAnsi="Times New Roman" w:cs="Times New Roman"/>
          <w:color w:val="auto"/>
        </w:rPr>
        <w:t>，且降雨年内不均，干旱十分严重，系伏旱频繁发生的地区，有“十年九旱”的特点。</w:t>
      </w:r>
    </w:p>
    <w:p>
      <w:pPr>
        <w:numPr>
          <w:ilvl w:val="0"/>
          <w:numId w:val="0"/>
        </w:numPr>
        <w:adjustRightInd w:val="0"/>
        <w:snapToGrid w:val="0"/>
        <w:spacing w:line="360" w:lineRule="auto"/>
        <w:ind w:firstLine="480" w:firstLineChars="200"/>
        <w:rPr>
          <w:rFonts w:hint="eastAsia" w:cs="Times New Roman"/>
          <w:color w:val="auto"/>
          <w:highlight w:val="none"/>
          <w:lang w:val="en-US" w:eastAsia="zh-CN"/>
        </w:rPr>
      </w:pPr>
      <w:r>
        <w:rPr>
          <w:rFonts w:hint="eastAsia" w:cs="Times New Roman"/>
          <w:color w:val="auto"/>
          <w:lang w:eastAsia="zh-CN"/>
        </w:rPr>
        <w:t>老河堰</w:t>
      </w:r>
      <w:r>
        <w:rPr>
          <w:rFonts w:hint="default" w:ascii="Times New Roman" w:hAnsi="Times New Roman" w:cs="Times New Roman"/>
          <w:color w:val="auto"/>
        </w:rPr>
        <w:t>水库</w:t>
      </w:r>
      <w:r>
        <w:rPr>
          <w:rFonts w:hint="eastAsia" w:cs="Times New Roman"/>
          <w:color w:val="auto"/>
          <w:lang w:eastAsia="zh-CN"/>
        </w:rPr>
        <w:t>位于开江县永兴镇，所在水系为永兴河，距开江县县城大约</w:t>
      </w:r>
      <w:r>
        <w:rPr>
          <w:rFonts w:hint="eastAsia" w:cs="Times New Roman"/>
          <w:color w:val="auto"/>
          <w:lang w:val="en-US" w:eastAsia="zh-CN"/>
        </w:rPr>
        <w:t>7.5</w:t>
      </w:r>
      <w:r>
        <w:rPr>
          <w:rFonts w:hint="default" w:ascii="Times New Roman" w:hAnsi="Times New Roman" w:cs="Times New Roman"/>
        </w:rPr>
        <w:t>km</w:t>
      </w:r>
      <w:r>
        <w:rPr>
          <w:rFonts w:hint="eastAsia" w:cs="Times New Roman"/>
          <w:lang w:eastAsia="zh-CN"/>
        </w:rPr>
        <w:t>，老河堰</w:t>
      </w:r>
      <w:r>
        <w:rPr>
          <w:rFonts w:hint="default" w:ascii="Times New Roman" w:hAnsi="Times New Roman" w:cs="Times New Roman"/>
        </w:rPr>
        <w:t>水利是建于195</w:t>
      </w:r>
      <w:r>
        <w:rPr>
          <w:rFonts w:hint="eastAsia" w:cs="Times New Roman"/>
          <w:lang w:val="en-US" w:eastAsia="zh-CN"/>
        </w:rPr>
        <w:t>7</w:t>
      </w:r>
      <w:r>
        <w:rPr>
          <w:rFonts w:hint="default" w:ascii="Times New Roman" w:hAnsi="Times New Roman" w:cs="Times New Roman"/>
        </w:rPr>
        <w:t>年，以灌溉为主，集城镇生活用水等多功能为一体的</w:t>
      </w:r>
      <w:r>
        <w:rPr>
          <w:rFonts w:hint="eastAsia" w:cs="Times New Roman"/>
          <w:lang w:eastAsia="zh-CN"/>
        </w:rPr>
        <w:t>小型</w:t>
      </w:r>
      <w:r>
        <w:rPr>
          <w:rFonts w:hint="default" w:ascii="Times New Roman" w:hAnsi="Times New Roman" w:cs="Times New Roman"/>
        </w:rPr>
        <w:t>水库，集雨面积</w:t>
      </w:r>
      <w:r>
        <w:rPr>
          <w:rFonts w:hint="eastAsia" w:cs="Times New Roman"/>
          <w:lang w:val="en-US" w:eastAsia="zh-CN"/>
        </w:rPr>
        <w:t>3.7</w:t>
      </w:r>
      <w:r>
        <w:rPr>
          <w:rFonts w:hint="default" w:ascii="Times New Roman" w:hAnsi="Times New Roman" w:cs="Times New Roman"/>
        </w:rPr>
        <w:t>km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渠系实际长度</w:t>
      </w:r>
      <w:r>
        <w:rPr>
          <w:rFonts w:hint="eastAsia" w:cs="Times New Roman"/>
          <w:lang w:val="en-US" w:eastAsia="zh-CN"/>
        </w:rPr>
        <w:t>15.7</w:t>
      </w:r>
      <w:r>
        <w:rPr>
          <w:rFonts w:hint="default" w:ascii="Times New Roman" w:hAnsi="Times New Roman" w:cs="Times New Roman"/>
        </w:rPr>
        <w:t>km</w:t>
      </w:r>
      <w:r>
        <w:rPr>
          <w:rFonts w:hint="default" w:ascii="Times New Roman" w:hAnsi="Times New Roman" w:cs="Times New Roman"/>
          <w:szCs w:val="28"/>
        </w:rPr>
        <w:t>，</w:t>
      </w:r>
      <w:r>
        <w:rPr>
          <w:rFonts w:hint="default" w:ascii="Times New Roman" w:hAnsi="Times New Roman" w:cs="Times New Roman"/>
        </w:rPr>
        <w:t>水库正常蓄水位</w:t>
      </w:r>
      <w:r>
        <w:rPr>
          <w:rFonts w:hint="eastAsia" w:cs="Times New Roman"/>
          <w:lang w:val="en-US" w:eastAsia="zh-CN"/>
        </w:rPr>
        <w:t>482.5</w:t>
      </w:r>
      <w:r>
        <w:rPr>
          <w:rFonts w:hint="default" w:ascii="Times New Roman" w:hAnsi="Times New Roman" w:cs="Times New Roman"/>
        </w:rPr>
        <w:t>m，总库容量</w:t>
      </w:r>
      <w:r>
        <w:rPr>
          <w:rFonts w:hint="eastAsia" w:cs="Times New Roman"/>
          <w:lang w:val="en-US" w:eastAsia="zh-CN"/>
        </w:rPr>
        <w:t>103.33万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，有效库容</w:t>
      </w:r>
      <w:r>
        <w:rPr>
          <w:rFonts w:hint="eastAsia" w:cs="Times New Roman"/>
          <w:lang w:val="en-US" w:eastAsia="zh-CN"/>
        </w:rPr>
        <w:t>67.7</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，设计灌溉面积</w:t>
      </w:r>
      <w:r>
        <w:rPr>
          <w:rFonts w:hint="eastAsia" w:cs="Times New Roman"/>
          <w:lang w:val="en-US" w:eastAsia="zh-CN"/>
        </w:rPr>
        <w:t>0.3</w:t>
      </w:r>
      <w:r>
        <w:rPr>
          <w:rFonts w:hint="eastAsia" w:cs="Times New Roman"/>
          <w:lang w:eastAsia="zh-CN"/>
        </w:rPr>
        <w:t>万亩</w:t>
      </w:r>
      <w:r>
        <w:rPr>
          <w:rFonts w:hint="default" w:ascii="Times New Roman" w:hAnsi="Times New Roman" w:cs="Times New Roman"/>
        </w:rPr>
        <w:t>，</w:t>
      </w:r>
      <w:r>
        <w:rPr>
          <w:rFonts w:hint="eastAsia" w:cs="Times New Roman"/>
          <w:lang w:eastAsia="zh-CN"/>
        </w:rPr>
        <w:t>最大泄量</w:t>
      </w:r>
      <w:r>
        <w:rPr>
          <w:rFonts w:hint="eastAsia" w:cs="Times New Roman"/>
          <w:lang w:val="en-US" w:eastAsia="zh-CN"/>
        </w:rPr>
        <w:t>64</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vertAlign w:val="baseline"/>
          <w:lang w:val="en-US" w:eastAsia="zh-CN"/>
        </w:rPr>
        <w:t>/s</w:t>
      </w:r>
      <w:r>
        <w:rPr>
          <w:rFonts w:hint="default" w:ascii="Times New Roman" w:hAnsi="Times New Roman" w:cs="Times New Roman"/>
        </w:rPr>
        <w:t>。</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根据《中华人民共和国水污染防治法》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《四川省饮用水水源保护管理条例》、《集中式饮用水水源环境保护指南(试行)》等相关法律、法规要求，饮用水源保护区的调整划定按国家要求需编制饮用水源保护区划分技术报告。</w:t>
      </w:r>
      <w:r>
        <w:rPr>
          <w:rFonts w:hint="eastAsia" w:cs="Times New Roman"/>
          <w:color w:val="auto"/>
          <w:highlight w:val="none"/>
          <w:lang w:eastAsia="zh-CN"/>
        </w:rPr>
        <w:t>老河堰</w:t>
      </w:r>
      <w:r>
        <w:rPr>
          <w:rFonts w:hint="default" w:ascii="Times New Roman" w:hAnsi="Times New Roman" w:cs="Times New Roman"/>
          <w:color w:val="auto"/>
          <w:highlight w:val="none"/>
        </w:rPr>
        <w:t>作为开江县</w:t>
      </w:r>
      <w:r>
        <w:rPr>
          <w:rFonts w:hint="eastAsia" w:cs="Times New Roman"/>
          <w:color w:val="auto"/>
          <w:highlight w:val="none"/>
          <w:lang w:eastAsia="zh-CN"/>
        </w:rPr>
        <w:t>备用</w:t>
      </w:r>
      <w:r>
        <w:rPr>
          <w:rFonts w:hint="default" w:ascii="Times New Roman" w:hAnsi="Times New Roman" w:cs="Times New Roman"/>
          <w:color w:val="auto"/>
          <w:highlight w:val="none"/>
        </w:rPr>
        <w:t>饮用水源，保护目的是改善</w:t>
      </w:r>
      <w:r>
        <w:rPr>
          <w:rFonts w:hint="eastAsia" w:cs="Times New Roman"/>
          <w:color w:val="auto"/>
          <w:highlight w:val="none"/>
          <w:lang w:eastAsia="zh-CN"/>
        </w:rPr>
        <w:t>老河堰</w:t>
      </w:r>
      <w:r>
        <w:rPr>
          <w:rFonts w:hint="default" w:ascii="Times New Roman" w:hAnsi="Times New Roman" w:cs="Times New Roman"/>
          <w:color w:val="auto"/>
          <w:highlight w:val="none"/>
        </w:rPr>
        <w:t>目前的水质达标率低、保护管理机制不成熟、监测及应急能力薄弱等问题</w:t>
      </w:r>
      <w:r>
        <w:rPr>
          <w:rFonts w:hint="default" w:ascii="Times New Roman" w:hAnsi="Times New Roman" w:cs="Times New Roman"/>
          <w:color w:val="auto"/>
          <w:highlight w:val="none"/>
          <w:lang w:eastAsia="zh-CN"/>
        </w:rPr>
        <w:t>，开江县</w:t>
      </w:r>
      <w:r>
        <w:rPr>
          <w:rFonts w:hint="default" w:ascii="Times New Roman" w:hAnsi="Times New Roman" w:cs="Times New Roman"/>
          <w:color w:val="auto"/>
          <w:highlight w:val="none"/>
        </w:rPr>
        <w:t>委、县政府高度重视县境内各乡镇的饮用水源保护工作，为确保水源地水质安全，</w:t>
      </w:r>
      <w:r>
        <w:rPr>
          <w:rFonts w:hint="default" w:ascii="Times New Roman" w:hAnsi="Times New Roman" w:cs="Times New Roman"/>
          <w:color w:val="auto"/>
          <w:highlight w:val="none"/>
          <w:lang w:eastAsia="zh-CN"/>
        </w:rPr>
        <w:t>开江县</w:t>
      </w:r>
      <w:r>
        <w:rPr>
          <w:rFonts w:hint="default" w:ascii="Times New Roman" w:hAnsi="Times New Roman" w:cs="Times New Roman"/>
          <w:color w:val="auto"/>
          <w:highlight w:val="none"/>
        </w:rPr>
        <w:t>人民政府决定由</w:t>
      </w:r>
      <w:r>
        <w:rPr>
          <w:rFonts w:hint="default" w:ascii="Times New Roman" w:hAnsi="Times New Roman" w:cs="Times New Roman"/>
          <w:color w:val="auto"/>
          <w:highlight w:val="none"/>
          <w:lang w:eastAsia="zh-CN"/>
        </w:rPr>
        <w:t>开江县</w:t>
      </w:r>
      <w:r>
        <w:rPr>
          <w:rFonts w:hint="default" w:ascii="Times New Roman" w:hAnsi="Times New Roman" w:cs="Times New Roman"/>
          <w:color w:val="auto"/>
          <w:highlight w:val="none"/>
        </w:rPr>
        <w:t>环境保护牵头，对县城开展饮用水源地选定并划分各级保护区范围，并委托四川国投环保科技有限公司编制本报告《</w:t>
      </w:r>
      <w:r>
        <w:rPr>
          <w:rFonts w:hint="default" w:ascii="Times New Roman" w:hAnsi="Times New Roman" w:cs="Times New Roman"/>
          <w:color w:val="auto"/>
          <w:highlight w:val="none"/>
          <w:lang w:eastAsia="zh-CN"/>
        </w:rPr>
        <w:t>开江县县城</w:t>
      </w:r>
      <w:r>
        <w:rPr>
          <w:rFonts w:hint="eastAsia" w:cs="Times New Roman"/>
          <w:color w:val="auto"/>
          <w:highlight w:val="none"/>
          <w:lang w:eastAsia="zh-CN"/>
        </w:rPr>
        <w:t>老河堰</w:t>
      </w:r>
      <w:r>
        <w:rPr>
          <w:rFonts w:hint="default" w:ascii="Times New Roman" w:hAnsi="Times New Roman" w:cs="Times New Roman"/>
          <w:color w:val="auto"/>
          <w:highlight w:val="none"/>
          <w:lang w:eastAsia="zh-CN"/>
        </w:rPr>
        <w:t>水库</w:t>
      </w:r>
      <w:r>
        <w:rPr>
          <w:rFonts w:hint="eastAsia" w:cs="Times New Roman"/>
          <w:color w:val="auto"/>
          <w:highlight w:val="none"/>
          <w:lang w:eastAsia="zh-CN"/>
        </w:rPr>
        <w:t>备用</w:t>
      </w:r>
      <w:r>
        <w:rPr>
          <w:rFonts w:hint="default" w:ascii="Times New Roman" w:hAnsi="Times New Roman" w:cs="Times New Roman"/>
          <w:color w:val="auto"/>
          <w:highlight w:val="none"/>
        </w:rPr>
        <w:t>饮用水水源保护区划分</w:t>
      </w:r>
      <w:r>
        <w:rPr>
          <w:rFonts w:hint="eastAsia" w:cs="Times New Roman"/>
          <w:color w:val="auto"/>
          <w:highlight w:val="none"/>
          <w:lang w:eastAsia="zh-CN"/>
        </w:rPr>
        <w:t>调整</w:t>
      </w:r>
      <w:r>
        <w:rPr>
          <w:rFonts w:hint="default" w:ascii="Times New Roman" w:hAnsi="Times New Roman" w:cs="Times New Roman"/>
          <w:color w:val="auto"/>
          <w:highlight w:val="none"/>
        </w:rPr>
        <w:t>技术报告》。</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14" w:name="_Toc5156"/>
      <w:bookmarkStart w:id="15" w:name="_Toc26115"/>
      <w:r>
        <w:rPr>
          <w:rFonts w:hint="default" w:ascii="Times New Roman" w:hAnsi="Times New Roman" w:cs="Times New Roman"/>
          <w:color w:val="auto"/>
        </w:rPr>
        <w:t>1.1.2目的意义</w:t>
      </w:r>
      <w:bookmarkEnd w:id="13"/>
      <w:bookmarkEnd w:id="14"/>
      <w:bookmarkEnd w:id="15"/>
    </w:p>
    <w:p>
      <w:pPr>
        <w:spacing w:line="360" w:lineRule="auto"/>
        <w:ind w:firstLine="480" w:firstLineChars="200"/>
        <w:rPr>
          <w:rFonts w:hint="default" w:ascii="Times New Roman" w:hAnsi="Times New Roman" w:cs="Times New Roman"/>
          <w:color w:val="000000"/>
        </w:rPr>
      </w:pPr>
      <w:bookmarkStart w:id="16" w:name="_Toc2191"/>
      <w:r>
        <w:rPr>
          <w:rFonts w:hint="eastAsia" w:cs="Times New Roman"/>
          <w:color w:val="000000"/>
          <w:lang w:eastAsia="zh-CN"/>
        </w:rPr>
        <w:t>老河堰水库位于开江县永兴镇，</w:t>
      </w:r>
      <w:r>
        <w:rPr>
          <w:rFonts w:hint="default" w:ascii="Times New Roman" w:hAnsi="Times New Roman" w:cs="Times New Roman"/>
          <w:color w:val="000000"/>
          <w:lang w:eastAsia="zh-CN"/>
        </w:rPr>
        <w:t>该处</w:t>
      </w:r>
      <w:r>
        <w:rPr>
          <w:rFonts w:hint="eastAsia" w:cs="Times New Roman"/>
          <w:color w:val="000000"/>
          <w:lang w:eastAsia="zh-CN"/>
        </w:rPr>
        <w:t>水质较好，可作为开江县的备用</w:t>
      </w:r>
      <w:r>
        <w:rPr>
          <w:rFonts w:hint="default" w:ascii="Times New Roman" w:hAnsi="Times New Roman" w:cs="Times New Roman"/>
          <w:color w:val="000000"/>
          <w:lang w:eastAsia="zh-CN"/>
        </w:rPr>
        <w:t>饮用水水源点，</w:t>
      </w:r>
      <w:r>
        <w:rPr>
          <w:rFonts w:hint="eastAsia" w:cs="Times New Roman"/>
          <w:color w:val="000000"/>
          <w:lang w:eastAsia="zh-CN"/>
        </w:rPr>
        <w:t>本次将</w:t>
      </w:r>
      <w:r>
        <w:rPr>
          <w:rFonts w:hint="default" w:ascii="Times New Roman" w:hAnsi="Times New Roman" w:cs="Times New Roman"/>
          <w:color w:val="000000"/>
          <w:lang w:eastAsia="zh-CN"/>
        </w:rPr>
        <w:t>通过科学合理划定饮用水源保护区，能够有效保障</w:t>
      </w:r>
      <w:r>
        <w:rPr>
          <w:rFonts w:hint="eastAsia" w:cs="Times New Roman"/>
          <w:color w:val="000000"/>
          <w:lang w:eastAsia="zh-CN"/>
        </w:rPr>
        <w:t>开江县</w:t>
      </w:r>
      <w:r>
        <w:rPr>
          <w:rFonts w:hint="default" w:ascii="Times New Roman" w:hAnsi="Times New Roman" w:cs="Times New Roman"/>
          <w:color w:val="000000"/>
          <w:lang w:eastAsia="zh-CN"/>
        </w:rPr>
        <w:t>备用饮用水源安全、防范饮用水安全风险，为削除和减轻影响水源地的各类污染因素奠</w:t>
      </w:r>
      <w:r>
        <w:rPr>
          <w:rFonts w:hint="eastAsia" w:cs="Times New Roman"/>
          <w:color w:val="000000"/>
          <w:lang w:eastAsia="zh-CN"/>
        </w:rPr>
        <w:t>基础，同时</w:t>
      </w:r>
      <w:r>
        <w:rPr>
          <w:rFonts w:hint="default" w:ascii="Times New Roman" w:hAnsi="Times New Roman" w:cs="Times New Roman"/>
          <w:color w:val="000000"/>
        </w:rPr>
        <w:t>为当地政府和有关部门依法加强饮用水水源地的管理和保护服务，为相关部门合理开发和利用饮用水水源、保障饮用水环境质量提供依据。</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textAlignment w:val="auto"/>
        <w:rPr>
          <w:rFonts w:hint="default" w:ascii="Times New Roman" w:hAnsi="Times New Roman" w:cs="Times New Roman"/>
          <w:color w:val="auto"/>
        </w:rPr>
      </w:pPr>
      <w:bookmarkStart w:id="17" w:name="_Toc15345"/>
      <w:r>
        <w:rPr>
          <w:rFonts w:hint="default" w:ascii="Times New Roman" w:hAnsi="Times New Roman" w:cs="Times New Roman"/>
          <w:color w:val="auto"/>
        </w:rPr>
        <w:t>1.2划分依据及原则</w:t>
      </w:r>
      <w:bookmarkEnd w:id="16"/>
      <w:bookmarkEnd w:id="17"/>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cs="Times New Roman"/>
          <w:color w:val="auto"/>
        </w:rPr>
      </w:pPr>
      <w:bookmarkStart w:id="18" w:name="_Toc29028"/>
      <w:bookmarkStart w:id="19" w:name="_Toc32549"/>
      <w:bookmarkStart w:id="20" w:name="_Toc7651"/>
      <w:r>
        <w:rPr>
          <w:rFonts w:hint="default" w:ascii="Times New Roman" w:hAnsi="Times New Roman" w:cs="Times New Roman"/>
          <w:color w:val="auto"/>
        </w:rPr>
        <w:t>1.2.1划分依据</w:t>
      </w:r>
      <w:bookmarkEnd w:id="18"/>
      <w:bookmarkEnd w:id="19"/>
      <w:bookmarkEnd w:id="20"/>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482" w:firstLineChars="200"/>
        <w:textAlignment w:val="auto"/>
        <w:rPr>
          <w:rFonts w:hint="default" w:ascii="Times New Roman" w:hAnsi="Times New Roman" w:cs="Times New Roman"/>
          <w:b/>
          <w:color w:val="auto"/>
        </w:rPr>
      </w:pPr>
      <w:r>
        <w:rPr>
          <w:rFonts w:hint="default" w:ascii="Times New Roman" w:hAnsi="Times New Roman" w:cs="Times New Roman"/>
          <w:b/>
          <w:color w:val="auto"/>
        </w:rPr>
        <w:t>1、相关法律法规及政府文件</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（1）《中华人民共和国环境保护法》（2015年1月1日起施行）；</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（2）《中华人民共和国水法》（2002.10）（2009年修正）；</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（3）《中华人民共和国水污染防治法》（2008.02）；</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（4）《饮用水水源保护区污染防治管理规定》（1989.07）（2010修正）；</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（5）</w:t>
      </w:r>
      <w:r>
        <w:rPr>
          <w:rFonts w:hint="default" w:ascii="Times New Roman" w:hAnsi="Times New Roman" w:cs="Times New Roman"/>
          <w:color w:val="000000"/>
          <w:lang w:val="en-US" w:eastAsia="zh-CN"/>
        </w:rPr>
        <w:t xml:space="preserve"> </w:t>
      </w:r>
      <w:r>
        <w:rPr>
          <w:rFonts w:hint="default" w:ascii="Times New Roman" w:hAnsi="Times New Roman" w:cs="Times New Roman"/>
          <w:color w:val="000000"/>
        </w:rPr>
        <w:t>《国务院办公厅关于加强饮用水安全保障工作的通知》（国办发（2005）45号）；</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（6）《四川省人民政府办公厅关于进一步加强饮用水水源保护工作的通知》（川办函【2014】143号）；</w:t>
      </w:r>
    </w:p>
    <w:p>
      <w:pPr>
        <w:spacing w:line="360" w:lineRule="auto"/>
        <w:ind w:firstLine="480" w:firstLineChars="200"/>
        <w:rPr>
          <w:rFonts w:hint="default" w:ascii="Times New Roman" w:hAnsi="Times New Roman" w:cs="Times New Roman" w:eastAsiaTheme="minorEastAsia"/>
          <w:color w:val="000000"/>
          <w:lang w:eastAsia="zh-CN"/>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7</w:t>
      </w:r>
      <w:r>
        <w:rPr>
          <w:rFonts w:hint="default" w:ascii="Times New Roman" w:hAnsi="Times New Roman" w:cs="Times New Roman"/>
          <w:color w:val="000000"/>
        </w:rPr>
        <w:t>）四川省</w:t>
      </w:r>
      <w:r>
        <w:rPr>
          <w:rFonts w:hint="default" w:ascii="Times New Roman" w:hAnsi="Times New Roman" w:cs="Times New Roman"/>
          <w:color w:val="000000"/>
          <w:lang w:eastAsia="zh-CN"/>
        </w:rPr>
        <w:t>环境保护厅办公室文关于转发</w:t>
      </w:r>
      <w:r>
        <w:rPr>
          <w:rFonts w:hint="default" w:ascii="Times New Roman" w:hAnsi="Times New Roman" w:cs="Times New Roman"/>
          <w:color w:val="000000"/>
        </w:rPr>
        <w:t>《</w:t>
      </w:r>
      <w:r>
        <w:rPr>
          <w:rFonts w:hint="default" w:ascii="Times New Roman" w:hAnsi="Times New Roman" w:cs="Times New Roman"/>
          <w:color w:val="000000"/>
          <w:lang w:eastAsia="zh-CN"/>
        </w:rPr>
        <w:t>关于开展全国集中式饮用水水源地环保专项排查工作的通知》的通知</w:t>
      </w:r>
      <w:r>
        <w:rPr>
          <w:rFonts w:hint="default" w:ascii="Times New Roman" w:hAnsi="Times New Roman" w:cs="Times New Roman"/>
          <w:color w:val="000000"/>
        </w:rPr>
        <w:t>（川</w:t>
      </w:r>
      <w:r>
        <w:rPr>
          <w:rFonts w:hint="default" w:ascii="Times New Roman" w:hAnsi="Times New Roman" w:cs="Times New Roman"/>
          <w:color w:val="000000"/>
          <w:lang w:eastAsia="zh-CN"/>
        </w:rPr>
        <w:t>环</w:t>
      </w:r>
      <w:r>
        <w:rPr>
          <w:rFonts w:hint="default" w:ascii="Times New Roman" w:hAnsi="Times New Roman" w:cs="Times New Roman"/>
          <w:color w:val="000000"/>
        </w:rPr>
        <w:t>办</w:t>
      </w:r>
      <w:r>
        <w:rPr>
          <w:rFonts w:hint="default" w:ascii="Times New Roman" w:hAnsi="Times New Roman" w:cs="Times New Roman"/>
          <w:color w:val="000000"/>
          <w:lang w:eastAsia="zh-CN"/>
        </w:rPr>
        <w:t>发</w:t>
      </w:r>
      <w:r>
        <w:rPr>
          <w:rFonts w:hint="default" w:ascii="Times New Roman" w:hAnsi="Times New Roman" w:cs="Times New Roman"/>
          <w:color w:val="000000"/>
        </w:rPr>
        <w:t>【201</w:t>
      </w:r>
      <w:r>
        <w:rPr>
          <w:rFonts w:hint="default" w:ascii="Times New Roman" w:hAnsi="Times New Roman" w:cs="Times New Roman"/>
          <w:color w:val="000000"/>
          <w:lang w:val="en-US" w:eastAsia="zh-CN"/>
        </w:rPr>
        <w:t>8</w:t>
      </w:r>
      <w:r>
        <w:rPr>
          <w:rFonts w:hint="default" w:ascii="Times New Roman" w:hAnsi="Times New Roman" w:cs="Times New Roman"/>
          <w:color w:val="000000"/>
        </w:rPr>
        <w:t>】1号）</w:t>
      </w:r>
      <w:r>
        <w:rPr>
          <w:rFonts w:hint="default" w:ascii="Times New Roman" w:hAnsi="Times New Roman" w:cs="Times New Roman"/>
          <w:color w:val="000000"/>
          <w:lang w:eastAsia="zh-CN"/>
        </w:rPr>
        <w:t>；</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8</w:t>
      </w:r>
      <w:r>
        <w:rPr>
          <w:rFonts w:hint="default" w:ascii="Times New Roman" w:hAnsi="Times New Roman" w:cs="Times New Roman"/>
          <w:color w:val="000000"/>
        </w:rPr>
        <w:t>）《四川省饮用水水源保护管理条例》（2012年1月1日起施行）；</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9</w:t>
      </w:r>
      <w:r>
        <w:rPr>
          <w:rFonts w:hint="default" w:ascii="Times New Roman" w:hAnsi="Times New Roman" w:cs="Times New Roman"/>
          <w:color w:val="000000"/>
        </w:rPr>
        <w:t>）四川省环境保护厅办公室《关于贯彻实施〈四川省饮用水水源保护管理条例〉的通知》（川环办发【2012】69号）；</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w:t>
      </w:r>
      <w:r>
        <w:rPr>
          <w:rFonts w:hint="default" w:ascii="Times New Roman" w:hAnsi="Times New Roman" w:cs="Times New Roman"/>
          <w:color w:val="000000"/>
          <w:lang w:val="en-US" w:eastAsia="zh-CN"/>
        </w:rPr>
        <w:t>10</w:t>
      </w:r>
      <w:r>
        <w:rPr>
          <w:rFonts w:hint="default" w:ascii="Times New Roman" w:hAnsi="Times New Roman" w:cs="Times New Roman"/>
          <w:color w:val="000000"/>
        </w:rPr>
        <w:t>）《四川省人民政府关于加强农村饮水安全工作的通知》（2012.04）；</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val="en-US" w:eastAsia="zh-CN"/>
        </w:rPr>
        <w:t>1</w:t>
      </w:r>
      <w:r>
        <w:rPr>
          <w:rFonts w:hint="default" w:ascii="Times New Roman" w:hAnsi="Times New Roman" w:cs="Times New Roman"/>
        </w:rPr>
        <w:t>）《四川省地质环境管理条例》（1999.08）（2012修正）；</w:t>
      </w:r>
    </w:p>
    <w:p>
      <w:pPr>
        <w:spacing w:line="360" w:lineRule="auto"/>
        <w:ind w:firstLine="482" w:firstLineChars="200"/>
        <w:jc w:val="left"/>
        <w:rPr>
          <w:rFonts w:hint="default" w:ascii="Times New Roman" w:hAnsi="Times New Roman" w:cs="Times New Roman"/>
          <w:b/>
          <w:color w:val="auto"/>
        </w:rPr>
      </w:pPr>
      <w:r>
        <w:rPr>
          <w:rFonts w:hint="default" w:ascii="Times New Roman" w:hAnsi="Times New Roman" w:cs="Times New Roman"/>
          <w:b/>
          <w:color w:val="auto"/>
        </w:rPr>
        <w:t>2、相关已经批准实施的规划</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（1）《开江县城乡环境综合治理“十三五”发展规划（201</w:t>
      </w:r>
      <w:r>
        <w:rPr>
          <w:rFonts w:hint="eastAsia" w:cs="Times New Roman"/>
          <w:color w:val="000000"/>
          <w:lang w:eastAsia="zh-CN"/>
        </w:rPr>
        <w:t>5-</w:t>
      </w:r>
      <w:r>
        <w:rPr>
          <w:rFonts w:hint="default" w:ascii="Times New Roman" w:hAnsi="Times New Roman" w:cs="Times New Roman"/>
          <w:color w:val="000000"/>
        </w:rPr>
        <w:t>2020年）》</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（2）《达州市国民经济和社会发展第十三个五年规划纲要》</w:t>
      </w:r>
    </w:p>
    <w:p>
      <w:pPr>
        <w:spacing w:line="360" w:lineRule="auto"/>
        <w:ind w:firstLine="482" w:firstLineChars="200"/>
        <w:jc w:val="left"/>
        <w:rPr>
          <w:rFonts w:hint="default" w:ascii="Times New Roman" w:hAnsi="Times New Roman" w:cs="Times New Roman"/>
          <w:b/>
          <w:color w:val="auto"/>
        </w:rPr>
      </w:pPr>
      <w:r>
        <w:rPr>
          <w:rFonts w:hint="default" w:ascii="Times New Roman" w:hAnsi="Times New Roman" w:cs="Times New Roman"/>
          <w:b/>
          <w:color w:val="auto"/>
        </w:rPr>
        <w:t>3、技术标准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（1）《生活饮用水卫生标准》（GB5749-2006）；</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（2）《生活饮用水水源水质标准》（CJ3020-93）；</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（3）《地表水环境质量标准》（GB3838-2002）；</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（4）《水资源评价导则》（SL/T238-1999）；</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（5）《饮用水水源保护区划分技术规范》（HJ/T338-20</w:t>
      </w:r>
      <w:r>
        <w:rPr>
          <w:rFonts w:hint="default" w:ascii="Times New Roman" w:hAnsi="Times New Roman" w:cs="Times New Roman"/>
          <w:color w:val="auto"/>
          <w:lang w:val="en-US" w:eastAsia="zh-CN"/>
        </w:rPr>
        <w:t>18</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（6）《饮用水水源保护区标志技术要求》（HJ/T433-2008）。</w:t>
      </w:r>
    </w:p>
    <w:p>
      <w:pPr>
        <w:pStyle w:val="4"/>
        <w:spacing w:beforeAutospacing="0" w:afterAutospacing="0" w:line="360" w:lineRule="auto"/>
        <w:rPr>
          <w:rFonts w:hint="default" w:ascii="Times New Roman" w:hAnsi="Times New Roman" w:cs="Times New Roman"/>
        </w:rPr>
      </w:pPr>
      <w:bookmarkStart w:id="21" w:name="_Toc17813"/>
      <w:bookmarkStart w:id="22" w:name="_Toc17551"/>
      <w:bookmarkStart w:id="23" w:name="_Toc15773"/>
      <w:r>
        <w:rPr>
          <w:rFonts w:hint="default" w:ascii="Times New Roman" w:hAnsi="Times New Roman" w:cs="Times New Roman"/>
        </w:rPr>
        <w:t>1.2.2划分原则</w:t>
      </w:r>
      <w:bookmarkEnd w:id="21"/>
      <w:bookmarkEnd w:id="22"/>
      <w:bookmarkEnd w:id="23"/>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1、保障人体健康的原则；</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2、因地制宜，科学划分原则；</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3、遵循环境、经济与社会协调发展的原则；</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4、遵循科学性、前瞻性和可操作性相结合的原则；</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000000"/>
        </w:rPr>
        <w:t>5、满足饮用水质达到国家规定的标准原则。</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4" w:name="_Toc2700"/>
      <w:bookmarkStart w:id="25" w:name="_Toc17398"/>
      <w:r>
        <w:rPr>
          <w:rFonts w:hint="default" w:ascii="Times New Roman" w:hAnsi="Times New Roman" w:cs="Times New Roman"/>
          <w:color w:val="auto"/>
        </w:rPr>
        <w:t>1.3水源保护区划分的一般技术原则</w:t>
      </w:r>
      <w:bookmarkEnd w:id="24"/>
      <w:bookmarkEnd w:id="25"/>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确定饮用水水源保护区划分的技术指标，应考虑以下因素：当地的地理位置、水文、气象、地质特征、水动力特性、水域污染类型、污染特征、污染源分布、排水区分布、水源地规模、水量需求。其中：地表水饮用水源保护区范围应按照不同水域特点进行水质定量预测并考虑当地具体条件加以确定， 保证在规划设计的水文条件、供应水量、污染负荷下，保护区的水质能满足相应的标准。具体原则如下：</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（1）保护优先原则。坚持以保护饮用水水源为首要任务，切实保障人民的饮用水安全。</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（2）实事求是的原则：在环境基础情况调查、方案制定、技术规范和法律法规研究过程中，坚持实事求是的原则，因地制宜原则，紧密结合</w:t>
      </w:r>
      <w:r>
        <w:rPr>
          <w:rFonts w:hint="eastAsia" w:cs="Times New Roman"/>
          <w:color w:val="auto"/>
          <w:lang w:eastAsia="zh-CN"/>
        </w:rPr>
        <w:t>开江县</w:t>
      </w:r>
      <w:r>
        <w:rPr>
          <w:rFonts w:hint="default" w:ascii="Times New Roman" w:hAnsi="Times New Roman" w:cs="Times New Roman"/>
          <w:color w:val="auto"/>
        </w:rPr>
        <w:t xml:space="preserve">饮用水资源开发与利用现状、 </w:t>
      </w:r>
      <w:r>
        <w:rPr>
          <w:rFonts w:hint="eastAsia" w:cs="Times New Roman"/>
          <w:color w:val="auto"/>
          <w:lang w:eastAsia="zh-CN"/>
        </w:rPr>
        <w:t>老河堰</w:t>
      </w:r>
      <w:r>
        <w:rPr>
          <w:rFonts w:hint="default" w:ascii="Times New Roman" w:hAnsi="Times New Roman" w:cs="Times New Roman"/>
          <w:color w:val="auto"/>
        </w:rPr>
        <w:t>水环境状况、水文地质条件、周边环境现状以及</w:t>
      </w:r>
      <w:r>
        <w:rPr>
          <w:rFonts w:hint="eastAsia" w:cs="Times New Roman"/>
          <w:color w:val="auto"/>
          <w:lang w:eastAsia="zh-CN"/>
        </w:rPr>
        <w:t>开江县</w:t>
      </w:r>
      <w:r>
        <w:rPr>
          <w:rFonts w:hint="default" w:ascii="Times New Roman" w:hAnsi="Times New Roman" w:cs="Times New Roman"/>
          <w:color w:val="auto"/>
        </w:rPr>
        <w:t>经济发展情况进行划分。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（3）科学性与可操作性原则：按照当前最新发布的《饮用水水源保护区划分技术规范》 </w:t>
      </w:r>
      <w:r>
        <w:rPr>
          <w:rFonts w:hint="default" w:ascii="Times New Roman" w:hAnsi="Times New Roman" w:cs="Times New Roman"/>
          <w:color w:val="FF0000"/>
        </w:rPr>
        <w:t>(HJ/T338-20</w:t>
      </w:r>
      <w:r>
        <w:rPr>
          <w:rFonts w:hint="eastAsia" w:cs="Times New Roman"/>
          <w:color w:val="FF0000"/>
          <w:lang w:val="en-US" w:eastAsia="zh-CN"/>
        </w:rPr>
        <w:t>18</w:t>
      </w:r>
      <w:r>
        <w:rPr>
          <w:rFonts w:hint="default" w:ascii="Times New Roman" w:hAnsi="Times New Roman" w:cs="Times New Roman"/>
          <w:color w:val="FF0000"/>
        </w:rPr>
        <w:t>)</w:t>
      </w:r>
      <w:r>
        <w:rPr>
          <w:rFonts w:hint="default" w:ascii="Times New Roman" w:hAnsi="Times New Roman" w:cs="Times New Roman"/>
          <w:color w:val="auto"/>
        </w:rPr>
        <w:t>对饮用水水源保护区进行划分，保证其科学性及严谨性。在坚持科学性的基础上，水源地划分时还要紧密结合</w:t>
      </w:r>
      <w:r>
        <w:rPr>
          <w:rFonts w:hint="eastAsia" w:cs="Times New Roman"/>
          <w:color w:val="auto"/>
          <w:lang w:eastAsia="zh-CN"/>
        </w:rPr>
        <w:t>开江县</w:t>
      </w:r>
      <w:r>
        <w:rPr>
          <w:rFonts w:hint="default" w:ascii="Times New Roman" w:hAnsi="Times New Roman" w:cs="Times New Roman"/>
          <w:color w:val="auto"/>
        </w:rPr>
        <w:t>相关的发展规划以及周边实际的环境现状，在确保饮用水水源水质不受污染的前提下，划定的水源保护区范围应尽可能小。充分体现前瞻性和可操作性。</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（4）公众参与的原则： 饮用水安全关乎全社会千千万万民众的身体健康，饮用水水源地的保护工作也需要公众的了解、知情、保护、监督等广泛参与。</w:t>
      </w:r>
    </w:p>
    <w:p>
      <w:pPr>
        <w:spacing w:line="360" w:lineRule="auto"/>
        <w:ind w:firstLine="480" w:firstLineChars="200"/>
        <w:rPr>
          <w:rFonts w:hint="eastAsia" w:cs="Times New Roman"/>
          <w:color w:val="auto"/>
          <w:lang w:eastAsia="zh-CN"/>
        </w:rPr>
      </w:pPr>
      <w:r>
        <w:rPr>
          <w:rFonts w:hint="default" w:ascii="Times New Roman" w:hAnsi="Times New Roman" w:cs="Times New Roman"/>
          <w:color w:val="auto"/>
        </w:rPr>
        <w:t>（5）水质达标原则。 地表水饮用水源一级保护区的水质基本项目限值不得低于《地表水环境质量标准》（GB 3838-2002）中的Ⅱ类标准，且补充项目和特定项目应满足该标准规定的限值要求；地表水饮用水源二级保护区的水质基本项目限值不得低于 GB3838-2002 中的Ⅲ类标准，并保证流入一级保护区的水质满足一级保护区水</w:t>
      </w:r>
      <w:r>
        <w:rPr>
          <w:rFonts w:hint="eastAsia" w:cs="Times New Roman"/>
          <w:color w:val="auto"/>
          <w:lang w:eastAsia="zh-CN"/>
        </w:rPr>
        <w:t>质标准的要求。</w:t>
      </w:r>
    </w:p>
    <w:p>
      <w:pPr>
        <w:spacing w:line="360" w:lineRule="auto"/>
        <w:ind w:firstLine="480" w:firstLineChars="200"/>
        <w:rPr>
          <w:rFonts w:hint="eastAsia" w:cs="Times New Roman"/>
          <w:color w:val="auto"/>
          <w:lang w:eastAsia="zh-CN"/>
        </w:rPr>
      </w:pPr>
      <w:r>
        <w:rPr>
          <w:rFonts w:hint="eastAsia" w:cs="Times New Roman"/>
          <w:color w:val="auto"/>
          <w:lang w:eastAsia="zh-CN"/>
        </w:rPr>
        <w:t>（6）预防为主，防治结合原则。水划分过程中要体现以预防为主的思想，预防和治理相结合。划定的范围应尽量避免水源保护区附近人类活动对水源的直接污染，应足以使所选定的主要污染物在向取水点输移的过程中，衰减到所期望的浓度水平；在正常情况下保证取水水质达到规定要求，一旦出现污染水源的环境突发事件，应有足够的采取紧急补救措施的时间和缓冲地带。</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6" w:name="_Toc15140"/>
      <w:bookmarkStart w:id="27" w:name="_Toc8365"/>
      <w:r>
        <w:rPr>
          <w:rFonts w:hint="default" w:ascii="Times New Roman" w:hAnsi="Times New Roman" w:cs="Times New Roman"/>
          <w:color w:val="auto"/>
        </w:rPr>
        <w:t>1.4水源保护区水质要求</w:t>
      </w:r>
      <w:bookmarkEnd w:id="26"/>
      <w:bookmarkEnd w:id="27"/>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地表水饮用水源保护区水质要求</w:t>
      </w:r>
      <w:r>
        <w:rPr>
          <w:rFonts w:hint="default" w:ascii="Times New Roman" w:hAnsi="Times New Roman" w:cs="Times New Roman"/>
          <w:color w:val="000000"/>
          <w:lang w:eastAsia="zh-CN"/>
        </w:rPr>
        <w:t>：</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地表水饮用水源一级保护区的水质基本项目限值不得低于《地表水环境质量标准》（GB14848-93）中的Ⅱ类标准，且补充项目和特定项目应满足该标准规定的限值要求。</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地表水饮用水源二级保护区的水质基本项目限值不得低于《地表水环境质量标准》（GB14848-93）中的Ⅲ类标准，并保证流入一级保护区的水质满足一级保护区水质标准要求。</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地表水饮用水源准保护区的水质标准应保证流入二级保护区的水质满足二级保护区水质标准的要求。</w:t>
      </w:r>
      <w:bookmarkStart w:id="28" w:name="_Toc6706"/>
      <w:bookmarkStart w:id="29" w:name="_Toc492740601"/>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r>
        <w:rPr>
          <w:rFonts w:hint="default" w:ascii="Times New Roman" w:hAnsi="Times New Roman" w:cs="Times New Roman"/>
          <w:color w:val="auto"/>
        </w:rPr>
        <w:t>1.</w:t>
      </w:r>
      <w:r>
        <w:rPr>
          <w:rFonts w:hint="eastAsia" w:ascii="Times New Roman" w:hAnsi="Times New Roman" w:cs="Times New Roman"/>
          <w:color w:val="auto"/>
          <w:lang w:val="en-US" w:eastAsia="zh-CN"/>
        </w:rPr>
        <w:t>5工作过程与总体成果</w:t>
      </w: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eastAsia" w:ascii="Times New Roman" w:hAnsi="Times New Roman" w:cs="Times New Roman"/>
          <w:color w:val="auto"/>
          <w:lang w:eastAsia="zh-CN"/>
        </w:rPr>
      </w:pPr>
      <w:r>
        <w:rPr>
          <w:rFonts w:hint="default" w:ascii="Times New Roman" w:hAnsi="Times New Roman" w:cs="Times New Roman"/>
          <w:color w:val="auto"/>
        </w:rPr>
        <w:t>1.</w:t>
      </w:r>
      <w:r>
        <w:rPr>
          <w:rFonts w:hint="eastAsia" w:ascii="Times New Roman" w:hAnsi="Times New Roman" w:cs="Times New Roman"/>
          <w:color w:val="auto"/>
          <w:lang w:val="en-US" w:eastAsia="zh-CN"/>
        </w:rPr>
        <w:t>5</w:t>
      </w:r>
      <w:r>
        <w:rPr>
          <w:rFonts w:hint="default" w:ascii="Times New Roman" w:hAnsi="Times New Roman" w:cs="Times New Roman"/>
          <w:color w:val="auto"/>
        </w:rPr>
        <w:t>.1</w:t>
      </w:r>
      <w:r>
        <w:rPr>
          <w:rFonts w:hint="eastAsia" w:ascii="Times New Roman" w:hAnsi="Times New Roman" w:cs="Times New Roman"/>
          <w:color w:val="auto"/>
          <w:lang w:eastAsia="zh-CN"/>
        </w:rPr>
        <w:t>工作过程</w:t>
      </w:r>
    </w:p>
    <w:p>
      <w:pPr>
        <w:spacing w:line="360" w:lineRule="auto"/>
        <w:ind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（1）资料收集：包括饮用水水源地的水文水质现状、生态与环境现状、社会经济发展现状等方面的基础资料，以及所在行政区的总体规划、土地利用规划等相关规划。</w:t>
      </w:r>
    </w:p>
    <w:p>
      <w:pPr>
        <w:spacing w:line="360" w:lineRule="auto"/>
        <w:ind w:firstLine="480" w:firstLineChars="200"/>
        <w:rPr>
          <w:rFonts w:hint="eastAsia" w:ascii="Times New Roman" w:hAnsi="Times New Roman" w:cs="Times New Roman"/>
          <w:color w:val="000000"/>
          <w:lang w:eastAsia="zh-CN"/>
        </w:rPr>
      </w:pPr>
      <w:r>
        <w:rPr>
          <w:rFonts w:hint="eastAsia" w:ascii="Times New Roman" w:hAnsi="Times New Roman" w:cs="Times New Roman"/>
          <w:color w:val="000000"/>
          <w:lang w:eastAsia="zh-CN"/>
        </w:rPr>
        <w:t>（2）实地调查：通过现场走访调查、查阅和收集资料、环境监测等工作，调查取水点周边的具体污染源情况，包括取水口上下游排污口、涵闸等污染源现状等；分析评价其水资源数量、质量是否满足要求；分析水源地保护中存在的主要问题。</w:t>
      </w:r>
    </w:p>
    <w:p>
      <w:pPr>
        <w:spacing w:line="360" w:lineRule="auto"/>
        <w:ind w:firstLine="480" w:firstLineChars="2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（3）饮用水源保护区的划分：根据饮用水源保护区划分技术规范，选择适当的划分方法，结合水源地基本情况，提出水源保护区划分方案，计算确定一级保护区、二级保护区的范围、面积及界线。</w:t>
      </w:r>
    </w:p>
    <w:p>
      <w:pPr>
        <w:spacing w:line="360" w:lineRule="auto"/>
        <w:ind w:firstLine="480" w:firstLineChars="2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（4）保护区污染防治。根据饮用水水源保护区划分结果，结合环境现状调查，按照国家有关法律法规及标准规范的要求，提出饮用水水源保护区标准化建设、污染防治以及监督管理方案。</w:t>
      </w:r>
    </w:p>
    <w:p>
      <w:pPr>
        <w:spacing w:line="360" w:lineRule="auto"/>
        <w:ind w:firstLine="480" w:firstLineChars="2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（5）编制汇总报告：成果汇总与协调：依据划分结果，编制饮用水源保护区划分技术报告，并形成相应的附图、附表等成果。</w:t>
      </w:r>
    </w:p>
    <w:p>
      <w:pPr>
        <w:spacing w:line="360" w:lineRule="auto"/>
        <w:ind w:firstLine="480" w:firstLineChars="200"/>
        <w:rPr>
          <w:rFonts w:hint="eastAsia" w:ascii="Times New Roman" w:hAnsi="Times New Roman" w:cs="Times New Roman" w:eastAsiaTheme="minorEastAsia"/>
          <w:color w:val="000000"/>
          <w:lang w:val="en-US" w:eastAsia="zh-CN"/>
        </w:rPr>
      </w:pPr>
      <w:r>
        <w:drawing>
          <wp:inline distT="0" distB="0" distL="114300" distR="114300">
            <wp:extent cx="5267325" cy="5036185"/>
            <wp:effectExtent l="0" t="0" r="5715" b="825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6"/>
                    <a:stretch>
                      <a:fillRect/>
                    </a:stretch>
                  </pic:blipFill>
                  <pic:spPr>
                    <a:xfrm>
                      <a:off x="0" y="0"/>
                      <a:ext cx="5267325" cy="5036185"/>
                    </a:xfrm>
                    <a:prstGeom prst="rect">
                      <a:avLst/>
                    </a:prstGeom>
                    <a:noFill/>
                    <a:ln w="9525">
                      <a:noFill/>
                    </a:ln>
                  </pic:spPr>
                </pic:pic>
              </a:graphicData>
            </a:graphic>
          </wp:inline>
        </w:drawing>
      </w:r>
    </w:p>
    <w:p>
      <w:pPr>
        <w:spacing w:line="360" w:lineRule="auto"/>
        <w:ind w:firstLine="422" w:firstLineChars="200"/>
        <w:jc w:val="center"/>
        <w:rPr>
          <w:rFonts w:hint="eastAsia" w:cs="Times New Roman"/>
          <w:b/>
          <w:bCs/>
          <w:color w:val="000000"/>
          <w:sz w:val="21"/>
          <w:szCs w:val="21"/>
          <w:lang w:val="en-US" w:eastAsia="zh-CN"/>
        </w:rPr>
      </w:pPr>
      <w:r>
        <w:rPr>
          <w:rFonts w:hint="eastAsia" w:cs="Times New Roman"/>
          <w:b/>
          <w:bCs/>
          <w:color w:val="000000"/>
          <w:sz w:val="21"/>
          <w:szCs w:val="21"/>
          <w:lang w:val="zh-CN"/>
        </w:rPr>
        <w:t>图</w:t>
      </w:r>
      <w:r>
        <w:rPr>
          <w:rFonts w:hint="eastAsia" w:cs="Times New Roman"/>
          <w:b/>
          <w:bCs/>
          <w:color w:val="000000"/>
          <w:sz w:val="21"/>
          <w:szCs w:val="21"/>
          <w:lang w:val="en-US" w:eastAsia="zh-CN"/>
        </w:rPr>
        <w:t>1-1  饮用水水源保护区划分工作过程图</w:t>
      </w:r>
    </w:p>
    <w:p>
      <w:pPr>
        <w:spacing w:line="360" w:lineRule="auto"/>
        <w:ind w:firstLine="480" w:firstLineChars="200"/>
        <w:rPr>
          <w:rFonts w:hint="eastAsia" w:ascii="Times New Roman" w:hAnsi="Times New Roman" w:cs="Times New Roman" w:eastAsiaTheme="minorEastAsia"/>
          <w:color w:val="000000"/>
          <w:lang w:val="en-US" w:eastAsia="zh-CN"/>
        </w:rPr>
      </w:pP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1.5.2  总体成果</w:t>
      </w:r>
    </w:p>
    <w:p>
      <w:pPr>
        <w:spacing w:line="360" w:lineRule="auto"/>
        <w:ind w:firstLine="720" w:firstLineChars="3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成果共包括 3 项：</w:t>
      </w:r>
    </w:p>
    <w:p>
      <w:pPr>
        <w:spacing w:line="360" w:lineRule="auto"/>
        <w:ind w:firstLine="480" w:firstLineChars="2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（1）技术报告：根据划分技术报告提纲的要求，主要包括划定饮用水源保护区的背景和意义、水源地基础状况分析、划分方案、监督管理措施和保障措施等内容。</w:t>
      </w:r>
    </w:p>
    <w:p>
      <w:pPr>
        <w:spacing w:line="360" w:lineRule="auto"/>
        <w:ind w:firstLine="480" w:firstLineChars="200"/>
        <w:rPr>
          <w:rFonts w:hint="eastAsia" w:ascii="Times New Roman" w:hAnsi="Times New Roman" w:cs="Times New Roman" w:eastAsiaTheme="minorEastAsia"/>
          <w:color w:val="000000"/>
          <w:highlight w:val="darkCyan"/>
          <w:lang w:val="en-US" w:eastAsia="zh-CN"/>
        </w:rPr>
      </w:pPr>
      <w:r>
        <w:rPr>
          <w:rFonts w:hint="eastAsia" w:ascii="Times New Roman" w:hAnsi="Times New Roman" w:cs="Times New Roman" w:eastAsiaTheme="minorEastAsia"/>
          <w:color w:val="000000"/>
          <w:lang w:val="en-US" w:eastAsia="zh-CN"/>
        </w:rPr>
        <w:t>（2）</w:t>
      </w:r>
      <w:r>
        <w:rPr>
          <w:rFonts w:hint="eastAsia" w:cs="Times New Roman"/>
          <w:color w:val="000000"/>
          <w:lang w:val="en-US" w:eastAsia="zh-CN"/>
        </w:rPr>
        <w:t>附件、</w:t>
      </w:r>
      <w:r>
        <w:rPr>
          <w:rFonts w:hint="eastAsia" w:ascii="Times New Roman" w:hAnsi="Times New Roman" w:cs="Times New Roman" w:eastAsiaTheme="minorEastAsia"/>
          <w:color w:val="000000"/>
          <w:lang w:val="en-US" w:eastAsia="zh-CN"/>
        </w:rPr>
        <w:t>附表、附图：</w:t>
      </w:r>
      <w:r>
        <w:rPr>
          <w:rFonts w:hint="eastAsia" w:cs="Times New Roman"/>
          <w:color w:val="000000"/>
          <w:highlight w:val="darkCyan"/>
          <w:lang w:val="en-US" w:eastAsia="zh-CN"/>
        </w:rPr>
        <w:t>包括监测报告、</w:t>
      </w:r>
      <w:r>
        <w:rPr>
          <w:rFonts w:hint="eastAsia" w:ascii="Times New Roman" w:hAnsi="Times New Roman" w:cs="Times New Roman" w:eastAsiaTheme="minorEastAsia"/>
          <w:color w:val="000000"/>
          <w:highlight w:val="darkCyan"/>
          <w:lang w:val="en-US" w:eastAsia="zh-CN"/>
        </w:rPr>
        <w:t>饮用水水源地基础状况表、饮用水水源地保护区环境状况调查表、饮用水水源保护区划分结果图、饮用水水源水质监测断面分布图等。</w:t>
      </w:r>
    </w:p>
    <w:p>
      <w:pPr>
        <w:spacing w:line="360" w:lineRule="auto"/>
        <w:ind w:firstLine="480" w:firstLineChars="200"/>
        <w:rPr>
          <w:rFonts w:hint="eastAsia" w:ascii="Times New Roman" w:hAnsi="Times New Roman" w:cs="Times New Roman" w:eastAsiaTheme="minorEastAsia"/>
          <w:color w:val="000000"/>
          <w:lang w:val="en-US" w:eastAsia="zh-CN"/>
        </w:rPr>
      </w:pPr>
      <w:r>
        <w:rPr>
          <w:rFonts w:hint="eastAsia" w:ascii="Times New Roman" w:hAnsi="Times New Roman" w:cs="Times New Roman" w:eastAsiaTheme="minorEastAsia"/>
          <w:color w:val="000000"/>
          <w:lang w:val="en-US" w:eastAsia="zh-CN"/>
        </w:rPr>
        <w:t>（3）矢量边界数据成果：包括饮用水源一级、二级保护区的边界数据、拐点坐标矢量数据、取水口等。</w:t>
      </w:r>
    </w:p>
    <w:p>
      <w:pPr>
        <w:spacing w:line="360" w:lineRule="auto"/>
        <w:rPr>
          <w:rFonts w:hint="default" w:ascii="Times New Roman" w:hAnsi="Times New Roman" w:eastAsia="黑体" w:cs="Times New Roman"/>
          <w:color w:val="auto"/>
          <w:kern w:val="0"/>
          <w:sz w:val="44"/>
          <w:szCs w:val="44"/>
          <w:lang w:val="zh-CN"/>
        </w:rPr>
      </w:pPr>
      <w:r>
        <w:rPr>
          <w:rFonts w:hint="default" w:ascii="Times New Roman" w:hAnsi="Times New Roman" w:eastAsia="黑体" w:cs="Times New Roman"/>
          <w:color w:val="auto"/>
          <w:kern w:val="0"/>
          <w:sz w:val="44"/>
          <w:szCs w:val="44"/>
          <w:lang w:val="zh-CN"/>
        </w:rPr>
        <w:br w:type="page"/>
      </w:r>
    </w:p>
    <w:p>
      <w:pPr>
        <w:pStyle w:val="2"/>
        <w:jc w:val="center"/>
        <w:rPr>
          <w:rFonts w:hint="default" w:ascii="Times New Roman" w:hAnsi="Times New Roman" w:cs="Times New Roman" w:eastAsiaTheme="minorEastAsia"/>
          <w:color w:val="auto"/>
          <w:kern w:val="0"/>
          <w:sz w:val="44"/>
          <w:szCs w:val="44"/>
          <w:lang w:val="zh-CN"/>
        </w:rPr>
      </w:pPr>
      <w:r>
        <w:rPr>
          <w:rFonts w:hint="default" w:ascii="Times New Roman" w:hAnsi="Times New Roman" w:cs="Times New Roman" w:eastAsiaTheme="minorEastAsia"/>
          <w:color w:val="auto"/>
          <w:kern w:val="0"/>
          <w:sz w:val="44"/>
          <w:szCs w:val="44"/>
          <w:lang w:val="zh-CN"/>
        </w:rPr>
        <w:t>2 水源地概况</w:t>
      </w:r>
      <w:bookmarkEnd w:id="28"/>
      <w:bookmarkEnd w:id="29"/>
    </w:p>
    <w:p>
      <w:pPr>
        <w:pStyle w:val="3"/>
        <w:spacing w:before="120" w:after="0" w:line="520" w:lineRule="exact"/>
        <w:rPr>
          <w:rFonts w:hint="default" w:ascii="Times New Roman" w:hAnsi="Times New Roman" w:eastAsia="宋体" w:cs="Times New Roman"/>
          <w:b/>
          <w:bCs w:val="0"/>
          <w:color w:val="auto"/>
          <w:kern w:val="0"/>
          <w:sz w:val="28"/>
          <w:szCs w:val="28"/>
        </w:rPr>
      </w:pPr>
      <w:bookmarkStart w:id="30" w:name="_Toc492740602"/>
      <w:bookmarkStart w:id="31" w:name="_Toc23897"/>
      <w:r>
        <w:rPr>
          <w:rFonts w:hint="default" w:ascii="Times New Roman" w:hAnsi="Times New Roman" w:eastAsia="宋体" w:cs="Times New Roman"/>
          <w:b/>
          <w:bCs w:val="0"/>
          <w:color w:val="auto"/>
          <w:kern w:val="0"/>
          <w:sz w:val="28"/>
          <w:szCs w:val="28"/>
        </w:rPr>
        <w:t>2.1 水源地基本情况</w:t>
      </w:r>
      <w:bookmarkEnd w:id="30"/>
      <w:bookmarkEnd w:id="31"/>
    </w:p>
    <w:p>
      <w:pPr>
        <w:spacing w:line="360" w:lineRule="auto"/>
        <w:ind w:firstLine="458" w:firstLineChars="200"/>
        <w:rPr>
          <w:rFonts w:hint="default" w:ascii="Times New Roman" w:hAnsi="Times New Roman" w:cs="Times New Roman"/>
          <w:color w:val="auto"/>
          <w:sz w:val="24"/>
          <w:szCs w:val="24"/>
        </w:rPr>
      </w:pPr>
      <w:r>
        <w:rPr>
          <w:rFonts w:hint="default" w:ascii="Times New Roman" w:hAnsi="Times New Roman" w:cs="Times New Roman"/>
          <w:b/>
          <w:color w:val="auto"/>
          <w:spacing w:val="-6"/>
          <w:sz w:val="24"/>
          <w:szCs w:val="24"/>
        </w:rPr>
        <w:t>项目名称：</w:t>
      </w:r>
      <w:r>
        <w:rPr>
          <w:rFonts w:hint="default" w:ascii="Times New Roman" w:hAnsi="Times New Roman" w:cs="Times New Roman"/>
          <w:color w:val="auto"/>
          <w:sz w:val="24"/>
          <w:szCs w:val="24"/>
          <w:lang w:eastAsia="zh-CN"/>
        </w:rPr>
        <w:t>开江县县城</w:t>
      </w:r>
      <w:r>
        <w:rPr>
          <w:rFonts w:hint="eastAsia" w:cs="Times New Roman"/>
          <w:color w:val="auto"/>
          <w:sz w:val="24"/>
          <w:szCs w:val="24"/>
          <w:lang w:eastAsia="zh-CN"/>
        </w:rPr>
        <w:t>老河堰</w:t>
      </w:r>
      <w:r>
        <w:rPr>
          <w:rFonts w:hint="default" w:ascii="Times New Roman" w:hAnsi="Times New Roman" w:cs="Times New Roman"/>
          <w:color w:val="auto"/>
          <w:sz w:val="24"/>
          <w:szCs w:val="24"/>
          <w:lang w:eastAsia="zh-CN"/>
        </w:rPr>
        <w:t>水库</w:t>
      </w:r>
      <w:r>
        <w:rPr>
          <w:rFonts w:hint="default" w:ascii="Times New Roman" w:hAnsi="Times New Roman" w:cs="Times New Roman"/>
          <w:color w:val="auto"/>
          <w:sz w:val="24"/>
          <w:szCs w:val="24"/>
        </w:rPr>
        <w:t>集中式饮用水水源保护区划分技术报告</w:t>
      </w:r>
    </w:p>
    <w:p>
      <w:pPr>
        <w:spacing w:line="360" w:lineRule="auto"/>
        <w:ind w:firstLine="458" w:firstLineChars="200"/>
        <w:rPr>
          <w:rFonts w:hint="default" w:ascii="Times New Roman" w:hAnsi="Times New Roman" w:cs="Times New Roman"/>
          <w:color w:val="auto"/>
          <w:spacing w:val="-6"/>
          <w:sz w:val="24"/>
          <w:szCs w:val="24"/>
        </w:rPr>
      </w:pPr>
      <w:r>
        <w:rPr>
          <w:rFonts w:hint="default" w:ascii="Times New Roman" w:hAnsi="Times New Roman" w:cs="Times New Roman"/>
          <w:b/>
          <w:color w:val="auto"/>
          <w:spacing w:val="-6"/>
          <w:sz w:val="24"/>
          <w:szCs w:val="24"/>
        </w:rPr>
        <w:t>水源地：</w:t>
      </w:r>
      <w:r>
        <w:rPr>
          <w:rFonts w:hint="default" w:ascii="Times New Roman" w:hAnsi="Times New Roman" w:cs="Times New Roman"/>
          <w:color w:val="auto"/>
          <w:spacing w:val="-6"/>
          <w:sz w:val="24"/>
          <w:szCs w:val="24"/>
        </w:rPr>
        <w:t>共1个</w:t>
      </w:r>
      <w:r>
        <w:rPr>
          <w:rFonts w:hint="default" w:ascii="Times New Roman" w:hAnsi="Times New Roman" w:cs="Times New Roman"/>
          <w:color w:val="auto"/>
          <w:spacing w:val="-6"/>
          <w:sz w:val="24"/>
          <w:szCs w:val="24"/>
          <w:lang w:eastAsia="zh-CN"/>
        </w:rPr>
        <w:t>县城</w:t>
      </w:r>
      <w:r>
        <w:rPr>
          <w:rFonts w:hint="default" w:ascii="Times New Roman" w:hAnsi="Times New Roman" w:cs="Times New Roman"/>
          <w:color w:val="auto"/>
          <w:spacing w:val="-6"/>
          <w:sz w:val="24"/>
          <w:szCs w:val="24"/>
        </w:rPr>
        <w:t>集中式</w:t>
      </w:r>
      <w:r>
        <w:rPr>
          <w:rFonts w:hint="eastAsia" w:cs="Times New Roman"/>
          <w:color w:val="auto"/>
          <w:spacing w:val="-6"/>
          <w:sz w:val="24"/>
          <w:szCs w:val="24"/>
          <w:lang w:eastAsia="zh-CN"/>
        </w:rPr>
        <w:t>水库型</w:t>
      </w:r>
      <w:r>
        <w:rPr>
          <w:rFonts w:hint="default" w:ascii="Times New Roman" w:hAnsi="Times New Roman" w:cs="Times New Roman"/>
          <w:color w:val="auto"/>
          <w:spacing w:val="-6"/>
          <w:sz w:val="24"/>
          <w:szCs w:val="24"/>
        </w:rPr>
        <w:t>水源地</w:t>
      </w:r>
      <w:r>
        <w:rPr>
          <w:rFonts w:hint="default" w:ascii="Times New Roman" w:hAnsi="Times New Roman" w:cs="Times New Roman"/>
          <w:color w:val="auto"/>
          <w:spacing w:val="-6"/>
          <w:sz w:val="24"/>
          <w:szCs w:val="24"/>
          <w:lang w:eastAsia="zh-CN"/>
        </w:rPr>
        <w:t>（</w:t>
      </w:r>
      <w:r>
        <w:rPr>
          <w:rFonts w:hint="eastAsia" w:cs="Times New Roman"/>
          <w:color w:val="auto"/>
          <w:spacing w:val="-6"/>
          <w:sz w:val="24"/>
          <w:szCs w:val="24"/>
          <w:lang w:eastAsia="zh-CN"/>
        </w:rPr>
        <w:t>老河堰</w:t>
      </w:r>
      <w:r>
        <w:rPr>
          <w:rFonts w:hint="default" w:ascii="Times New Roman" w:hAnsi="Times New Roman" w:cs="Times New Roman"/>
          <w:color w:val="auto"/>
          <w:spacing w:val="-6"/>
          <w:sz w:val="24"/>
          <w:szCs w:val="24"/>
          <w:lang w:eastAsia="zh-CN"/>
        </w:rPr>
        <w:t>水库）</w:t>
      </w:r>
      <w:r>
        <w:rPr>
          <w:rFonts w:hint="default" w:ascii="Times New Roman" w:hAnsi="Times New Roman" w:cs="Times New Roman"/>
          <w:color w:val="auto"/>
          <w:spacing w:val="-6"/>
          <w:sz w:val="24"/>
          <w:szCs w:val="24"/>
        </w:rPr>
        <w:t>。</w:t>
      </w:r>
    </w:p>
    <w:p>
      <w:pPr>
        <w:pageBreakBefore w:val="0"/>
        <w:kinsoku/>
        <w:wordWrap/>
        <w:overflowPunct/>
        <w:topLinePunct w:val="0"/>
        <w:autoSpaceDE/>
        <w:autoSpaceDN/>
        <w:bidi w:val="0"/>
        <w:adjustRightInd/>
        <w:snapToGrid/>
        <w:spacing w:beforeAutospacing="0" w:afterAutospacing="0" w:line="360" w:lineRule="auto"/>
        <w:ind w:left="0" w:leftChars="0" w:right="0" w:rightChars="0" w:firstLine="458" w:firstLineChars="200"/>
        <w:textAlignment w:val="auto"/>
        <w:rPr>
          <w:rFonts w:hint="eastAsia" w:ascii="Times New Roman" w:hAnsi="Times New Roman" w:cs="Times New Roman"/>
          <w:b/>
          <w:color w:val="auto"/>
          <w:spacing w:val="-6"/>
          <w:sz w:val="24"/>
          <w:szCs w:val="24"/>
          <w:lang w:val="en-US" w:eastAsia="zh-CN"/>
        </w:rPr>
      </w:pPr>
      <w:r>
        <w:rPr>
          <w:rFonts w:hint="eastAsia" w:ascii="Times New Roman" w:hAnsi="Times New Roman" w:cs="Times New Roman"/>
          <w:b/>
          <w:color w:val="auto"/>
          <w:spacing w:val="-6"/>
          <w:sz w:val="24"/>
          <w:szCs w:val="24"/>
          <w:lang w:val="en-US" w:eastAsia="zh-CN"/>
        </w:rPr>
        <w:t>取水口设置：</w:t>
      </w:r>
      <w:r>
        <w:rPr>
          <w:rFonts w:hint="eastAsia" w:cs="Times New Roman"/>
          <w:color w:val="auto"/>
          <w:highlight w:val="none"/>
          <w:lang w:eastAsia="zh-CN"/>
        </w:rPr>
        <w:t>取水口位于老河堰水库西南侧东经</w:t>
      </w:r>
      <w:r>
        <w:rPr>
          <w:rFonts w:hint="eastAsia" w:cs="Times New Roman"/>
          <w:color w:val="auto"/>
          <w:highlight w:val="none"/>
          <w:lang w:val="en-US" w:eastAsia="zh-CN"/>
        </w:rPr>
        <w:t>107.907709（107°54′27.75″），纬度31.15595（31°09′21.42″）。</w:t>
      </w:r>
    </w:p>
    <w:p>
      <w:pPr>
        <w:numPr>
          <w:ilvl w:val="0"/>
          <w:numId w:val="0"/>
        </w:numPr>
        <w:adjustRightInd w:val="0"/>
        <w:snapToGrid w:val="0"/>
        <w:spacing w:line="360" w:lineRule="auto"/>
        <w:ind w:firstLine="458" w:firstLineChars="200"/>
        <w:rPr>
          <w:rFonts w:hint="eastAsia" w:cs="Times New Roman"/>
          <w:color w:val="auto"/>
          <w:highlight w:val="none"/>
          <w:lang w:val="en-US" w:eastAsia="zh-CN"/>
        </w:rPr>
      </w:pPr>
      <w:r>
        <w:rPr>
          <w:rFonts w:hint="eastAsia" w:cs="Times New Roman"/>
          <w:b/>
          <w:bCs/>
          <w:color w:val="FF0000"/>
          <w:spacing w:val="-6"/>
          <w:sz w:val="24"/>
          <w:szCs w:val="24"/>
          <w:lang w:eastAsia="zh-CN"/>
        </w:rPr>
        <w:t>老河堰</w:t>
      </w:r>
      <w:r>
        <w:rPr>
          <w:rFonts w:hint="default" w:ascii="Times New Roman" w:hAnsi="Times New Roman" w:cs="Times New Roman"/>
          <w:b/>
          <w:bCs/>
          <w:color w:val="FF0000"/>
          <w:spacing w:val="-6"/>
          <w:sz w:val="24"/>
          <w:szCs w:val="24"/>
          <w:lang w:eastAsia="zh-CN"/>
        </w:rPr>
        <w:t>水库水量：</w:t>
      </w:r>
      <w:r>
        <w:rPr>
          <w:rFonts w:hint="eastAsia" w:cs="Times New Roman"/>
          <w:color w:val="auto"/>
          <w:lang w:eastAsia="zh-CN"/>
        </w:rPr>
        <w:t>老河堰</w:t>
      </w:r>
      <w:r>
        <w:rPr>
          <w:rFonts w:hint="default" w:ascii="Times New Roman" w:hAnsi="Times New Roman" w:cs="Times New Roman"/>
          <w:color w:val="auto"/>
        </w:rPr>
        <w:t>水库</w:t>
      </w:r>
      <w:r>
        <w:rPr>
          <w:rFonts w:hint="eastAsia" w:cs="Times New Roman"/>
          <w:color w:val="auto"/>
          <w:lang w:eastAsia="zh-CN"/>
        </w:rPr>
        <w:t>位于开江县永兴镇，所在水系为永兴河，距开江县县城大约</w:t>
      </w:r>
      <w:r>
        <w:rPr>
          <w:rFonts w:hint="eastAsia" w:cs="Times New Roman"/>
          <w:color w:val="auto"/>
          <w:lang w:val="en-US" w:eastAsia="zh-CN"/>
        </w:rPr>
        <w:t>7.5</w:t>
      </w:r>
      <w:r>
        <w:rPr>
          <w:rFonts w:hint="default" w:ascii="Times New Roman" w:hAnsi="Times New Roman" w:cs="Times New Roman"/>
        </w:rPr>
        <w:t>km</w:t>
      </w:r>
      <w:r>
        <w:rPr>
          <w:rFonts w:hint="eastAsia" w:cs="Times New Roman"/>
          <w:lang w:eastAsia="zh-CN"/>
        </w:rPr>
        <w:t>，老河堰</w:t>
      </w:r>
      <w:r>
        <w:rPr>
          <w:rFonts w:hint="default" w:ascii="Times New Roman" w:hAnsi="Times New Roman" w:cs="Times New Roman"/>
        </w:rPr>
        <w:t>水利是建于195</w:t>
      </w:r>
      <w:r>
        <w:rPr>
          <w:rFonts w:hint="eastAsia" w:cs="Times New Roman"/>
          <w:lang w:val="en-US" w:eastAsia="zh-CN"/>
        </w:rPr>
        <w:t>7</w:t>
      </w:r>
      <w:r>
        <w:rPr>
          <w:rFonts w:hint="default" w:ascii="Times New Roman" w:hAnsi="Times New Roman" w:cs="Times New Roman"/>
        </w:rPr>
        <w:t>年，以灌溉为主，集城镇生活用水等多功能为一体的</w:t>
      </w:r>
      <w:r>
        <w:rPr>
          <w:rFonts w:hint="eastAsia" w:cs="Times New Roman"/>
          <w:lang w:eastAsia="zh-CN"/>
        </w:rPr>
        <w:t>小型</w:t>
      </w:r>
      <w:r>
        <w:rPr>
          <w:rFonts w:hint="default" w:ascii="Times New Roman" w:hAnsi="Times New Roman" w:cs="Times New Roman"/>
        </w:rPr>
        <w:t>水库，集雨面积</w:t>
      </w:r>
      <w:r>
        <w:rPr>
          <w:rFonts w:hint="eastAsia" w:cs="Times New Roman"/>
          <w:lang w:val="en-US" w:eastAsia="zh-CN"/>
        </w:rPr>
        <w:t>3.7</w:t>
      </w:r>
      <w:r>
        <w:rPr>
          <w:rFonts w:hint="default" w:ascii="Times New Roman" w:hAnsi="Times New Roman" w:cs="Times New Roman"/>
        </w:rPr>
        <w:t>km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渠系实际长度</w:t>
      </w:r>
      <w:r>
        <w:rPr>
          <w:rFonts w:hint="eastAsia" w:cs="Times New Roman"/>
          <w:lang w:val="en-US" w:eastAsia="zh-CN"/>
        </w:rPr>
        <w:t>15.7</w:t>
      </w:r>
      <w:r>
        <w:rPr>
          <w:rFonts w:hint="default" w:ascii="Times New Roman" w:hAnsi="Times New Roman" w:cs="Times New Roman"/>
        </w:rPr>
        <w:t>km</w:t>
      </w:r>
      <w:r>
        <w:rPr>
          <w:rFonts w:hint="default" w:ascii="Times New Roman" w:hAnsi="Times New Roman" w:cs="Times New Roman"/>
          <w:szCs w:val="28"/>
        </w:rPr>
        <w:t>，</w:t>
      </w:r>
      <w:r>
        <w:rPr>
          <w:rFonts w:hint="default" w:ascii="Times New Roman" w:hAnsi="Times New Roman" w:cs="Times New Roman"/>
        </w:rPr>
        <w:t>水库正常蓄水位</w:t>
      </w:r>
      <w:r>
        <w:rPr>
          <w:rFonts w:hint="eastAsia" w:cs="Times New Roman"/>
          <w:lang w:val="en-US" w:eastAsia="zh-CN"/>
        </w:rPr>
        <w:t>482.5</w:t>
      </w:r>
      <w:r>
        <w:rPr>
          <w:rFonts w:hint="default" w:ascii="Times New Roman" w:hAnsi="Times New Roman" w:cs="Times New Roman"/>
        </w:rPr>
        <w:t>m，总库容量</w:t>
      </w:r>
      <w:r>
        <w:rPr>
          <w:rFonts w:hint="eastAsia" w:cs="Times New Roman"/>
          <w:lang w:val="en-US" w:eastAsia="zh-CN"/>
        </w:rPr>
        <w:t>103.33万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，有效库容</w:t>
      </w:r>
      <w:r>
        <w:rPr>
          <w:rFonts w:hint="eastAsia" w:cs="Times New Roman"/>
          <w:lang w:val="en-US" w:eastAsia="zh-CN"/>
        </w:rPr>
        <w:t>67.7</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，设计灌溉面积</w:t>
      </w:r>
      <w:r>
        <w:rPr>
          <w:rFonts w:hint="eastAsia" w:cs="Times New Roman"/>
          <w:lang w:val="en-US" w:eastAsia="zh-CN"/>
        </w:rPr>
        <w:t>0.3</w:t>
      </w:r>
      <w:r>
        <w:rPr>
          <w:rFonts w:hint="eastAsia" w:cs="Times New Roman"/>
          <w:lang w:eastAsia="zh-CN"/>
        </w:rPr>
        <w:t>万亩</w:t>
      </w:r>
      <w:r>
        <w:rPr>
          <w:rFonts w:hint="default" w:ascii="Times New Roman" w:hAnsi="Times New Roman" w:cs="Times New Roman"/>
        </w:rPr>
        <w:t>，</w:t>
      </w:r>
      <w:r>
        <w:rPr>
          <w:rFonts w:hint="eastAsia" w:cs="Times New Roman"/>
          <w:lang w:eastAsia="zh-CN"/>
        </w:rPr>
        <w:t>最大泄量</w:t>
      </w:r>
      <w:r>
        <w:rPr>
          <w:rFonts w:hint="eastAsia" w:cs="Times New Roman"/>
          <w:lang w:val="en-US" w:eastAsia="zh-CN"/>
        </w:rPr>
        <w:t>64</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vertAlign w:val="baseline"/>
          <w:lang w:val="en-US" w:eastAsia="zh-CN"/>
        </w:rPr>
        <w:t>/s</w:t>
      </w:r>
      <w:r>
        <w:rPr>
          <w:rFonts w:hint="default" w:ascii="Times New Roman" w:hAnsi="Times New Roman" w:cs="Times New Roman"/>
        </w:rPr>
        <w:t>。</w:t>
      </w:r>
    </w:p>
    <w:p>
      <w:pPr>
        <w:adjustRightInd w:val="0"/>
        <w:snapToGrid w:val="0"/>
        <w:spacing w:line="360" w:lineRule="auto"/>
        <w:ind w:firstLine="456" w:firstLineChars="200"/>
        <w:rPr>
          <w:rFonts w:hint="default" w:ascii="Times New Roman" w:hAnsi="Times New Roman" w:eastAsia="宋体" w:cs="Times New Roman"/>
          <w:b w:val="0"/>
          <w:bCs w:val="0"/>
          <w:color w:val="0000FF"/>
          <w:spacing w:val="-6"/>
          <w:sz w:val="24"/>
          <w:szCs w:val="24"/>
          <w:lang w:eastAsia="zh-CN"/>
        </w:rPr>
      </w:pPr>
      <w:r>
        <w:rPr>
          <w:rFonts w:hint="default" w:ascii="Times New Roman" w:hAnsi="Times New Roman" w:cs="Times New Roman"/>
          <w:b w:val="0"/>
          <w:bCs w:val="0"/>
          <w:color w:val="0000FF"/>
          <w:spacing w:val="-6"/>
          <w:sz w:val="24"/>
          <w:szCs w:val="24"/>
          <w:lang w:val="en-US" w:eastAsia="zh-CN"/>
        </w:rPr>
        <w:t>根据</w:t>
      </w:r>
      <w:r>
        <w:rPr>
          <w:rFonts w:hint="eastAsia" w:cs="Times New Roman"/>
          <w:b w:val="0"/>
          <w:bCs w:val="0"/>
          <w:color w:val="0000FF"/>
          <w:spacing w:val="-6"/>
          <w:sz w:val="24"/>
          <w:szCs w:val="24"/>
          <w:lang w:val="en-US" w:eastAsia="zh-CN"/>
        </w:rPr>
        <w:t>开江县县城人口及用水量估算，考虑到宝石桥水库以水库型水源作为引用水源取点，一旦被污染后，通过自净能力及人工应急处理后，预计需要一个月的处理整改时间。故本次设计备用水源地的容量需要保证县城一个月的取水水量</w:t>
      </w:r>
      <w:r>
        <w:rPr>
          <w:rFonts w:hint="default" w:ascii="Times New Roman" w:hAnsi="Times New Roman" w:cs="Times New Roman"/>
          <w:b w:val="0"/>
          <w:bCs w:val="0"/>
          <w:color w:val="0000FF"/>
          <w:spacing w:val="-6"/>
          <w:sz w:val="24"/>
          <w:szCs w:val="24"/>
          <w:lang w:val="en-US" w:eastAsia="zh-CN"/>
        </w:rPr>
        <w:t>，</w:t>
      </w:r>
      <w:r>
        <w:rPr>
          <w:rFonts w:hint="eastAsia" w:cs="Times New Roman"/>
          <w:b w:val="0"/>
          <w:bCs w:val="0"/>
          <w:color w:val="0000FF"/>
          <w:spacing w:val="-6"/>
          <w:sz w:val="24"/>
          <w:szCs w:val="24"/>
          <w:lang w:val="en-US" w:eastAsia="zh-CN"/>
        </w:rPr>
        <w:t>根据建设单位提供的资料可知，开江县日均取水量为3万吨，在枯水期（冬季）的情况下，只考虑老河堰水库的有效容积的情况下（不考虑降雨量及径流系数），老河堰</w:t>
      </w:r>
      <w:r>
        <w:rPr>
          <w:rFonts w:hint="default" w:ascii="Times New Roman" w:hAnsi="Times New Roman" w:cs="Times New Roman"/>
          <w:b w:val="0"/>
          <w:bCs w:val="0"/>
          <w:color w:val="0000FF"/>
          <w:spacing w:val="-6"/>
          <w:sz w:val="24"/>
          <w:szCs w:val="24"/>
          <w:lang w:val="en-US" w:eastAsia="zh-CN"/>
        </w:rPr>
        <w:t>水量</w:t>
      </w:r>
      <w:r>
        <w:rPr>
          <w:rFonts w:hint="eastAsia" w:cs="Times New Roman"/>
          <w:b w:val="0"/>
          <w:bCs w:val="0"/>
          <w:color w:val="0000FF"/>
          <w:spacing w:val="-6"/>
          <w:sz w:val="24"/>
          <w:szCs w:val="24"/>
          <w:lang w:val="en-US" w:eastAsia="zh-CN"/>
        </w:rPr>
        <w:t>能够满足开江县县城20d的用水量，水量较小，不能满足县城一个月的水量要求</w:t>
      </w:r>
      <w:r>
        <w:rPr>
          <w:rFonts w:hint="default" w:ascii="Times New Roman" w:hAnsi="Times New Roman" w:cs="Times New Roman"/>
          <w:b w:val="0"/>
          <w:bCs w:val="0"/>
          <w:color w:val="0000FF"/>
          <w:spacing w:val="-6"/>
          <w:sz w:val="24"/>
          <w:szCs w:val="24"/>
          <w:lang w:val="en-US" w:eastAsia="zh-CN"/>
        </w:rPr>
        <w:t>。</w:t>
      </w:r>
    </w:p>
    <w:p>
      <w:pPr>
        <w:pStyle w:val="3"/>
        <w:spacing w:before="120" w:after="0" w:line="520" w:lineRule="exact"/>
        <w:rPr>
          <w:rFonts w:hint="default" w:ascii="Times New Roman" w:hAnsi="Times New Roman" w:eastAsia="宋体" w:cs="Times New Roman"/>
          <w:b/>
          <w:bCs w:val="0"/>
          <w:color w:val="auto"/>
          <w:kern w:val="0"/>
          <w:sz w:val="28"/>
          <w:szCs w:val="28"/>
        </w:rPr>
      </w:pPr>
      <w:bookmarkStart w:id="32" w:name="_Toc10411"/>
      <w:bookmarkStart w:id="33" w:name="_Toc492740603"/>
      <w:r>
        <w:rPr>
          <w:rFonts w:hint="default" w:ascii="Times New Roman" w:hAnsi="Times New Roman" w:eastAsia="宋体" w:cs="Times New Roman"/>
          <w:b/>
          <w:bCs w:val="0"/>
          <w:color w:val="auto"/>
          <w:kern w:val="0"/>
          <w:sz w:val="28"/>
          <w:szCs w:val="28"/>
        </w:rPr>
        <w:t>2.2 保护区划分情况</w:t>
      </w:r>
      <w:bookmarkEnd w:id="32"/>
      <w:bookmarkEnd w:id="33"/>
    </w:p>
    <w:p>
      <w:pPr>
        <w:autoSpaceDE w:val="0"/>
        <w:autoSpaceDN w:val="0"/>
        <w:adjustRightInd w:val="0"/>
        <w:spacing w:line="520" w:lineRule="exact"/>
        <w:outlineLvl w:val="2"/>
        <w:rPr>
          <w:b/>
          <w:color w:val="auto"/>
          <w:kern w:val="0"/>
          <w:sz w:val="24"/>
          <w:szCs w:val="24"/>
        </w:rPr>
      </w:pPr>
      <w:bookmarkStart w:id="34" w:name="_Toc8797"/>
      <w:bookmarkStart w:id="35" w:name="_Toc23695"/>
      <w:r>
        <w:rPr>
          <w:b/>
          <w:color w:val="auto"/>
          <w:kern w:val="0"/>
          <w:sz w:val="24"/>
          <w:szCs w:val="24"/>
        </w:rPr>
        <w:t xml:space="preserve">2.2.1  </w:t>
      </w:r>
      <w:r>
        <w:rPr>
          <w:rFonts w:hint="eastAsia"/>
          <w:b/>
          <w:color w:val="auto"/>
          <w:kern w:val="0"/>
          <w:sz w:val="24"/>
          <w:szCs w:val="24"/>
          <w:lang w:eastAsia="zh-CN"/>
        </w:rPr>
        <w:t>老河堰</w:t>
      </w:r>
      <w:r>
        <w:rPr>
          <w:rFonts w:hint="eastAsia"/>
          <w:b/>
          <w:color w:val="auto"/>
          <w:kern w:val="0"/>
          <w:sz w:val="24"/>
          <w:szCs w:val="24"/>
        </w:rPr>
        <w:t>水源地情况简介</w:t>
      </w:r>
      <w:bookmarkEnd w:id="34"/>
      <w:bookmarkEnd w:id="35"/>
    </w:p>
    <w:p>
      <w:pPr>
        <w:spacing w:line="360" w:lineRule="auto"/>
        <w:ind w:firstLine="480" w:firstLineChars="200"/>
        <w:jc w:val="left"/>
        <w:rPr>
          <w:rFonts w:hint="default" w:ascii="Times New Roman" w:hAnsi="Times New Roman" w:cs="Times New Roman"/>
          <w:color w:val="000000"/>
        </w:rPr>
      </w:pPr>
      <w:r>
        <w:rPr>
          <w:rFonts w:hint="eastAsia" w:cs="Times New Roman"/>
          <w:color w:val="auto"/>
          <w:lang w:eastAsia="zh-CN"/>
        </w:rPr>
        <w:t>老河堰</w:t>
      </w:r>
      <w:r>
        <w:rPr>
          <w:rFonts w:hint="default" w:ascii="Times New Roman" w:hAnsi="Times New Roman" w:cs="Times New Roman"/>
          <w:color w:val="auto"/>
        </w:rPr>
        <w:t>水库</w:t>
      </w:r>
      <w:r>
        <w:rPr>
          <w:rFonts w:hint="eastAsia" w:cs="Times New Roman"/>
          <w:color w:val="auto"/>
          <w:lang w:eastAsia="zh-CN"/>
        </w:rPr>
        <w:t>位于开江县永兴镇</w:t>
      </w:r>
      <w:r>
        <w:rPr>
          <w:rFonts w:hint="default" w:ascii="Times New Roman" w:hAnsi="Times New Roman" w:cs="Times New Roman"/>
          <w:color w:val="000000"/>
        </w:rPr>
        <w:t>，距离</w:t>
      </w:r>
      <w:r>
        <w:rPr>
          <w:rFonts w:hint="eastAsia" w:cs="Times New Roman"/>
          <w:color w:val="000000"/>
          <w:lang w:eastAsia="zh-CN"/>
        </w:rPr>
        <w:t>开江县</w:t>
      </w:r>
      <w:r>
        <w:rPr>
          <w:rFonts w:hint="default" w:ascii="Times New Roman" w:hAnsi="Times New Roman" w:cs="Times New Roman"/>
          <w:color w:val="000000"/>
        </w:rPr>
        <w:t>县城约</w:t>
      </w:r>
      <w:r>
        <w:rPr>
          <w:rFonts w:hint="eastAsia" w:cs="Times New Roman"/>
          <w:color w:val="000000"/>
          <w:lang w:val="en-US" w:eastAsia="zh-CN"/>
        </w:rPr>
        <w:t>7.5</w:t>
      </w:r>
      <w:r>
        <w:rPr>
          <w:rFonts w:hint="default" w:ascii="Times New Roman" w:hAnsi="Times New Roman" w:cs="Times New Roman"/>
          <w:color w:val="000000"/>
        </w:rPr>
        <w:t>km，为</w:t>
      </w:r>
      <w:r>
        <w:rPr>
          <w:rFonts w:hint="eastAsia" w:cs="Times New Roman"/>
          <w:color w:val="000000"/>
          <w:lang w:eastAsia="zh-CN"/>
        </w:rPr>
        <w:t>水库型</w:t>
      </w:r>
      <w:r>
        <w:rPr>
          <w:rFonts w:hint="default" w:ascii="Times New Roman" w:hAnsi="Times New Roman" w:cs="Times New Roman"/>
          <w:color w:val="000000"/>
        </w:rPr>
        <w:t>水源地，</w:t>
      </w:r>
      <w:r>
        <w:rPr>
          <w:rFonts w:hint="default" w:ascii="Times New Roman" w:hAnsi="Times New Roman" w:cs="Times New Roman"/>
        </w:rPr>
        <w:t>总库容量</w:t>
      </w:r>
      <w:r>
        <w:rPr>
          <w:rFonts w:hint="eastAsia" w:cs="Times New Roman"/>
          <w:lang w:val="en-US" w:eastAsia="zh-CN"/>
        </w:rPr>
        <w:t>103.33万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，有效库容</w:t>
      </w:r>
      <w:r>
        <w:rPr>
          <w:rFonts w:hint="eastAsia" w:cs="Times New Roman"/>
          <w:lang w:val="en-US" w:eastAsia="zh-CN"/>
        </w:rPr>
        <w:t>67.7</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color w:val="000000"/>
        </w:rPr>
        <w:t>，常年积水，水量较为充沛。水源地周围主要为山坡、灌木。</w:t>
      </w:r>
    </w:p>
    <w:p>
      <w:pPr>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rPr>
        <w:t>目前，根据现场勘察取水口附近</w:t>
      </w:r>
      <w:r>
        <w:rPr>
          <w:rFonts w:hint="eastAsia" w:cs="Times New Roman"/>
          <w:color w:val="000000"/>
          <w:lang w:eastAsia="zh-CN"/>
        </w:rPr>
        <w:t>主要的污染源为西侧的养殖场，以及居住的居民生活废水及农业面源。</w:t>
      </w:r>
    </w:p>
    <w:p>
      <w:pPr>
        <w:spacing w:line="360" w:lineRule="auto"/>
        <w:ind w:firstLine="480" w:firstLineChars="200"/>
        <w:jc w:val="left"/>
        <w:rPr>
          <w:rFonts w:hint="default" w:ascii="Times New Roman" w:hAnsi="Times New Roman" w:cs="Times New Roman"/>
          <w:color w:val="000000"/>
        </w:rPr>
      </w:pPr>
      <w:r>
        <w:rPr>
          <w:rFonts w:hint="default" w:ascii="Times New Roman" w:hAnsi="Times New Roman" w:cs="Times New Roman"/>
          <w:color w:val="000000"/>
        </w:rPr>
        <w:t>该处水源地水量较为充沛，因此在取水点</w:t>
      </w:r>
      <w:r>
        <w:rPr>
          <w:rFonts w:hint="eastAsia" w:cs="Times New Roman"/>
          <w:color w:val="000000"/>
          <w:lang w:eastAsia="zh-CN"/>
        </w:rPr>
        <w:t>处</w:t>
      </w:r>
      <w:r>
        <w:rPr>
          <w:rFonts w:hint="default" w:ascii="Times New Roman" w:hAnsi="Times New Roman" w:cs="Times New Roman"/>
          <w:color w:val="000000"/>
        </w:rPr>
        <w:t>处直接设置拦水坝，形成高位水池，再通过管道运输到</w:t>
      </w:r>
      <w:r>
        <w:rPr>
          <w:rFonts w:hint="eastAsia" w:ascii="Times New Roman" w:hAnsi="Times New Roman" w:cs="Times New Roman"/>
          <w:color w:val="000000"/>
          <w:lang w:eastAsia="zh-CN"/>
        </w:rPr>
        <w:t>水厂</w:t>
      </w:r>
      <w:r>
        <w:rPr>
          <w:rFonts w:hint="default" w:ascii="Times New Roman" w:hAnsi="Times New Roman" w:cs="Times New Roman"/>
          <w:color w:val="000000"/>
        </w:rPr>
        <w:t>，</w:t>
      </w:r>
      <w:r>
        <w:rPr>
          <w:rFonts w:hint="default" w:ascii="Times New Roman" w:hAnsi="Times New Roman" w:cs="Times New Roman"/>
          <w:color w:val="0000FF"/>
        </w:rPr>
        <w:t>引水管道长度约为</w:t>
      </w:r>
      <w:r>
        <w:rPr>
          <w:rFonts w:hint="eastAsia" w:cs="Times New Roman"/>
          <w:color w:val="0000FF"/>
          <w:lang w:val="en-US" w:eastAsia="zh-CN"/>
        </w:rPr>
        <w:t>16k</w:t>
      </w:r>
      <w:r>
        <w:rPr>
          <w:rFonts w:hint="default" w:ascii="Times New Roman" w:hAnsi="Times New Roman" w:cs="Times New Roman"/>
          <w:color w:val="0000FF"/>
        </w:rPr>
        <w:t>m。</w:t>
      </w:r>
    </w:p>
    <w:p>
      <w:pPr>
        <w:autoSpaceDE w:val="0"/>
        <w:autoSpaceDN w:val="0"/>
        <w:adjustRightInd w:val="0"/>
        <w:spacing w:line="360" w:lineRule="auto"/>
        <w:outlineLvl w:val="2"/>
        <w:rPr>
          <w:b/>
          <w:color w:val="auto"/>
          <w:kern w:val="0"/>
          <w:sz w:val="24"/>
          <w:szCs w:val="24"/>
        </w:rPr>
      </w:pPr>
      <w:bookmarkStart w:id="36" w:name="_Toc28595"/>
      <w:bookmarkStart w:id="37" w:name="_Toc17093"/>
      <w:r>
        <w:rPr>
          <w:b/>
          <w:color w:val="auto"/>
          <w:kern w:val="0"/>
          <w:sz w:val="24"/>
          <w:szCs w:val="24"/>
        </w:rPr>
        <w:t xml:space="preserve">2.2.2  </w:t>
      </w:r>
      <w:r>
        <w:rPr>
          <w:rFonts w:hint="eastAsia"/>
          <w:b/>
          <w:color w:val="auto"/>
          <w:kern w:val="0"/>
          <w:sz w:val="24"/>
          <w:szCs w:val="24"/>
        </w:rPr>
        <w:t>水源地存在问题及整改措施</w:t>
      </w:r>
      <w:bookmarkEnd w:id="36"/>
      <w:bookmarkEnd w:id="37"/>
    </w:p>
    <w:p>
      <w:pPr>
        <w:spacing w:line="520" w:lineRule="exact"/>
        <w:ind w:firstLine="456" w:firstLineChars="200"/>
        <w:rPr>
          <w:rFonts w:hint="eastAsia"/>
          <w:color w:val="auto"/>
          <w:spacing w:val="-6"/>
          <w:sz w:val="24"/>
          <w:szCs w:val="24"/>
        </w:rPr>
      </w:pPr>
      <w:r>
        <w:rPr>
          <w:color w:val="auto"/>
          <w:spacing w:val="-6"/>
          <w:sz w:val="24"/>
          <w:szCs w:val="24"/>
        </w:rPr>
        <w:t>201</w:t>
      </w:r>
      <w:r>
        <w:rPr>
          <w:rFonts w:hint="eastAsia"/>
          <w:color w:val="auto"/>
          <w:spacing w:val="-6"/>
          <w:sz w:val="24"/>
          <w:szCs w:val="24"/>
          <w:lang w:val="en-US" w:eastAsia="zh-CN"/>
        </w:rPr>
        <w:t>8</w:t>
      </w:r>
      <w:r>
        <w:rPr>
          <w:rFonts w:hint="eastAsia"/>
          <w:color w:val="auto"/>
          <w:spacing w:val="-6"/>
          <w:sz w:val="24"/>
          <w:szCs w:val="24"/>
        </w:rPr>
        <w:t>年</w:t>
      </w:r>
      <w:r>
        <w:rPr>
          <w:rFonts w:hint="eastAsia"/>
          <w:color w:val="auto"/>
          <w:spacing w:val="-6"/>
          <w:sz w:val="24"/>
          <w:szCs w:val="24"/>
          <w:lang w:val="en-US" w:eastAsia="zh-CN"/>
        </w:rPr>
        <w:t>4</w:t>
      </w:r>
      <w:r>
        <w:rPr>
          <w:rFonts w:hint="eastAsia"/>
          <w:color w:val="auto"/>
          <w:spacing w:val="-6"/>
          <w:sz w:val="24"/>
          <w:szCs w:val="24"/>
        </w:rPr>
        <w:t>月，我司派相关专业技术人员对集中式饮用水源地进行了现场踏勘</w:t>
      </w:r>
      <w:r>
        <w:rPr>
          <w:rFonts w:hint="eastAsia"/>
          <w:color w:val="auto"/>
          <w:spacing w:val="-6"/>
          <w:sz w:val="24"/>
          <w:szCs w:val="24"/>
          <w:lang w:eastAsia="zh-CN"/>
        </w:rPr>
        <w:t>。</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该水源地</w:t>
      </w:r>
      <w:r>
        <w:rPr>
          <w:rFonts w:hint="eastAsia" w:ascii="宋体" w:hAnsi="宋体" w:eastAsia="宋体" w:cs="宋体"/>
          <w:color w:val="auto"/>
          <w:sz w:val="24"/>
          <w:szCs w:val="24"/>
          <w:lang w:eastAsia="zh-CN"/>
        </w:rPr>
        <w:t>目前未设置饮用水源保护区，若设置为备用水源后，将需要设置饮用水源一级、二级保护区，并修建</w:t>
      </w:r>
      <w:r>
        <w:rPr>
          <w:rFonts w:hint="eastAsia" w:ascii="宋体" w:hAnsi="宋体" w:eastAsia="宋体" w:cs="宋体"/>
          <w:color w:val="auto"/>
          <w:sz w:val="24"/>
          <w:szCs w:val="24"/>
        </w:rPr>
        <w:t>相关保护措施及标识标牌</w:t>
      </w:r>
      <w:r>
        <w:rPr>
          <w:rFonts w:hint="eastAsia" w:ascii="宋体" w:hAnsi="宋体" w:eastAsia="宋体" w:cs="宋体"/>
          <w:color w:val="auto"/>
          <w:sz w:val="24"/>
          <w:szCs w:val="24"/>
          <w:lang w:eastAsia="zh-CN"/>
        </w:rPr>
        <w:t>。另外，取水口西侧有两户集中式养殖户，主要为养猪场，在一级保护区范围内存在农业面源污染及居民生活废水污染的风险，需要对其进行拆除。具体的情况见下图所示：</w:t>
      </w:r>
    </w:p>
    <w:p>
      <w:pPr>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drawing>
          <wp:inline distT="0" distB="0" distL="114300" distR="114300">
            <wp:extent cx="2579370" cy="2070100"/>
            <wp:effectExtent l="0" t="0" r="11430" b="6350"/>
            <wp:docPr id="21" name="图片 21" descr="95AAE5D9D7AE36FEFC953DEFCA1B58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95AAE5D9D7AE36FEFC953DEFCA1B58DB"/>
                    <pic:cNvPicPr>
                      <a:picLocks noChangeAspect="1"/>
                    </pic:cNvPicPr>
                  </pic:nvPicPr>
                  <pic:blipFill>
                    <a:blip r:embed="rId7"/>
                    <a:stretch>
                      <a:fillRect/>
                    </a:stretch>
                  </pic:blipFill>
                  <pic:spPr>
                    <a:xfrm>
                      <a:off x="0" y="0"/>
                      <a:ext cx="2579370" cy="2070100"/>
                    </a:xfrm>
                    <a:prstGeom prst="rect">
                      <a:avLst/>
                    </a:prstGeom>
                  </pic:spPr>
                </pic:pic>
              </a:graphicData>
            </a:graphic>
          </wp:inline>
        </w:drawing>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eastAsia="zh-CN"/>
        </w:rPr>
        <w:drawing>
          <wp:inline distT="0" distB="0" distL="114300" distR="114300">
            <wp:extent cx="2570480" cy="2047875"/>
            <wp:effectExtent l="0" t="0" r="1270" b="9525"/>
            <wp:docPr id="22" name="图片 22" descr="E20491BDCC02DB1785AC635397D44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20491BDCC02DB1785AC635397D4469D"/>
                    <pic:cNvPicPr>
                      <a:picLocks noChangeAspect="1"/>
                    </pic:cNvPicPr>
                  </pic:nvPicPr>
                  <pic:blipFill>
                    <a:blip r:embed="rId8"/>
                    <a:stretch>
                      <a:fillRect/>
                    </a:stretch>
                  </pic:blipFill>
                  <pic:spPr>
                    <a:xfrm>
                      <a:off x="0" y="0"/>
                      <a:ext cx="2570480" cy="2047875"/>
                    </a:xfrm>
                    <a:prstGeom prst="rect">
                      <a:avLst/>
                    </a:prstGeom>
                  </pic:spPr>
                </pic:pic>
              </a:graphicData>
            </a:graphic>
          </wp:inline>
        </w:drawing>
      </w:r>
    </w:p>
    <w:p>
      <w:pPr>
        <w:spacing w:line="360" w:lineRule="auto"/>
        <w:ind w:firstLine="1265" w:firstLineChars="600"/>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取水口西侧养猪场</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t>取水口北侧网箱养鱼</w:t>
      </w:r>
    </w:p>
    <w:p>
      <w:pPr>
        <w:spacing w:line="360" w:lineRule="auto"/>
        <w:rPr>
          <w:rFonts w:hint="eastAsia" w:ascii="宋体" w:hAnsi="宋体" w:eastAsia="宋体" w:cs="宋体"/>
          <w:color w:val="auto"/>
          <w:sz w:val="24"/>
          <w:szCs w:val="24"/>
        </w:rPr>
      </w:pPr>
      <w:r>
        <w:rPr>
          <w:rFonts w:hint="eastAsia" w:eastAsiaTheme="minorEastAsia"/>
          <w:color w:val="auto"/>
          <w:sz w:val="22"/>
          <w:szCs w:val="22"/>
          <w:lang w:eastAsia="zh-CN"/>
        </w:rPr>
        <w:drawing>
          <wp:inline distT="0" distB="0" distL="114300" distR="114300">
            <wp:extent cx="2588895" cy="1937385"/>
            <wp:effectExtent l="0" t="0" r="1905" b="5715"/>
            <wp:docPr id="23" name="图片 23" descr="65EA2F68B4288184C872B5B7ECDB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65EA2F68B4288184C872B5B7ECDB4209"/>
                    <pic:cNvPicPr>
                      <a:picLocks noChangeAspect="1"/>
                    </pic:cNvPicPr>
                  </pic:nvPicPr>
                  <pic:blipFill>
                    <a:blip r:embed="rId9"/>
                    <a:stretch>
                      <a:fillRect/>
                    </a:stretch>
                  </pic:blipFill>
                  <pic:spPr>
                    <a:xfrm>
                      <a:off x="0" y="0"/>
                      <a:ext cx="2588895" cy="1937385"/>
                    </a:xfrm>
                    <a:prstGeom prst="rect">
                      <a:avLst/>
                    </a:prstGeom>
                  </pic:spPr>
                </pic:pic>
              </a:graphicData>
            </a:graphic>
          </wp:inline>
        </w:drawing>
      </w:r>
      <w:r>
        <w:rPr>
          <w:rFonts w:hint="eastAsia" w:ascii="宋体" w:hAnsi="宋体" w:eastAsia="宋体" w:cs="宋体"/>
          <w:color w:val="auto"/>
          <w:sz w:val="24"/>
          <w:szCs w:val="24"/>
        </w:rPr>
        <w:drawing>
          <wp:inline distT="0" distB="0" distL="114300" distR="114300">
            <wp:extent cx="2621915" cy="1963420"/>
            <wp:effectExtent l="0" t="0" r="6985" b="17780"/>
            <wp:docPr id="24" name="图片 24" descr="DE42394B668114A8487C4BD356E3E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E42394B668114A8487C4BD356E3E074"/>
                    <pic:cNvPicPr>
                      <a:picLocks noChangeAspect="1"/>
                    </pic:cNvPicPr>
                  </pic:nvPicPr>
                  <pic:blipFill>
                    <a:blip r:embed="rId10"/>
                    <a:stretch>
                      <a:fillRect/>
                    </a:stretch>
                  </pic:blipFill>
                  <pic:spPr>
                    <a:xfrm>
                      <a:off x="0" y="0"/>
                      <a:ext cx="2621915" cy="1963420"/>
                    </a:xfrm>
                    <a:prstGeom prst="rect">
                      <a:avLst/>
                    </a:prstGeom>
                  </pic:spPr>
                </pic:pic>
              </a:graphicData>
            </a:graphic>
          </wp:inline>
        </w:drawing>
      </w:r>
    </w:p>
    <w:p>
      <w:pPr>
        <w:spacing w:line="360" w:lineRule="auto"/>
        <w:rPr>
          <w:rFonts w:hint="eastAsia" w:ascii="宋体" w:hAnsi="宋体" w:eastAsia="宋体" w:cs="宋体"/>
          <w:color w:val="auto"/>
          <w:sz w:val="24"/>
          <w:szCs w:val="24"/>
        </w:rPr>
      </w:pP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t>取水口大坝</w:t>
      </w:r>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t>取水口西北侧养猪场</w:t>
      </w:r>
    </w:p>
    <w:p>
      <w:pPr>
        <w:spacing w:line="360" w:lineRule="auto"/>
        <w:ind w:firstLine="480" w:firstLineChars="200"/>
        <w:rPr>
          <w:rFonts w:hint="eastAsia"/>
          <w:color w:val="auto"/>
          <w:sz w:val="22"/>
          <w:szCs w:val="22"/>
        </w:rPr>
      </w:pPr>
      <w:r>
        <w:rPr>
          <w:rFonts w:hint="eastAsia" w:ascii="宋体" w:hAnsi="宋体" w:eastAsia="宋体" w:cs="宋体"/>
          <w:color w:val="auto"/>
          <w:sz w:val="24"/>
          <w:szCs w:val="24"/>
        </w:rPr>
        <w:t>本报告的主要任务就是对水源地进行规划，并进行水源地保护区的划分，提出保护措施</w:t>
      </w:r>
      <w:r>
        <w:rPr>
          <w:rFonts w:hint="eastAsia"/>
          <w:color w:val="auto"/>
          <w:sz w:val="22"/>
          <w:szCs w:val="22"/>
        </w:rPr>
        <w:t>。</w:t>
      </w:r>
    </w:p>
    <w:p>
      <w:pPr>
        <w:spacing w:line="240" w:lineRule="auto"/>
        <w:ind w:firstLine="422" w:firstLineChars="200"/>
        <w:jc w:val="center"/>
        <w:rPr>
          <w:rFonts w:hint="eastAsia"/>
          <w:b/>
          <w:bCs/>
          <w:color w:val="auto"/>
          <w:spacing w:val="-6"/>
          <w:sz w:val="21"/>
          <w:szCs w:val="21"/>
        </w:rPr>
      </w:pPr>
      <w:r>
        <w:rPr>
          <w:rFonts w:hint="eastAsia"/>
          <w:b/>
          <w:bCs/>
          <w:color w:val="auto"/>
          <w:sz w:val="21"/>
          <w:szCs w:val="21"/>
        </w:rPr>
        <w:t>表</w:t>
      </w:r>
      <w:r>
        <w:rPr>
          <w:b/>
          <w:bCs/>
          <w:color w:val="auto"/>
          <w:sz w:val="21"/>
          <w:szCs w:val="21"/>
        </w:rPr>
        <w:t>2-1</w:t>
      </w:r>
      <w:r>
        <w:rPr>
          <w:rFonts w:hint="eastAsia"/>
          <w:b/>
          <w:bCs/>
          <w:color w:val="auto"/>
          <w:sz w:val="21"/>
          <w:szCs w:val="21"/>
          <w:lang w:eastAsia="zh-CN"/>
        </w:rPr>
        <w:t>开江县备用饮用水源</w:t>
      </w:r>
      <w:r>
        <w:rPr>
          <w:rFonts w:hint="eastAsia"/>
          <w:b/>
          <w:bCs/>
          <w:color w:val="auto"/>
          <w:sz w:val="21"/>
          <w:szCs w:val="21"/>
        </w:rPr>
        <w:t>地基本概况</w:t>
      </w:r>
    </w:p>
    <w:tbl>
      <w:tblPr>
        <w:tblStyle w:val="16"/>
        <w:tblW w:w="851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9"/>
        <w:gridCol w:w="639"/>
        <w:gridCol w:w="888"/>
        <w:gridCol w:w="889"/>
        <w:gridCol w:w="1104"/>
        <w:gridCol w:w="914"/>
        <w:gridCol w:w="1788"/>
        <w:gridCol w:w="19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80" w:hRule="atLeast"/>
          <w:jc w:val="center"/>
        </w:trPr>
        <w:tc>
          <w:tcPr>
            <w:tcW w:w="349"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序号</w:t>
            </w:r>
          </w:p>
        </w:tc>
        <w:tc>
          <w:tcPr>
            <w:tcW w:w="639"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乡镇</w:t>
            </w:r>
          </w:p>
        </w:tc>
        <w:tc>
          <w:tcPr>
            <w:tcW w:w="888"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水源地名称</w:t>
            </w:r>
          </w:p>
        </w:tc>
        <w:tc>
          <w:tcPr>
            <w:tcW w:w="889"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水源地类型</w:t>
            </w:r>
          </w:p>
        </w:tc>
        <w:tc>
          <w:tcPr>
            <w:tcW w:w="1104"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服务范围</w:t>
            </w:r>
          </w:p>
        </w:tc>
        <w:tc>
          <w:tcPr>
            <w:tcW w:w="914"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服务人口</w:t>
            </w:r>
          </w:p>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（人）</w:t>
            </w:r>
          </w:p>
        </w:tc>
        <w:tc>
          <w:tcPr>
            <w:tcW w:w="1788" w:type="dxa"/>
            <w:tcBorders>
              <w:tl2br w:val="nil"/>
              <w:tr2bl w:val="nil"/>
            </w:tcBorders>
            <w:vAlign w:val="center"/>
          </w:tcPr>
          <w:p>
            <w:pPr>
              <w:pStyle w:val="19"/>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经度</w:t>
            </w:r>
          </w:p>
        </w:tc>
        <w:tc>
          <w:tcPr>
            <w:tcW w:w="1945" w:type="dxa"/>
            <w:tcBorders>
              <w:tl2br w:val="nil"/>
              <w:tr2bl w:val="nil"/>
            </w:tcBorders>
            <w:vAlign w:val="center"/>
          </w:tcPr>
          <w:p>
            <w:pPr>
              <w:pStyle w:val="19"/>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纬度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36" w:hRule="atLeast"/>
          <w:jc w:val="center"/>
        </w:trPr>
        <w:tc>
          <w:tcPr>
            <w:tcW w:w="349" w:type="dxa"/>
            <w:tcBorders>
              <w:tl2br w:val="nil"/>
              <w:tr2bl w:val="nil"/>
            </w:tcBorders>
            <w:vAlign w:val="center"/>
          </w:tcPr>
          <w:p>
            <w:pPr>
              <w:pStyle w:val="19"/>
              <w:spacing w:line="240" w:lineRule="auto"/>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639" w:type="dxa"/>
            <w:tcBorders>
              <w:tl2br w:val="nil"/>
              <w:tr2bl w:val="nil"/>
            </w:tcBorders>
            <w:vAlign w:val="center"/>
          </w:tcPr>
          <w:p>
            <w:pPr>
              <w:pStyle w:val="19"/>
              <w:spacing w:line="240" w:lineRule="auto"/>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永兴镇</w:t>
            </w:r>
          </w:p>
        </w:tc>
        <w:tc>
          <w:tcPr>
            <w:tcW w:w="888" w:type="dxa"/>
            <w:tcBorders>
              <w:tl2br w:val="nil"/>
              <w:tr2bl w:val="nil"/>
            </w:tcBorders>
            <w:vAlign w:val="center"/>
          </w:tcPr>
          <w:p>
            <w:pPr>
              <w:pStyle w:val="19"/>
              <w:spacing w:line="240" w:lineRule="auto"/>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000000"/>
                <w:sz w:val="21"/>
                <w:szCs w:val="21"/>
                <w:lang w:eastAsia="zh-CN"/>
              </w:rPr>
              <w:t>老河堰</w:t>
            </w:r>
          </w:p>
        </w:tc>
        <w:tc>
          <w:tcPr>
            <w:tcW w:w="889" w:type="dxa"/>
            <w:tcBorders>
              <w:tl2br w:val="nil"/>
              <w:tr2bl w:val="nil"/>
            </w:tcBorders>
            <w:vAlign w:val="center"/>
          </w:tcPr>
          <w:p>
            <w:pPr>
              <w:pStyle w:val="19"/>
              <w:spacing w:line="240" w:lineRule="auto"/>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水库型</w:t>
            </w:r>
          </w:p>
        </w:tc>
        <w:tc>
          <w:tcPr>
            <w:tcW w:w="1104" w:type="dxa"/>
            <w:tcBorders>
              <w:tl2br w:val="nil"/>
              <w:tr2bl w:val="nil"/>
            </w:tcBorders>
            <w:vAlign w:val="center"/>
          </w:tcPr>
          <w:p>
            <w:pPr>
              <w:pStyle w:val="19"/>
              <w:spacing w:line="240" w:lineRule="auto"/>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开江县县城</w:t>
            </w:r>
          </w:p>
        </w:tc>
        <w:tc>
          <w:tcPr>
            <w:tcW w:w="914" w:type="dxa"/>
            <w:tcBorders>
              <w:tl2br w:val="nil"/>
              <w:tr2bl w:val="nil"/>
            </w:tcBorders>
            <w:vAlign w:val="center"/>
          </w:tcPr>
          <w:p>
            <w:pPr>
              <w:pStyle w:val="19"/>
              <w:spacing w:line="240" w:lineRule="auto"/>
              <w:jc w:val="center"/>
              <w:rPr>
                <w:rFonts w:hint="eastAsia" w:ascii="Times New Roman" w:hAnsi="Times New Roman" w:cs="Times New Roman" w:eastAsiaTheme="minorEastAsia"/>
                <w:color w:val="auto"/>
                <w:sz w:val="21"/>
                <w:szCs w:val="21"/>
                <w:lang w:val="en-US" w:eastAsia="zh-CN"/>
              </w:rPr>
            </w:pPr>
            <w:r>
              <w:rPr>
                <w:rFonts w:hint="eastAsia" w:ascii="Times New Roman" w:hAnsi="Times New Roman" w:cs="Times New Roman"/>
                <w:color w:val="auto"/>
                <w:sz w:val="21"/>
                <w:szCs w:val="21"/>
                <w:lang w:val="en-US" w:eastAsia="zh-CN"/>
              </w:rPr>
              <w:t>8万</w:t>
            </w:r>
          </w:p>
        </w:tc>
        <w:tc>
          <w:tcPr>
            <w:tcW w:w="1788"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color w:val="000000"/>
                <w:kern w:val="0"/>
                <w:sz w:val="21"/>
                <w:szCs w:val="21"/>
                <w:lang w:val="en-US" w:eastAsia="zh-CN" w:bidi="ar-SA"/>
              </w:rPr>
              <w:t>E107°54′27.75″</w:t>
            </w:r>
          </w:p>
        </w:tc>
        <w:tc>
          <w:tcPr>
            <w:tcW w:w="1945" w:type="dxa"/>
            <w:tcBorders>
              <w:tl2br w:val="nil"/>
              <w:tr2bl w:val="nil"/>
            </w:tcBorders>
            <w:vAlign w:val="center"/>
          </w:tcPr>
          <w:p>
            <w:pPr>
              <w:keepNext w:val="0"/>
              <w:keepLines w:val="0"/>
              <w:widowControl/>
              <w:suppressLineNumbers w:val="0"/>
              <w:spacing w:line="240" w:lineRule="auto"/>
              <w:jc w:val="center"/>
              <w:textAlignment w:val="center"/>
              <w:rPr>
                <w:rFonts w:hint="default" w:ascii="Times New Roman" w:hAnsi="Times New Roman" w:cs="Times New Roman" w:eastAsiaTheme="minorEastAsia"/>
                <w:color w:val="000000"/>
                <w:kern w:val="0"/>
                <w:sz w:val="21"/>
                <w:szCs w:val="21"/>
                <w:lang w:val="en-US" w:eastAsia="zh-CN" w:bidi="ar-SA"/>
              </w:rPr>
            </w:pPr>
            <w:r>
              <w:rPr>
                <w:rFonts w:hint="eastAsia" w:ascii="Times New Roman" w:hAnsi="Times New Roman" w:cs="Times New Roman" w:eastAsiaTheme="minorEastAsia"/>
                <w:color w:val="000000"/>
                <w:kern w:val="0"/>
                <w:sz w:val="21"/>
                <w:szCs w:val="21"/>
                <w:lang w:val="en-US" w:eastAsia="zh-CN" w:bidi="ar-SA"/>
              </w:rPr>
              <w:t>N31°09′21.42″</w:t>
            </w:r>
          </w:p>
        </w:tc>
      </w:tr>
    </w:tbl>
    <w:p>
      <w:pPr>
        <w:pStyle w:val="3"/>
        <w:spacing w:before="120" w:after="0" w:line="520" w:lineRule="exact"/>
        <w:rPr>
          <w:rFonts w:hint="default" w:ascii="Times New Roman" w:hAnsi="Times New Roman" w:eastAsia="宋体" w:cs="Times New Roman"/>
          <w:b/>
          <w:bCs w:val="0"/>
          <w:color w:val="auto"/>
          <w:kern w:val="0"/>
          <w:sz w:val="28"/>
          <w:szCs w:val="28"/>
        </w:rPr>
      </w:pPr>
      <w:bookmarkStart w:id="38" w:name="_Toc492740604"/>
      <w:bookmarkStart w:id="39" w:name="_Toc46"/>
      <w:r>
        <w:rPr>
          <w:rFonts w:hint="default" w:ascii="Times New Roman" w:hAnsi="Times New Roman" w:eastAsia="宋体" w:cs="Times New Roman"/>
          <w:b/>
          <w:bCs w:val="0"/>
          <w:color w:val="auto"/>
          <w:kern w:val="0"/>
          <w:sz w:val="28"/>
          <w:szCs w:val="28"/>
        </w:rPr>
        <w:t>2.3 水质状况</w:t>
      </w:r>
      <w:bookmarkEnd w:id="38"/>
      <w:bookmarkEnd w:id="39"/>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left"/>
        <w:textAlignment w:val="auto"/>
        <w:outlineLvl w:val="2"/>
        <w:rPr>
          <w:rFonts w:hint="default" w:ascii="Times New Roman" w:hAnsi="Times New Roman" w:cs="Times New Roman"/>
          <w:b/>
          <w:color w:val="auto"/>
          <w:kern w:val="0"/>
          <w:sz w:val="24"/>
          <w:szCs w:val="24"/>
        </w:rPr>
      </w:pPr>
      <w:bookmarkStart w:id="40" w:name="_Toc22212"/>
      <w:bookmarkStart w:id="41" w:name="_Toc9889"/>
      <w:r>
        <w:rPr>
          <w:rFonts w:hint="default" w:ascii="Times New Roman" w:hAnsi="Times New Roman" w:cs="Times New Roman"/>
          <w:b/>
          <w:color w:val="auto"/>
          <w:kern w:val="0"/>
          <w:sz w:val="24"/>
          <w:szCs w:val="24"/>
        </w:rPr>
        <w:t>2.3.1  评价方法</w:t>
      </w:r>
      <w:bookmarkEnd w:id="40"/>
      <w:bookmarkEnd w:id="41"/>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水源地以《地表水环境质量标准》（GB3838-2002</w:t>
      </w:r>
      <w:r>
        <w:rPr>
          <w:rFonts w:hint="default" w:ascii="Times New Roman" w:hAnsi="Times New Roman" w:cs="Times New Roman"/>
          <w:color w:val="auto"/>
          <w:spacing w:val="-6"/>
          <w:sz w:val="24"/>
          <w:szCs w:val="24"/>
          <w:highlight w:val="red"/>
        </w:rPr>
        <w:t>）</w:t>
      </w:r>
      <w:r>
        <w:rPr>
          <w:rFonts w:hint="default" w:ascii="Times New Roman" w:hAnsi="Times New Roman" w:cs="Times New Roman"/>
          <w:color w:val="auto"/>
          <w:spacing w:val="-6"/>
          <w:sz w:val="24"/>
          <w:szCs w:val="24"/>
          <w:highlight w:val="red"/>
        </w:rPr>
        <w:fldChar w:fldCharType="begin"/>
      </w:r>
      <w:r>
        <w:rPr>
          <w:rFonts w:hint="default" w:ascii="Times New Roman" w:hAnsi="Times New Roman" w:cs="Times New Roman"/>
          <w:color w:val="auto"/>
          <w:spacing w:val="-6"/>
          <w:sz w:val="24"/>
          <w:szCs w:val="24"/>
          <w:highlight w:val="red"/>
        </w:rPr>
        <w:instrText xml:space="preserve"> = 2 \* ROMAN \* MERGEFORMAT </w:instrText>
      </w:r>
      <w:r>
        <w:rPr>
          <w:rFonts w:hint="default" w:ascii="Times New Roman" w:hAnsi="Times New Roman" w:cs="Times New Roman"/>
          <w:color w:val="auto"/>
          <w:spacing w:val="-6"/>
          <w:sz w:val="24"/>
          <w:szCs w:val="24"/>
          <w:highlight w:val="red"/>
        </w:rPr>
        <w:fldChar w:fldCharType="separate"/>
      </w:r>
      <w:r>
        <w:rPr>
          <w:rFonts w:hint="default" w:ascii="Times New Roman" w:hAnsi="Times New Roman" w:cs="Times New Roman"/>
          <w:highlight w:val="red"/>
        </w:rPr>
        <w:t>II</w:t>
      </w:r>
      <w:r>
        <w:rPr>
          <w:rFonts w:hint="default" w:ascii="Times New Roman" w:hAnsi="Times New Roman" w:cs="Times New Roman"/>
          <w:color w:val="auto"/>
          <w:spacing w:val="-6"/>
          <w:sz w:val="24"/>
          <w:szCs w:val="24"/>
          <w:highlight w:val="red"/>
        </w:rPr>
        <w:fldChar w:fldCharType="end"/>
      </w:r>
      <w:r>
        <w:rPr>
          <w:rFonts w:hint="default" w:ascii="Times New Roman" w:hAnsi="Times New Roman" w:cs="Times New Roman"/>
          <w:color w:val="auto"/>
          <w:spacing w:val="-6"/>
          <w:sz w:val="24"/>
          <w:szCs w:val="24"/>
          <w:highlight w:val="red"/>
        </w:rPr>
        <w:t>类水</w:t>
      </w:r>
      <w:r>
        <w:rPr>
          <w:rFonts w:hint="default" w:ascii="Times New Roman" w:hAnsi="Times New Roman" w:cs="Times New Roman"/>
          <w:color w:val="auto"/>
          <w:spacing w:val="-6"/>
          <w:sz w:val="24"/>
          <w:szCs w:val="24"/>
        </w:rPr>
        <w:t>质指标为达标限值。采用单因子评价法对地下水水质状况进行评价，具体计算方法如下：</w:t>
      </w:r>
    </w:p>
    <w:p>
      <w:pPr>
        <w:spacing w:line="520" w:lineRule="exact"/>
        <w:ind w:firstLine="400"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z w:val="20"/>
          <w:szCs w:val="22"/>
        </w:rPr>
        <w:pict>
          <v:shape id="对象 25" o:spid="_x0000_s1026" o:spt="75" type="#_x0000_t75" style="position:absolute;left:0pt;margin-left:185.35pt;margin-top:10.7pt;height:36.95pt;width:46.05pt;mso-wrap-distance-bottom:0pt;mso-wrap-distance-left:9pt;mso-wrap-distance-right:9pt;mso-wrap-distance-top:0pt;z-index:251661312;mso-width-relative:page;mso-height-relative:page;" o:ole="t" filled="f" o:preferrelative="t" stroked="f" coordsize="21600,21600">
            <v:path/>
            <v:fill on="f" focussize="0,0"/>
            <v:stroke on="f"/>
            <v:imagedata r:id="rId12" o:title=""/>
            <o:lock v:ext="edit" aspectratio="t"/>
            <w10:wrap type="square"/>
          </v:shape>
          <o:OLEObject Type="Embed" ProgID="Equation.3" ShapeID="对象 25" DrawAspect="Content" ObjectID="_1468075725" r:id="rId11">
            <o:LockedField>false</o:LockedField>
          </o:OLEObject>
        </w:pict>
      </w:r>
    </w:p>
    <w:p>
      <w:pPr>
        <w:spacing w:line="520" w:lineRule="exact"/>
        <w:ind w:firstLine="456" w:firstLineChars="200"/>
        <w:rPr>
          <w:rFonts w:hint="default" w:ascii="Times New Roman" w:hAnsi="Times New Roman" w:cs="Times New Roman"/>
          <w:color w:val="auto"/>
          <w:spacing w:val="-6"/>
          <w:sz w:val="24"/>
          <w:szCs w:val="24"/>
        </w:rPr>
      </w:pP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式中：S</w:t>
      </w:r>
      <w:r>
        <w:rPr>
          <w:rFonts w:hint="default" w:ascii="Times New Roman" w:hAnsi="Times New Roman" w:cs="Times New Roman"/>
          <w:color w:val="auto"/>
          <w:spacing w:val="-6"/>
          <w:sz w:val="24"/>
          <w:szCs w:val="24"/>
          <w:vertAlign w:val="subscript"/>
        </w:rPr>
        <w:t>ij</w:t>
      </w:r>
      <w:r>
        <w:rPr>
          <w:rFonts w:hint="default" w:ascii="Times New Roman" w:hAnsi="Times New Roman" w:cs="Times New Roman"/>
          <w:color w:val="auto"/>
          <w:spacing w:val="-6"/>
          <w:sz w:val="24"/>
          <w:szCs w:val="24"/>
        </w:rPr>
        <w:t>——i污染物在监测点j的单因子指数；</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 xml:space="preserve">       C</w:t>
      </w:r>
      <w:r>
        <w:rPr>
          <w:rFonts w:hint="default" w:ascii="Times New Roman" w:hAnsi="Times New Roman" w:cs="Times New Roman"/>
          <w:color w:val="auto"/>
          <w:spacing w:val="-6"/>
          <w:sz w:val="24"/>
          <w:szCs w:val="24"/>
          <w:vertAlign w:val="subscript"/>
        </w:rPr>
        <w:t>ij</w:t>
      </w:r>
      <w:r>
        <w:rPr>
          <w:rFonts w:hint="default" w:ascii="Times New Roman" w:hAnsi="Times New Roman" w:cs="Times New Roman"/>
          <w:color w:val="auto"/>
          <w:spacing w:val="-6"/>
          <w:sz w:val="24"/>
          <w:szCs w:val="24"/>
        </w:rPr>
        <w:t>——i污染物在监测点j的地表水浓度值，（mg/L）；</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 xml:space="preserve">       C</w:t>
      </w:r>
      <w:r>
        <w:rPr>
          <w:rFonts w:hint="default" w:ascii="Times New Roman" w:hAnsi="Times New Roman" w:cs="Times New Roman"/>
          <w:color w:val="auto"/>
          <w:spacing w:val="-6"/>
          <w:sz w:val="24"/>
          <w:szCs w:val="24"/>
          <w:vertAlign w:val="subscript"/>
        </w:rPr>
        <w:t>si</w:t>
      </w:r>
      <w:r>
        <w:rPr>
          <w:rFonts w:hint="default" w:ascii="Times New Roman" w:hAnsi="Times New Roman" w:cs="Times New Roman"/>
          <w:color w:val="auto"/>
          <w:spacing w:val="-6"/>
          <w:sz w:val="24"/>
          <w:szCs w:val="24"/>
        </w:rPr>
        <w:t>——i污染物的地表水环境质量标准值，（mg/L）。</w:t>
      </w:r>
    </w:p>
    <w:p>
      <w:pPr>
        <w:spacing w:line="520" w:lineRule="exact"/>
        <w:ind w:firstLine="456"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4"/>
          <w:szCs w:val="24"/>
        </w:rPr>
        <w:t>pH的单因子指数公式：</w:t>
      </w:r>
    </w:p>
    <w:p>
      <w:pPr>
        <w:spacing w:line="520" w:lineRule="exact"/>
        <w:ind w:firstLine="5145" w:firstLineChars="2450"/>
        <w:rPr>
          <w:rFonts w:hint="default" w:ascii="Times New Roman" w:hAnsi="Times New Roman" w:cs="Times New Roman"/>
          <w:color w:val="auto"/>
          <w:spacing w:val="-6"/>
          <w:sz w:val="28"/>
          <w:szCs w:val="28"/>
        </w:rPr>
      </w:pPr>
      <w:r>
        <w:rPr>
          <w:rFonts w:hint="default" w:ascii="Times New Roman" w:hAnsi="Times New Roman" w:cs="Times New Roman"/>
          <w:color w:val="auto"/>
          <w:sz w:val="21"/>
        </w:rPr>
        <w:pict>
          <v:shape id="对象 22" o:spid="_x0000_s1027" o:spt="75" type="#_x0000_t75" style="position:absolute;left:0pt;margin-left:163.6pt;margin-top:1.95pt;height:34.35pt;width:87.05pt;z-index:251658240;mso-width-relative:page;mso-height-relative:page;" o:ole="t" filled="f" o:preferrelative="t" stroked="f" coordsize="21600,21600">
            <v:path/>
            <v:fill on="f" focussize="0,0"/>
            <v:stroke on="f"/>
            <v:imagedata r:id="rId14" o:title=""/>
            <o:lock v:ext="edit" aspectratio="t"/>
          </v:shape>
          <o:OLEObject Type="Embed" ProgID="Equation.3" ShapeID="对象 22" DrawAspect="Content" ObjectID="_1468075726" r:id="rId13">
            <o:LockedField>false</o:LockedField>
          </o:OLEObject>
        </w:pict>
      </w:r>
      <w:r>
        <w:rPr>
          <w:rFonts w:hint="default" w:ascii="Times New Roman" w:hAnsi="Times New Roman" w:cs="Times New Roman"/>
          <w:color w:val="auto"/>
          <w:spacing w:val="-6"/>
          <w:sz w:val="28"/>
          <w:szCs w:val="28"/>
        </w:rPr>
        <w:t xml:space="preserve">  (pH</w:t>
      </w:r>
      <w:r>
        <w:rPr>
          <w:rFonts w:hint="default" w:ascii="Times New Roman" w:hAnsi="Times New Roman" w:cs="Times New Roman"/>
          <w:color w:val="auto"/>
          <w:spacing w:val="-6"/>
          <w:sz w:val="28"/>
          <w:szCs w:val="28"/>
          <w:vertAlign w:val="subscript"/>
        </w:rPr>
        <w:t>j</w:t>
      </w:r>
      <w:r>
        <w:rPr>
          <w:rFonts w:hint="default" w:ascii="Times New Roman" w:hAnsi="Times New Roman" w:cs="Times New Roman"/>
          <w:color w:val="auto"/>
          <w:spacing w:val="-6"/>
          <w:sz w:val="28"/>
          <w:szCs w:val="28"/>
        </w:rPr>
        <w:t>≤7.0)</w:t>
      </w:r>
    </w:p>
    <w:p>
      <w:pPr>
        <w:spacing w:line="520" w:lineRule="exact"/>
        <w:ind w:firstLine="3885" w:firstLineChars="1850"/>
        <w:rPr>
          <w:rFonts w:hint="default" w:ascii="Times New Roman" w:hAnsi="Times New Roman" w:cs="Times New Roman"/>
          <w:color w:val="auto"/>
          <w:spacing w:val="-6"/>
          <w:sz w:val="28"/>
          <w:szCs w:val="28"/>
        </w:rPr>
      </w:pPr>
      <w:r>
        <w:rPr>
          <w:rFonts w:hint="default" w:ascii="Times New Roman" w:hAnsi="Times New Roman" w:cs="Times New Roman"/>
          <w:color w:val="auto"/>
          <w:sz w:val="21"/>
        </w:rPr>
        <w:pict>
          <v:shape id="对象 23" o:spid="_x0000_s1028" o:spt="75" type="#_x0000_t75" style="position:absolute;left:0pt;margin-left:163.6pt;margin-top:24pt;height:34.35pt;width:87.05pt;z-index:251659264;mso-width-relative:page;mso-height-relative:page;" o:ole="t" filled="f" o:preferrelative="t" stroked="f" coordsize="21600,21600">
            <v:path/>
            <v:fill on="f" focussize="0,0"/>
            <v:stroke on="f"/>
            <v:imagedata r:id="rId16" o:title=""/>
            <o:lock v:ext="edit" aspectratio="t"/>
          </v:shape>
          <o:OLEObject Type="Embed" ProgID="Equation.3" ShapeID="对象 23" DrawAspect="Content" ObjectID="_1468075727" r:id="rId15">
            <o:LockedField>false</o:LockedField>
          </o:OLEObject>
        </w:pict>
      </w:r>
    </w:p>
    <w:p>
      <w:pPr>
        <w:spacing w:line="520" w:lineRule="exact"/>
        <w:ind w:firstLine="536"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pacing w:val="-6"/>
          <w:sz w:val="28"/>
          <w:szCs w:val="28"/>
        </w:rPr>
        <w:t xml:space="preserve">                                      (pH</w:t>
      </w:r>
      <w:r>
        <w:rPr>
          <w:rFonts w:hint="default" w:ascii="Times New Roman" w:hAnsi="Times New Roman" w:cs="Times New Roman"/>
          <w:color w:val="auto"/>
          <w:spacing w:val="-6"/>
          <w:sz w:val="28"/>
          <w:szCs w:val="28"/>
          <w:vertAlign w:val="subscript"/>
        </w:rPr>
        <w:t>j</w:t>
      </w:r>
      <w:r>
        <w:rPr>
          <w:rFonts w:hint="default" w:ascii="Times New Roman" w:hAnsi="Times New Roman" w:cs="Times New Roman"/>
          <w:color w:val="auto"/>
          <w:spacing w:val="-6"/>
          <w:sz w:val="28"/>
          <w:szCs w:val="28"/>
        </w:rPr>
        <w:t>＞7.0)</w:t>
      </w:r>
    </w:p>
    <w:p>
      <w:pPr>
        <w:ind w:firstLine="376" w:firstLineChars="200"/>
        <w:rPr>
          <w:rFonts w:hint="default" w:ascii="Times New Roman" w:hAnsi="Times New Roman" w:cs="Times New Roman"/>
          <w:color w:val="auto"/>
          <w:spacing w:val="-6"/>
          <w:sz w:val="20"/>
          <w:szCs w:val="28"/>
        </w:rPr>
      </w:pP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式中：Pp</w:t>
      </w:r>
      <w:r>
        <w:rPr>
          <w:rFonts w:hint="default" w:ascii="Times New Roman" w:hAnsi="Times New Roman" w:cs="Times New Roman"/>
          <w:color w:val="auto"/>
          <w:spacing w:val="-6"/>
          <w:sz w:val="24"/>
          <w:szCs w:val="24"/>
          <w:vertAlign w:val="subscript"/>
        </w:rPr>
        <w:t>H</w:t>
      </w:r>
      <w:r>
        <w:rPr>
          <w:rFonts w:hint="default" w:ascii="Times New Roman" w:hAnsi="Times New Roman" w:cs="Times New Roman"/>
          <w:color w:val="auto"/>
          <w:spacing w:val="-6"/>
          <w:sz w:val="24"/>
          <w:szCs w:val="24"/>
        </w:rPr>
        <w:t>——pH值的单项指数；</w:t>
      </w:r>
    </w:p>
    <w:p>
      <w:pPr>
        <w:spacing w:line="520" w:lineRule="exact"/>
        <w:ind w:firstLine="1140" w:firstLineChars="5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pH</w:t>
      </w:r>
      <w:r>
        <w:rPr>
          <w:rFonts w:hint="default" w:ascii="Times New Roman" w:hAnsi="Times New Roman" w:cs="Times New Roman"/>
          <w:color w:val="auto"/>
          <w:spacing w:val="-6"/>
          <w:sz w:val="24"/>
          <w:szCs w:val="24"/>
          <w:vertAlign w:val="subscript"/>
        </w:rPr>
        <w:t>i</w:t>
      </w:r>
      <w:r>
        <w:rPr>
          <w:rFonts w:hint="default" w:ascii="Times New Roman" w:hAnsi="Times New Roman" w:cs="Times New Roman"/>
          <w:color w:val="auto"/>
          <w:spacing w:val="-6"/>
          <w:sz w:val="24"/>
          <w:szCs w:val="24"/>
        </w:rPr>
        <w:t>——点pH值监测值；</w:t>
      </w:r>
    </w:p>
    <w:p>
      <w:pPr>
        <w:spacing w:line="520" w:lineRule="exact"/>
        <w:ind w:firstLine="1140" w:firstLineChars="5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pH</w:t>
      </w:r>
      <w:r>
        <w:rPr>
          <w:rFonts w:hint="default" w:ascii="Times New Roman" w:hAnsi="Times New Roman" w:cs="Times New Roman"/>
          <w:color w:val="auto"/>
          <w:spacing w:val="-6"/>
          <w:sz w:val="24"/>
          <w:szCs w:val="24"/>
          <w:vertAlign w:val="subscript"/>
        </w:rPr>
        <w:t>su</w:t>
      </w:r>
      <w:r>
        <w:rPr>
          <w:rFonts w:hint="default" w:ascii="Times New Roman" w:hAnsi="Times New Roman" w:cs="Times New Roman"/>
          <w:color w:val="auto"/>
          <w:spacing w:val="-6"/>
          <w:sz w:val="24"/>
          <w:szCs w:val="24"/>
        </w:rPr>
        <w:t>——水质标准中pH值上限；</w:t>
      </w:r>
    </w:p>
    <w:p>
      <w:pPr>
        <w:spacing w:line="520" w:lineRule="exact"/>
        <w:ind w:firstLine="1140" w:firstLineChars="5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pH</w:t>
      </w:r>
      <w:r>
        <w:rPr>
          <w:rFonts w:hint="default" w:ascii="Times New Roman" w:hAnsi="Times New Roman" w:cs="Times New Roman"/>
          <w:color w:val="auto"/>
          <w:spacing w:val="-6"/>
          <w:sz w:val="24"/>
          <w:szCs w:val="24"/>
          <w:vertAlign w:val="subscript"/>
        </w:rPr>
        <w:t>sd</w:t>
      </w:r>
      <w:r>
        <w:rPr>
          <w:rFonts w:hint="default" w:ascii="Times New Roman" w:hAnsi="Times New Roman" w:cs="Times New Roman"/>
          <w:color w:val="auto"/>
          <w:spacing w:val="-6"/>
          <w:sz w:val="24"/>
          <w:szCs w:val="24"/>
        </w:rPr>
        <w:t>——水质标准中pH值下限。</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溶解氧的单因子指数模式为：</w:t>
      </w:r>
    </w:p>
    <w:p>
      <w:pPr>
        <w:spacing w:line="520" w:lineRule="exact"/>
        <w:ind w:firstLine="420" w:firstLineChars="200"/>
        <w:rPr>
          <w:rFonts w:hint="default" w:ascii="Times New Roman" w:hAnsi="Times New Roman" w:cs="Times New Roman"/>
          <w:color w:val="auto"/>
          <w:spacing w:val="-6"/>
          <w:sz w:val="28"/>
          <w:szCs w:val="28"/>
        </w:rPr>
      </w:pPr>
      <w:r>
        <w:rPr>
          <w:rFonts w:hint="default" w:ascii="Times New Roman" w:hAnsi="Times New Roman" w:cs="Times New Roman"/>
          <w:color w:val="auto"/>
          <w:sz w:val="21"/>
        </w:rPr>
        <w:pict>
          <v:shape id="对象 24" o:spid="_x0000_s1029" o:spt="75" type="#_x0000_t75" style="position:absolute;left:0pt;margin-left:171.1pt;margin-top:10.85pt;height:99.05pt;width:109.1pt;mso-wrap-distance-bottom:0pt;mso-wrap-distance-left:9pt;mso-wrap-distance-right:9pt;mso-wrap-distance-top:0pt;z-index:251660288;mso-width-relative:page;mso-height-relative:page;" o:ole="t" filled="f" o:preferrelative="t" stroked="f" coordsize="21600,21600">
            <v:path/>
            <v:fill on="f" focussize="0,0"/>
            <v:stroke on="f"/>
            <v:imagedata r:id="rId18" o:title=""/>
            <o:lock v:ext="edit" aspectratio="t"/>
            <w10:wrap type="square"/>
          </v:shape>
          <o:OLEObject Type="Embed" ProgID="Equation.3" ShapeID="对象 24" DrawAspect="Content" ObjectID="_1468075728" r:id="rId17">
            <o:LockedField>false</o:LockedField>
          </o:OLEObject>
        </w:pict>
      </w:r>
    </w:p>
    <w:p>
      <w:pPr>
        <w:spacing w:line="520" w:lineRule="exact"/>
        <w:ind w:firstLine="536" w:firstLineChars="200"/>
        <w:rPr>
          <w:rFonts w:hint="default" w:ascii="Times New Roman" w:hAnsi="Times New Roman" w:cs="Times New Roman"/>
          <w:color w:val="auto"/>
          <w:spacing w:val="-6"/>
          <w:sz w:val="28"/>
          <w:szCs w:val="28"/>
        </w:rPr>
      </w:pPr>
    </w:p>
    <w:p>
      <w:pPr>
        <w:spacing w:line="520" w:lineRule="exact"/>
        <w:ind w:firstLine="536" w:firstLineChars="200"/>
        <w:rPr>
          <w:rFonts w:hint="default" w:ascii="Times New Roman" w:hAnsi="Times New Roman" w:cs="Times New Roman"/>
          <w:color w:val="auto"/>
          <w:spacing w:val="-6"/>
          <w:sz w:val="28"/>
          <w:szCs w:val="28"/>
        </w:rPr>
      </w:pPr>
    </w:p>
    <w:p>
      <w:pPr>
        <w:spacing w:line="520" w:lineRule="exact"/>
        <w:ind w:firstLine="536" w:firstLineChars="200"/>
        <w:rPr>
          <w:rFonts w:hint="default" w:ascii="Times New Roman" w:hAnsi="Times New Roman" w:cs="Times New Roman"/>
          <w:color w:val="auto"/>
          <w:spacing w:val="-6"/>
          <w:sz w:val="28"/>
          <w:szCs w:val="28"/>
        </w:rPr>
      </w:pPr>
    </w:p>
    <w:p>
      <w:pPr>
        <w:spacing w:line="520" w:lineRule="exact"/>
        <w:rPr>
          <w:rFonts w:hint="default" w:ascii="Times New Roman" w:hAnsi="Times New Roman" w:cs="Times New Roman"/>
          <w:color w:val="auto"/>
          <w:spacing w:val="-6"/>
          <w:sz w:val="28"/>
          <w:szCs w:val="28"/>
        </w:rPr>
      </w:pPr>
    </w:p>
    <w:p>
      <w:pPr>
        <w:spacing w:line="520" w:lineRule="exact"/>
        <w:ind w:firstLine="228" w:firstLineChars="1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式中： DO</w:t>
      </w:r>
      <w:r>
        <w:rPr>
          <w:rFonts w:hint="default" w:ascii="Times New Roman" w:hAnsi="Times New Roman" w:cs="Times New Roman"/>
          <w:color w:val="auto"/>
          <w:spacing w:val="-6"/>
          <w:sz w:val="24"/>
          <w:szCs w:val="24"/>
          <w:vertAlign w:val="subscript"/>
        </w:rPr>
        <w:t>f</w:t>
      </w:r>
      <w:r>
        <w:rPr>
          <w:rFonts w:hint="default" w:ascii="Times New Roman" w:hAnsi="Times New Roman" w:cs="Times New Roman"/>
          <w:color w:val="auto"/>
          <w:spacing w:val="-6"/>
          <w:sz w:val="24"/>
          <w:szCs w:val="24"/>
        </w:rPr>
        <w:t>——某水温、气压下河水中的溶解氧饱和值，（mg/L）；</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 xml:space="preserve">        DO</w:t>
      </w:r>
      <w:r>
        <w:rPr>
          <w:rFonts w:hint="default" w:ascii="Times New Roman" w:hAnsi="Times New Roman" w:cs="Times New Roman"/>
          <w:color w:val="auto"/>
          <w:spacing w:val="-6"/>
          <w:sz w:val="24"/>
          <w:szCs w:val="24"/>
          <w:vertAlign w:val="subscript"/>
        </w:rPr>
        <w:t>j</w:t>
      </w:r>
      <w:r>
        <w:rPr>
          <w:rFonts w:hint="default" w:ascii="Times New Roman" w:hAnsi="Times New Roman" w:cs="Times New Roman"/>
          <w:color w:val="auto"/>
          <w:spacing w:val="-6"/>
          <w:sz w:val="24"/>
          <w:szCs w:val="24"/>
        </w:rPr>
        <w:t>——监测点j的溶解氧浓度，（mg/L）；</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 xml:space="preserve">        DO</w:t>
      </w:r>
      <w:r>
        <w:rPr>
          <w:rFonts w:hint="default" w:ascii="Times New Roman" w:hAnsi="Times New Roman" w:cs="Times New Roman"/>
          <w:color w:val="auto"/>
          <w:spacing w:val="-6"/>
          <w:sz w:val="24"/>
          <w:szCs w:val="24"/>
          <w:vertAlign w:val="subscript"/>
        </w:rPr>
        <w:t>s</w:t>
      </w:r>
      <w:r>
        <w:rPr>
          <w:rFonts w:hint="default" w:ascii="Times New Roman" w:hAnsi="Times New Roman" w:cs="Times New Roman"/>
          <w:color w:val="auto"/>
          <w:spacing w:val="-6"/>
          <w:sz w:val="24"/>
          <w:szCs w:val="24"/>
        </w:rPr>
        <w:t>——溶解氧的地表水水质标准，（mg/L）；</w:t>
      </w:r>
    </w:p>
    <w:p>
      <w:pPr>
        <w:spacing w:line="520" w:lineRule="exact"/>
        <w:ind w:firstLine="456" w:firstLineChars="200"/>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 xml:space="preserve">        T——水温（℃）。</w:t>
      </w:r>
    </w:p>
    <w:p>
      <w:pPr>
        <w:autoSpaceDE w:val="0"/>
        <w:autoSpaceDN w:val="0"/>
        <w:adjustRightInd w:val="0"/>
        <w:spacing w:line="360" w:lineRule="auto"/>
        <w:outlineLvl w:val="2"/>
        <w:rPr>
          <w:rFonts w:hint="default" w:ascii="Times New Roman" w:hAnsi="Times New Roman" w:cs="Times New Roman"/>
          <w:b/>
          <w:color w:val="auto"/>
          <w:kern w:val="0"/>
          <w:sz w:val="24"/>
          <w:szCs w:val="24"/>
        </w:rPr>
      </w:pPr>
      <w:bookmarkStart w:id="42" w:name="_Toc31428"/>
      <w:bookmarkStart w:id="43" w:name="_Toc18885"/>
      <w:r>
        <w:rPr>
          <w:rFonts w:hint="default" w:ascii="Times New Roman" w:hAnsi="Times New Roman" w:cs="Times New Roman"/>
          <w:b/>
          <w:color w:val="auto"/>
          <w:kern w:val="0"/>
          <w:sz w:val="24"/>
          <w:szCs w:val="24"/>
        </w:rPr>
        <w:t>2.3.2  监测点位及评价指标</w:t>
      </w:r>
      <w:bookmarkEnd w:id="42"/>
      <w:bookmarkEnd w:id="43"/>
    </w:p>
    <w:p>
      <w:pPr>
        <w:spacing w:line="360" w:lineRule="auto"/>
        <w:ind w:firstLine="482" w:firstLineChars="200"/>
        <w:rPr>
          <w:rFonts w:hint="default" w:ascii="Times New Roman" w:hAnsi="Times New Roman" w:cs="Times New Roman"/>
          <w:color w:val="auto"/>
          <w:spacing w:val="-6"/>
          <w:sz w:val="24"/>
          <w:szCs w:val="24"/>
        </w:rPr>
      </w:pPr>
      <w:r>
        <w:rPr>
          <w:rFonts w:hint="default" w:ascii="Times New Roman" w:hAnsi="Times New Roman" w:cs="Times New Roman"/>
          <w:b/>
          <w:color w:val="auto"/>
          <w:kern w:val="0"/>
          <w:sz w:val="24"/>
          <w:szCs w:val="24"/>
        </w:rPr>
        <w:t>监测点位：</w:t>
      </w:r>
      <w:r>
        <w:rPr>
          <w:rFonts w:hint="default" w:ascii="Times New Roman" w:hAnsi="Times New Roman" w:cs="Times New Roman"/>
          <w:color w:val="auto"/>
          <w:spacing w:val="-6"/>
          <w:sz w:val="24"/>
          <w:szCs w:val="24"/>
        </w:rPr>
        <w:t>本次水质评价选取监测点位水源地共1个饮用水水源地取水口，水质监测数据为201</w:t>
      </w:r>
      <w:r>
        <w:rPr>
          <w:rFonts w:hint="default" w:ascii="Times New Roman" w:hAnsi="Times New Roman" w:cs="Times New Roman"/>
          <w:color w:val="auto"/>
          <w:spacing w:val="-6"/>
          <w:sz w:val="24"/>
          <w:szCs w:val="24"/>
          <w:lang w:val="en-US" w:eastAsia="zh-CN"/>
        </w:rPr>
        <w:t>8</w:t>
      </w:r>
      <w:r>
        <w:rPr>
          <w:rFonts w:hint="default" w:ascii="Times New Roman" w:hAnsi="Times New Roman" w:cs="Times New Roman"/>
          <w:color w:val="auto"/>
          <w:spacing w:val="-6"/>
          <w:sz w:val="24"/>
          <w:szCs w:val="24"/>
        </w:rPr>
        <w:t>年</w:t>
      </w:r>
      <w:r>
        <w:rPr>
          <w:rFonts w:hint="default" w:ascii="Times New Roman" w:hAnsi="Times New Roman" w:cs="Times New Roman"/>
          <w:color w:val="auto"/>
          <w:spacing w:val="-6"/>
          <w:sz w:val="24"/>
          <w:szCs w:val="24"/>
          <w:lang w:val="en-US" w:eastAsia="zh-CN"/>
        </w:rPr>
        <w:t>5</w:t>
      </w:r>
      <w:r>
        <w:rPr>
          <w:rFonts w:hint="default" w:ascii="Times New Roman" w:hAnsi="Times New Roman" w:cs="Times New Roman"/>
          <w:color w:val="auto"/>
          <w:spacing w:val="-6"/>
          <w:sz w:val="24"/>
          <w:szCs w:val="24"/>
        </w:rPr>
        <w:t>月数据。</w:t>
      </w:r>
    </w:p>
    <w:p>
      <w:pPr>
        <w:spacing w:line="360" w:lineRule="auto"/>
        <w:ind w:firstLine="482" w:firstLineChars="200"/>
        <w:rPr>
          <w:rFonts w:hint="default" w:ascii="Times New Roman" w:hAnsi="Times New Roman" w:cs="Times New Roman"/>
          <w:color w:val="auto"/>
          <w:kern w:val="0"/>
          <w:sz w:val="24"/>
          <w:szCs w:val="24"/>
        </w:rPr>
      </w:pPr>
      <w:r>
        <w:rPr>
          <w:rFonts w:hint="default" w:ascii="Times New Roman" w:hAnsi="Times New Roman" w:cs="Times New Roman"/>
          <w:b/>
          <w:color w:val="auto"/>
          <w:kern w:val="0"/>
          <w:sz w:val="24"/>
          <w:szCs w:val="24"/>
        </w:rPr>
        <w:t>评价指标：</w:t>
      </w:r>
      <w:r>
        <w:rPr>
          <w:rFonts w:hint="default" w:ascii="Times New Roman" w:hAnsi="Times New Roman" w:cs="Times New Roman"/>
          <w:color w:val="auto"/>
          <w:kern w:val="0"/>
          <w:sz w:val="24"/>
          <w:szCs w:val="24"/>
        </w:rPr>
        <w:t>水源地水质评价指标为《地表水质量标准》（GB3838-2002）中的水温，pH，硫酸盐，氯化物，铁，锰，铜，锌，挥发酚，阴离子表面活性剂，高锰酸盐指数，硝酸盐，亚硝酸盐，氨氮，氟化物，氰化物，汞，砷，硒，镉，铬，铅，总大肠菌群等共计109项。</w:t>
      </w:r>
    </w:p>
    <w:p>
      <w:pPr>
        <w:autoSpaceDE w:val="0"/>
        <w:autoSpaceDN w:val="0"/>
        <w:adjustRightInd w:val="0"/>
        <w:spacing w:line="360" w:lineRule="auto"/>
        <w:outlineLvl w:val="2"/>
        <w:rPr>
          <w:rFonts w:hint="default" w:ascii="Times New Roman" w:hAnsi="Times New Roman" w:cs="Times New Roman"/>
          <w:b/>
          <w:color w:val="auto"/>
          <w:kern w:val="0"/>
          <w:sz w:val="24"/>
          <w:szCs w:val="24"/>
        </w:rPr>
      </w:pPr>
      <w:bookmarkStart w:id="44" w:name="_Toc25320"/>
      <w:bookmarkStart w:id="45" w:name="_Toc31352"/>
      <w:r>
        <w:rPr>
          <w:rFonts w:hint="default" w:ascii="Times New Roman" w:hAnsi="Times New Roman" w:cs="Times New Roman"/>
          <w:b/>
          <w:color w:val="auto"/>
          <w:kern w:val="0"/>
          <w:sz w:val="24"/>
          <w:szCs w:val="24"/>
        </w:rPr>
        <w:t>2.3.3  水质现状</w:t>
      </w:r>
      <w:bookmarkEnd w:id="44"/>
      <w:bookmarkEnd w:id="4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56" w:firstLineChars="200"/>
        <w:jc w:val="left"/>
        <w:textAlignment w:val="auto"/>
        <w:outlineLvl w:val="9"/>
        <w:rPr>
          <w:rFonts w:hint="default" w:ascii="Times New Roman" w:hAnsi="Times New Roman" w:cs="Times New Roman"/>
          <w:color w:val="auto"/>
          <w:spacing w:val="-6"/>
          <w:sz w:val="24"/>
          <w:szCs w:val="24"/>
          <w:highlight w:val="red"/>
        </w:rPr>
      </w:pPr>
      <w:r>
        <w:rPr>
          <w:rFonts w:hint="default" w:ascii="Times New Roman" w:hAnsi="Times New Roman" w:cs="Times New Roman"/>
          <w:color w:val="auto"/>
          <w:spacing w:val="-6"/>
          <w:sz w:val="24"/>
          <w:szCs w:val="24"/>
          <w:highlight w:val="red"/>
        </w:rPr>
        <w:t>根据201</w:t>
      </w:r>
      <w:r>
        <w:rPr>
          <w:rFonts w:hint="default" w:ascii="Times New Roman" w:hAnsi="Times New Roman" w:cs="Times New Roman"/>
          <w:color w:val="auto"/>
          <w:spacing w:val="-6"/>
          <w:sz w:val="24"/>
          <w:szCs w:val="24"/>
          <w:highlight w:val="red"/>
          <w:lang w:val="en-US" w:eastAsia="zh-CN"/>
        </w:rPr>
        <w:t>8</w:t>
      </w:r>
      <w:r>
        <w:rPr>
          <w:rFonts w:hint="default" w:ascii="Times New Roman" w:hAnsi="Times New Roman" w:cs="Times New Roman"/>
          <w:color w:val="auto"/>
          <w:spacing w:val="-6"/>
          <w:sz w:val="24"/>
          <w:szCs w:val="24"/>
          <w:highlight w:val="red"/>
        </w:rPr>
        <w:t>年</w:t>
      </w:r>
      <w:r>
        <w:rPr>
          <w:rFonts w:hint="default" w:ascii="Times New Roman" w:hAnsi="Times New Roman" w:cs="Times New Roman"/>
          <w:color w:val="auto"/>
          <w:spacing w:val="-6"/>
          <w:sz w:val="24"/>
          <w:szCs w:val="24"/>
          <w:highlight w:val="red"/>
          <w:lang w:val="en-US" w:eastAsia="zh-CN"/>
        </w:rPr>
        <w:t>5</w:t>
      </w:r>
      <w:r>
        <w:rPr>
          <w:rFonts w:hint="default" w:ascii="Times New Roman" w:hAnsi="Times New Roman" w:cs="Times New Roman"/>
          <w:color w:val="auto"/>
          <w:spacing w:val="-6"/>
          <w:sz w:val="24"/>
          <w:szCs w:val="24"/>
          <w:highlight w:val="red"/>
        </w:rPr>
        <w:t>月</w:t>
      </w:r>
      <w:r>
        <w:rPr>
          <w:rFonts w:hint="eastAsia" w:cs="Times New Roman"/>
          <w:color w:val="auto"/>
          <w:spacing w:val="-6"/>
          <w:sz w:val="24"/>
          <w:szCs w:val="24"/>
          <w:highlight w:val="red"/>
          <w:lang w:eastAsia="zh-CN"/>
        </w:rPr>
        <w:t>老河堰</w:t>
      </w:r>
      <w:r>
        <w:rPr>
          <w:rFonts w:hint="default" w:ascii="Times New Roman" w:hAnsi="Times New Roman" w:cs="Times New Roman"/>
          <w:color w:val="auto"/>
          <w:spacing w:val="-6"/>
          <w:sz w:val="24"/>
          <w:szCs w:val="24"/>
          <w:highlight w:val="red"/>
          <w:lang w:eastAsia="zh-CN"/>
        </w:rPr>
        <w:t>水库</w:t>
      </w:r>
      <w:r>
        <w:rPr>
          <w:rFonts w:hint="default" w:ascii="Times New Roman" w:hAnsi="Times New Roman" w:cs="Times New Roman"/>
          <w:color w:val="auto"/>
          <w:spacing w:val="-6"/>
          <w:sz w:val="24"/>
          <w:szCs w:val="24"/>
          <w:highlight w:val="red"/>
        </w:rPr>
        <w:t>取水口水质分析结果：</w:t>
      </w:r>
      <w:r>
        <w:rPr>
          <w:rFonts w:hint="default" w:ascii="Times New Roman" w:hAnsi="Times New Roman" w:cs="Times New Roman"/>
          <w:color w:val="auto"/>
          <w:sz w:val="24"/>
          <w:szCs w:val="24"/>
          <w:highlight w:val="red"/>
        </w:rPr>
        <w:t>本次</w:t>
      </w:r>
      <w:r>
        <w:rPr>
          <w:rFonts w:hint="default" w:ascii="Times New Roman" w:hAnsi="Times New Roman" w:cs="Times New Roman"/>
          <w:color w:val="auto"/>
          <w:kern w:val="0"/>
          <w:sz w:val="24"/>
          <w:szCs w:val="24"/>
          <w:highlight w:val="red"/>
          <w:lang w:eastAsia="zh-CN"/>
        </w:rPr>
        <w:t>开江县</w:t>
      </w:r>
      <w:r>
        <w:rPr>
          <w:rFonts w:hint="eastAsia" w:cs="Times New Roman"/>
          <w:color w:val="auto"/>
          <w:kern w:val="0"/>
          <w:sz w:val="24"/>
          <w:szCs w:val="24"/>
          <w:highlight w:val="red"/>
          <w:lang w:eastAsia="zh-CN"/>
        </w:rPr>
        <w:t>老河堰</w:t>
      </w:r>
      <w:r>
        <w:rPr>
          <w:rFonts w:hint="default" w:ascii="Times New Roman" w:hAnsi="Times New Roman" w:cs="Times New Roman"/>
          <w:color w:val="auto"/>
          <w:kern w:val="0"/>
          <w:sz w:val="24"/>
          <w:szCs w:val="24"/>
          <w:highlight w:val="red"/>
          <w:lang w:eastAsia="zh-CN"/>
        </w:rPr>
        <w:t>水库</w:t>
      </w:r>
      <w:r>
        <w:rPr>
          <w:rFonts w:hint="default" w:ascii="Times New Roman" w:hAnsi="Times New Roman" w:cs="Times New Roman"/>
          <w:color w:val="auto"/>
          <w:sz w:val="24"/>
          <w:szCs w:val="24"/>
          <w:highlight w:val="red"/>
        </w:rPr>
        <w:t>的监测项目</w:t>
      </w:r>
      <w:r>
        <w:rPr>
          <w:rFonts w:hint="default" w:ascii="Times New Roman" w:hAnsi="Times New Roman" w:cs="Times New Roman"/>
          <w:color w:val="auto"/>
          <w:sz w:val="24"/>
          <w:szCs w:val="24"/>
          <w:highlight w:val="red"/>
          <w:lang w:eastAsia="zh-CN"/>
        </w:rPr>
        <w:t>溶解氧和总氮为</w:t>
      </w:r>
      <w:r>
        <w:rPr>
          <w:rFonts w:hint="default" w:ascii="Times New Roman" w:hAnsi="Times New Roman" w:cs="Times New Roman"/>
          <w:color w:val="auto"/>
          <w:sz w:val="24"/>
          <w:szCs w:val="24"/>
          <w:highlight w:val="red"/>
        </w:rPr>
        <w:t>Ⅱ类标准</w:t>
      </w:r>
      <w:r>
        <w:rPr>
          <w:rFonts w:hint="default" w:ascii="Times New Roman" w:hAnsi="Times New Roman" w:cs="Times New Roman"/>
          <w:color w:val="auto"/>
          <w:sz w:val="24"/>
          <w:szCs w:val="24"/>
          <w:highlight w:val="red"/>
          <w:lang w:eastAsia="zh-CN"/>
        </w:rPr>
        <w:t>，其余各指标均能达标或者达到</w:t>
      </w:r>
      <w:r>
        <w:rPr>
          <w:rFonts w:hint="default" w:ascii="Times New Roman" w:hAnsi="Times New Roman" w:cs="Times New Roman"/>
          <w:b w:val="0"/>
          <w:bCs/>
          <w:color w:val="auto"/>
          <w:kern w:val="0"/>
          <w:sz w:val="24"/>
          <w:szCs w:val="24"/>
          <w:highlight w:val="red"/>
          <w:lang w:val="en-US" w:eastAsia="zh-CN"/>
        </w:rPr>
        <w:t>III</w:t>
      </w:r>
      <w:r>
        <w:rPr>
          <w:rFonts w:hint="default" w:ascii="Times New Roman" w:hAnsi="Times New Roman" w:cs="Times New Roman"/>
          <w:color w:val="auto"/>
          <w:sz w:val="24"/>
          <w:szCs w:val="24"/>
          <w:highlight w:val="red"/>
        </w:rPr>
        <w:t>类标准。</w:t>
      </w:r>
      <w:r>
        <w:rPr>
          <w:rFonts w:hint="default" w:ascii="Times New Roman" w:hAnsi="Times New Roman" w:cs="Times New Roman"/>
          <w:color w:val="auto"/>
          <w:sz w:val="24"/>
          <w:szCs w:val="24"/>
          <w:highlight w:val="red"/>
          <w:lang w:eastAsia="zh-CN"/>
        </w:rPr>
        <w:t>同时开江县疾控中心证明：</w:t>
      </w:r>
      <w:r>
        <w:rPr>
          <w:rFonts w:hint="eastAsia" w:cs="Times New Roman"/>
          <w:color w:val="auto"/>
          <w:sz w:val="24"/>
          <w:szCs w:val="24"/>
          <w:highlight w:val="red"/>
          <w:lang w:eastAsia="zh-CN"/>
        </w:rPr>
        <w:t>老河堰</w:t>
      </w:r>
      <w:r>
        <w:rPr>
          <w:rFonts w:hint="default" w:ascii="Times New Roman" w:hAnsi="Times New Roman" w:cs="Times New Roman"/>
          <w:color w:val="auto"/>
          <w:sz w:val="24"/>
          <w:szCs w:val="24"/>
          <w:highlight w:val="red"/>
          <w:lang w:eastAsia="zh-CN"/>
        </w:rPr>
        <w:t>水库流域各村都无与水源有关的地方病史。因此</w:t>
      </w:r>
      <w:r>
        <w:rPr>
          <w:rFonts w:hint="eastAsia" w:cs="Times New Roman"/>
          <w:color w:val="auto"/>
          <w:sz w:val="24"/>
          <w:szCs w:val="24"/>
          <w:highlight w:val="red"/>
          <w:lang w:eastAsia="zh-CN"/>
        </w:rPr>
        <w:t>老河堰</w:t>
      </w:r>
      <w:r>
        <w:rPr>
          <w:rFonts w:hint="default" w:ascii="Times New Roman" w:hAnsi="Times New Roman" w:cs="Times New Roman"/>
          <w:color w:val="auto"/>
          <w:sz w:val="24"/>
          <w:szCs w:val="24"/>
          <w:highlight w:val="red"/>
          <w:lang w:eastAsia="zh-CN"/>
        </w:rPr>
        <w:t>水库</w:t>
      </w:r>
      <w:r>
        <w:rPr>
          <w:rFonts w:hint="default" w:ascii="Times New Roman" w:hAnsi="Times New Roman" w:cs="Times New Roman"/>
          <w:color w:val="auto"/>
          <w:spacing w:val="-6"/>
          <w:sz w:val="24"/>
          <w:szCs w:val="24"/>
          <w:highlight w:val="red"/>
        </w:rPr>
        <w:t>水质状况良好。水质评价结果详见附表1。</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val="0"/>
          <w:color w:val="auto"/>
          <w:kern w:val="0"/>
          <w:sz w:val="28"/>
          <w:szCs w:val="28"/>
        </w:rPr>
        <w:t>2.</w:t>
      </w:r>
      <w:r>
        <w:rPr>
          <w:rFonts w:hint="default" w:ascii="Times New Roman" w:hAnsi="Times New Roman" w:eastAsia="宋体" w:cs="Times New Roman"/>
          <w:b/>
          <w:bCs w:val="0"/>
          <w:color w:val="auto"/>
          <w:kern w:val="0"/>
          <w:sz w:val="28"/>
          <w:szCs w:val="28"/>
          <w:lang w:val="en-US" w:eastAsia="zh-CN"/>
        </w:rPr>
        <w:t>4</w:t>
      </w:r>
      <w:r>
        <w:rPr>
          <w:rFonts w:hint="default" w:ascii="Times New Roman" w:hAnsi="Times New Roman" w:eastAsia="宋体" w:cs="Times New Roman"/>
          <w:b/>
          <w:bCs w:val="0"/>
          <w:color w:val="auto"/>
          <w:kern w:val="0"/>
          <w:sz w:val="28"/>
          <w:szCs w:val="28"/>
        </w:rPr>
        <w:t xml:space="preserve"> </w:t>
      </w:r>
      <w:r>
        <w:rPr>
          <w:rFonts w:hint="default" w:ascii="Times New Roman" w:hAnsi="Times New Roman" w:eastAsia="宋体" w:cs="Times New Roman"/>
          <w:b/>
          <w:bCs w:val="0"/>
          <w:color w:val="auto"/>
          <w:kern w:val="0"/>
          <w:sz w:val="28"/>
          <w:szCs w:val="28"/>
          <w:lang w:eastAsia="zh-CN"/>
        </w:rPr>
        <w:t>现有水厂净化工艺</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56" w:firstLineChars="200"/>
        <w:jc w:val="left"/>
        <w:textAlignment w:val="auto"/>
        <w:outlineLvl w:val="9"/>
        <w:rPr>
          <w:rFonts w:hint="default" w:ascii="Times New Roman" w:hAnsi="Times New Roman" w:cs="Times New Roman"/>
          <w:color w:val="auto"/>
          <w:spacing w:val="-6"/>
          <w:sz w:val="24"/>
          <w:szCs w:val="24"/>
          <w:lang w:val="en-US" w:eastAsia="zh-CN"/>
        </w:rPr>
      </w:pPr>
      <w:r>
        <w:rPr>
          <w:rFonts w:hint="eastAsia" w:cs="Times New Roman"/>
          <w:color w:val="auto"/>
          <w:spacing w:val="-6"/>
          <w:sz w:val="24"/>
          <w:szCs w:val="24"/>
          <w:lang w:val="en-US" w:eastAsia="zh-CN"/>
        </w:rPr>
        <w:t>开江县县城自来水主要靠开江县自来水有限责任公司供给，该公司位于开江县新宁镇淙城街222号，设计日处理处理为3万吨，主要为开江县县城及普安镇提供生产、生活用水服务，总服务人口为8万人，其中开江县大约7万人，普安镇大约1万人左右。取水方式采用重力流取水，取水管网为玻钢管、球磨管，管网内径为600mm，管网长度为3.3km。</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56" w:firstLineChars="200"/>
        <w:jc w:val="left"/>
        <w:textAlignment w:val="auto"/>
        <w:outlineLvl w:val="9"/>
        <w:rPr>
          <w:rFonts w:hint="default" w:ascii="Times New Roman" w:hAnsi="Times New Roman" w:cs="Times New Roman"/>
          <w:color w:val="auto"/>
          <w:spacing w:val="-6"/>
          <w:sz w:val="24"/>
          <w:szCs w:val="24"/>
          <w:lang w:val="en-US" w:eastAsia="zh-CN"/>
        </w:rPr>
      </w:pPr>
      <w:r>
        <w:rPr>
          <w:rFonts w:hint="default" w:ascii="Times New Roman" w:hAnsi="Times New Roman" w:cs="Times New Roman"/>
          <w:color w:val="auto"/>
          <w:spacing w:val="-6"/>
          <w:sz w:val="24"/>
          <w:szCs w:val="24"/>
          <w:lang w:val="en-US" w:eastAsia="zh-CN"/>
        </w:rPr>
        <w:t>现有水厂的净水工艺为：原水—管道静态混合—栅条絮凝—斜管沉淀—滤池—紫外线消毒—清水池（次氯酸钠消毒）—重力供水。该工艺为净水处理的常规工艺，技术成熟可靠，管理维护方便。工艺流程如下图所述：</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ascii="Times New Roman" w:hAnsi="Times New Roman" w:cs="Times New Roman"/>
          <w:color w:val="auto"/>
          <w:spacing w:val="-6"/>
          <w:sz w:val="24"/>
          <w:szCs w:val="24"/>
          <w:lang w:val="en-US" w:eastAsia="zh-CN"/>
        </w:rPr>
      </w:pPr>
      <w:r>
        <w:rPr>
          <w:rFonts w:hint="default" w:ascii="Times New Roman" w:hAnsi="Times New Roman" w:cs="Times New Roman"/>
          <w:color w:val="auto"/>
          <w:spacing w:val="-6"/>
          <w:sz w:val="24"/>
          <w:szCs w:val="24"/>
          <w:lang w:val="en-US" w:eastAsia="zh-CN"/>
        </w:rPr>
        <w:object>
          <v:shape id="_x0000_i1025" o:spt="75" type="#_x0000_t75" style="height:111.05pt;width:410.2pt;" o:ole="t" filled="f" o:preferrelative="t" stroked="f" coordsize="21600,21600">
            <v:path/>
            <v:fill on="f" focussize="0,0"/>
            <v:stroke on="f"/>
            <v:imagedata r:id="rId20" o:title=""/>
            <o:lock v:ext="edit" aspectratio="f"/>
            <w10:wrap type="none"/>
            <w10:anchorlock/>
          </v:shape>
          <o:OLEObject Type="Embed" ProgID="Visio.Drawing.11" ShapeID="_x0000_i1025" DrawAspect="Content" ObjectID="_1468075729" r:id="rId19">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color w:val="auto"/>
          <w:spacing w:val="-6"/>
          <w:sz w:val="21"/>
          <w:szCs w:val="21"/>
          <w:lang w:val="en-US" w:eastAsia="zh-CN"/>
        </w:rPr>
      </w:pPr>
      <w:r>
        <w:rPr>
          <w:rFonts w:hint="default" w:ascii="Times New Roman" w:hAnsi="Times New Roman" w:cs="Times New Roman"/>
          <w:b/>
          <w:bCs/>
          <w:color w:val="auto"/>
          <w:spacing w:val="-6"/>
          <w:sz w:val="21"/>
          <w:szCs w:val="21"/>
          <w:lang w:val="en-US" w:eastAsia="zh-CN"/>
        </w:rPr>
        <w:t>图2-1  水厂净水工艺流程图</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eastAsia="宋体" w:cs="Times New Roman"/>
          <w:color w:val="auto"/>
          <w:spacing w:val="-6"/>
          <w:sz w:val="24"/>
          <w:szCs w:val="24"/>
          <w:lang w:val="en-US" w:eastAsia="zh-CN"/>
        </w:rPr>
      </w:pPr>
      <w:r>
        <w:rPr>
          <w:rFonts w:hint="default" w:ascii="Times New Roman" w:hAnsi="Times New Roman" w:eastAsia="宋体" w:cs="Times New Roman"/>
          <w:b/>
          <w:bCs w:val="0"/>
          <w:color w:val="auto"/>
          <w:kern w:val="0"/>
          <w:sz w:val="28"/>
          <w:szCs w:val="28"/>
        </w:rPr>
        <w:t>2.</w:t>
      </w:r>
      <w:r>
        <w:rPr>
          <w:rFonts w:hint="eastAsia" w:ascii="Times New Roman" w:hAnsi="Times New Roman" w:eastAsia="宋体" w:cs="Times New Roman"/>
          <w:b/>
          <w:bCs w:val="0"/>
          <w:color w:val="auto"/>
          <w:kern w:val="0"/>
          <w:sz w:val="28"/>
          <w:szCs w:val="28"/>
          <w:lang w:val="en-US" w:eastAsia="zh-CN"/>
        </w:rPr>
        <w:t>5</w:t>
      </w:r>
      <w:r>
        <w:rPr>
          <w:rFonts w:hint="default" w:ascii="Times New Roman" w:hAnsi="Times New Roman" w:eastAsia="宋体" w:cs="Times New Roman"/>
          <w:b/>
          <w:bCs w:val="0"/>
          <w:color w:val="auto"/>
          <w:kern w:val="0"/>
          <w:sz w:val="28"/>
          <w:szCs w:val="28"/>
        </w:rPr>
        <w:t xml:space="preserve"> </w:t>
      </w:r>
      <w:r>
        <w:rPr>
          <w:rFonts w:hint="eastAsia" w:ascii="Times New Roman" w:hAnsi="Times New Roman" w:eastAsia="宋体" w:cs="Times New Roman"/>
          <w:b/>
          <w:bCs w:val="0"/>
          <w:color w:val="auto"/>
          <w:kern w:val="0"/>
          <w:sz w:val="28"/>
          <w:szCs w:val="28"/>
          <w:lang w:eastAsia="zh-CN"/>
        </w:rPr>
        <w:t>供水状况及规划</w:t>
      </w:r>
    </w:p>
    <w:p>
      <w:pPr>
        <w:spacing w:line="360" w:lineRule="auto"/>
        <w:ind w:firstLine="482" w:firstLineChars="200"/>
        <w:rPr>
          <w:b/>
          <w:bCs/>
          <w:sz w:val="24"/>
          <w:szCs w:val="24"/>
        </w:rPr>
      </w:pPr>
      <w:r>
        <w:rPr>
          <w:b/>
          <w:bCs/>
          <w:sz w:val="24"/>
          <w:szCs w:val="24"/>
        </w:rPr>
        <w:t>1</w:t>
      </w:r>
      <w:r>
        <w:rPr>
          <w:rFonts w:hint="eastAsia"/>
          <w:b/>
          <w:bCs/>
          <w:sz w:val="24"/>
          <w:szCs w:val="24"/>
        </w:rPr>
        <w:t>、</w:t>
      </w:r>
      <w:r>
        <w:rPr>
          <w:rFonts w:hint="eastAsia"/>
          <w:b/>
          <w:bCs/>
          <w:sz w:val="24"/>
          <w:szCs w:val="24"/>
          <w:lang w:eastAsia="zh-CN"/>
        </w:rPr>
        <w:t>供</w:t>
      </w:r>
      <w:r>
        <w:rPr>
          <w:rFonts w:hint="eastAsia"/>
          <w:b/>
          <w:bCs/>
          <w:sz w:val="24"/>
          <w:szCs w:val="24"/>
        </w:rPr>
        <w:t>水现状</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56" w:firstLineChars="200"/>
        <w:jc w:val="left"/>
        <w:textAlignment w:val="auto"/>
        <w:outlineLvl w:val="9"/>
        <w:rPr>
          <w:rFonts w:hint="eastAsia"/>
        </w:rPr>
      </w:pPr>
      <w:r>
        <w:rPr>
          <w:rFonts w:hint="eastAsia" w:cs="Times New Roman"/>
          <w:color w:val="auto"/>
          <w:spacing w:val="-6"/>
          <w:sz w:val="24"/>
          <w:szCs w:val="24"/>
          <w:lang w:val="en-US" w:eastAsia="zh-CN"/>
        </w:rPr>
        <w:t>开江县县城居民供水现状由开江县自来水有限责任公司承担，设计日处理处理为3万吨，总服务人口为8万人，其中开江县大约7万人，普安镇大约1万人左右。取水方式采用重力流取水，取水管网为玻钢管、球磨管，管网内径为600mm，管网长度为3.3km。采用</w:t>
      </w:r>
      <w:r>
        <w:rPr>
          <w:rFonts w:hint="default" w:ascii="Times New Roman" w:hAnsi="Times New Roman" w:cs="Times New Roman"/>
          <w:color w:val="auto"/>
          <w:spacing w:val="-6"/>
          <w:sz w:val="24"/>
          <w:szCs w:val="24"/>
          <w:lang w:val="en-US" w:eastAsia="zh-CN"/>
        </w:rPr>
        <w:t>原水—管道静态混合—栅条絮凝—斜管沉淀—滤池—紫外线消毒—清水池（次氯酸钠消毒）—重力供水</w:t>
      </w:r>
      <w:r>
        <w:rPr>
          <w:rFonts w:hint="eastAsia" w:cs="Times New Roman"/>
          <w:color w:val="auto"/>
          <w:spacing w:val="-6"/>
          <w:sz w:val="24"/>
          <w:szCs w:val="24"/>
          <w:lang w:val="en-US" w:eastAsia="zh-CN"/>
        </w:rPr>
        <w:t>的工艺。</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eastAsia" w:ascii="Times New Roman" w:hAnsi="Times New Roman" w:eastAsia="宋体" w:cs="Times New Roman"/>
          <w:b/>
          <w:bCs w:val="0"/>
          <w:color w:val="auto"/>
          <w:kern w:val="0"/>
          <w:sz w:val="28"/>
          <w:szCs w:val="28"/>
          <w:lang w:eastAsia="zh-CN"/>
        </w:rPr>
      </w:pPr>
      <w:r>
        <w:rPr>
          <w:rFonts w:hint="default" w:ascii="Times New Roman" w:hAnsi="Times New Roman" w:eastAsia="宋体" w:cs="Times New Roman"/>
          <w:b/>
          <w:bCs w:val="0"/>
          <w:color w:val="auto"/>
          <w:kern w:val="0"/>
          <w:sz w:val="28"/>
          <w:szCs w:val="28"/>
        </w:rPr>
        <w:t>2.</w:t>
      </w:r>
      <w:r>
        <w:rPr>
          <w:rFonts w:hint="eastAsia" w:ascii="Times New Roman" w:hAnsi="Times New Roman" w:eastAsia="宋体" w:cs="Times New Roman"/>
          <w:b/>
          <w:bCs w:val="0"/>
          <w:color w:val="auto"/>
          <w:kern w:val="0"/>
          <w:sz w:val="28"/>
          <w:szCs w:val="28"/>
          <w:lang w:val="en-US" w:eastAsia="zh-CN"/>
        </w:rPr>
        <w:t>6</w:t>
      </w:r>
      <w:r>
        <w:rPr>
          <w:rFonts w:hint="default" w:ascii="Times New Roman" w:hAnsi="Times New Roman" w:eastAsia="宋体" w:cs="Times New Roman"/>
          <w:b/>
          <w:bCs w:val="0"/>
          <w:color w:val="auto"/>
          <w:kern w:val="0"/>
          <w:sz w:val="28"/>
          <w:szCs w:val="28"/>
        </w:rPr>
        <w:t xml:space="preserve"> </w:t>
      </w:r>
      <w:r>
        <w:rPr>
          <w:rFonts w:hint="eastAsia" w:ascii="Times New Roman" w:hAnsi="Times New Roman" w:eastAsia="宋体" w:cs="Times New Roman"/>
          <w:b/>
          <w:bCs w:val="0"/>
          <w:color w:val="auto"/>
          <w:kern w:val="0"/>
          <w:sz w:val="28"/>
          <w:szCs w:val="28"/>
          <w:lang w:eastAsia="zh-CN"/>
        </w:rPr>
        <w:t>排水状况</w:t>
      </w:r>
    </w:p>
    <w:p>
      <w:pPr>
        <w:autoSpaceDE w:val="0"/>
        <w:autoSpaceDN w:val="0"/>
        <w:adjustRightInd w:val="0"/>
        <w:snapToGrid w:val="0"/>
        <w:spacing w:line="360" w:lineRule="auto"/>
        <w:ind w:firstLine="480" w:firstLineChars="200"/>
        <w:rPr>
          <w:rFonts w:hint="eastAsia" w:eastAsiaTheme="minorEastAsia"/>
          <w:lang w:eastAsia="zh-CN"/>
        </w:rPr>
      </w:pPr>
      <w:r>
        <w:rPr>
          <w:rFonts w:hint="eastAsia" w:ascii="宋体" w:hAnsi="宋体" w:cs="宋体"/>
          <w:szCs w:val="21"/>
        </w:rPr>
        <w:t>现状排水体制主要为雨污合流制，</w:t>
      </w:r>
      <w:r>
        <w:rPr>
          <w:rFonts w:hint="eastAsia" w:ascii="宋体" w:hAnsi="宋体" w:cs="宋体"/>
          <w:szCs w:val="21"/>
          <w:lang w:eastAsia="zh-CN"/>
        </w:rPr>
        <w:t>目前所在乡镇无集中式污水处理设施。</w:t>
      </w:r>
      <w:r>
        <w:rPr>
          <w:rFonts w:hint="eastAsia" w:ascii="宋体" w:hAnsi="宋体"/>
          <w:szCs w:val="21"/>
        </w:rPr>
        <w:t>其污水主要是生活污水，</w:t>
      </w:r>
      <w:r>
        <w:rPr>
          <w:rFonts w:hint="eastAsia" w:ascii="宋体" w:hAnsi="宋体" w:cs="宋体"/>
          <w:szCs w:val="21"/>
        </w:rPr>
        <w:t>各行政村的居民点无完善的排水系统，</w:t>
      </w:r>
      <w:r>
        <w:rPr>
          <w:rFonts w:hint="eastAsia" w:ascii="宋体" w:hAnsi="宋体" w:cs="宋体"/>
          <w:szCs w:val="21"/>
          <w:lang w:eastAsia="zh-CN"/>
        </w:rPr>
        <w:t>部分生活污水经过旱厕处理后用于农林灌溉，部分生活污水排至小沟中。</w:t>
      </w:r>
    </w:p>
    <w:p>
      <w:pPr>
        <w:keepNext w:val="0"/>
        <w:keepLines w:val="0"/>
        <w:pageBreakBefore w:val="0"/>
        <w:widowControl w:val="0"/>
        <w:kinsoku/>
        <w:wordWrap/>
        <w:overflowPunct/>
        <w:topLinePunct w:val="0"/>
        <w:autoSpaceDE/>
        <w:autoSpaceDN/>
        <w:bidi w:val="0"/>
        <w:adjustRightInd/>
        <w:snapToGrid/>
        <w:spacing w:line="360" w:lineRule="auto"/>
        <w:ind w:right="0" w:rightChars="0"/>
        <w:jc w:val="left"/>
        <w:textAlignment w:val="auto"/>
        <w:outlineLvl w:val="9"/>
        <w:rPr>
          <w:rFonts w:hint="default" w:cs="Times New Roman"/>
          <w:b/>
          <w:bCs/>
          <w:color w:val="auto"/>
          <w:spacing w:val="-6"/>
          <w:sz w:val="21"/>
          <w:szCs w:val="21"/>
          <w:lang w:val="en-US" w:eastAsia="zh-CN"/>
        </w:rPr>
      </w:pPr>
    </w:p>
    <w:p>
      <w:pPr>
        <w:pStyle w:val="2"/>
        <w:jc w:val="center"/>
        <w:rPr>
          <w:rFonts w:hint="default" w:ascii="Times New Roman" w:hAnsi="Times New Roman" w:cs="Times New Roman"/>
          <w:color w:val="auto"/>
        </w:rPr>
      </w:pPr>
      <w:bookmarkStart w:id="46" w:name="_Toc1648"/>
      <w:bookmarkStart w:id="47" w:name="_Toc32186"/>
      <w:r>
        <w:rPr>
          <w:rFonts w:hint="default" w:ascii="Times New Roman" w:hAnsi="Times New Roman" w:cs="Times New Roman"/>
          <w:color w:val="auto"/>
        </w:rPr>
        <w:br w:type="page"/>
      </w:r>
    </w:p>
    <w:p>
      <w:pPr>
        <w:pStyle w:val="2"/>
        <w:jc w:val="center"/>
        <w:rPr>
          <w:rFonts w:hint="default" w:ascii="Times New Roman" w:hAnsi="Times New Roman" w:cs="Times New Roman"/>
          <w:color w:val="auto"/>
        </w:rPr>
      </w:pPr>
      <w:r>
        <w:rPr>
          <w:rFonts w:hint="default" w:ascii="Times New Roman" w:hAnsi="Times New Roman" w:cs="Times New Roman"/>
          <w:color w:val="auto"/>
        </w:rPr>
        <w:t>3 饮用水水源保护区背景分析</w:t>
      </w:r>
      <w:bookmarkEnd w:id="46"/>
      <w:bookmarkEnd w:id="47"/>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color w:val="auto"/>
        </w:rPr>
      </w:pPr>
      <w:bookmarkStart w:id="48" w:name="_Toc1158"/>
      <w:bookmarkStart w:id="49" w:name="_Toc23578"/>
      <w:r>
        <w:rPr>
          <w:rFonts w:hint="default" w:ascii="Times New Roman" w:hAnsi="Times New Roman" w:cs="Times New Roman"/>
          <w:color w:val="auto"/>
        </w:rPr>
        <w:t>3.1饮用水水源地保护区所在区域的自然状况</w:t>
      </w:r>
      <w:bookmarkEnd w:id="48"/>
      <w:bookmarkEnd w:id="49"/>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rPr>
          <w:rFonts w:hint="default" w:ascii="Times New Roman" w:hAnsi="Times New Roman" w:cs="Times New Roman"/>
          <w:color w:val="auto"/>
        </w:rPr>
      </w:pPr>
      <w:bookmarkStart w:id="50" w:name="_Toc3211"/>
      <w:bookmarkStart w:id="51" w:name="_Toc20375"/>
      <w:bookmarkStart w:id="52" w:name="_Toc5578"/>
      <w:r>
        <w:rPr>
          <w:rFonts w:hint="default" w:ascii="Times New Roman" w:hAnsi="Times New Roman" w:cs="Times New Roman"/>
          <w:color w:val="auto"/>
        </w:rPr>
        <w:t>3.1.1地理位置</w:t>
      </w:r>
      <w:bookmarkEnd w:id="50"/>
      <w:bookmarkEnd w:id="51"/>
      <w:bookmarkEnd w:id="52"/>
    </w:p>
    <w:p>
      <w:pPr>
        <w:spacing w:line="360" w:lineRule="auto"/>
        <w:ind w:firstLine="480" w:firstLineChars="200"/>
        <w:rPr>
          <w:rFonts w:hint="default" w:ascii="Times New Roman" w:hAnsi="Times New Roman" w:cs="Times New Roman"/>
          <w:color w:val="000000"/>
          <w:lang w:eastAsia="zh-CN"/>
        </w:rPr>
      </w:pPr>
      <w:r>
        <w:rPr>
          <w:rFonts w:hint="eastAsia" w:cs="Times New Roman"/>
          <w:color w:val="000000"/>
          <w:lang w:eastAsia="zh-CN"/>
        </w:rPr>
        <w:t>（一）开江县</w:t>
      </w:r>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开江县，隶属于四川省达州市，地处四川省东部，达州地区东南端，</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"http://baike.baidu.com/view/43698.htm" \t "_blank"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大巴山</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南麓，位于渠江支流明月江的两大源头</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"http://baike.baidu.com/view/7724592.htm" \t "_blank"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白岩河</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、新宁河流经之地。东连</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"http://baike.baidu.com/view/2470.htm" \t "_blank"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开县</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，南临梁平，西接</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"http://baike.baidu.com/view/341499.htm" \t "_blank"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达县</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北依宣汉。县域介于东经107°42′至108°05′、北纬30°47′至31°15′之间。东西宽36.5千米，南北长51.5千米。开江县全境幅员面积1032.55平方千米，截至2013年，开江县辖10镇10乡，194个行政村，21个社区居委会、1512个村民组。</w:t>
      </w:r>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10个镇:</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"https://baike.so.com/doc/5364184-8707475.html"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新宁镇</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"https://baike.so.com/doc/5842927-6055762.html"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普安镇</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"https://baike.so.com/doc/6883435-7100926.html"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任市镇</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、回龙镇、</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"https://baike.so.com/doc/7656098-7930193.html"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天师镇</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、永兴镇、</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"https://baike.so.com/doc/5303584-5538400.html"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讲治镇</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、甘棠镇、广福镇、长岭镇</w:t>
      </w:r>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10个乡:骑龙乡、长田乡、</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"https://baike.so.com/doc/8152360-8469347.html"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新太乡</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、灵岩乡、</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"https://baike.so.com/doc/1205562-1275324.html" \t "https://baike.so.com/doc/_blank"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梅家乡</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、沙坝场乡、新街乡、靖安乡、拔妙乡、</w:t>
      </w:r>
      <w:r>
        <w:rPr>
          <w:rFonts w:hint="eastAsia" w:cs="Times New Roman"/>
          <w:color w:val="000000"/>
          <w:lang w:eastAsia="zh-CN"/>
        </w:rPr>
        <w:t>永兴镇</w:t>
      </w:r>
    </w:p>
    <w:p>
      <w:pPr>
        <w:adjustRightInd w:val="0"/>
        <w:snapToGrid w:val="0"/>
        <w:spacing w:line="360" w:lineRule="auto"/>
        <w:ind w:firstLine="480" w:firstLineChars="200"/>
        <w:rPr>
          <w:rFonts w:hint="eastAsia" w:eastAsiaTheme="minorEastAsia"/>
          <w:lang w:eastAsia="zh-CN"/>
        </w:rPr>
      </w:pPr>
      <w:r>
        <w:rPr>
          <w:rFonts w:hint="eastAsia"/>
          <w:lang w:eastAsia="zh-CN"/>
        </w:rPr>
        <w:t>（二）老河堰</w:t>
      </w:r>
    </w:p>
    <w:p>
      <w:pPr>
        <w:numPr>
          <w:ilvl w:val="0"/>
          <w:numId w:val="0"/>
        </w:numPr>
        <w:adjustRightInd w:val="0"/>
        <w:snapToGrid w:val="0"/>
        <w:spacing w:line="360" w:lineRule="auto"/>
        <w:ind w:firstLine="480" w:firstLineChars="200"/>
        <w:rPr>
          <w:rFonts w:hint="eastAsia" w:cs="Times New Roman"/>
          <w:color w:val="auto"/>
          <w:highlight w:val="none"/>
          <w:lang w:val="en-US" w:eastAsia="zh-CN"/>
        </w:rPr>
      </w:pPr>
      <w:r>
        <w:rPr>
          <w:rFonts w:hint="eastAsia" w:cs="Times New Roman"/>
          <w:color w:val="auto"/>
          <w:lang w:eastAsia="zh-CN"/>
        </w:rPr>
        <w:t>老河堰</w:t>
      </w:r>
      <w:r>
        <w:rPr>
          <w:rFonts w:hint="default" w:ascii="Times New Roman" w:hAnsi="Times New Roman" w:cs="Times New Roman"/>
          <w:color w:val="auto"/>
        </w:rPr>
        <w:t>水库</w:t>
      </w:r>
      <w:r>
        <w:rPr>
          <w:rFonts w:hint="eastAsia" w:cs="Times New Roman"/>
          <w:color w:val="auto"/>
          <w:lang w:eastAsia="zh-CN"/>
        </w:rPr>
        <w:t>位于开江县永兴镇，所在水系为永兴河，距开江县县城大约</w:t>
      </w:r>
      <w:r>
        <w:rPr>
          <w:rFonts w:hint="eastAsia" w:cs="Times New Roman"/>
          <w:color w:val="auto"/>
          <w:lang w:val="en-US" w:eastAsia="zh-CN"/>
        </w:rPr>
        <w:t>7.5</w:t>
      </w:r>
      <w:r>
        <w:rPr>
          <w:rFonts w:hint="default" w:ascii="Times New Roman" w:hAnsi="Times New Roman" w:cs="Times New Roman"/>
        </w:rPr>
        <w:t>km</w:t>
      </w:r>
      <w:r>
        <w:rPr>
          <w:rFonts w:hint="eastAsia" w:cs="Times New Roman"/>
          <w:lang w:eastAsia="zh-CN"/>
        </w:rPr>
        <w:t>，老河堰</w:t>
      </w:r>
      <w:r>
        <w:rPr>
          <w:rFonts w:hint="default" w:ascii="Times New Roman" w:hAnsi="Times New Roman" w:cs="Times New Roman"/>
        </w:rPr>
        <w:t>水利是建于195</w:t>
      </w:r>
      <w:r>
        <w:rPr>
          <w:rFonts w:hint="eastAsia" w:cs="Times New Roman"/>
          <w:lang w:val="en-US" w:eastAsia="zh-CN"/>
        </w:rPr>
        <w:t>7</w:t>
      </w:r>
      <w:r>
        <w:rPr>
          <w:rFonts w:hint="default" w:ascii="Times New Roman" w:hAnsi="Times New Roman" w:cs="Times New Roman"/>
        </w:rPr>
        <w:t>年，以灌溉为主，集城镇生活用水等多功能为一体的</w:t>
      </w:r>
      <w:r>
        <w:rPr>
          <w:rFonts w:hint="eastAsia" w:cs="Times New Roman"/>
          <w:lang w:eastAsia="zh-CN"/>
        </w:rPr>
        <w:t>小型</w:t>
      </w:r>
      <w:r>
        <w:rPr>
          <w:rFonts w:hint="default" w:ascii="Times New Roman" w:hAnsi="Times New Roman" w:cs="Times New Roman"/>
        </w:rPr>
        <w:t>水库，集雨面积</w:t>
      </w:r>
      <w:r>
        <w:rPr>
          <w:rFonts w:hint="eastAsia" w:cs="Times New Roman"/>
          <w:lang w:val="en-US" w:eastAsia="zh-CN"/>
        </w:rPr>
        <w:t>3.7</w:t>
      </w:r>
      <w:r>
        <w:rPr>
          <w:rFonts w:hint="default" w:ascii="Times New Roman" w:hAnsi="Times New Roman" w:cs="Times New Roman"/>
        </w:rPr>
        <w:t>km</w:t>
      </w:r>
      <w:r>
        <w:rPr>
          <w:rFonts w:hint="default" w:ascii="Times New Roman" w:hAnsi="Times New Roman" w:cs="Times New Roman"/>
          <w:vertAlign w:val="superscript"/>
        </w:rPr>
        <w:t>2</w:t>
      </w:r>
      <w:r>
        <w:rPr>
          <w:rFonts w:hint="default" w:ascii="Times New Roman" w:hAnsi="Times New Roman" w:cs="Times New Roman"/>
        </w:rPr>
        <w:t>，</w:t>
      </w:r>
      <w:r>
        <w:rPr>
          <w:rFonts w:hint="eastAsia" w:cs="Times New Roman"/>
          <w:lang w:eastAsia="zh-CN"/>
        </w:rPr>
        <w:t>渠系实际长度</w:t>
      </w:r>
      <w:r>
        <w:rPr>
          <w:rFonts w:hint="eastAsia" w:cs="Times New Roman"/>
          <w:lang w:val="en-US" w:eastAsia="zh-CN"/>
        </w:rPr>
        <w:t>15.7</w:t>
      </w:r>
      <w:r>
        <w:rPr>
          <w:rFonts w:hint="default" w:ascii="Times New Roman" w:hAnsi="Times New Roman" w:cs="Times New Roman"/>
        </w:rPr>
        <w:t>km</w:t>
      </w:r>
      <w:r>
        <w:rPr>
          <w:rFonts w:hint="default" w:ascii="Times New Roman" w:hAnsi="Times New Roman" w:cs="Times New Roman"/>
          <w:szCs w:val="28"/>
        </w:rPr>
        <w:t>，</w:t>
      </w:r>
      <w:r>
        <w:rPr>
          <w:rFonts w:hint="default" w:ascii="Times New Roman" w:hAnsi="Times New Roman" w:cs="Times New Roman"/>
        </w:rPr>
        <w:t>水库正常蓄水位</w:t>
      </w:r>
      <w:r>
        <w:rPr>
          <w:rFonts w:hint="eastAsia" w:cs="Times New Roman"/>
          <w:lang w:val="en-US" w:eastAsia="zh-CN"/>
        </w:rPr>
        <w:t>482.5</w:t>
      </w:r>
      <w:r>
        <w:rPr>
          <w:rFonts w:hint="default" w:ascii="Times New Roman" w:hAnsi="Times New Roman" w:cs="Times New Roman"/>
        </w:rPr>
        <w:t>m，总库容量</w:t>
      </w:r>
      <w:r>
        <w:rPr>
          <w:rFonts w:hint="eastAsia" w:cs="Times New Roman"/>
          <w:lang w:val="en-US" w:eastAsia="zh-CN"/>
        </w:rPr>
        <w:t>103.33万</w:t>
      </w:r>
      <w:r>
        <w:rPr>
          <w:rFonts w:hint="default" w:ascii="Times New Roman" w:hAnsi="Times New Roman" w:cs="Times New Roman"/>
        </w:rPr>
        <w:t>m</w:t>
      </w:r>
      <w:r>
        <w:rPr>
          <w:rFonts w:hint="default" w:ascii="Times New Roman" w:hAnsi="Times New Roman" w:cs="Times New Roman"/>
          <w:vertAlign w:val="superscript"/>
        </w:rPr>
        <w:t>3</w:t>
      </w:r>
      <w:r>
        <w:rPr>
          <w:rFonts w:hint="default" w:ascii="Times New Roman" w:hAnsi="Times New Roman" w:cs="Times New Roman"/>
        </w:rPr>
        <w:t>，有效库容</w:t>
      </w:r>
      <w:r>
        <w:rPr>
          <w:rFonts w:hint="eastAsia" w:cs="Times New Roman"/>
          <w:lang w:val="en-US" w:eastAsia="zh-CN"/>
        </w:rPr>
        <w:t>67.7</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，设计灌溉面积</w:t>
      </w:r>
      <w:r>
        <w:rPr>
          <w:rFonts w:hint="eastAsia" w:cs="Times New Roman"/>
          <w:lang w:val="en-US" w:eastAsia="zh-CN"/>
        </w:rPr>
        <w:t>0.3</w:t>
      </w:r>
      <w:r>
        <w:rPr>
          <w:rFonts w:hint="eastAsia" w:cs="Times New Roman"/>
          <w:lang w:eastAsia="zh-CN"/>
        </w:rPr>
        <w:t>万亩</w:t>
      </w:r>
      <w:r>
        <w:rPr>
          <w:rFonts w:hint="default" w:ascii="Times New Roman" w:hAnsi="Times New Roman" w:cs="Times New Roman"/>
        </w:rPr>
        <w:t>，</w:t>
      </w:r>
      <w:r>
        <w:rPr>
          <w:rFonts w:hint="eastAsia" w:cs="Times New Roman"/>
          <w:lang w:eastAsia="zh-CN"/>
        </w:rPr>
        <w:t>最大泄量</w:t>
      </w:r>
      <w:r>
        <w:rPr>
          <w:rFonts w:hint="eastAsia" w:cs="Times New Roman"/>
          <w:lang w:val="en-US" w:eastAsia="zh-CN"/>
        </w:rPr>
        <w:t>64</w:t>
      </w:r>
      <w:r>
        <w:rPr>
          <w:rFonts w:hint="default" w:ascii="Times New Roman" w:hAnsi="Times New Roman" w:cs="Times New Roman"/>
        </w:rPr>
        <w:t>m</w:t>
      </w:r>
      <w:r>
        <w:rPr>
          <w:rFonts w:hint="default" w:ascii="Times New Roman" w:hAnsi="Times New Roman" w:cs="Times New Roman"/>
          <w:vertAlign w:val="superscript"/>
        </w:rPr>
        <w:t>3</w:t>
      </w:r>
      <w:r>
        <w:rPr>
          <w:rFonts w:hint="eastAsia" w:cs="Times New Roman"/>
          <w:vertAlign w:val="baseline"/>
          <w:lang w:val="en-US" w:eastAsia="zh-CN"/>
        </w:rPr>
        <w:t>/s</w:t>
      </w:r>
      <w:r>
        <w:rPr>
          <w:rFonts w:hint="default" w:ascii="Times New Roman" w:hAnsi="Times New Roman" w:cs="Times New Roman"/>
        </w:rPr>
        <w:t>。</w:t>
      </w:r>
    </w:p>
    <w:p>
      <w:pPr>
        <w:adjustRightInd w:val="0"/>
        <w:snapToGrid w:val="0"/>
        <w:spacing w:line="360" w:lineRule="auto"/>
        <w:ind w:firstLine="480" w:firstLineChars="200"/>
        <w:jc w:val="left"/>
        <w:rPr>
          <w:rFonts w:hint="default" w:ascii="Times New Roman" w:hAnsi="Times New Roman" w:cs="Times New Roman" w:eastAsiaTheme="minorEastAsia"/>
          <w:color w:val="auto"/>
          <w:lang w:eastAsia="zh-CN"/>
        </w:rPr>
      </w:pPr>
      <w:r>
        <w:rPr>
          <w:sz w:val="24"/>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1680210</wp:posOffset>
                </wp:positionV>
                <wp:extent cx="1237615" cy="490220"/>
                <wp:effectExtent l="0" t="0" r="635" b="5080"/>
                <wp:wrapNone/>
                <wp:docPr id="28" name="文本框 28"/>
                <wp:cNvGraphicFramePr/>
                <a:graphic xmlns:a="http://schemas.openxmlformats.org/drawingml/2006/main">
                  <a:graphicData uri="http://schemas.microsoft.com/office/word/2010/wordprocessingShape">
                    <wps:wsp>
                      <wps:cNvSpPr txBox="1"/>
                      <wps:spPr>
                        <a:xfrm>
                          <a:off x="4081780" y="2615565"/>
                          <a:ext cx="1237615" cy="490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eastAsia="zh-CN"/>
                              </w:rPr>
                            </w:pPr>
                            <w:r>
                              <w:rPr>
                                <w:rFonts w:hint="eastAsia"/>
                                <w:color w:val="FF0000"/>
                                <w:lang w:eastAsia="zh-CN"/>
                              </w:rPr>
                              <w:t>老河堰水库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3.4pt;margin-top:132.3pt;height:38.6pt;width:97.45pt;z-index:251665408;mso-width-relative:page;mso-height-relative:page;" filled="f" stroked="f" coordsize="21600,21600" o:gfxdata="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EZOCdwAAAALAQAADwAAAAAAAAABACAAAAAiAAAAZHJzL2Rvd25yZXYueG1s&#10;UEsBAhQAFAAAAAgAh07iQJEoZp4tAgAAJgQAAA4AAAAAAAAAAQAgAAAAKwEAAGRycy9lMm9Eb2Mu&#10;eG1sUEsFBgAAAAAGAAYAWQEAAMoFAAAAAA==&#10;">
                <v:fill on="f" focussize="0,0"/>
                <v:stroke on="f" weight="0.5pt"/>
                <v:imagedata o:title=""/>
                <o:lock v:ext="edit" aspectratio="f"/>
                <v:textbox>
                  <w:txbxContent>
                    <w:p>
                      <w:pPr>
                        <w:rPr>
                          <w:rFonts w:hint="eastAsia" w:eastAsiaTheme="minorEastAsia"/>
                          <w:color w:val="FF0000"/>
                          <w:lang w:eastAsia="zh-CN"/>
                        </w:rPr>
                      </w:pPr>
                      <w:r>
                        <w:rPr>
                          <w:rFonts w:hint="eastAsia"/>
                          <w:color w:val="FF0000"/>
                          <w:lang w:eastAsia="zh-CN"/>
                        </w:rPr>
                        <w:t>老河堰水库</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2915920</wp:posOffset>
                </wp:positionH>
                <wp:positionV relativeFrom="paragraph">
                  <wp:posOffset>1946275</wp:posOffset>
                </wp:positionV>
                <wp:extent cx="836930" cy="0"/>
                <wp:effectExtent l="0" t="0" r="0" b="0"/>
                <wp:wrapNone/>
                <wp:docPr id="27" name="直接连接符 27"/>
                <wp:cNvGraphicFramePr/>
                <a:graphic xmlns:a="http://schemas.openxmlformats.org/drawingml/2006/main">
                  <a:graphicData uri="http://schemas.microsoft.com/office/word/2010/wordprocessingShape">
                    <wps:wsp>
                      <wps:cNvCnPr/>
                      <wps:spPr>
                        <a:xfrm>
                          <a:off x="4060825" y="2860675"/>
                          <a:ext cx="83693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9.6pt;margin-top:153.25pt;height:0pt;width:65.9pt;z-index:251664384;mso-width-relative:page;mso-height-relative:page;" filled="f" stroked="t" coordsize="21600,21600" o:gfxdata="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aCZ6HWAAAACwEAAA8AAAAAAAAA&#10;AQAgAAAAIgAAAGRycy9kb3ducmV2LnhtbFBLAQIUABQAAAAIAIdO4kAkAbaL2gEAAHADAAAOAAAA&#10;AAAAAAEAIAAAACUBAABkcnMvZTJvRG9jLnhtbFBLBQYAAAAABgAGAFkBAABxBQAA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2675255</wp:posOffset>
                </wp:positionH>
                <wp:positionV relativeFrom="paragraph">
                  <wp:posOffset>1952625</wp:posOffset>
                </wp:positionV>
                <wp:extent cx="261620" cy="341630"/>
                <wp:effectExtent l="3810" t="3175" r="20320" b="17145"/>
                <wp:wrapNone/>
                <wp:docPr id="26" name="直接连接符 26"/>
                <wp:cNvGraphicFramePr/>
                <a:graphic xmlns:a="http://schemas.openxmlformats.org/drawingml/2006/main">
                  <a:graphicData uri="http://schemas.microsoft.com/office/word/2010/wordprocessingShape">
                    <wps:wsp>
                      <wps:cNvCnPr>
                        <a:stCxn id="25" idx="3"/>
                      </wps:cNvCnPr>
                      <wps:spPr>
                        <a:xfrm flipV="1">
                          <a:off x="3820160" y="2867025"/>
                          <a:ext cx="261620" cy="34163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0.65pt;margin-top:153.75pt;height:26.9pt;width:20.6pt;z-index:251663360;mso-width-relative:page;mso-height-relative:page;" filled="f" stroked="t" coordsize="21600,21600" o:gfxdata="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UNbO2AAAAAsBAAAPAAAAAAAAAAEAIAAAACIAAABkcnMvZG93bnJldi54bWxQSwECFAAU&#10;AAAACACHTuJAZkHnIvEBAACmAwAADgAAAAAAAAABACAAAAAnAQAAZHJzL2Uyb0RvYy54bWxQSwUG&#10;AAAAAAYABgBZAQAAigUAAAAA&#10;">
                <v:fill on="f" focussize="0,0"/>
                <v:stroke weight="0.5pt" color="#FF0000 [3204]" miterlimit="8" joinstyle="miter"/>
                <v:imagedata o:title=""/>
                <o:lock v:ext="edit" aspectratio="f"/>
              </v:lin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2599690</wp:posOffset>
                </wp:positionH>
                <wp:positionV relativeFrom="paragraph">
                  <wp:posOffset>2256155</wp:posOffset>
                </wp:positionV>
                <wp:extent cx="75565" cy="75565"/>
                <wp:effectExtent l="0" t="0" r="635" b="635"/>
                <wp:wrapNone/>
                <wp:docPr id="25" name="十字星 25"/>
                <wp:cNvGraphicFramePr/>
                <a:graphic xmlns:a="http://schemas.openxmlformats.org/drawingml/2006/main">
                  <a:graphicData uri="http://schemas.microsoft.com/office/word/2010/wordprocessingShape">
                    <wps:wsp>
                      <wps:cNvSpPr/>
                      <wps:spPr>
                        <a:xfrm>
                          <a:off x="3789045" y="3145155"/>
                          <a:ext cx="75565" cy="75565"/>
                        </a:xfrm>
                        <a:prstGeom prst="star4">
                          <a:avLst>
                            <a:gd name="adj" fmla="val 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87" type="#_x0000_t187" style="position:absolute;left:0pt;margin-left:204.7pt;margin-top:177.65pt;height:5.95pt;width:5.95pt;z-index:251662336;v-text-anchor:middle;mso-width-relative:page;mso-height-relative:page;" fillcolor="#FF0000" filled="t" stroked="t" coordsize="21600,21600" o:gfxdata="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GYDl9zaAAAACwEAAA8AAAAAAAAAAQAgAAAAIgAAAGRycy9k&#10;b3ducmV2LnhtbFBLAQIUABQAAAAIAIdO4kDIyUsGcgIAAN0EAAAOAAAAAAAAAAEAIAAAACkBAABk&#10;cnMvZTJvRG9jLnhtbFBLBQYAAAAABgAGAFkBAAANBgAAAAA=&#10;" adj="10800">
                <v:fill on="t" focussize="0,0"/>
                <v:stroke weight="1pt" color="#FF0000 [3204]" miterlimit="8" joinstyle="miter"/>
                <v:imagedata o:title=""/>
                <o:lock v:ext="edit" aspectratio="f"/>
              </v:shape>
            </w:pict>
          </mc:Fallback>
        </mc:AlternateContent>
      </w:r>
      <w:r>
        <w:rPr>
          <w:rFonts w:hint="default" w:ascii="Times New Roman" w:hAnsi="Times New Roman" w:cs="Times New Roman" w:eastAsiaTheme="minorEastAsia"/>
          <w:color w:val="auto"/>
          <w:lang w:eastAsia="zh-CN"/>
        </w:rPr>
        <w:drawing>
          <wp:inline distT="0" distB="0" distL="114300" distR="114300">
            <wp:extent cx="5034280" cy="7172325"/>
            <wp:effectExtent l="0" t="0" r="10160" b="5715"/>
            <wp:docPr id="3" name="图片 3" descr="开江行政区划图(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开江行政区划图(改）"/>
                    <pic:cNvPicPr>
                      <a:picLocks noChangeAspect="1"/>
                    </pic:cNvPicPr>
                  </pic:nvPicPr>
                  <pic:blipFill>
                    <a:blip r:embed="rId21"/>
                    <a:srcRect l="4170" t="3031" b="3691"/>
                    <a:stretch>
                      <a:fillRect/>
                    </a:stretch>
                  </pic:blipFill>
                  <pic:spPr>
                    <a:xfrm>
                      <a:off x="0" y="0"/>
                      <a:ext cx="5034280" cy="7172325"/>
                    </a:xfrm>
                    <a:prstGeom prst="rect">
                      <a:avLst/>
                    </a:prstGeom>
                  </pic:spPr>
                </pic:pic>
              </a:graphicData>
            </a:graphic>
          </wp:inline>
        </w:drawing>
      </w:r>
    </w:p>
    <w:p>
      <w:pPr>
        <w:spacing w:line="240" w:lineRule="auto"/>
        <w:jc w:val="center"/>
        <w:rPr>
          <w:rFonts w:hint="default" w:ascii="Times New Roman" w:hAnsi="Times New Roman" w:cs="Times New Roman"/>
          <w:b/>
          <w:color w:val="auto"/>
          <w:sz w:val="22"/>
        </w:rPr>
      </w:pPr>
      <w:r>
        <w:rPr>
          <w:rFonts w:hint="default" w:ascii="Times New Roman" w:hAnsi="Times New Roman" w:cs="Times New Roman"/>
          <w:b/>
          <w:color w:val="auto"/>
          <w:sz w:val="22"/>
        </w:rPr>
        <w:t>图</w:t>
      </w:r>
      <w:r>
        <w:rPr>
          <w:rFonts w:hint="default" w:ascii="Times New Roman" w:hAnsi="Times New Roman" w:cs="Times New Roman"/>
          <w:b/>
          <w:color w:val="auto"/>
          <w:sz w:val="22"/>
          <w:lang w:val="en-US" w:eastAsia="zh-CN"/>
        </w:rPr>
        <w:t>3-1</w:t>
      </w:r>
      <w:r>
        <w:rPr>
          <w:rFonts w:hint="default" w:ascii="Times New Roman" w:hAnsi="Times New Roman" w:cs="Times New Roman"/>
          <w:b/>
          <w:color w:val="auto"/>
          <w:sz w:val="22"/>
        </w:rPr>
        <w:t xml:space="preserve"> </w:t>
      </w:r>
      <w:r>
        <w:rPr>
          <w:rFonts w:hint="default" w:ascii="Times New Roman" w:hAnsi="Times New Roman" w:cs="Times New Roman"/>
          <w:b/>
          <w:color w:val="auto"/>
          <w:sz w:val="22"/>
          <w:lang w:eastAsia="zh-CN"/>
        </w:rPr>
        <w:t>开江县</w:t>
      </w:r>
      <w:r>
        <w:rPr>
          <w:rFonts w:hint="default" w:ascii="Times New Roman" w:hAnsi="Times New Roman" w:cs="Times New Roman"/>
          <w:b/>
          <w:color w:val="auto"/>
          <w:sz w:val="22"/>
        </w:rPr>
        <w:t>行政区划图</w:t>
      </w: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53" w:name="_Toc15091"/>
      <w:bookmarkStart w:id="54" w:name="_Toc30900"/>
      <w:r>
        <w:rPr>
          <w:rFonts w:hint="default" w:ascii="Times New Roman" w:hAnsi="Times New Roman" w:cs="Times New Roman"/>
          <w:color w:val="auto"/>
        </w:rPr>
        <w:t>3.1.2气候特征</w:t>
      </w:r>
      <w:bookmarkEnd w:id="53"/>
      <w:bookmarkEnd w:id="54"/>
    </w:p>
    <w:p>
      <w:pPr>
        <w:spacing w:line="360" w:lineRule="auto"/>
        <w:ind w:firstLine="480" w:firstLineChars="200"/>
        <w:rPr>
          <w:rFonts w:hint="default" w:ascii="Times New Roman" w:hAnsi="Times New Roman" w:cs="Times New Roman"/>
          <w:color w:val="000000"/>
          <w:lang w:eastAsia="zh-CN"/>
        </w:rPr>
      </w:pPr>
      <w:bookmarkStart w:id="55" w:name="_Toc30855"/>
      <w:r>
        <w:rPr>
          <w:rFonts w:hint="default" w:ascii="Times New Roman" w:hAnsi="Times New Roman" w:cs="Times New Roman"/>
          <w:color w:val="000000"/>
          <w:lang w:eastAsia="zh-CN"/>
        </w:rPr>
        <w:t>开江县属四川盆地中亚热带湿润气候区，气候温和，热量丰富，雨量充沛，多年平均气温16.6℃，最高气温39.8℃，最低气温-4.3℃；月平均最热月7月为27.1℃，最冷月1月为5.4℃。多年平均降雨量为1259.40mm，其中70%降雨集中在5~9月；同时降雨在地区分布上是东北向西南递减，即东北的梅家、沙坝、宝石、讲治雨量较多；拔妙、长岭、广福次之为1250mm左右；天师、骑龙、普安、永兴、靖安、任市、新街及</w:t>
      </w:r>
      <w:r>
        <w:rPr>
          <w:rFonts w:hint="default" w:ascii="Times New Roman" w:hAnsi="Times New Roman" w:cs="Times New Roman"/>
          <w:color w:val="000000"/>
          <w:lang w:eastAsia="zh-CN"/>
        </w:rPr>
        <w:fldChar w:fldCharType="begin"/>
      </w:r>
      <w:r>
        <w:rPr>
          <w:rFonts w:hint="default" w:ascii="Times New Roman" w:hAnsi="Times New Roman" w:cs="Times New Roman"/>
          <w:color w:val="000000"/>
          <w:lang w:eastAsia="zh-CN"/>
        </w:rPr>
        <w:instrText xml:space="preserve"> HYPERLINK "http://baike.baidu.com/view/246993.htm" \t "_blank" </w:instrText>
      </w:r>
      <w:r>
        <w:rPr>
          <w:rFonts w:hint="default" w:ascii="Times New Roman" w:hAnsi="Times New Roman" w:cs="Times New Roman"/>
          <w:color w:val="000000"/>
          <w:lang w:eastAsia="zh-CN"/>
        </w:rPr>
        <w:fldChar w:fldCharType="separate"/>
      </w:r>
      <w:r>
        <w:rPr>
          <w:rFonts w:hint="default" w:ascii="Times New Roman" w:hAnsi="Times New Roman" w:cs="Times New Roman"/>
          <w:color w:val="000000"/>
          <w:lang w:eastAsia="zh-CN"/>
        </w:rPr>
        <w:t>西南地区</w:t>
      </w:r>
      <w:r>
        <w:rPr>
          <w:rFonts w:hint="default" w:ascii="Times New Roman" w:hAnsi="Times New Roman" w:cs="Times New Roman"/>
          <w:color w:val="000000"/>
          <w:lang w:eastAsia="zh-CN"/>
        </w:rPr>
        <w:fldChar w:fldCharType="end"/>
      </w:r>
      <w:r>
        <w:rPr>
          <w:rFonts w:hint="default" w:ascii="Times New Roman" w:hAnsi="Times New Roman" w:cs="Times New Roman"/>
          <w:color w:val="000000"/>
          <w:lang w:eastAsia="zh-CN"/>
        </w:rPr>
        <w:t>雨量较少。多年平均日照时数1386.6小时，无霜期为282.60天，季风气候显著。年总辐射量91.70千卡/平方厘米，年内四季分明，冬季少霜雪，多云雾，日照较少；春季气温回暖快，但不稳定，寒潮活动较频繁；夏热伏旱多，降雨集中，雨热同季，洪涝较严重；秋季降温快，晚秋多阴雨；冬季较温暖，多雾寡照，湿度大。主要气象灾害有暴雨、干旱、低温阴雨、高温、寒潮、雷暴、大风、冰雹等。</w:t>
      </w:r>
    </w:p>
    <w:p>
      <w:pPr>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b/>
          <w:color w:val="auto"/>
        </w:rPr>
      </w:pPr>
      <w:r>
        <w:rPr>
          <w:rFonts w:hint="default" w:ascii="Times New Roman" w:hAnsi="Times New Roman" w:cs="Times New Roman"/>
          <w:b/>
          <w:color w:val="auto"/>
        </w:rPr>
        <w:t>3.1.3</w:t>
      </w:r>
      <w:bookmarkEnd w:id="55"/>
      <w:r>
        <w:rPr>
          <w:rFonts w:hint="eastAsia" w:cs="Times New Roman"/>
          <w:b/>
          <w:color w:val="auto"/>
          <w:lang w:eastAsia="zh-CN"/>
        </w:rPr>
        <w:t>水文条件</w:t>
      </w:r>
    </w:p>
    <w:p>
      <w:pPr>
        <w:adjustRightInd w:val="0"/>
        <w:snapToGrid w:val="0"/>
        <w:spacing w:line="360" w:lineRule="auto"/>
        <w:ind w:firstLine="480" w:firstLineChars="200"/>
      </w:pPr>
      <w:r>
        <w:rPr>
          <w:rFonts w:hint="eastAsia"/>
        </w:rPr>
        <w:t>开江县位于川东平行岭谷地区，属</w:t>
      </w:r>
      <w:r>
        <w:t>嘉陵江</w:t>
      </w:r>
      <w:r>
        <w:rPr>
          <w:rFonts w:hint="eastAsia"/>
        </w:rPr>
        <w:t>一级</w:t>
      </w:r>
      <w:r>
        <w:t>支流</w:t>
      </w:r>
      <w:r>
        <w:rPr>
          <w:rFonts w:hint="eastAsia"/>
        </w:rPr>
        <w:t>渠江水系</w:t>
      </w:r>
      <w:r>
        <w:t>的</w:t>
      </w:r>
      <w:r>
        <w:rPr>
          <w:rFonts w:hint="eastAsia"/>
        </w:rPr>
        <w:t>一级支流州河流域。境内河流共</w:t>
      </w:r>
      <w:r>
        <w:t>105</w:t>
      </w:r>
      <w:r>
        <w:rPr>
          <w:rFonts w:hint="eastAsia"/>
        </w:rPr>
        <w:t>条，长约</w:t>
      </w:r>
      <w:r>
        <w:t>362.10km</w:t>
      </w:r>
      <w:r>
        <w:rPr>
          <w:rFonts w:hint="eastAsia"/>
        </w:rPr>
        <w:t>，总集雨面积</w:t>
      </w:r>
      <w:r>
        <w:t>1199.72km</w:t>
      </w:r>
      <w:r>
        <w:rPr>
          <w:rFonts w:hint="eastAsia"/>
          <w:vertAlign w:val="superscript"/>
        </w:rPr>
        <w:t>2</w:t>
      </w:r>
      <w:r>
        <w:rPr>
          <w:rFonts w:hint="eastAsia"/>
        </w:rPr>
        <w:t>（其中梁平县境内有</w:t>
      </w:r>
      <w:r>
        <w:t>170.10 km</w:t>
      </w:r>
      <w:r>
        <w:rPr>
          <w:rFonts w:hint="eastAsia"/>
          <w:vertAlign w:val="superscript"/>
        </w:rPr>
        <w:t>2</w:t>
      </w:r>
      <w:r>
        <w:rPr>
          <w:rFonts w:hint="eastAsia"/>
        </w:rPr>
        <w:t>），水资源总量多年平均为</w:t>
      </w:r>
      <w:r>
        <w:t>6.76</w:t>
      </w:r>
      <w:r>
        <w:rPr>
          <w:rFonts w:hint="eastAsia"/>
        </w:rPr>
        <w:t>亿m</w:t>
      </w:r>
      <w:r>
        <w:rPr>
          <w:rFonts w:hint="eastAsia"/>
          <w:vertAlign w:val="superscript"/>
        </w:rPr>
        <w:t>3</w:t>
      </w:r>
      <w:r>
        <w:rPr>
          <w:rFonts w:hint="eastAsia"/>
        </w:rPr>
        <w:t>，其中过境水</w:t>
      </w:r>
      <w:r>
        <w:t>0.94</w:t>
      </w:r>
      <w:r>
        <w:rPr>
          <w:rFonts w:hint="eastAsia"/>
        </w:rPr>
        <w:t>亿m</w:t>
      </w:r>
      <w:r>
        <w:rPr>
          <w:rFonts w:hint="eastAsia"/>
          <w:vertAlign w:val="superscript"/>
        </w:rPr>
        <w:t>3</w:t>
      </w:r>
      <w:r>
        <w:rPr>
          <w:rFonts w:hint="eastAsia"/>
        </w:rPr>
        <w:t>，境内地表水</w:t>
      </w:r>
      <w:r>
        <w:t>5.82</w:t>
      </w:r>
      <w:r>
        <w:rPr>
          <w:rFonts w:hint="eastAsia"/>
        </w:rPr>
        <w:t>亿m</w:t>
      </w:r>
      <w:r>
        <w:rPr>
          <w:rFonts w:hint="eastAsia"/>
          <w:vertAlign w:val="superscript"/>
        </w:rPr>
        <w:t>3</w:t>
      </w:r>
      <w:r>
        <w:rPr>
          <w:rFonts w:hint="eastAsia"/>
        </w:rPr>
        <w:t>，历年人平水量</w:t>
      </w:r>
      <w:r>
        <w:t>1438</w:t>
      </w:r>
      <w:r>
        <w:rPr>
          <w:rFonts w:hint="eastAsia"/>
        </w:rPr>
        <w:t>m</w:t>
      </w:r>
      <w:r>
        <w:rPr>
          <w:rFonts w:hint="eastAsia"/>
          <w:vertAlign w:val="superscript"/>
        </w:rPr>
        <w:t>3</w:t>
      </w:r>
      <w:r>
        <w:rPr>
          <w:rFonts w:hint="eastAsia"/>
        </w:rPr>
        <w:t>，低于四川省平均水平。县境内地下水资源总量约</w:t>
      </w:r>
      <w:r>
        <w:t>4987</w:t>
      </w:r>
      <w:r>
        <w:rPr>
          <w:rFonts w:hint="eastAsia"/>
        </w:rPr>
        <w:t>万m</w:t>
      </w:r>
      <w:r>
        <w:rPr>
          <w:rFonts w:hint="eastAsia"/>
          <w:vertAlign w:val="superscript"/>
        </w:rPr>
        <w:t>3</w:t>
      </w:r>
      <w:r>
        <w:rPr>
          <w:rFonts w:hint="eastAsia"/>
        </w:rPr>
        <w:t>，可开采为</w:t>
      </w:r>
      <w:r>
        <w:t>1973</w:t>
      </w:r>
      <w:r>
        <w:rPr>
          <w:rFonts w:hint="eastAsia"/>
        </w:rPr>
        <w:t>万m</w:t>
      </w:r>
      <w:r>
        <w:rPr>
          <w:rFonts w:hint="eastAsia"/>
          <w:vertAlign w:val="superscript"/>
        </w:rPr>
        <w:t>3</w:t>
      </w:r>
      <w:r>
        <w:rPr>
          <w:rFonts w:hint="eastAsia"/>
        </w:rPr>
        <w:t>／年。其主要河流有白岩河、新宁河、任市河、拔妙河，均源于县境内，属渠江流域片区。这些河流总的特点是，汇水面积小，流量小，水能蕴藏量少，季节性强，境内自然储存水量少，外流多，每遇干旱季节，常有供不应求的矛盾。</w:t>
      </w:r>
    </w:p>
    <w:p>
      <w:pPr>
        <w:pStyle w:val="20"/>
        <w:spacing w:line="360" w:lineRule="auto"/>
        <w:jc w:val="center"/>
        <w:rPr>
          <w:rFonts w:hint="default" w:ascii="Times New Roman" w:hAnsi="Times New Roman" w:cs="Times New Roman"/>
          <w:color w:val="auto"/>
        </w:rPr>
      </w:pPr>
      <w:r>
        <w:rPr>
          <w:sz w:val="24"/>
        </w:rPr>
        <mc:AlternateContent>
          <mc:Choice Requires="wps">
            <w:drawing>
              <wp:anchor distT="0" distB="0" distL="114300" distR="114300" simplePos="0" relativeHeight="251676672" behindDoc="0" locked="0" layoutInCell="1" allowOverlap="1">
                <wp:simplePos x="0" y="0"/>
                <wp:positionH relativeFrom="column">
                  <wp:posOffset>3855720</wp:posOffset>
                </wp:positionH>
                <wp:positionV relativeFrom="paragraph">
                  <wp:posOffset>6420485</wp:posOffset>
                </wp:positionV>
                <wp:extent cx="1508125" cy="479425"/>
                <wp:effectExtent l="0" t="0" r="0" b="0"/>
                <wp:wrapNone/>
                <wp:docPr id="33" name="文本框 33"/>
                <wp:cNvGraphicFramePr/>
                <a:graphic xmlns:a="http://schemas.openxmlformats.org/drawingml/2006/main">
                  <a:graphicData uri="http://schemas.microsoft.com/office/word/2010/wordprocessingShape">
                    <wps:wsp>
                      <wps:cNvSpPr txBox="1"/>
                      <wps:spPr>
                        <a:xfrm>
                          <a:off x="5111115" y="7417435"/>
                          <a:ext cx="1508125" cy="479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color w:val="FF0000"/>
                                <w:lang w:eastAsia="zh-CN"/>
                              </w:rPr>
                            </w:pPr>
                            <w:r>
                              <w:rPr>
                                <w:rFonts w:hint="eastAsia"/>
                                <w:color w:val="FF0000"/>
                                <w:lang w:eastAsia="zh-CN"/>
                              </w:rPr>
                              <w:t>老河堰水库所在地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6pt;margin-top:505.55pt;height:37.75pt;width:118.75pt;z-index:251676672;mso-width-relative:page;mso-height-relative:page;" filled="f" stroked="f" coordsize="21600,21600" o:gfxdata="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IffOKvcAAAADQEAAA8AAAAAAAAAAQAgAAAAIgAAAGRycy9kb3ducmV2LnhtbFBL&#10;AQIUABQAAAAIAIdO4kC+/KyNKwIAACYEAAAOAAAAAAAAAAEAIAAAACsBAABkcnMvZTJvRG9jLnht&#10;bFBLBQYAAAAABgAGAFkBAADIBQAAAAA=&#10;">
                <v:fill on="f" focussize="0,0"/>
                <v:stroke on="f" weight="0.5pt"/>
                <v:imagedata o:title=""/>
                <o:lock v:ext="edit" aspectratio="f"/>
                <v:textbox>
                  <w:txbxContent>
                    <w:p>
                      <w:pPr>
                        <w:rPr>
                          <w:rFonts w:hint="eastAsia" w:eastAsiaTheme="minorEastAsia"/>
                          <w:color w:val="FF0000"/>
                          <w:lang w:eastAsia="zh-CN"/>
                        </w:rPr>
                      </w:pPr>
                      <w:r>
                        <w:rPr>
                          <w:rFonts w:hint="eastAsia"/>
                          <w:color w:val="FF0000"/>
                          <w:lang w:eastAsia="zh-CN"/>
                        </w:rPr>
                        <w:t>老河堰水库所在地</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3773805</wp:posOffset>
                </wp:positionH>
                <wp:positionV relativeFrom="paragraph">
                  <wp:posOffset>6495415</wp:posOffset>
                </wp:positionV>
                <wp:extent cx="123825" cy="124460"/>
                <wp:effectExtent l="18415" t="21590" r="29210" b="25400"/>
                <wp:wrapNone/>
                <wp:docPr id="32" name="五角星 32"/>
                <wp:cNvGraphicFramePr/>
                <a:graphic xmlns:a="http://schemas.openxmlformats.org/drawingml/2006/main">
                  <a:graphicData uri="http://schemas.microsoft.com/office/word/2010/wordprocessingShape">
                    <wps:wsp>
                      <wps:cNvSpPr/>
                      <wps:spPr>
                        <a:xfrm>
                          <a:off x="0" y="0"/>
                          <a:ext cx="123825" cy="1244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97.15pt;margin-top:511.45pt;height:9.8pt;width:9.75pt;z-index:251675648;v-text-anchor:middle;mso-width-relative:page;mso-height-relative:page;" fillcolor="#FF0000" filled="t" stroked="t" coordsize="123825,124460" o:gfxdata="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qS&#10;YkzbAAAADQEAAA8AAAAAAAAAAQAgAAAAIgAAAGRycy9kb3ducmV2LnhtbFBLAQIUABQAAAAIAIdO&#10;4kCW7pHOWQIAAKsEAAAOAAAAAAAAAAEAIAAAACoBAABkcnMvZTJvRG9jLnhtbFBLBQYAAAAABgAG&#10;AFkBAAD1BQAAAAA=&#10;" path="m0,47539l47297,47539,61912,0,76527,47539,123824,47539,85560,76920,100176,124459,61912,95078,23648,124459,38264,76920xe">
                <v:path o:connectlocs="61912,0;0,47539;23648,124459;100176,124459;123824,47539" o:connectangles="247,164,82,82,0"/>
                <v:fill on="t" focussize="0,0"/>
                <v:stroke weight="1pt" color="#FF0000 [3204]" miterlimit="8" joinstyle="miter"/>
                <v:imagedata o:title=""/>
                <o:lock v:ext="edit" aspectratio="f"/>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3086735</wp:posOffset>
                </wp:positionH>
                <wp:positionV relativeFrom="paragraph">
                  <wp:posOffset>2225040</wp:posOffset>
                </wp:positionV>
                <wp:extent cx="87630" cy="124460"/>
                <wp:effectExtent l="14605" t="29845" r="31115" b="36195"/>
                <wp:wrapNone/>
                <wp:docPr id="31" name="五角星 31"/>
                <wp:cNvGraphicFramePr/>
                <a:graphic xmlns:a="http://schemas.openxmlformats.org/drawingml/2006/main">
                  <a:graphicData uri="http://schemas.microsoft.com/office/word/2010/wordprocessingShape">
                    <wps:wsp>
                      <wps:cNvSpPr/>
                      <wps:spPr>
                        <a:xfrm>
                          <a:off x="4253865" y="3154045"/>
                          <a:ext cx="87630" cy="12446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43.05pt;margin-top:175.2pt;height:9.8pt;width:6.9pt;z-index:251666432;v-text-anchor:middle;mso-width-relative:page;mso-height-relative:page;" fillcolor="#FF0000" filled="t" stroked="t" coordsize="87630,124460" o:gfxdata="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HCwUH2gAAAAsBAAAPAAAAAAAAAAEAIAAAACIAAABkcnMvZG93bnJldi54bWxQSwEC&#10;FAAUAAAACACHTuJAu/uxPGQCAAC2BAAADgAAAAAAAAABACAAAAApAQAAZHJzL2Uyb0RvYy54bWxQ&#10;SwUGAAAAAAYABgBZAQAA/wUAAAAA&#10;" path="m0,47539l33471,47539,43815,0,54158,47539,87629,47539,60550,76920,70894,124459,43815,95078,16735,124459,27079,76920xe">
                <v:path o:connectlocs="43815,0;0,47539;16735,124459;70894,124459;87629,47539" o:connectangles="247,164,82,82,0"/>
                <v:fill on="t" focussize="0,0"/>
                <v:stroke weight="1pt" color="#FF0000 [3204]" miterlimit="8" joinstyle="miter"/>
                <v:imagedata o:title=""/>
                <o:lock v:ext="edit" aspectratio="f"/>
              </v:shape>
            </w:pict>
          </mc:Fallback>
        </mc:AlternateContent>
      </w:r>
      <w:r>
        <w:rPr>
          <w:rFonts w:hint="default" w:ascii="Times New Roman" w:hAnsi="Times New Roman" w:eastAsia="宋体" w:cs="Times New Roman"/>
          <w:color w:val="000000"/>
          <w:lang w:eastAsia="zh-CN"/>
        </w:rPr>
        <w:drawing>
          <wp:inline distT="0" distB="0" distL="114300" distR="114300">
            <wp:extent cx="5263515" cy="7442835"/>
            <wp:effectExtent l="0" t="0" r="9525" b="9525"/>
            <wp:docPr id="4" name="图片 4" descr="水系图3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水系图3 Model (1)"/>
                    <pic:cNvPicPr>
                      <a:picLocks noChangeAspect="1"/>
                    </pic:cNvPicPr>
                  </pic:nvPicPr>
                  <pic:blipFill>
                    <a:blip r:embed="rId22"/>
                    <a:stretch>
                      <a:fillRect/>
                    </a:stretch>
                  </pic:blipFill>
                  <pic:spPr>
                    <a:xfrm>
                      <a:off x="0" y="0"/>
                      <a:ext cx="5263515" cy="7442835"/>
                    </a:xfrm>
                    <a:prstGeom prst="rect">
                      <a:avLst/>
                    </a:prstGeom>
                  </pic:spPr>
                </pic:pic>
              </a:graphicData>
            </a:graphic>
          </wp:inline>
        </w:drawing>
      </w:r>
      <w:r>
        <w:rPr>
          <w:rFonts w:hint="default" w:ascii="Times New Roman" w:hAnsi="Times New Roman" w:cs="Times New Roman"/>
          <w:b/>
          <w:color w:val="auto"/>
          <w:sz w:val="22"/>
        </w:rPr>
        <w:t>图</w:t>
      </w:r>
      <w:r>
        <w:rPr>
          <w:rFonts w:hint="default" w:ascii="Times New Roman" w:hAnsi="Times New Roman" w:cs="Times New Roman"/>
          <w:b/>
          <w:color w:val="auto"/>
          <w:sz w:val="22"/>
          <w:lang w:val="en-US" w:eastAsia="zh-CN"/>
        </w:rPr>
        <w:t>3-2</w:t>
      </w:r>
      <w:r>
        <w:rPr>
          <w:rFonts w:hint="default" w:ascii="Times New Roman" w:hAnsi="Times New Roman" w:cs="Times New Roman"/>
          <w:b/>
          <w:color w:val="auto"/>
          <w:sz w:val="22"/>
        </w:rPr>
        <w:t xml:space="preserve"> </w:t>
      </w:r>
      <w:r>
        <w:rPr>
          <w:rFonts w:hint="default" w:ascii="Times New Roman" w:hAnsi="Times New Roman" w:cs="Times New Roman"/>
          <w:b/>
          <w:color w:val="auto"/>
          <w:sz w:val="22"/>
          <w:lang w:eastAsia="zh-CN"/>
        </w:rPr>
        <w:t>开江县水系图</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56" w:name="_Toc609"/>
      <w:bookmarkStart w:id="57" w:name="_Toc23358"/>
      <w:r>
        <w:rPr>
          <w:rFonts w:hint="default" w:ascii="Times New Roman" w:hAnsi="Times New Roman" w:cs="Times New Roman"/>
          <w:color w:val="auto"/>
        </w:rPr>
        <w:t>3.1.4地质地貌状况</w:t>
      </w:r>
      <w:bookmarkEnd w:id="56"/>
      <w:bookmarkEnd w:id="57"/>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开江县位于川东北平行岭谷区，大巴山脉向南延伸的丘陵体系。境内地形起伏，地势总体上略高于毗邻县，境内分为前、后两厢，形成三低山夹两丘陵的地形。北部、中部、东南部较高，西部较低，平均海拔600m左右。最低点为拔妙乡的后槽口，海拔272m，最高点为灵岩乡半边槽的西侧山顶，海拔1372.80m，相对高差1100.8m。境内地貌属川东褶皱剥蚀—侵蚀低山丘陵谷地貌区。以上升剥蚀低山和丘陵为主。背斜成山，紧密狭窄，向斜为丘，平缓开阔，间有高地平坝。全县地貌分为平坝、台地、低丘、高丘、低山、低中山、山原7种地貌类型。</w:t>
      </w:r>
    </w:p>
    <w:p>
      <w:pPr>
        <w:spacing w:line="360" w:lineRule="auto"/>
        <w:ind w:firstLine="480" w:firstLineChars="200"/>
        <w:rPr>
          <w:rFonts w:hint="default" w:ascii="Times New Roman" w:hAnsi="Times New Roman" w:cs="Times New Roman"/>
          <w:color w:val="000000"/>
          <w:lang w:eastAsia="zh-CN"/>
        </w:rPr>
      </w:pPr>
      <w:r>
        <w:rPr>
          <w:rFonts w:hint="eastAsia" w:cs="Times New Roman"/>
          <w:color w:val="000000"/>
          <w:lang w:eastAsia="zh-CN"/>
        </w:rPr>
        <w:t>老河堰</w:t>
      </w:r>
      <w:r>
        <w:rPr>
          <w:rFonts w:hint="default" w:ascii="Times New Roman" w:hAnsi="Times New Roman" w:cs="Times New Roman"/>
          <w:color w:val="000000"/>
          <w:lang w:eastAsia="zh-CN"/>
        </w:rPr>
        <w:t>水库库区地势</w:t>
      </w:r>
      <w:r>
        <w:rPr>
          <w:rFonts w:hint="eastAsia" w:cs="Times New Roman"/>
          <w:color w:val="000000"/>
          <w:lang w:eastAsia="zh-CN"/>
        </w:rPr>
        <w:t>东</w:t>
      </w:r>
      <w:r>
        <w:rPr>
          <w:rFonts w:hint="default" w:ascii="Times New Roman" w:hAnsi="Times New Roman" w:cs="Times New Roman"/>
          <w:color w:val="000000"/>
          <w:lang w:eastAsia="zh-CN"/>
        </w:rPr>
        <w:t>高</w:t>
      </w:r>
      <w:r>
        <w:rPr>
          <w:rFonts w:hint="eastAsia" w:cs="Times New Roman"/>
          <w:color w:val="000000"/>
          <w:lang w:eastAsia="zh-CN"/>
        </w:rPr>
        <w:t>西</w:t>
      </w:r>
      <w:r>
        <w:rPr>
          <w:rFonts w:hint="default" w:ascii="Times New Roman" w:hAnsi="Times New Roman" w:cs="Times New Roman"/>
          <w:color w:val="000000"/>
          <w:lang w:eastAsia="zh-CN"/>
        </w:rPr>
        <w:t>低。</w:t>
      </w:r>
      <w:r>
        <w:rPr>
          <w:rFonts w:hint="eastAsia" w:cs="Times New Roman"/>
          <w:color w:val="000000"/>
          <w:lang w:eastAsia="zh-CN"/>
        </w:rPr>
        <w:t>老河堰</w:t>
      </w:r>
      <w:r>
        <w:rPr>
          <w:rFonts w:hint="default" w:ascii="Times New Roman" w:hAnsi="Times New Roman" w:cs="Times New Roman"/>
          <w:color w:val="000000"/>
          <w:lang w:eastAsia="zh-CN"/>
        </w:rPr>
        <w:t>水库北部和中部为丘陵地貌，坡度较大，而南部沿岸及泄洪道外坡度较缓，</w:t>
      </w:r>
      <w:r>
        <w:rPr>
          <w:rFonts w:hint="eastAsia" w:cs="Times New Roman"/>
          <w:color w:val="000000"/>
          <w:lang w:eastAsia="zh-CN"/>
        </w:rPr>
        <w:t>永兴镇</w:t>
      </w:r>
      <w:r>
        <w:rPr>
          <w:rFonts w:hint="default" w:ascii="Times New Roman" w:hAnsi="Times New Roman" w:cs="Times New Roman"/>
          <w:color w:val="000000"/>
          <w:lang w:eastAsia="zh-CN"/>
        </w:rPr>
        <w:t>等区域地势稍缓。</w:t>
      </w:r>
      <w:r>
        <w:rPr>
          <w:rFonts w:hint="eastAsia" w:cs="Times New Roman"/>
          <w:color w:val="000000"/>
          <w:lang w:eastAsia="zh-CN"/>
        </w:rPr>
        <w:t>老河堰</w:t>
      </w:r>
      <w:r>
        <w:rPr>
          <w:rFonts w:hint="default" w:ascii="Times New Roman" w:hAnsi="Times New Roman" w:cs="Times New Roman"/>
          <w:color w:val="000000"/>
          <w:lang w:eastAsia="zh-CN"/>
        </w:rPr>
        <w:t>水库及坝址段在地址构造中均无断裂及褶皱存在，</w:t>
      </w:r>
      <w:r>
        <w:rPr>
          <w:rFonts w:hint="default" w:ascii="Times New Roman" w:hAnsi="Times New Roman" w:cs="Times New Roman"/>
          <w:color w:val="FF0000"/>
          <w:lang w:eastAsia="zh-CN"/>
        </w:rPr>
        <w:t>主坝坝基覆盖厚度6~7m，基本以泥岩为主，夹薄层泥质粉砂岩，表面风化深2~4m，下部岩石新鲜完整，地震基本裂度为6度。</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color w:val="auto"/>
        </w:rPr>
      </w:pPr>
      <w:bookmarkStart w:id="58" w:name="_Toc10990"/>
      <w:bookmarkStart w:id="59" w:name="_Toc25473"/>
      <w:r>
        <w:rPr>
          <w:rFonts w:hint="default" w:ascii="Times New Roman" w:hAnsi="Times New Roman" w:cs="Times New Roman"/>
          <w:color w:val="auto"/>
        </w:rPr>
        <w:t>3.2社会经济状况</w:t>
      </w:r>
      <w:bookmarkEnd w:id="58"/>
      <w:bookmarkEnd w:id="59"/>
    </w:p>
    <w:p>
      <w:pPr>
        <w:spacing w:line="360" w:lineRule="auto"/>
        <w:ind w:firstLine="480" w:firstLineChars="200"/>
        <w:rPr>
          <w:rFonts w:hint="default" w:ascii="Times New Roman" w:hAnsi="Times New Roman" w:cs="Times New Roman"/>
          <w:color w:val="000000"/>
        </w:rPr>
      </w:pPr>
      <w:bookmarkStart w:id="60" w:name="_Toc3137"/>
      <w:bookmarkStart w:id="61" w:name="_Toc7952"/>
      <w:r>
        <w:rPr>
          <w:rFonts w:hint="default" w:ascii="Times New Roman" w:hAnsi="Times New Roman" w:cs="Times New Roman"/>
          <w:color w:val="000000"/>
        </w:rPr>
        <w:t>2015年是“十二五”规划收官之年。一年来，在市委、市政府的坚强领导下，县委、县政府带领全县人民，深入贯彻落实党的十八届三中、四中、五中全会精神，牢牢把握“稳中求进”工作总基调，主动适应新常态，积极抢抓新机遇，有效应对新挑战，面对压力，保持定力，精准发力，坚定不移抓发展，全心全意保民生，较好地完成了年度各项目标任务。实现了“十二五”圆满收官，为“十三五”经济社会发展、全面建成小康社会奠定了坚实基础。</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一、综  合</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2015年实现(GDP)1040611万元，同比增长4.4%。分产业看，第一产业实现增加值295532万元，增长3.7%；第二产业实现增加值447761万元，增长2.3%；第三产业实现增加值297318万元，增长9.2%，三次产业结构比为28.4:43.03:28.57，三次产业对GDP的贡献率分别为20.4%、26.2%和53.4%，分别拉动GDP增长0.9个百分点、1.2个百分点、2.3个百分点。全县人均GDP23379元，比上年增长2.7%。</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二、农业</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2015年全县实现农林牧渔总产值489242万元，增长4.4%。全年粮食产量260999吨，比上年增产6694吨，增长2.6%；全年畜牧业总产值197318万元，增长4.0%；林业生产持续发展。全年完成造林面积1560公顷，年末森林覆盖率39.46%。</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三、工业和建筑业</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工业增速放慢。全年全部工业增加值373815万元，增长1.4%，对经济增长的贡献率达到18.2％。建筑业保持较快发展，全年全社会建筑业实现增加值78369万元，增长7.9%。全县共有资质等级的建筑企业8户，实现总产值277472万元，增长19%；利润14966万元，增长8.2%。</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四、全社会固定资产投资</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固定资产投资继续保持较快增长。全社会固定资产投资完成1030130万元，增长13%。其中固定资产投资（不含农户投资）990130万元，增长12.7%。房地产开发投资下降。房地产开发经营企业3家，完成投资5379万元，下降66.2%。全年商品房施工面积 202205平方米，下降62.8%；商品房现房销售面积 116302平方米,增长5倍。全年建成投产项目212个，项目建成投产率58.2%，新增固定资产763078万元，增长4%。</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五、国内贸易和对外经济</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城乡消费需求旺盛。在国家扩大内需政策的推动下，城乡消费市场持续活跃，以汽车、通讯、服装为主的大类商品销售趋旺。全县累计实现社会消费品零售总额505310.4万元，同比增长13.1%。</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六、交通运输业</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交通运输业稳步发展。2015年末，全县境内修建公路总里程192公里，其中，县乡通乡联网、断头路改造120公里，通村公路72公里，100%的乡镇实现通油路、水泥路。交通运输业稳步发展。年末全县境内公路里程1729公里，其中：等级公路(含一、二、三、四级等级公路)通车里程1482公里，高速公路32公里，铁路运营里程17.1公里。全年完成货物周转量18420万吨公里；客运周转量16078万人公里。</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七、人口、人民生活和社会保障</w:t>
      </w:r>
    </w:p>
    <w:p>
      <w:pPr>
        <w:spacing w:line="360" w:lineRule="auto"/>
        <w:ind w:firstLine="480" w:firstLineChars="200"/>
        <w:rPr>
          <w:rFonts w:hint="default" w:ascii="Times New Roman" w:hAnsi="Times New Roman" w:cs="Times New Roman"/>
          <w:color w:val="000000"/>
        </w:rPr>
      </w:pPr>
      <w:bookmarkStart w:id="62" w:name="_1213429612"/>
      <w:bookmarkEnd w:id="62"/>
      <w:bookmarkStart w:id="63" w:name="_1179119346"/>
      <w:bookmarkEnd w:id="63"/>
      <w:bookmarkStart w:id="64" w:name="_1175501294"/>
      <w:bookmarkEnd w:id="64"/>
      <w:bookmarkStart w:id="65" w:name="_1175513494"/>
      <w:bookmarkEnd w:id="65"/>
      <w:bookmarkStart w:id="66" w:name="_1175502377"/>
      <w:bookmarkEnd w:id="66"/>
      <w:bookmarkStart w:id="67" w:name="_1175577102"/>
      <w:bookmarkEnd w:id="67"/>
      <w:bookmarkStart w:id="68" w:name="_1175601901"/>
      <w:bookmarkEnd w:id="68"/>
      <w:bookmarkStart w:id="69" w:name="_1175663598"/>
      <w:bookmarkEnd w:id="69"/>
      <w:bookmarkStart w:id="70" w:name="_1175606266"/>
      <w:bookmarkEnd w:id="70"/>
      <w:bookmarkStart w:id="71" w:name="_1175611366"/>
      <w:bookmarkEnd w:id="71"/>
      <w:bookmarkStart w:id="72" w:name="_1175667297"/>
      <w:bookmarkEnd w:id="72"/>
      <w:bookmarkStart w:id="73" w:name="_1175670436"/>
      <w:bookmarkEnd w:id="73"/>
      <w:bookmarkStart w:id="74" w:name="_1178344122"/>
      <w:bookmarkEnd w:id="74"/>
      <w:bookmarkStart w:id="75" w:name="_1179121112"/>
      <w:bookmarkEnd w:id="75"/>
      <w:bookmarkStart w:id="76" w:name="_1179119327"/>
      <w:bookmarkEnd w:id="76"/>
      <w:bookmarkStart w:id="77" w:name="_1181393715"/>
      <w:bookmarkEnd w:id="77"/>
      <w:bookmarkStart w:id="78" w:name="_1181484218"/>
      <w:bookmarkEnd w:id="78"/>
      <w:bookmarkStart w:id="79" w:name="_1181562093"/>
      <w:bookmarkEnd w:id="79"/>
      <w:bookmarkStart w:id="80" w:name="_1181565204"/>
      <w:bookmarkEnd w:id="80"/>
      <w:bookmarkStart w:id="81" w:name="_1181563679"/>
      <w:bookmarkEnd w:id="81"/>
      <w:bookmarkStart w:id="82" w:name="_1181571677"/>
      <w:bookmarkEnd w:id="82"/>
      <w:bookmarkStart w:id="83" w:name="_1181625285"/>
      <w:bookmarkEnd w:id="83"/>
      <w:bookmarkStart w:id="84" w:name="_1181626186"/>
      <w:bookmarkEnd w:id="84"/>
      <w:bookmarkStart w:id="85" w:name="_1186983083"/>
      <w:bookmarkEnd w:id="85"/>
      <w:bookmarkStart w:id="86" w:name="_1186981743"/>
      <w:bookmarkEnd w:id="86"/>
      <w:bookmarkStart w:id="87" w:name="_1202627653"/>
      <w:bookmarkEnd w:id="87"/>
      <w:bookmarkStart w:id="88" w:name="_1213425196"/>
      <w:bookmarkEnd w:id="88"/>
      <w:bookmarkStart w:id="89" w:name="_1213427530"/>
      <w:bookmarkEnd w:id="89"/>
      <w:bookmarkStart w:id="90" w:name="_1175611383"/>
      <w:bookmarkEnd w:id="90"/>
      <w:bookmarkStart w:id="91" w:name="_1175606284"/>
      <w:bookmarkEnd w:id="91"/>
      <w:bookmarkStart w:id="92" w:name="_1175663616"/>
      <w:bookmarkEnd w:id="92"/>
      <w:bookmarkStart w:id="93" w:name="_1175667314"/>
      <w:bookmarkEnd w:id="93"/>
      <w:bookmarkStart w:id="94" w:name="_1175670454"/>
      <w:bookmarkEnd w:id="94"/>
      <w:bookmarkStart w:id="95" w:name="_1178344139"/>
      <w:bookmarkEnd w:id="95"/>
      <w:bookmarkStart w:id="96" w:name="_1175601919"/>
      <w:bookmarkEnd w:id="96"/>
      <w:bookmarkStart w:id="97" w:name="_1175513511"/>
      <w:bookmarkEnd w:id="97"/>
      <w:bookmarkStart w:id="98" w:name="_1179121129"/>
      <w:bookmarkEnd w:id="98"/>
      <w:bookmarkStart w:id="99" w:name="_1186981761"/>
      <w:bookmarkEnd w:id="99"/>
      <w:bookmarkStart w:id="100" w:name="_1213429658"/>
      <w:bookmarkEnd w:id="100"/>
      <w:bookmarkStart w:id="101" w:name="_1181626203"/>
      <w:bookmarkEnd w:id="101"/>
      <w:bookmarkStart w:id="102" w:name="_1213432926"/>
      <w:bookmarkEnd w:id="102"/>
      <w:bookmarkStart w:id="103" w:name="_1186983100"/>
      <w:bookmarkEnd w:id="103"/>
      <w:bookmarkStart w:id="104" w:name="_1213430927"/>
      <w:bookmarkEnd w:id="104"/>
      <w:bookmarkStart w:id="105" w:name="_1213427548"/>
      <w:bookmarkEnd w:id="105"/>
      <w:bookmarkStart w:id="106" w:name="_1181393734"/>
      <w:bookmarkEnd w:id="106"/>
      <w:bookmarkStart w:id="107" w:name="_1213427864"/>
      <w:bookmarkEnd w:id="107"/>
      <w:bookmarkStart w:id="108" w:name="_1175501556"/>
      <w:bookmarkEnd w:id="108"/>
      <w:bookmarkStart w:id="109" w:name="_1175502394"/>
      <w:bookmarkEnd w:id="109"/>
      <w:bookmarkStart w:id="110" w:name="_1175577120"/>
      <w:bookmarkEnd w:id="110"/>
      <w:bookmarkStart w:id="111" w:name="_1181625303"/>
      <w:bookmarkEnd w:id="111"/>
      <w:bookmarkStart w:id="112" w:name="_1213432943"/>
      <w:bookmarkEnd w:id="112"/>
      <w:bookmarkStart w:id="113" w:name="_1181571694"/>
      <w:bookmarkEnd w:id="113"/>
      <w:bookmarkStart w:id="114" w:name="_1181565186"/>
      <w:bookmarkEnd w:id="114"/>
      <w:bookmarkStart w:id="115" w:name="_1213430944"/>
      <w:bookmarkEnd w:id="115"/>
      <w:bookmarkStart w:id="116" w:name="_1181563696"/>
      <w:bookmarkEnd w:id="116"/>
      <w:bookmarkStart w:id="117" w:name="_1181562111"/>
      <w:bookmarkEnd w:id="117"/>
      <w:bookmarkStart w:id="118" w:name="_1213427847"/>
      <w:bookmarkEnd w:id="118"/>
      <w:bookmarkStart w:id="119" w:name="_1181484200"/>
      <w:bookmarkEnd w:id="119"/>
      <w:r>
        <w:rPr>
          <w:rFonts w:hint="default" w:ascii="Times New Roman" w:hAnsi="Times New Roman" w:cs="Times New Roman"/>
          <w:color w:val="000000"/>
        </w:rPr>
        <w:t>2015年末全县公安户籍总人口为60.3万人，其中非农业人口10.99万人，常住人口44.97万人，其中城镇人口16.41 万人，城镇化率36.5%；全年出生人口8430人，出生人口性别男女比为100.9：100。2015年人口出生率为14.06‰,死亡率为7.33‰，自然增长率为6.73‰。</w:t>
      </w:r>
    </w:p>
    <w:p>
      <w:pPr>
        <w:spacing w:line="360" w:lineRule="auto"/>
        <w:ind w:firstLine="480" w:firstLineChars="200"/>
        <w:rPr>
          <w:rFonts w:hint="default" w:ascii="Times New Roman" w:hAnsi="Times New Roman" w:cs="Times New Roman"/>
          <w:color w:val="000000"/>
        </w:rPr>
      </w:pPr>
      <w:r>
        <w:rPr>
          <w:rFonts w:hint="default" w:ascii="Times New Roman" w:hAnsi="Times New Roman" w:cs="Times New Roman"/>
          <w:color w:val="000000"/>
        </w:rPr>
        <w:t>城镇居民收入稳步增加。全年城镇居民人均可支配收入21937元，增加1692元，增长8.4%，其中工资性收入12701元，增长7.9%，经营净收入4007元，增长9.7%，财产性净收入1330元，增长10.4%，转移性净收入3899元，增长7.8%。人均消费支出16529元，增加1359元，增长8.96%。用于食品烟酒、居住、生活用品、交通通讯、医疗保健等方面的费用增加较多：食品烟酒支出增长9.2%，居住支出增长9.7%，生活用品、交通通讯支出分别增长9.1%，医疗保健支出增长8.5%。</w:t>
      </w:r>
    </w:p>
    <w:bookmarkEnd w:id="60"/>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1"/>
        <w:rPr>
          <w:rFonts w:hint="eastAsia" w:cs="Times New Roman"/>
          <w:b/>
          <w:bCs/>
          <w:color w:val="FF0000"/>
          <w:sz w:val="28"/>
          <w:szCs w:val="32"/>
          <w:lang w:eastAsia="zh-CN"/>
        </w:rPr>
      </w:pPr>
      <w:r>
        <w:rPr>
          <w:rFonts w:hint="default" w:ascii="Times New Roman" w:hAnsi="Times New Roman" w:cs="Times New Roman"/>
          <w:b/>
          <w:bCs/>
          <w:color w:val="FF0000"/>
          <w:sz w:val="28"/>
          <w:szCs w:val="32"/>
        </w:rPr>
        <w:t>3.</w:t>
      </w:r>
      <w:r>
        <w:rPr>
          <w:rFonts w:hint="eastAsia" w:cs="Times New Roman"/>
          <w:b/>
          <w:bCs/>
          <w:color w:val="FF0000"/>
          <w:sz w:val="28"/>
          <w:szCs w:val="32"/>
          <w:lang w:val="en-US" w:eastAsia="zh-CN"/>
        </w:rPr>
        <w:t>3</w:t>
      </w:r>
      <w:r>
        <w:rPr>
          <w:rFonts w:hint="eastAsia" w:cs="Times New Roman"/>
          <w:b/>
          <w:bCs/>
          <w:color w:val="FF0000"/>
          <w:sz w:val="28"/>
          <w:szCs w:val="32"/>
          <w:lang w:eastAsia="zh-CN"/>
        </w:rPr>
        <w:t>人类活动影响调查</w:t>
      </w:r>
    </w:p>
    <w:p>
      <w:pPr>
        <w:numPr>
          <w:ilvl w:val="0"/>
          <w:numId w:val="1"/>
        </w:numPr>
        <w:spacing w:line="360" w:lineRule="auto"/>
        <w:ind w:firstLine="480" w:firstLineChars="200"/>
        <w:rPr>
          <w:rFonts w:hint="eastAsia" w:cs="Times New Roman"/>
          <w:color w:val="000000"/>
          <w:lang w:eastAsia="zh-CN"/>
        </w:rPr>
      </w:pPr>
      <w:r>
        <w:rPr>
          <w:rFonts w:hint="eastAsia" w:cs="Times New Roman"/>
          <w:color w:val="000000"/>
          <w:lang w:eastAsia="zh-CN"/>
        </w:rPr>
        <w:t>乡镇分布</w:t>
      </w:r>
    </w:p>
    <w:p>
      <w:pPr>
        <w:numPr>
          <w:ilvl w:val="0"/>
          <w:numId w:val="0"/>
        </w:numPr>
        <w:spacing w:line="360" w:lineRule="auto"/>
        <w:ind w:firstLine="480" w:firstLineChars="200"/>
        <w:rPr>
          <w:rFonts w:hint="eastAsia" w:cs="Times New Roman"/>
          <w:color w:val="000000"/>
          <w:lang w:eastAsia="zh-CN"/>
        </w:rPr>
      </w:pPr>
      <w:r>
        <w:rPr>
          <w:rFonts w:hint="eastAsia" w:cs="Times New Roman"/>
          <w:color w:val="000000"/>
          <w:lang w:eastAsia="zh-CN"/>
        </w:rPr>
        <w:t>保护区所在镇为永兴镇，水库西南侧为老河堰村，西侧为放牛坪村，南侧为九节龙村。项目南侧和北侧主要为林地，荒地等。保护区涉及的村庄主要为熊家湾村、炮头上村、寨子坪村。</w:t>
      </w:r>
    </w:p>
    <w:p>
      <w:pPr>
        <w:numPr>
          <w:ilvl w:val="0"/>
          <w:numId w:val="1"/>
        </w:numPr>
        <w:spacing w:line="360" w:lineRule="auto"/>
        <w:ind w:firstLine="480" w:firstLineChars="200"/>
        <w:rPr>
          <w:rFonts w:hint="eastAsia" w:cs="Times New Roman"/>
          <w:color w:val="000000"/>
          <w:lang w:eastAsia="zh-CN"/>
        </w:rPr>
      </w:pPr>
      <w:r>
        <w:rPr>
          <w:rFonts w:hint="eastAsia" w:cs="Times New Roman"/>
          <w:color w:val="000000"/>
          <w:lang w:eastAsia="zh-CN"/>
        </w:rPr>
        <w:t>城镇生活</w:t>
      </w:r>
    </w:p>
    <w:p>
      <w:pPr>
        <w:numPr>
          <w:ilvl w:val="0"/>
          <w:numId w:val="0"/>
        </w:numPr>
        <w:spacing w:line="360" w:lineRule="auto"/>
        <w:ind w:firstLine="480" w:firstLineChars="200"/>
        <w:rPr>
          <w:rFonts w:hint="eastAsia" w:cs="Times New Roman"/>
          <w:color w:val="000000"/>
          <w:lang w:eastAsia="zh-CN"/>
        </w:rPr>
      </w:pPr>
      <w:r>
        <w:rPr>
          <w:rFonts w:hint="eastAsia" w:cs="Times New Roman"/>
          <w:color w:val="000000"/>
          <w:lang w:eastAsia="zh-CN"/>
        </w:rPr>
        <w:t>由于保护区内无国道和省道，只有一条乡道，设置在取水口西北侧，道路两侧有一定的居民，现有的生活污水主要用作农田灌溉或直接排入周围的渠道中。</w:t>
      </w:r>
    </w:p>
    <w:p>
      <w:pPr>
        <w:numPr>
          <w:ilvl w:val="0"/>
          <w:numId w:val="1"/>
        </w:numPr>
        <w:spacing w:line="360" w:lineRule="auto"/>
        <w:ind w:firstLine="480" w:firstLineChars="200"/>
        <w:rPr>
          <w:rFonts w:hint="eastAsia" w:cs="Times New Roman"/>
          <w:color w:val="000000"/>
          <w:lang w:eastAsia="zh-CN"/>
        </w:rPr>
      </w:pPr>
      <w:r>
        <w:rPr>
          <w:rFonts w:hint="eastAsia" w:cs="Times New Roman"/>
          <w:color w:val="000000"/>
          <w:lang w:eastAsia="zh-CN"/>
        </w:rPr>
        <w:t>工业生产</w:t>
      </w:r>
    </w:p>
    <w:p>
      <w:pPr>
        <w:numPr>
          <w:ilvl w:val="0"/>
          <w:numId w:val="0"/>
        </w:numPr>
        <w:spacing w:line="360" w:lineRule="auto"/>
        <w:ind w:firstLine="480" w:firstLineChars="200"/>
        <w:rPr>
          <w:rFonts w:hint="default" w:ascii="Times New Roman" w:hAnsi="Times New Roman" w:cs="Times New Roman"/>
          <w:color w:val="000000"/>
        </w:rPr>
      </w:pPr>
      <w:r>
        <w:rPr>
          <w:rFonts w:hint="eastAsia" w:cs="Times New Roman"/>
          <w:color w:val="000000"/>
          <w:lang w:eastAsia="zh-CN"/>
        </w:rPr>
        <w:t>根据调查可知，老河堰水库四周无工业企业</w:t>
      </w:r>
      <w:r>
        <w:rPr>
          <w:rFonts w:hint="default" w:ascii="Times New Roman" w:hAnsi="Times New Roman" w:cs="Times New Roman"/>
          <w:color w:val="000000"/>
        </w:rPr>
        <w:t>。</w:t>
      </w:r>
    </w:p>
    <w:p>
      <w:pPr>
        <w:numPr>
          <w:ilvl w:val="0"/>
          <w:numId w:val="1"/>
        </w:numPr>
        <w:spacing w:line="360" w:lineRule="auto"/>
        <w:ind w:firstLine="480" w:firstLineChars="200"/>
        <w:rPr>
          <w:rFonts w:hint="eastAsia" w:cs="Times New Roman"/>
          <w:color w:val="000000"/>
          <w:lang w:eastAsia="zh-CN"/>
        </w:rPr>
      </w:pPr>
      <w:r>
        <w:rPr>
          <w:rFonts w:hint="eastAsia" w:cs="Times New Roman"/>
          <w:color w:val="000000"/>
          <w:lang w:eastAsia="zh-CN"/>
        </w:rPr>
        <w:t>畜禽养殖</w:t>
      </w:r>
    </w:p>
    <w:p>
      <w:pPr>
        <w:numPr>
          <w:ilvl w:val="0"/>
          <w:numId w:val="0"/>
        </w:numPr>
        <w:spacing w:line="360" w:lineRule="auto"/>
        <w:rPr>
          <w:rFonts w:hint="eastAsia" w:cs="Times New Roman"/>
          <w:color w:val="000000"/>
          <w:lang w:val="en-US" w:eastAsia="zh-CN"/>
        </w:rPr>
      </w:pPr>
      <w:r>
        <w:rPr>
          <w:rFonts w:hint="eastAsia" w:cs="Times New Roman"/>
          <w:color w:val="000000"/>
          <w:lang w:val="en-US" w:eastAsia="zh-CN"/>
        </w:rPr>
        <w:t xml:space="preserve">     经调查，调查范围内主要存在有两家规模化的畜禽养殖场，主要为养猪场，分别位于老河堰水库的西北侧，及西侧。距离老河堰取水口分别为106m和56m。目前根据现场调查可知，该两个猪场正在建设中，未投入使用。其余为分散养殖，饲养种类主要为鸡、鸭、猪等。</w:t>
      </w:r>
    </w:p>
    <w:p>
      <w:pPr>
        <w:numPr>
          <w:ilvl w:val="0"/>
          <w:numId w:val="1"/>
        </w:numPr>
        <w:spacing w:line="360" w:lineRule="auto"/>
        <w:ind w:firstLine="480" w:firstLineChars="200"/>
        <w:rPr>
          <w:rFonts w:hint="eastAsia" w:cs="Times New Roman"/>
          <w:color w:val="000000"/>
          <w:lang w:eastAsia="zh-CN"/>
        </w:rPr>
      </w:pPr>
      <w:r>
        <w:rPr>
          <w:rFonts w:hint="eastAsia" w:cs="Times New Roman"/>
          <w:color w:val="000000"/>
          <w:lang w:eastAsia="zh-CN"/>
        </w:rPr>
        <w:t>农业生产</w:t>
      </w:r>
    </w:p>
    <w:p>
      <w:pPr>
        <w:numPr>
          <w:ilvl w:val="0"/>
          <w:numId w:val="0"/>
        </w:numPr>
        <w:spacing w:line="360" w:lineRule="auto"/>
        <w:rPr>
          <w:rFonts w:hint="eastAsia" w:cs="Times New Roman"/>
          <w:color w:val="000000"/>
          <w:lang w:val="en-US" w:eastAsia="zh-CN"/>
        </w:rPr>
      </w:pPr>
      <w:r>
        <w:rPr>
          <w:rFonts w:hint="eastAsia" w:cs="Times New Roman"/>
          <w:color w:val="000000"/>
          <w:lang w:val="en-US" w:eastAsia="zh-CN"/>
        </w:rPr>
        <w:t xml:space="preserve">    根据开江县农业发展发展规划可知，开江县永兴镇主要为水果生产基地，另外种植有玉米、豆类等农作物种植为主和以小家禽饲养、生猪的畜牧业及水产养殖为主。调查范围内农田的开垦程度较高，生产过程中会使用一定的量的化肥、农药，对老河堰水质造成一定的影响。</w:t>
      </w:r>
    </w:p>
    <w:p>
      <w:pPr>
        <w:numPr>
          <w:ilvl w:val="0"/>
          <w:numId w:val="0"/>
        </w:numPr>
        <w:spacing w:line="360" w:lineRule="auto"/>
        <w:rPr>
          <w:rFonts w:hint="eastAsia"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1"/>
        <w:rPr>
          <w:rFonts w:hint="default" w:cs="Times New Roman"/>
          <w:b/>
          <w:bCs/>
          <w:color w:val="FF0000"/>
          <w:sz w:val="28"/>
          <w:szCs w:val="32"/>
          <w:lang w:eastAsia="zh-CN"/>
        </w:rPr>
      </w:pPr>
    </w:p>
    <w:p>
      <w:pPr>
        <w:spacing w:line="360" w:lineRule="auto"/>
        <w:ind w:firstLine="480" w:firstLineChars="200"/>
        <w:rPr>
          <w:rFonts w:hint="default" w:ascii="Times New Roman" w:hAnsi="Times New Roman" w:cs="Times New Roman"/>
          <w:color w:val="000000"/>
        </w:rPr>
      </w:pPr>
    </w:p>
    <w:bookmarkEnd w:id="61"/>
    <w:p>
      <w:pPr>
        <w:pStyle w:val="2"/>
        <w:keepNext/>
        <w:keepLines/>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center"/>
        <w:textAlignment w:val="auto"/>
        <w:outlineLvl w:val="0"/>
        <w:rPr>
          <w:rFonts w:hint="default" w:ascii="Times New Roman" w:hAnsi="Times New Roman" w:cs="Times New Roman"/>
          <w:color w:val="auto"/>
        </w:rPr>
      </w:pPr>
      <w:bookmarkStart w:id="120" w:name="_Toc7976"/>
      <w:r>
        <w:rPr>
          <w:rFonts w:hint="default" w:ascii="Times New Roman" w:hAnsi="Times New Roman" w:cs="Times New Roman"/>
          <w:color w:val="auto"/>
          <w:lang w:val="en-US" w:eastAsia="zh-CN"/>
        </w:rPr>
        <w:br w:type="page"/>
      </w:r>
      <w:bookmarkEnd w:id="120"/>
      <w:bookmarkStart w:id="121" w:name="_Toc26343"/>
      <w:bookmarkStart w:id="122" w:name="_Toc19315"/>
      <w:r>
        <w:rPr>
          <w:rFonts w:hint="eastAsia" w:cs="Times New Roman"/>
          <w:color w:val="auto"/>
          <w:lang w:val="en-US" w:eastAsia="zh-CN"/>
        </w:rPr>
        <w:t>4</w:t>
      </w:r>
      <w:r>
        <w:rPr>
          <w:rFonts w:hint="default" w:ascii="Times New Roman" w:hAnsi="Times New Roman" w:cs="Times New Roman"/>
          <w:color w:val="auto"/>
        </w:rPr>
        <w:t xml:space="preserve"> </w:t>
      </w:r>
      <w:bookmarkEnd w:id="121"/>
      <w:r>
        <w:rPr>
          <w:rFonts w:hint="default" w:ascii="Times New Roman" w:hAnsi="Times New Roman" w:cs="Times New Roman"/>
          <w:color w:val="auto"/>
          <w:lang w:eastAsia="zh-CN"/>
        </w:rPr>
        <w:t>水源地环境状况</w:t>
      </w:r>
      <w:bookmarkEnd w:id="122"/>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color w:val="auto"/>
        </w:rPr>
      </w:pPr>
      <w:bookmarkStart w:id="123" w:name="_Toc8242"/>
      <w:bookmarkStart w:id="124" w:name="_Toc705"/>
      <w:r>
        <w:rPr>
          <w:rFonts w:hint="eastAsia" w:ascii="Times New Roman" w:hAnsi="Times New Roman" w:cs="Times New Roman"/>
          <w:color w:val="auto"/>
          <w:lang w:val="en-US" w:eastAsia="zh-CN"/>
        </w:rPr>
        <w:t>4</w:t>
      </w:r>
      <w:r>
        <w:rPr>
          <w:rFonts w:hint="default" w:ascii="Times New Roman" w:hAnsi="Times New Roman" w:cs="Times New Roman"/>
          <w:color w:val="auto"/>
        </w:rPr>
        <w:t>.1水环境风险识别</w:t>
      </w:r>
      <w:bookmarkEnd w:id="123"/>
      <w:bookmarkEnd w:id="124"/>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25" w:name="_Toc5528"/>
      <w:bookmarkStart w:id="126" w:name="_Toc1758"/>
      <w:bookmarkStart w:id="127" w:name="_Toc2989"/>
      <w:r>
        <w:rPr>
          <w:rFonts w:hint="eastAsia" w:ascii="Times New Roman" w:hAnsi="Times New Roman" w:cs="Times New Roman"/>
          <w:color w:val="auto"/>
          <w:lang w:val="en-US" w:eastAsia="zh-CN"/>
        </w:rPr>
        <w:t>4</w:t>
      </w:r>
      <w:r>
        <w:rPr>
          <w:rFonts w:hint="default" w:ascii="Times New Roman" w:hAnsi="Times New Roman" w:cs="Times New Roman"/>
          <w:color w:val="auto"/>
        </w:rPr>
        <w:t>.1.1农业面源污染源</w:t>
      </w:r>
      <w:bookmarkEnd w:id="125"/>
      <w:bookmarkEnd w:id="126"/>
      <w:bookmarkEnd w:id="127"/>
    </w:p>
    <w:p>
      <w:pPr>
        <w:spacing w:line="360" w:lineRule="auto"/>
        <w:ind w:firstLine="480" w:firstLineChars="200"/>
        <w:rPr>
          <w:rFonts w:hint="default" w:ascii="Times New Roman" w:hAnsi="Times New Roman" w:cs="Times New Roman" w:eastAsiaTheme="minorEastAsia"/>
          <w:b/>
          <w:sz w:val="21"/>
        </w:rPr>
      </w:pPr>
      <w:bookmarkStart w:id="128" w:name="_Toc32153"/>
      <w:r>
        <w:rPr>
          <w:rFonts w:hint="default" w:ascii="Times New Roman" w:hAnsi="Times New Roman" w:cs="Times New Roman"/>
          <w:color w:val="FF0000"/>
        </w:rPr>
        <w:t>根据调查，四川省</w:t>
      </w:r>
      <w:r>
        <w:rPr>
          <w:rFonts w:hint="default" w:ascii="Times New Roman" w:hAnsi="Times New Roman" w:cs="Times New Roman"/>
          <w:color w:val="FF0000"/>
          <w:lang w:eastAsia="zh-CN"/>
        </w:rPr>
        <w:t>开江县县城</w:t>
      </w:r>
      <w:r>
        <w:rPr>
          <w:rFonts w:hint="eastAsia" w:cs="Times New Roman"/>
          <w:color w:val="FF0000"/>
          <w:lang w:eastAsia="zh-CN"/>
        </w:rPr>
        <w:t>老河堰</w:t>
      </w:r>
      <w:r>
        <w:rPr>
          <w:rFonts w:hint="default" w:ascii="Times New Roman" w:hAnsi="Times New Roman" w:cs="Times New Roman"/>
          <w:color w:val="FF0000"/>
          <w:lang w:eastAsia="zh-CN"/>
        </w:rPr>
        <w:t>水库</w:t>
      </w:r>
      <w:r>
        <w:rPr>
          <w:rFonts w:hint="eastAsia" w:cs="Times New Roman"/>
          <w:color w:val="FF0000"/>
          <w:lang w:eastAsia="zh-CN"/>
        </w:rPr>
        <w:t>备用</w:t>
      </w:r>
      <w:r>
        <w:rPr>
          <w:rFonts w:hint="default" w:ascii="Times New Roman" w:hAnsi="Times New Roman" w:cs="Times New Roman"/>
          <w:color w:val="FF0000"/>
        </w:rPr>
        <w:t>饮用水源地保护区项目区共有耕地约</w:t>
      </w:r>
      <w:r>
        <w:rPr>
          <w:rFonts w:hint="eastAsia" w:cs="Times New Roman"/>
          <w:color w:val="FF0000"/>
          <w:lang w:val="en-US" w:eastAsia="zh-CN"/>
        </w:rPr>
        <w:t>200000㎡，约300亩</w:t>
      </w:r>
      <w:r>
        <w:rPr>
          <w:rFonts w:hint="default" w:ascii="Times New Roman" w:hAnsi="Times New Roman" w:cs="Times New Roman"/>
        </w:rPr>
        <w:t>。主要种植</w:t>
      </w:r>
      <w:r>
        <w:rPr>
          <w:rFonts w:hint="eastAsia" w:cs="Times New Roman"/>
          <w:lang w:eastAsia="zh-CN"/>
        </w:rPr>
        <w:t>蔬菜</w:t>
      </w:r>
      <w:r>
        <w:rPr>
          <w:rFonts w:hint="default" w:ascii="Times New Roman" w:hAnsi="Times New Roman" w:cs="Times New Roman"/>
        </w:rPr>
        <w:t>和玉米为主，经济作物主要有花生、油菜等。每亩农田的平均施肥量达到220kg，按照《全国水环境容量核定技术指南》中推荐，标准农田源强系数为：COD10.0kg/亩.年、TN2.0kg/亩.年。对于非标准农田，根据坡度、农田类型、土壤类型、年降雨量、化肥施用量等对应源强修正系数进行修正，修正系数见表14。根据流域农田的情况综合修正系数为2.25，修正后得出源强系数为COD22.5kg/亩.年、TN4.50kg/亩.年、TP0.45kg/亩.年。考虑规划区地势，农田径流系数按0.25计，计算得农田径流污染负荷量见</w:t>
      </w:r>
      <w:r>
        <w:rPr>
          <w:rFonts w:hint="default" w:ascii="Times New Roman" w:hAnsi="Times New Roman" w:cs="Times New Roman"/>
          <w:lang w:eastAsia="zh-CN"/>
        </w:rPr>
        <w:t>下表</w:t>
      </w:r>
      <w:r>
        <w:rPr>
          <w:rFonts w:hint="default" w:ascii="Times New Roman" w:hAnsi="Times New Roman" w:cs="Times New Roman"/>
        </w:rPr>
        <w:t>。</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农田径流污染负荷量</w:t>
      </w:r>
    </w:p>
    <w:tbl>
      <w:tblPr>
        <w:tblStyle w:val="17"/>
        <w:tblW w:w="8312" w:type="dxa"/>
        <w:jc w:val="center"/>
        <w:tblInd w:w="102"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8"/>
        <w:gridCol w:w="1418"/>
        <w:gridCol w:w="938"/>
        <w:gridCol w:w="1100"/>
        <w:gridCol w:w="940"/>
        <w:gridCol w:w="928"/>
        <w:gridCol w:w="928"/>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名称</w:t>
            </w:r>
          </w:p>
        </w:tc>
        <w:tc>
          <w:tcPr>
            <w:tcW w:w="1418"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耕地总面积</w:t>
            </w:r>
          </w:p>
        </w:tc>
        <w:tc>
          <w:tcPr>
            <w:tcW w:w="2978" w:type="dxa"/>
            <w:gridSpan w:val="3"/>
            <w:tcBorders>
              <w:tl2br w:val="nil"/>
              <w:tr2bl w:val="nil"/>
            </w:tcBorders>
            <w:vAlign w:val="center"/>
          </w:tcPr>
          <w:p>
            <w:pPr>
              <w:tabs>
                <w:tab w:val="center" w:pos="4870"/>
              </w:tabs>
              <w:adjustRightInd w:val="0"/>
              <w:snapToGrid w:val="0"/>
              <w:spacing w:line="240" w:lineRule="auto"/>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污染物排放量（t/a）</w:t>
            </w:r>
          </w:p>
        </w:tc>
        <w:tc>
          <w:tcPr>
            <w:tcW w:w="2978" w:type="dxa"/>
            <w:gridSpan w:val="3"/>
            <w:tcBorders>
              <w:tl2br w:val="nil"/>
              <w:tr2bl w:val="nil"/>
            </w:tcBorders>
            <w:vAlign w:val="center"/>
          </w:tcPr>
          <w:p>
            <w:pPr>
              <w:tabs>
                <w:tab w:val="center" w:pos="4870"/>
              </w:tabs>
              <w:adjustRightInd w:val="0"/>
              <w:snapToGrid w:val="0"/>
              <w:spacing w:line="240" w:lineRule="auto"/>
              <w:ind w:firstLine="420" w:firstLineChars="200"/>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污染物流失量（t/a）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41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93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1100"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TN</w:t>
            </w:r>
          </w:p>
        </w:tc>
        <w:tc>
          <w:tcPr>
            <w:tcW w:w="940"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TP</w:t>
            </w:r>
          </w:p>
        </w:tc>
        <w:tc>
          <w:tcPr>
            <w:tcW w:w="92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92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TN</w:t>
            </w:r>
          </w:p>
        </w:tc>
        <w:tc>
          <w:tcPr>
            <w:tcW w:w="112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3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规划区</w:t>
            </w:r>
          </w:p>
        </w:tc>
        <w:tc>
          <w:tcPr>
            <w:tcW w:w="141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1"/>
                <w:szCs w:val="21"/>
                <w:u w:val="none"/>
                <w:lang w:val="en-US" w:eastAsia="zh-CN" w:bidi="ar"/>
              </w:rPr>
              <w:t>300</w:t>
            </w:r>
          </w:p>
        </w:tc>
        <w:tc>
          <w:tcPr>
            <w:tcW w:w="93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6.75</w:t>
            </w:r>
          </w:p>
        </w:tc>
        <w:tc>
          <w:tcPr>
            <w:tcW w:w="110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1.35</w:t>
            </w:r>
          </w:p>
        </w:tc>
        <w:tc>
          <w:tcPr>
            <w:tcW w:w="94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0.135</w:t>
            </w:r>
          </w:p>
        </w:tc>
        <w:tc>
          <w:tcPr>
            <w:tcW w:w="9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1.6875</w:t>
            </w:r>
          </w:p>
        </w:tc>
        <w:tc>
          <w:tcPr>
            <w:tcW w:w="928"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0.3375</w:t>
            </w:r>
          </w:p>
        </w:tc>
        <w:tc>
          <w:tcPr>
            <w:tcW w:w="112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0.03375</w:t>
            </w:r>
          </w:p>
        </w:tc>
      </w:tr>
    </w:tbl>
    <w:p>
      <w:pPr>
        <w:spacing w:line="360" w:lineRule="auto"/>
        <w:ind w:firstLine="480" w:firstLineChars="200"/>
        <w:rPr>
          <w:rFonts w:hint="default" w:ascii="Times New Roman" w:hAnsi="Times New Roman" w:cs="Times New Roman"/>
        </w:rPr>
      </w:pPr>
      <w:r>
        <w:rPr>
          <w:rFonts w:hint="default" w:ascii="Times New Roman" w:hAnsi="Times New Roman" w:cs="Times New Roman"/>
        </w:rPr>
        <w:t>由</w:t>
      </w:r>
      <w:r>
        <w:rPr>
          <w:rFonts w:hint="default" w:ascii="Times New Roman" w:hAnsi="Times New Roman" w:cs="Times New Roman"/>
          <w:lang w:eastAsia="zh-CN"/>
        </w:rPr>
        <w:t>上表</w:t>
      </w:r>
      <w:r>
        <w:rPr>
          <w:rFonts w:hint="default" w:ascii="Times New Roman" w:hAnsi="Times New Roman" w:cs="Times New Roman"/>
        </w:rPr>
        <w:t>的估算可知，</w:t>
      </w:r>
      <w:r>
        <w:rPr>
          <w:rFonts w:hint="default" w:ascii="Times New Roman" w:hAnsi="Times New Roman" w:cs="Times New Roman"/>
          <w:lang w:eastAsia="zh-CN"/>
        </w:rPr>
        <w:t>库区范围</w:t>
      </w:r>
      <w:r>
        <w:rPr>
          <w:rFonts w:hint="default" w:ascii="Times New Roman" w:hAnsi="Times New Roman" w:cs="Times New Roman"/>
        </w:rPr>
        <w:t>内农田径流污染负荷分别为COD</w:t>
      </w:r>
      <w:r>
        <w:rPr>
          <w:rFonts w:hint="eastAsia" w:cs="Times New Roman"/>
          <w:lang w:val="en-US" w:eastAsia="zh-CN"/>
        </w:rPr>
        <w:t>1.68</w:t>
      </w:r>
      <w:r>
        <w:rPr>
          <w:rFonts w:hint="default" w:ascii="Times New Roman" w:hAnsi="Times New Roman" w:cs="Times New Roman"/>
        </w:rPr>
        <w:t xml:space="preserve">t/a、TN </w:t>
      </w:r>
      <w:r>
        <w:rPr>
          <w:rFonts w:hint="eastAsia" w:cs="Times New Roman"/>
          <w:lang w:val="en-US" w:eastAsia="zh-CN"/>
        </w:rPr>
        <w:t>0.3375</w:t>
      </w:r>
      <w:r>
        <w:rPr>
          <w:rFonts w:hint="default" w:ascii="Times New Roman" w:hAnsi="Times New Roman" w:cs="Times New Roman"/>
        </w:rPr>
        <w:t>t/a、TP</w:t>
      </w:r>
      <w:r>
        <w:rPr>
          <w:rFonts w:hint="eastAsia" w:cs="Times New Roman"/>
          <w:lang w:val="en-US" w:eastAsia="zh-CN"/>
        </w:rPr>
        <w:t>0.03375</w:t>
      </w:r>
      <w:r>
        <w:rPr>
          <w:rFonts w:hint="default" w:ascii="Times New Roman" w:hAnsi="Times New Roman" w:cs="Times New Roman"/>
        </w:rPr>
        <w:t>t/a。</w:t>
      </w:r>
    </w:p>
    <w:p>
      <w:pPr>
        <w:numPr>
          <w:ilvl w:val="0"/>
          <w:numId w:val="2"/>
        </w:numPr>
        <w:spacing w:line="240" w:lineRule="auto"/>
        <w:ind w:left="425" w:leftChars="0" w:hanging="425" w:firstLineChars="0"/>
        <w:jc w:val="center"/>
        <w:rPr>
          <w:rFonts w:hint="default" w:ascii="Times New Roman" w:hAnsi="Times New Roman" w:cs="Times New Roman"/>
          <w:b/>
          <w:bCs/>
          <w:sz w:val="21"/>
          <w:szCs w:val="21"/>
        </w:rPr>
      </w:pP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开江县</w:t>
      </w:r>
      <w:r>
        <w:rPr>
          <w:rFonts w:hint="default" w:ascii="Times New Roman" w:hAnsi="Times New Roman" w:cs="Times New Roman"/>
          <w:b/>
          <w:bCs/>
          <w:color w:val="000000"/>
          <w:sz w:val="21"/>
          <w:szCs w:val="21"/>
        </w:rPr>
        <w:t>城</w:t>
      </w:r>
      <w:r>
        <w:rPr>
          <w:rFonts w:hint="eastAsia" w:cs="Times New Roman"/>
          <w:b/>
          <w:bCs/>
          <w:color w:val="000000"/>
          <w:sz w:val="21"/>
          <w:szCs w:val="21"/>
          <w:lang w:eastAsia="zh-CN"/>
        </w:rPr>
        <w:t>备用</w:t>
      </w:r>
      <w:r>
        <w:rPr>
          <w:rFonts w:hint="default" w:ascii="Times New Roman" w:hAnsi="Times New Roman" w:cs="Times New Roman"/>
          <w:b/>
          <w:bCs/>
          <w:color w:val="000000"/>
          <w:sz w:val="21"/>
          <w:szCs w:val="21"/>
        </w:rPr>
        <w:t>饮用水水源地</w:t>
      </w:r>
      <w:r>
        <w:rPr>
          <w:rFonts w:hint="default" w:ascii="Times New Roman" w:hAnsi="Times New Roman" w:cs="Times New Roman"/>
          <w:b/>
          <w:bCs/>
          <w:color w:val="000000"/>
          <w:sz w:val="21"/>
          <w:szCs w:val="21"/>
          <w:lang w:eastAsia="zh-CN"/>
        </w:rPr>
        <w:t>农业</w:t>
      </w:r>
      <w:r>
        <w:rPr>
          <w:rFonts w:hint="default" w:ascii="Times New Roman" w:hAnsi="Times New Roman" w:cs="Times New Roman"/>
          <w:b/>
          <w:bCs/>
          <w:color w:val="000000"/>
          <w:sz w:val="21"/>
          <w:szCs w:val="21"/>
        </w:rPr>
        <w:t>污染源调查表</w:t>
      </w:r>
    </w:p>
    <w:tbl>
      <w:tblPr>
        <w:tblStyle w:val="16"/>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93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乡镇</w:t>
            </w:r>
          </w:p>
        </w:tc>
        <w:tc>
          <w:tcPr>
            <w:tcW w:w="151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水源地名称</w:t>
            </w:r>
          </w:p>
        </w:tc>
        <w:tc>
          <w:tcPr>
            <w:tcW w:w="91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水源地</w:t>
            </w:r>
          </w:p>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类型</w:t>
            </w:r>
          </w:p>
        </w:tc>
        <w:tc>
          <w:tcPr>
            <w:tcW w:w="118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服务人口</w:t>
            </w:r>
          </w:p>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（人）</w:t>
            </w:r>
          </w:p>
        </w:tc>
        <w:tc>
          <w:tcPr>
            <w:tcW w:w="1260"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农业污染源</w:t>
            </w:r>
          </w:p>
        </w:tc>
        <w:tc>
          <w:tcPr>
            <w:tcW w:w="215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30"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永兴镇</w:t>
            </w:r>
          </w:p>
        </w:tc>
        <w:tc>
          <w:tcPr>
            <w:tcW w:w="151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p>
        </w:tc>
        <w:tc>
          <w:tcPr>
            <w:tcW w:w="91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地表水</w:t>
            </w:r>
          </w:p>
        </w:tc>
        <w:tc>
          <w:tcPr>
            <w:tcW w:w="118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80000</w:t>
            </w:r>
          </w:p>
        </w:tc>
        <w:tc>
          <w:tcPr>
            <w:tcW w:w="126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有</w:t>
            </w:r>
          </w:p>
        </w:tc>
        <w:tc>
          <w:tcPr>
            <w:tcW w:w="215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一级保护区</w:t>
            </w:r>
            <w:r>
              <w:rPr>
                <w:rFonts w:hint="eastAsia" w:ascii="Times New Roman" w:hAnsi="Times New Roman" w:cs="Times New Roman"/>
                <w:sz w:val="21"/>
                <w:szCs w:val="21"/>
                <w:lang w:eastAsia="zh-CN"/>
              </w:rPr>
              <w:t>、二级保护区</w:t>
            </w:r>
            <w:r>
              <w:rPr>
                <w:rFonts w:hint="default" w:ascii="Times New Roman" w:hAnsi="Times New Roman" w:cs="Times New Roman"/>
                <w:sz w:val="21"/>
                <w:szCs w:val="21"/>
              </w:rPr>
              <w:t>内禁止从事</w:t>
            </w:r>
            <w:r>
              <w:rPr>
                <w:rFonts w:hint="default" w:ascii="Times New Roman" w:hAnsi="Times New Roman" w:cs="Times New Roman"/>
                <w:sz w:val="21"/>
                <w:szCs w:val="21"/>
                <w:lang w:eastAsia="zh-CN"/>
              </w:rPr>
              <w:t>农业</w:t>
            </w:r>
            <w:r>
              <w:rPr>
                <w:rFonts w:hint="default" w:ascii="Times New Roman" w:hAnsi="Times New Roman" w:cs="Times New Roman"/>
                <w:sz w:val="21"/>
                <w:szCs w:val="21"/>
              </w:rPr>
              <w:t>活动</w:t>
            </w:r>
          </w:p>
        </w:tc>
      </w:tr>
    </w:tbl>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29" w:name="_Toc1717"/>
      <w:bookmarkStart w:id="130" w:name="_Toc25730"/>
      <w:r>
        <w:rPr>
          <w:rFonts w:hint="eastAsia" w:ascii="Times New Roman" w:hAnsi="Times New Roman" w:cs="Times New Roman"/>
          <w:color w:val="auto"/>
          <w:lang w:val="en-US" w:eastAsia="zh-CN"/>
        </w:rPr>
        <w:t>4</w:t>
      </w:r>
      <w:r>
        <w:rPr>
          <w:rFonts w:hint="default" w:ascii="Times New Roman" w:hAnsi="Times New Roman" w:cs="Times New Roman"/>
          <w:color w:val="auto"/>
        </w:rPr>
        <w:t>.1.2工业污染源</w:t>
      </w:r>
      <w:bookmarkEnd w:id="128"/>
      <w:bookmarkEnd w:id="129"/>
      <w:bookmarkEnd w:id="130"/>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w:t>
      </w:r>
      <w:r>
        <w:rPr>
          <w:rFonts w:hint="eastAsia" w:cs="Times New Roman"/>
          <w:lang w:eastAsia="zh-CN"/>
        </w:rPr>
        <w:t>调查可知，目前老河堰水库四周无工业、企业生产。</w:t>
      </w:r>
    </w:p>
    <w:p>
      <w:pPr>
        <w:numPr>
          <w:ilvl w:val="0"/>
          <w:numId w:val="2"/>
        </w:numPr>
        <w:spacing w:line="240" w:lineRule="auto"/>
        <w:ind w:left="425" w:leftChars="0" w:hanging="425" w:firstLineChars="0"/>
        <w:jc w:val="center"/>
        <w:rPr>
          <w:rFonts w:hint="default" w:ascii="Times New Roman" w:hAnsi="Times New Roman" w:cs="Times New Roman"/>
          <w:b/>
          <w:bCs/>
          <w:sz w:val="21"/>
          <w:szCs w:val="21"/>
        </w:rPr>
      </w:pPr>
      <w:bookmarkStart w:id="131" w:name="_Toc1421"/>
      <w:bookmarkStart w:id="132" w:name="_Toc3178"/>
      <w:bookmarkStart w:id="133" w:name="_Toc23407"/>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开江县</w:t>
      </w:r>
      <w:r>
        <w:rPr>
          <w:rFonts w:hint="default" w:ascii="Times New Roman" w:hAnsi="Times New Roman" w:cs="Times New Roman"/>
          <w:b/>
          <w:bCs/>
          <w:color w:val="000000"/>
          <w:sz w:val="21"/>
          <w:szCs w:val="21"/>
        </w:rPr>
        <w:t>城</w:t>
      </w:r>
      <w:r>
        <w:rPr>
          <w:rFonts w:hint="eastAsia" w:cs="Times New Roman"/>
          <w:b/>
          <w:bCs/>
          <w:color w:val="000000"/>
          <w:sz w:val="21"/>
          <w:szCs w:val="21"/>
          <w:lang w:eastAsia="zh-CN"/>
        </w:rPr>
        <w:t>备用</w:t>
      </w:r>
      <w:r>
        <w:rPr>
          <w:rFonts w:hint="default" w:ascii="Times New Roman" w:hAnsi="Times New Roman" w:cs="Times New Roman"/>
          <w:b/>
          <w:bCs/>
          <w:color w:val="000000"/>
          <w:sz w:val="21"/>
          <w:szCs w:val="21"/>
        </w:rPr>
        <w:t>饮用水水源地</w:t>
      </w:r>
      <w:r>
        <w:rPr>
          <w:rFonts w:hint="eastAsia" w:ascii="Times New Roman" w:hAnsi="Times New Roman" w:cs="Times New Roman"/>
          <w:b/>
          <w:bCs/>
          <w:color w:val="000000"/>
          <w:sz w:val="21"/>
          <w:szCs w:val="21"/>
          <w:lang w:eastAsia="zh-CN"/>
        </w:rPr>
        <w:t>工业</w:t>
      </w:r>
      <w:r>
        <w:rPr>
          <w:rFonts w:hint="default" w:ascii="Times New Roman" w:hAnsi="Times New Roman" w:cs="Times New Roman"/>
          <w:b/>
          <w:bCs/>
          <w:color w:val="000000"/>
          <w:sz w:val="21"/>
          <w:szCs w:val="21"/>
        </w:rPr>
        <w:t>污染源调查表</w:t>
      </w:r>
    </w:p>
    <w:tbl>
      <w:tblPr>
        <w:tblStyle w:val="16"/>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930"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乡镇</w:t>
            </w:r>
          </w:p>
        </w:tc>
        <w:tc>
          <w:tcPr>
            <w:tcW w:w="151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水源地名称</w:t>
            </w:r>
          </w:p>
        </w:tc>
        <w:tc>
          <w:tcPr>
            <w:tcW w:w="91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水源地</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类型</w:t>
            </w:r>
          </w:p>
        </w:tc>
        <w:tc>
          <w:tcPr>
            <w:tcW w:w="118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服务人口</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（人）</w:t>
            </w:r>
          </w:p>
        </w:tc>
        <w:tc>
          <w:tcPr>
            <w:tcW w:w="1260" w:type="dxa"/>
            <w:tcBorders>
              <w:tl2br w:val="nil"/>
              <w:tr2bl w:val="nil"/>
            </w:tcBorders>
            <w:vAlign w:val="center"/>
          </w:tcPr>
          <w:p>
            <w:pPr>
              <w:pStyle w:val="19"/>
              <w:jc w:val="center"/>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工业</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污染源</w:t>
            </w:r>
          </w:p>
        </w:tc>
        <w:tc>
          <w:tcPr>
            <w:tcW w:w="215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30"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永兴镇</w:t>
            </w:r>
          </w:p>
        </w:tc>
        <w:tc>
          <w:tcPr>
            <w:tcW w:w="151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p>
        </w:tc>
        <w:tc>
          <w:tcPr>
            <w:tcW w:w="91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地表水</w:t>
            </w:r>
          </w:p>
        </w:tc>
        <w:tc>
          <w:tcPr>
            <w:tcW w:w="118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80000</w:t>
            </w:r>
          </w:p>
        </w:tc>
        <w:tc>
          <w:tcPr>
            <w:tcW w:w="1260" w:type="dxa"/>
            <w:tcBorders>
              <w:tl2br w:val="nil"/>
              <w:tr2bl w:val="nil"/>
            </w:tcBorders>
            <w:vAlign w:val="center"/>
          </w:tcPr>
          <w:p>
            <w:pPr>
              <w:pStyle w:val="19"/>
              <w:jc w:val="center"/>
              <w:rPr>
                <w:rFonts w:hint="eastAsia"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无</w:t>
            </w:r>
          </w:p>
        </w:tc>
        <w:tc>
          <w:tcPr>
            <w:tcW w:w="215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一级保护区内</w:t>
            </w:r>
            <w:r>
              <w:rPr>
                <w:rFonts w:hint="eastAsia" w:ascii="Times New Roman" w:hAnsi="Times New Roman" w:cs="Times New Roman"/>
                <w:sz w:val="21"/>
                <w:szCs w:val="21"/>
                <w:lang w:eastAsia="zh-CN"/>
              </w:rPr>
              <w:t>、二级保护区内、准保护区内</w:t>
            </w:r>
            <w:r>
              <w:rPr>
                <w:rFonts w:hint="default" w:ascii="Times New Roman" w:hAnsi="Times New Roman" w:cs="Times New Roman"/>
                <w:sz w:val="21"/>
                <w:szCs w:val="21"/>
              </w:rPr>
              <w:t>禁止从事</w:t>
            </w:r>
            <w:r>
              <w:rPr>
                <w:rFonts w:hint="eastAsia" w:ascii="Times New Roman" w:hAnsi="Times New Roman" w:cs="Times New Roman"/>
                <w:sz w:val="21"/>
                <w:szCs w:val="21"/>
                <w:lang w:eastAsia="zh-CN"/>
              </w:rPr>
              <w:t>工业</w:t>
            </w:r>
          </w:p>
        </w:tc>
      </w:tr>
    </w:tbl>
    <w:p>
      <w:pPr>
        <w:rPr>
          <w:rFonts w:hint="default" w:ascii="Times New Roman" w:hAnsi="Times New Roman" w:cs="Times New Roman"/>
        </w:rPr>
      </w:pP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r>
        <w:rPr>
          <w:rFonts w:hint="eastAsia" w:ascii="Times New Roman" w:hAnsi="Times New Roman" w:cs="Times New Roman"/>
          <w:color w:val="auto"/>
          <w:lang w:val="en-US" w:eastAsia="zh-CN"/>
        </w:rPr>
        <w:t>4</w:t>
      </w:r>
      <w:r>
        <w:rPr>
          <w:rFonts w:hint="default" w:ascii="Times New Roman" w:hAnsi="Times New Roman" w:cs="Times New Roman"/>
          <w:color w:val="auto"/>
        </w:rPr>
        <w:t>.1.3畜牧业污染源</w:t>
      </w:r>
      <w:bookmarkEnd w:id="131"/>
      <w:bookmarkEnd w:id="132"/>
      <w:bookmarkEnd w:id="133"/>
    </w:p>
    <w:p>
      <w:pPr>
        <w:spacing w:line="360" w:lineRule="auto"/>
        <w:ind w:firstLine="480" w:firstLineChars="200"/>
        <w:rPr>
          <w:rFonts w:hint="default" w:ascii="Times New Roman" w:hAnsi="Times New Roman" w:cs="Times New Roman"/>
        </w:rPr>
      </w:pPr>
      <w:bookmarkStart w:id="134" w:name="_Toc29965"/>
      <w:r>
        <w:rPr>
          <w:rFonts w:hint="default" w:ascii="Times New Roman" w:hAnsi="Times New Roman" w:cs="Times New Roman"/>
        </w:rPr>
        <w:t>根据调查，本次涉及划分保护区的水源地有水产品养殖</w:t>
      </w:r>
      <w:r>
        <w:rPr>
          <w:rFonts w:hint="eastAsia" w:cs="Times New Roman"/>
          <w:lang w:eastAsia="zh-CN"/>
        </w:rPr>
        <w:t>、有分散养殖的畜禽、有集中养殖的畜禽</w:t>
      </w:r>
      <w:r>
        <w:rPr>
          <w:rFonts w:hint="default" w:ascii="Times New Roman" w:hAnsi="Times New Roman" w:cs="Times New Roman"/>
        </w:rPr>
        <w:t>。</w:t>
      </w:r>
    </w:p>
    <w:p>
      <w:pPr>
        <w:tabs>
          <w:tab w:val="center" w:pos="4870"/>
        </w:tabs>
        <w:adjustRightInd w:val="0"/>
        <w:snapToGrid w:val="0"/>
        <w:spacing w:line="360" w:lineRule="auto"/>
        <w:ind w:firstLine="480" w:firstLineChars="200"/>
        <w:rPr>
          <w:rFonts w:hint="default" w:ascii="Times New Roman" w:hAnsi="Times New Roman" w:cs="Times New Roman" w:eastAsiaTheme="minorEastAsia"/>
          <w:szCs w:val="24"/>
        </w:rPr>
      </w:pPr>
      <w:r>
        <w:rPr>
          <w:rFonts w:hint="default" w:ascii="Times New Roman" w:hAnsi="Times New Roman" w:cs="Times New Roman"/>
          <w:lang w:eastAsia="zh-CN"/>
        </w:rPr>
        <w:t>库区</w:t>
      </w:r>
      <w:r>
        <w:rPr>
          <w:rFonts w:hint="default" w:ascii="Times New Roman" w:hAnsi="Times New Roman" w:cs="Times New Roman" w:eastAsiaTheme="minorEastAsia"/>
        </w:rPr>
        <w:t>范围内畜禽养殖主要采用散养和规模化畜禽养的形式。污染负荷大，流失进入水体后，可增加水体的富营养化程度，对水体污染严重。根据《农村能源生态工程设计施工与使用规范》和《全国总量核算技术方法》，畜禽粪便排污系数见</w:t>
      </w:r>
      <w:r>
        <w:rPr>
          <w:rFonts w:hint="default" w:ascii="Times New Roman" w:hAnsi="Times New Roman" w:cs="Times New Roman"/>
          <w:lang w:eastAsia="zh-CN"/>
        </w:rPr>
        <w:t>下表</w:t>
      </w:r>
      <w:r>
        <w:rPr>
          <w:rFonts w:hint="default" w:ascii="Times New Roman" w:hAnsi="Times New Roman" w:cs="Times New Roman" w:eastAsiaTheme="minorEastAsia"/>
        </w:rPr>
        <w:t>。</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畜禽粪便排污系数</w:t>
      </w:r>
    </w:p>
    <w:tbl>
      <w:tblPr>
        <w:tblStyle w:val="17"/>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482"/>
        <w:gridCol w:w="1165"/>
        <w:gridCol w:w="1165"/>
        <w:gridCol w:w="1055"/>
        <w:gridCol w:w="1129"/>
        <w:gridCol w:w="11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78" w:type="dxa"/>
            <w:gridSpan w:val="2"/>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项目</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猪</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牛</w:t>
            </w:r>
          </w:p>
        </w:tc>
        <w:tc>
          <w:tcPr>
            <w:tcW w:w="105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羊</w:t>
            </w:r>
          </w:p>
        </w:tc>
        <w:tc>
          <w:tcPr>
            <w:tcW w:w="112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鸡</w:t>
            </w:r>
          </w:p>
        </w:tc>
        <w:tc>
          <w:tcPr>
            <w:tcW w:w="112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878" w:type="dxa"/>
            <w:gridSpan w:val="2"/>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粪便产生量（kg/只.d）</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w:t>
            </w:r>
          </w:p>
        </w:tc>
        <w:tc>
          <w:tcPr>
            <w:tcW w:w="105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12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w:t>
            </w:r>
          </w:p>
        </w:tc>
        <w:tc>
          <w:tcPr>
            <w:tcW w:w="112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污染物产生量（g/只.d）</w:t>
            </w:r>
          </w:p>
        </w:tc>
        <w:tc>
          <w:tcPr>
            <w:tcW w:w="148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665</w:t>
            </w:r>
          </w:p>
        </w:tc>
        <w:tc>
          <w:tcPr>
            <w:tcW w:w="105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90</w:t>
            </w:r>
          </w:p>
        </w:tc>
        <w:tc>
          <w:tcPr>
            <w:tcW w:w="112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12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48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TN</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5.7</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42.6</w:t>
            </w:r>
          </w:p>
        </w:tc>
        <w:tc>
          <w:tcPr>
            <w:tcW w:w="105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5.7</w:t>
            </w:r>
          </w:p>
        </w:tc>
        <w:tc>
          <w:tcPr>
            <w:tcW w:w="112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0.3</w:t>
            </w:r>
          </w:p>
        </w:tc>
        <w:tc>
          <w:tcPr>
            <w:tcW w:w="112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96"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48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TP</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16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15.5</w:t>
            </w:r>
          </w:p>
        </w:tc>
        <w:tc>
          <w:tcPr>
            <w:tcW w:w="1055"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12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w:t>
            </w:r>
          </w:p>
        </w:tc>
        <w:tc>
          <w:tcPr>
            <w:tcW w:w="112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0.1</w:t>
            </w:r>
          </w:p>
        </w:tc>
      </w:tr>
    </w:tbl>
    <w:p>
      <w:pPr>
        <w:tabs>
          <w:tab w:val="center" w:pos="4870"/>
        </w:tabs>
        <w:adjustRightInd w:val="0"/>
        <w:snapToGrid w:val="0"/>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rPr>
        <w:t>项目区内畜禽粪便污染物排放量及污染负荷见</w:t>
      </w:r>
      <w:r>
        <w:rPr>
          <w:rFonts w:hint="default" w:ascii="Times New Roman" w:hAnsi="Times New Roman" w:cs="Times New Roman"/>
          <w:lang w:eastAsia="zh-CN"/>
        </w:rPr>
        <w:t>下表</w:t>
      </w:r>
      <w:r>
        <w:rPr>
          <w:rFonts w:hint="default" w:ascii="Times New Roman" w:hAnsi="Times New Roman" w:cs="Times New Roman" w:eastAsiaTheme="minorEastAsia"/>
        </w:rPr>
        <w:t xml:space="preserve">。  </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 污染物估算情况</w:t>
      </w:r>
    </w:p>
    <w:tbl>
      <w:tblPr>
        <w:tblStyle w:val="17"/>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444"/>
        <w:gridCol w:w="1115"/>
        <w:gridCol w:w="1161"/>
        <w:gridCol w:w="1298"/>
        <w:gridCol w:w="1042"/>
        <w:gridCol w:w="892"/>
        <w:gridCol w:w="8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序号</w:t>
            </w:r>
          </w:p>
        </w:tc>
        <w:tc>
          <w:tcPr>
            <w:tcW w:w="1444"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类别</w:t>
            </w:r>
          </w:p>
        </w:tc>
        <w:tc>
          <w:tcPr>
            <w:tcW w:w="1115"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数量</w:t>
            </w:r>
          </w:p>
        </w:tc>
        <w:tc>
          <w:tcPr>
            <w:tcW w:w="1161"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单位日生产量（kg）</w:t>
            </w:r>
          </w:p>
        </w:tc>
        <w:tc>
          <w:tcPr>
            <w:tcW w:w="1298"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粪便产生量（t/a）</w:t>
            </w:r>
          </w:p>
        </w:tc>
        <w:tc>
          <w:tcPr>
            <w:tcW w:w="2755" w:type="dxa"/>
            <w:gridSpan w:val="3"/>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污染负荷（t/a）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b/>
                <w:bCs/>
                <w:sz w:val="21"/>
                <w:szCs w:val="21"/>
              </w:rPr>
            </w:pPr>
          </w:p>
        </w:tc>
        <w:tc>
          <w:tcPr>
            <w:tcW w:w="1444"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b/>
                <w:bCs/>
                <w:sz w:val="21"/>
                <w:szCs w:val="21"/>
              </w:rPr>
            </w:pPr>
          </w:p>
        </w:tc>
        <w:tc>
          <w:tcPr>
            <w:tcW w:w="1115"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b/>
                <w:bCs/>
                <w:sz w:val="21"/>
                <w:szCs w:val="21"/>
              </w:rPr>
            </w:pPr>
          </w:p>
        </w:tc>
        <w:tc>
          <w:tcPr>
            <w:tcW w:w="1161"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b/>
                <w:bCs/>
                <w:sz w:val="21"/>
                <w:szCs w:val="21"/>
              </w:rPr>
            </w:pPr>
          </w:p>
        </w:tc>
        <w:tc>
          <w:tcPr>
            <w:tcW w:w="1298"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b/>
                <w:bCs/>
                <w:sz w:val="21"/>
                <w:szCs w:val="21"/>
              </w:rPr>
            </w:pPr>
          </w:p>
        </w:tc>
        <w:tc>
          <w:tcPr>
            <w:tcW w:w="104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COD</w:t>
            </w:r>
          </w:p>
        </w:tc>
        <w:tc>
          <w:tcPr>
            <w:tcW w:w="892"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TN</w:t>
            </w:r>
          </w:p>
        </w:tc>
        <w:tc>
          <w:tcPr>
            <w:tcW w:w="821"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44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牛</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color w:val="FF0000"/>
                <w:sz w:val="21"/>
                <w:szCs w:val="21"/>
              </w:rPr>
            </w:pPr>
            <w:r>
              <w:rPr>
                <w:rFonts w:hint="eastAsia" w:ascii="宋体" w:hAnsi="宋体" w:eastAsia="宋体" w:cs="宋体"/>
                <w:i w:val="0"/>
                <w:color w:val="000000"/>
                <w:kern w:val="0"/>
                <w:sz w:val="22"/>
                <w:szCs w:val="22"/>
                <w:u w:val="none"/>
                <w:lang w:val="en-US" w:eastAsia="zh-CN" w:bidi="ar"/>
              </w:rPr>
              <w:t xml:space="preserve">132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0.9</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869.54</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32.125</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2.058</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0.749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44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猪</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color w:val="FF0000"/>
                <w:sz w:val="21"/>
                <w:szCs w:val="21"/>
              </w:rPr>
            </w:pPr>
            <w:r>
              <w:rPr>
                <w:rFonts w:hint="eastAsia" w:ascii="宋体" w:hAnsi="宋体" w:eastAsia="宋体" w:cs="宋体"/>
                <w:i w:val="0"/>
                <w:color w:val="000000"/>
                <w:kern w:val="0"/>
                <w:sz w:val="22"/>
                <w:szCs w:val="22"/>
                <w:u w:val="none"/>
                <w:lang w:val="en-US" w:eastAsia="zh-CN" w:bidi="ar"/>
              </w:rPr>
              <w:t xml:space="preserve">563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0.15</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616.1</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18.485</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1.1705</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0.410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44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羊</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color w:val="FF0000"/>
                <w:sz w:val="21"/>
                <w:szCs w:val="21"/>
              </w:rPr>
            </w:pPr>
            <w:r>
              <w:rPr>
                <w:rFonts w:hint="eastAsia" w:ascii="宋体" w:hAnsi="宋体" w:eastAsia="宋体" w:cs="宋体"/>
                <w:i w:val="0"/>
                <w:color w:val="000000"/>
                <w:kern w:val="0"/>
                <w:sz w:val="22"/>
                <w:szCs w:val="22"/>
                <w:u w:val="none"/>
                <w:lang w:val="en-US" w:eastAsia="zh-CN" w:bidi="ar"/>
              </w:rPr>
              <w:t xml:space="preserve">359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0.05</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131.09</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11.798</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0.747</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44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鸡</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color w:val="FF0000"/>
                <w:sz w:val="21"/>
                <w:szCs w:val="21"/>
              </w:rPr>
            </w:pPr>
            <w:r>
              <w:rPr>
                <w:rFonts w:hint="eastAsia" w:ascii="宋体" w:hAnsi="宋体" w:eastAsia="宋体" w:cs="宋体"/>
                <w:i w:val="0"/>
                <w:color w:val="000000"/>
                <w:kern w:val="0"/>
                <w:sz w:val="22"/>
                <w:szCs w:val="22"/>
                <w:u w:val="none"/>
                <w:lang w:val="en-US" w:eastAsia="zh-CN" w:bidi="ar"/>
              </w:rPr>
              <w:t xml:space="preserve">3930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0.005</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143.46</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2.869</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0.43</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0.143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43"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44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鸭</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color w:val="FF0000"/>
                <w:sz w:val="21"/>
                <w:szCs w:val="21"/>
              </w:rPr>
            </w:pPr>
            <w:r>
              <w:rPr>
                <w:rFonts w:hint="eastAsia" w:ascii="宋体" w:hAnsi="宋体" w:eastAsia="宋体" w:cs="宋体"/>
                <w:i w:val="0"/>
                <w:color w:val="000000"/>
                <w:kern w:val="0"/>
                <w:sz w:val="22"/>
                <w:szCs w:val="22"/>
                <w:u w:val="none"/>
                <w:lang w:val="en-US" w:eastAsia="zh-CN" w:bidi="ar"/>
              </w:rPr>
              <w:t xml:space="preserve">1505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0.005</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54.949</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1.099</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0.165</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0.055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187" w:type="dxa"/>
            <w:gridSpan w:val="2"/>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合计</w:t>
            </w:r>
          </w:p>
        </w:tc>
        <w:tc>
          <w:tcPr>
            <w:tcW w:w="1115"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 xml:space="preserve">6490 </w:t>
            </w:r>
          </w:p>
        </w:tc>
        <w:tc>
          <w:tcPr>
            <w:tcW w:w="116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1.11</w:t>
            </w:r>
          </w:p>
        </w:tc>
        <w:tc>
          <w:tcPr>
            <w:tcW w:w="1298"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1815.139</w:t>
            </w:r>
          </w:p>
        </w:tc>
        <w:tc>
          <w:tcPr>
            <w:tcW w:w="104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66.376</w:t>
            </w:r>
          </w:p>
        </w:tc>
        <w:tc>
          <w:tcPr>
            <w:tcW w:w="892"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4.5705</w:t>
            </w:r>
          </w:p>
        </w:tc>
        <w:tc>
          <w:tcPr>
            <w:tcW w:w="821" w:type="dxa"/>
            <w:tcBorders>
              <w:tl2br w:val="nil"/>
              <w:tr2bl w:val="nil"/>
            </w:tcBorders>
            <w:shd w:val="clear" w:color="auto" w:fill="auto"/>
            <w:vAlign w:val="center"/>
          </w:tcPr>
          <w:p>
            <w:pPr>
              <w:keepNext w:val="0"/>
              <w:keepLines w:val="0"/>
              <w:widowControl/>
              <w:suppressLineNumbers w:val="0"/>
              <w:jc w:val="right"/>
              <w:textAlignment w:val="center"/>
              <w:rPr>
                <w:rFonts w:hint="default" w:ascii="Times New Roman" w:hAnsi="Times New Roman" w:cs="Times New Roman" w:eastAsiaTheme="minorEastAsia"/>
                <w:sz w:val="21"/>
                <w:szCs w:val="21"/>
              </w:rPr>
            </w:pPr>
            <w:r>
              <w:rPr>
                <w:rFonts w:hint="eastAsia" w:ascii="宋体" w:hAnsi="宋体" w:eastAsia="宋体" w:cs="宋体"/>
                <w:i w:val="0"/>
                <w:color w:val="000000"/>
                <w:kern w:val="0"/>
                <w:sz w:val="22"/>
                <w:szCs w:val="22"/>
                <w:u w:val="none"/>
                <w:lang w:val="en-US" w:eastAsia="zh-CN" w:bidi="ar"/>
              </w:rPr>
              <w:t>1.62</w:t>
            </w:r>
          </w:p>
        </w:tc>
      </w:tr>
    </w:tbl>
    <w:p>
      <w:pPr>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rPr>
        <w:t>由</w:t>
      </w:r>
      <w:r>
        <w:rPr>
          <w:rFonts w:hint="default" w:ascii="Times New Roman" w:hAnsi="Times New Roman" w:cs="Times New Roman"/>
          <w:color w:val="auto"/>
          <w:lang w:eastAsia="zh-CN"/>
        </w:rPr>
        <w:t>上表</w:t>
      </w:r>
      <w:r>
        <w:rPr>
          <w:rFonts w:hint="default" w:ascii="Times New Roman" w:hAnsi="Times New Roman" w:cs="Times New Roman"/>
          <w:color w:val="auto"/>
        </w:rPr>
        <w:t>的估算可知，规划区域内畜禽生粪便污染物排放量为</w:t>
      </w:r>
      <w:r>
        <w:rPr>
          <w:rFonts w:hint="eastAsia" w:cs="Times New Roman"/>
          <w:color w:val="auto"/>
          <w:lang w:val="en-US" w:eastAsia="zh-CN"/>
        </w:rPr>
        <w:t>1815.139</w:t>
      </w:r>
      <w:r>
        <w:rPr>
          <w:rFonts w:hint="default" w:ascii="Times New Roman" w:hAnsi="Times New Roman" w:cs="Times New Roman"/>
          <w:color w:val="auto"/>
        </w:rPr>
        <w:t xml:space="preserve"> t/a、COD</w:t>
      </w:r>
      <w:r>
        <w:rPr>
          <w:rFonts w:hint="eastAsia" w:cs="Times New Roman"/>
          <w:color w:val="auto"/>
          <w:lang w:val="en-US" w:eastAsia="zh-CN"/>
        </w:rPr>
        <w:t>66.376</w:t>
      </w:r>
      <w:r>
        <w:rPr>
          <w:rFonts w:hint="default" w:ascii="Times New Roman" w:hAnsi="Times New Roman" w:cs="Times New Roman"/>
          <w:color w:val="auto"/>
        </w:rPr>
        <w:t xml:space="preserve"> t/a、TN</w:t>
      </w:r>
      <w:r>
        <w:rPr>
          <w:rFonts w:hint="eastAsia" w:cs="Times New Roman"/>
          <w:color w:val="auto"/>
          <w:lang w:val="en-US" w:eastAsia="zh-CN"/>
        </w:rPr>
        <w:t>4.57</w:t>
      </w:r>
      <w:r>
        <w:rPr>
          <w:rFonts w:hint="default" w:ascii="Times New Roman" w:hAnsi="Times New Roman" w:cs="Times New Roman"/>
          <w:color w:val="auto"/>
        </w:rPr>
        <w:t xml:space="preserve"> t/a、TP</w:t>
      </w:r>
      <w:r>
        <w:rPr>
          <w:rFonts w:hint="eastAsia" w:cs="Times New Roman"/>
          <w:color w:val="auto"/>
          <w:lang w:val="en-US" w:eastAsia="zh-CN"/>
        </w:rPr>
        <w:t>1.62</w:t>
      </w:r>
      <w:r>
        <w:rPr>
          <w:rFonts w:hint="default" w:ascii="Times New Roman" w:hAnsi="Times New Roman" w:cs="Times New Roman"/>
          <w:color w:val="auto"/>
        </w:rPr>
        <w:t xml:space="preserve"> t/a。</w:t>
      </w:r>
    </w:p>
    <w:p>
      <w:pPr>
        <w:numPr>
          <w:ilvl w:val="0"/>
          <w:numId w:val="2"/>
        </w:numPr>
        <w:spacing w:line="240" w:lineRule="auto"/>
        <w:ind w:left="425" w:leftChars="0" w:hanging="425" w:firstLineChars="0"/>
        <w:jc w:val="center"/>
        <w:rPr>
          <w:rFonts w:hint="default" w:ascii="Times New Roman" w:hAnsi="Times New Roman" w:cs="Times New Roman"/>
          <w:b/>
          <w:bCs/>
          <w:sz w:val="21"/>
          <w:szCs w:val="21"/>
        </w:rPr>
      </w:pP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开江县</w:t>
      </w:r>
      <w:r>
        <w:rPr>
          <w:rFonts w:hint="default" w:ascii="Times New Roman" w:hAnsi="Times New Roman" w:cs="Times New Roman"/>
          <w:b/>
          <w:bCs/>
          <w:color w:val="000000"/>
          <w:sz w:val="21"/>
          <w:szCs w:val="21"/>
        </w:rPr>
        <w:t>城集中式饮用水水源地畜牧业污染源调查表</w:t>
      </w:r>
    </w:p>
    <w:tbl>
      <w:tblPr>
        <w:tblStyle w:val="16"/>
        <w:tblW w:w="855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0"/>
        <w:gridCol w:w="1515"/>
        <w:gridCol w:w="915"/>
        <w:gridCol w:w="1185"/>
        <w:gridCol w:w="1260"/>
        <w:gridCol w:w="21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596"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930"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乡镇</w:t>
            </w:r>
          </w:p>
        </w:tc>
        <w:tc>
          <w:tcPr>
            <w:tcW w:w="151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水源地名称</w:t>
            </w:r>
          </w:p>
        </w:tc>
        <w:tc>
          <w:tcPr>
            <w:tcW w:w="91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水源地</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类型</w:t>
            </w:r>
          </w:p>
        </w:tc>
        <w:tc>
          <w:tcPr>
            <w:tcW w:w="118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服务人口</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（人）</w:t>
            </w:r>
          </w:p>
        </w:tc>
        <w:tc>
          <w:tcPr>
            <w:tcW w:w="1260" w:type="dxa"/>
            <w:tcBorders>
              <w:tl2br w:val="nil"/>
              <w:tr2bl w:val="nil"/>
            </w:tcBorders>
            <w:vAlign w:val="center"/>
          </w:tcPr>
          <w:p>
            <w:pPr>
              <w:pStyle w:val="19"/>
              <w:jc w:val="center"/>
              <w:rPr>
                <w:rFonts w:hint="eastAsia" w:ascii="Times New Roman" w:hAnsi="Times New Roman" w:cs="Times New Roman"/>
                <w:b/>
                <w:bCs/>
                <w:sz w:val="21"/>
                <w:szCs w:val="21"/>
                <w:lang w:eastAsia="zh-CN"/>
              </w:rPr>
            </w:pPr>
            <w:r>
              <w:rPr>
                <w:rFonts w:hint="eastAsia" w:ascii="Times New Roman" w:hAnsi="Times New Roman" w:cs="Times New Roman"/>
                <w:b/>
                <w:bCs/>
                <w:sz w:val="21"/>
                <w:szCs w:val="21"/>
                <w:lang w:eastAsia="zh-CN"/>
              </w:rPr>
              <w:t>畜牧业</w:t>
            </w:r>
          </w:p>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污染源</w:t>
            </w:r>
          </w:p>
        </w:tc>
        <w:tc>
          <w:tcPr>
            <w:tcW w:w="2155" w:type="dxa"/>
            <w:tcBorders>
              <w:tl2br w:val="nil"/>
              <w:tr2bl w:val="nil"/>
            </w:tcBorders>
            <w:vAlign w:val="center"/>
          </w:tcPr>
          <w:p>
            <w:pPr>
              <w:pStyle w:val="19"/>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596"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30"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永兴镇</w:t>
            </w:r>
          </w:p>
        </w:tc>
        <w:tc>
          <w:tcPr>
            <w:tcW w:w="151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p>
        </w:tc>
        <w:tc>
          <w:tcPr>
            <w:tcW w:w="91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地表水</w:t>
            </w:r>
          </w:p>
        </w:tc>
        <w:tc>
          <w:tcPr>
            <w:tcW w:w="118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80000</w:t>
            </w:r>
          </w:p>
        </w:tc>
        <w:tc>
          <w:tcPr>
            <w:tcW w:w="126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有</w:t>
            </w:r>
          </w:p>
        </w:tc>
        <w:tc>
          <w:tcPr>
            <w:tcW w:w="215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一级保护区内禁止从事</w:t>
            </w:r>
            <w:r>
              <w:rPr>
                <w:rFonts w:hint="default" w:ascii="Times New Roman" w:hAnsi="Times New Roman" w:cs="Times New Roman"/>
                <w:sz w:val="21"/>
                <w:szCs w:val="21"/>
                <w:lang w:eastAsia="zh-CN"/>
              </w:rPr>
              <w:t>农业种植</w:t>
            </w:r>
            <w:r>
              <w:rPr>
                <w:rFonts w:hint="default" w:ascii="Times New Roman" w:hAnsi="Times New Roman" w:cs="Times New Roman"/>
                <w:sz w:val="21"/>
                <w:szCs w:val="21"/>
              </w:rPr>
              <w:t>活动</w:t>
            </w:r>
          </w:p>
        </w:tc>
      </w:tr>
    </w:tbl>
    <w:p>
      <w:pPr>
        <w:spacing w:line="360" w:lineRule="auto"/>
        <w:ind w:firstLine="480" w:firstLineChars="200"/>
        <w:rPr>
          <w:rFonts w:hint="default" w:ascii="Times New Roman" w:hAnsi="Times New Roman" w:cs="Times New Roman"/>
          <w:kern w:val="0"/>
        </w:rPr>
      </w:pPr>
      <w:r>
        <w:rPr>
          <w:rFonts w:hint="default" w:ascii="Times New Roman" w:hAnsi="Times New Roman" w:cs="Times New Roman"/>
        </w:rPr>
        <w:t>陆域一级、二级以及准保护区内，</w:t>
      </w:r>
      <w:r>
        <w:rPr>
          <w:rFonts w:hint="eastAsia" w:cs="Times New Roman"/>
          <w:lang w:eastAsia="zh-CN"/>
        </w:rPr>
        <w:t>目前</w:t>
      </w:r>
      <w:r>
        <w:rPr>
          <w:rFonts w:hint="default" w:ascii="Times New Roman" w:hAnsi="Times New Roman" w:cs="Times New Roman"/>
        </w:rPr>
        <w:t>没有规模化畜牧业养殖场</w:t>
      </w:r>
      <w:r>
        <w:rPr>
          <w:rFonts w:hint="eastAsia" w:cs="Times New Roman"/>
          <w:lang w:eastAsia="zh-CN"/>
        </w:rPr>
        <w:t>（目前正在建设有两个规模化养殖场，目前还未开始运营）</w:t>
      </w:r>
      <w:r>
        <w:rPr>
          <w:rFonts w:hint="default" w:ascii="Times New Roman" w:hAnsi="Times New Roman" w:cs="Times New Roman"/>
        </w:rPr>
        <w:t>，大部分水源地周围都是当地牧民自己的牲畜，主要是牛、羊等，牲畜的活动会产生粪便，粪便是水源地主要的污染源。建议采取的措施是一级保护区内禁止从事牧业活动。</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cs="Times New Roman"/>
          <w:color w:val="auto"/>
        </w:rPr>
      </w:pPr>
      <w:bookmarkStart w:id="135" w:name="_Toc5615"/>
      <w:bookmarkStart w:id="136" w:name="_Toc1502"/>
      <w:r>
        <w:rPr>
          <w:rFonts w:hint="eastAsia" w:ascii="Times New Roman" w:hAnsi="Times New Roman" w:cs="Times New Roman"/>
          <w:color w:val="auto"/>
          <w:lang w:val="en-US" w:eastAsia="zh-CN"/>
        </w:rPr>
        <w:t>4</w:t>
      </w:r>
      <w:r>
        <w:rPr>
          <w:rFonts w:hint="default" w:ascii="Times New Roman" w:hAnsi="Times New Roman" w:cs="Times New Roman"/>
          <w:color w:val="auto"/>
        </w:rPr>
        <w:t>.1.4</w:t>
      </w:r>
      <w:r>
        <w:rPr>
          <w:rFonts w:hint="default" w:ascii="Times New Roman" w:hAnsi="Times New Roman" w:cs="Times New Roman"/>
          <w:color w:val="auto"/>
          <w:lang w:eastAsia="zh-CN"/>
        </w:rPr>
        <w:t>城镇</w:t>
      </w:r>
      <w:r>
        <w:rPr>
          <w:rFonts w:hint="default" w:ascii="Times New Roman" w:hAnsi="Times New Roman" w:cs="Times New Roman"/>
          <w:color w:val="auto"/>
        </w:rPr>
        <w:t>生活污水</w:t>
      </w:r>
      <w:r>
        <w:rPr>
          <w:rFonts w:hint="default" w:ascii="Times New Roman" w:hAnsi="Times New Roman" w:cs="Times New Roman"/>
          <w:color w:val="auto"/>
          <w:lang w:eastAsia="zh-CN"/>
        </w:rPr>
        <w:t>、生活垃圾</w:t>
      </w:r>
      <w:r>
        <w:rPr>
          <w:rFonts w:hint="default" w:ascii="Times New Roman" w:hAnsi="Times New Roman" w:cs="Times New Roman"/>
          <w:color w:val="auto"/>
        </w:rPr>
        <w:t>、雨水</w:t>
      </w:r>
      <w:bookmarkEnd w:id="134"/>
      <w:bookmarkEnd w:id="135"/>
      <w:bookmarkEnd w:id="136"/>
    </w:p>
    <w:p>
      <w:pPr>
        <w:spacing w:line="360" w:lineRule="auto"/>
        <w:ind w:firstLine="482" w:firstLineChars="200"/>
        <w:rPr>
          <w:rFonts w:hint="default" w:ascii="Times New Roman" w:hAnsi="Times New Roman" w:cs="Times New Roman"/>
          <w:b/>
          <w:bCs/>
        </w:rPr>
      </w:pPr>
      <w:bookmarkStart w:id="137" w:name="_Toc25859"/>
      <w:r>
        <w:rPr>
          <w:rFonts w:hint="default" w:ascii="Times New Roman" w:hAnsi="Times New Roman" w:cs="Times New Roman"/>
          <w:b/>
          <w:bCs/>
        </w:rPr>
        <w:t>1、乡镇生活污染分析</w:t>
      </w:r>
    </w:p>
    <w:p>
      <w:pPr>
        <w:spacing w:line="360" w:lineRule="auto"/>
        <w:ind w:firstLine="480" w:firstLineChars="200"/>
        <w:rPr>
          <w:rFonts w:hint="default" w:ascii="Times New Roman" w:hAnsi="Times New Roman" w:cs="Times New Roman"/>
        </w:rPr>
      </w:pPr>
      <w:r>
        <w:rPr>
          <w:rFonts w:hint="eastAsia" w:cs="Times New Roman"/>
          <w:lang w:eastAsia="zh-CN"/>
        </w:rPr>
        <w:t>保护区</w:t>
      </w:r>
      <w:r>
        <w:rPr>
          <w:rFonts w:hint="default" w:ascii="Times New Roman" w:hAnsi="Times New Roman" w:cs="Times New Roman"/>
        </w:rPr>
        <w:t>范围内共有乡镇</w:t>
      </w:r>
      <w:r>
        <w:rPr>
          <w:rFonts w:hint="eastAsia" w:cs="Times New Roman"/>
          <w:lang w:val="en-US" w:eastAsia="zh-CN"/>
        </w:rPr>
        <w:t>1</w:t>
      </w:r>
      <w:r>
        <w:rPr>
          <w:rFonts w:hint="default" w:ascii="Times New Roman" w:hAnsi="Times New Roman" w:cs="Times New Roman"/>
        </w:rPr>
        <w:t>个，</w:t>
      </w:r>
      <w:r>
        <w:rPr>
          <w:rFonts w:hint="eastAsia" w:cs="Times New Roman"/>
          <w:lang w:eastAsia="zh-CN"/>
        </w:rPr>
        <w:t>主要为永兴镇，主要涉及的村庄为老河堰村、熊家湾村，主要涉及的人数大约有</w:t>
      </w:r>
      <w:r>
        <w:rPr>
          <w:rFonts w:hint="eastAsia" w:cs="Times New Roman"/>
          <w:lang w:val="en-US" w:eastAsia="zh-CN"/>
        </w:rPr>
        <w:t>35户， 将产生一定的</w:t>
      </w:r>
      <w:r>
        <w:rPr>
          <w:rFonts w:hint="default" w:ascii="Times New Roman" w:hAnsi="Times New Roman" w:cs="Times New Roman"/>
        </w:rPr>
        <w:t>生活污水和生活垃圾。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（1）乡镇水污染现状</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乡镇人口数量、人均污水量及污染物的排放系数，估算各乡镇生活污水产生量、污染物排放量。根据《四川省用水定额标准》中规定的居民生活污水和排污系数，同时结合现场调查情况，取乡镇居民生活污水排放系数如</w:t>
      </w:r>
      <w:r>
        <w:rPr>
          <w:rFonts w:hint="eastAsia" w:ascii="Times New Roman" w:hAnsi="Times New Roman" w:cs="Times New Roman"/>
          <w:lang w:eastAsia="zh-CN"/>
        </w:rPr>
        <w:t>下表</w:t>
      </w:r>
      <w:r>
        <w:rPr>
          <w:rFonts w:hint="default" w:ascii="Times New Roman" w:hAnsi="Times New Roman" w:cs="Times New Roman"/>
        </w:rPr>
        <w:t>所示，污染物产排估算情况见</w:t>
      </w:r>
      <w:r>
        <w:rPr>
          <w:rFonts w:hint="default" w:ascii="Times New Roman" w:hAnsi="Times New Roman" w:cs="Times New Roman"/>
          <w:lang w:eastAsia="zh-CN"/>
        </w:rPr>
        <w:t>下表</w:t>
      </w:r>
      <w:r>
        <w:rPr>
          <w:rFonts w:hint="default" w:ascii="Times New Roman" w:hAnsi="Times New Roman" w:cs="Times New Roman"/>
        </w:rPr>
        <w:t>。</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 乡镇居民生活污水排放系数</w:t>
      </w:r>
    </w:p>
    <w:tbl>
      <w:tblPr>
        <w:tblStyle w:val="17"/>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41"/>
        <w:gridCol w:w="2039"/>
        <w:gridCol w:w="2038"/>
        <w:gridCol w:w="1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41"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生活污水排放量（L/人.d）</w:t>
            </w:r>
          </w:p>
        </w:tc>
        <w:tc>
          <w:tcPr>
            <w:tcW w:w="2039" w:type="dxa"/>
            <w:tcBorders>
              <w:tl2br w:val="nil"/>
              <w:tr2bl w:val="nil"/>
            </w:tcBorders>
            <w:vAlign w:val="center"/>
          </w:tcPr>
          <w:p>
            <w:pPr>
              <w:tabs>
                <w:tab w:val="center" w:pos="4870"/>
              </w:tabs>
              <w:adjustRightInd w:val="0"/>
              <w:snapToGrid w:val="0"/>
              <w:spacing w:line="240" w:lineRule="auto"/>
              <w:ind w:firstLine="422" w:firstLineChars="20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COD(g/人.d)</w:t>
            </w:r>
          </w:p>
        </w:tc>
        <w:tc>
          <w:tcPr>
            <w:tcW w:w="2038" w:type="dxa"/>
            <w:tcBorders>
              <w:tl2br w:val="nil"/>
              <w:tr2bl w:val="nil"/>
            </w:tcBorders>
            <w:vAlign w:val="center"/>
          </w:tcPr>
          <w:p>
            <w:pPr>
              <w:tabs>
                <w:tab w:val="center" w:pos="4870"/>
              </w:tabs>
              <w:adjustRightInd w:val="0"/>
              <w:snapToGrid w:val="0"/>
              <w:spacing w:line="240" w:lineRule="auto"/>
              <w:ind w:firstLine="422" w:firstLineChars="20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TN(g/人.d)</w:t>
            </w:r>
          </w:p>
        </w:tc>
        <w:tc>
          <w:tcPr>
            <w:tcW w:w="1998" w:type="dxa"/>
            <w:tcBorders>
              <w:tl2br w:val="nil"/>
              <w:tr2bl w:val="nil"/>
            </w:tcBorders>
            <w:vAlign w:val="center"/>
          </w:tcPr>
          <w:p>
            <w:pPr>
              <w:tabs>
                <w:tab w:val="center" w:pos="4870"/>
              </w:tabs>
              <w:adjustRightInd w:val="0"/>
              <w:snapToGrid w:val="0"/>
              <w:spacing w:line="240" w:lineRule="auto"/>
              <w:ind w:firstLine="422" w:firstLineChars="20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TP(g/人.d)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441"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c>
          <w:tcPr>
            <w:tcW w:w="2039"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w:t>
            </w:r>
          </w:p>
        </w:tc>
        <w:tc>
          <w:tcPr>
            <w:tcW w:w="203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2.56</w:t>
            </w:r>
          </w:p>
        </w:tc>
        <w:tc>
          <w:tcPr>
            <w:tcW w:w="1998"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0.51</w:t>
            </w:r>
          </w:p>
        </w:tc>
      </w:tr>
    </w:tbl>
    <w:p>
      <w:pPr>
        <w:tabs>
          <w:tab w:val="center" w:pos="4870"/>
        </w:tabs>
        <w:ind w:firstLine="422" w:firstLineChars="200"/>
        <w:jc w:val="center"/>
        <w:rPr>
          <w:rFonts w:hint="default" w:ascii="Times New Roman" w:hAnsi="Times New Roman" w:cs="Times New Roman" w:eastAsiaTheme="minorEastAsia"/>
          <w:b/>
          <w:sz w:val="21"/>
          <w:szCs w:val="21"/>
        </w:rPr>
      </w:pP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 </w:t>
      </w:r>
      <w:r>
        <w:rPr>
          <w:rFonts w:hint="eastAsia" w:cs="Times New Roman"/>
          <w:b/>
          <w:bCs/>
          <w:color w:val="000000"/>
          <w:sz w:val="21"/>
          <w:szCs w:val="21"/>
          <w:lang w:eastAsia="zh-CN"/>
        </w:rPr>
        <w:t>老河堰</w:t>
      </w:r>
      <w:r>
        <w:rPr>
          <w:rFonts w:hint="default" w:ascii="Times New Roman" w:hAnsi="Times New Roman" w:cs="Times New Roman"/>
          <w:b/>
          <w:bCs/>
          <w:color w:val="000000"/>
          <w:sz w:val="21"/>
          <w:szCs w:val="21"/>
        </w:rPr>
        <w:t>水库库区及上游村镇生活污水污染物产生情况</w:t>
      </w:r>
    </w:p>
    <w:tbl>
      <w:tblPr>
        <w:tblStyle w:val="17"/>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1209"/>
        <w:gridCol w:w="1470"/>
        <w:gridCol w:w="1594"/>
        <w:gridCol w:w="1450"/>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乡镇</w:t>
            </w:r>
          </w:p>
        </w:tc>
        <w:tc>
          <w:tcPr>
            <w:tcW w:w="1209"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人口</w:t>
            </w:r>
          </w:p>
        </w:tc>
        <w:tc>
          <w:tcPr>
            <w:tcW w:w="1470"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生活污水产生量（t/a）</w:t>
            </w:r>
          </w:p>
        </w:tc>
        <w:tc>
          <w:tcPr>
            <w:tcW w:w="4491" w:type="dxa"/>
            <w:gridSpan w:val="3"/>
            <w:tcBorders>
              <w:tl2br w:val="nil"/>
              <w:tr2bl w:val="nil"/>
            </w:tcBorders>
            <w:vAlign w:val="center"/>
          </w:tcPr>
          <w:p>
            <w:pPr>
              <w:tabs>
                <w:tab w:val="center" w:pos="4870"/>
              </w:tabs>
              <w:adjustRightInd w:val="0"/>
              <w:snapToGrid w:val="0"/>
              <w:spacing w:line="240" w:lineRule="auto"/>
              <w:ind w:firstLine="422" w:firstLineChars="200"/>
              <w:jc w:val="center"/>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污染物产生量（t/a）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1346"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209"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470"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1"/>
                <w:szCs w:val="21"/>
              </w:rPr>
            </w:pPr>
          </w:p>
        </w:tc>
        <w:tc>
          <w:tcPr>
            <w:tcW w:w="1594"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1450"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TN</w:t>
            </w:r>
          </w:p>
        </w:tc>
        <w:tc>
          <w:tcPr>
            <w:tcW w:w="1447"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46" w:type="dxa"/>
            <w:tcBorders>
              <w:tl2br w:val="nil"/>
              <w:tr2bl w:val="nil"/>
            </w:tcBorders>
            <w:vAlign w:val="center"/>
          </w:tcPr>
          <w:p>
            <w:pPr>
              <w:tabs>
                <w:tab w:val="center" w:pos="4870"/>
              </w:tabs>
              <w:adjustRightInd w:val="0"/>
              <w:snapToGrid w:val="0"/>
              <w:spacing w:line="240" w:lineRule="auto"/>
              <w:jc w:val="center"/>
              <w:rPr>
                <w:rFonts w:hint="eastAsia" w:ascii="Times New Roman" w:hAnsi="Times New Roman" w:cs="Times New Roman" w:eastAsiaTheme="minorEastAsia"/>
                <w:sz w:val="21"/>
                <w:szCs w:val="21"/>
                <w:lang w:eastAsia="zh-CN"/>
              </w:rPr>
            </w:pPr>
            <w:r>
              <w:rPr>
                <w:rFonts w:hint="eastAsia" w:cs="Times New Roman"/>
                <w:sz w:val="21"/>
                <w:szCs w:val="21"/>
                <w:lang w:eastAsia="zh-CN"/>
              </w:rPr>
              <w:t>永兴镇</w:t>
            </w:r>
          </w:p>
        </w:tc>
        <w:tc>
          <w:tcPr>
            <w:tcW w:w="1209" w:type="dxa"/>
            <w:tcBorders>
              <w:tl2br w:val="nil"/>
              <w:tr2bl w:val="nil"/>
            </w:tcBorders>
            <w:vAlign w:val="center"/>
          </w:tcPr>
          <w:p>
            <w:pPr>
              <w:tabs>
                <w:tab w:val="center" w:pos="4870"/>
              </w:tabs>
              <w:adjustRightInd w:val="0"/>
              <w:snapToGrid w:val="0"/>
              <w:spacing w:line="240" w:lineRule="auto"/>
              <w:jc w:val="center"/>
              <w:rPr>
                <w:rFonts w:hint="eastAsia" w:ascii="Times New Roman" w:hAnsi="Times New Roman" w:cs="Times New Roman" w:eastAsiaTheme="minorEastAsia"/>
                <w:sz w:val="21"/>
                <w:szCs w:val="21"/>
                <w:lang w:eastAsia="zh-CN"/>
              </w:rPr>
            </w:pPr>
            <w:r>
              <w:rPr>
                <w:rFonts w:hint="eastAsia" w:cs="Times New Roman"/>
                <w:sz w:val="21"/>
                <w:szCs w:val="21"/>
                <w:lang w:val="en-US" w:eastAsia="zh-CN"/>
              </w:rPr>
              <w:t>105</w:t>
            </w:r>
          </w:p>
        </w:tc>
        <w:tc>
          <w:tcPr>
            <w:tcW w:w="1470" w:type="dxa"/>
            <w:tcBorders>
              <w:tl2br w:val="nil"/>
              <w:tr2bl w:val="nil"/>
            </w:tcBorders>
            <w:vAlign w:val="center"/>
          </w:tcPr>
          <w:p>
            <w:pPr>
              <w:adjustRightInd w:val="0"/>
              <w:snapToGrid w:val="0"/>
              <w:spacing w:line="240" w:lineRule="auto"/>
              <w:jc w:val="center"/>
              <w:rPr>
                <w:rFonts w:hint="eastAsia" w:ascii="Times New Roman" w:hAnsi="Times New Roman" w:cs="Times New Roman" w:eastAsiaTheme="minorEastAsia"/>
                <w:sz w:val="21"/>
                <w:szCs w:val="21"/>
                <w:lang w:eastAsia="zh-CN"/>
              </w:rPr>
            </w:pPr>
            <w:r>
              <w:rPr>
                <w:rFonts w:hint="eastAsia" w:cs="Times New Roman"/>
                <w:sz w:val="21"/>
                <w:szCs w:val="21"/>
                <w:lang w:val="en-US" w:eastAsia="zh-CN"/>
              </w:rPr>
              <w:t>3832.5</w:t>
            </w:r>
          </w:p>
        </w:tc>
        <w:tc>
          <w:tcPr>
            <w:tcW w:w="1594"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 xml:space="preserve">2.03 </w:t>
            </w:r>
          </w:p>
        </w:tc>
        <w:tc>
          <w:tcPr>
            <w:tcW w:w="14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 xml:space="preserve">0.10 </w:t>
            </w:r>
          </w:p>
        </w:tc>
        <w:tc>
          <w:tcPr>
            <w:tcW w:w="144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1"/>
                <w:szCs w:val="21"/>
              </w:rPr>
            </w:pPr>
            <w:r>
              <w:rPr>
                <w:rFonts w:hint="default" w:ascii="Times New Roman" w:hAnsi="Times New Roman" w:eastAsia="宋体" w:cs="Times New Roman"/>
                <w:i w:val="0"/>
                <w:color w:val="000000"/>
                <w:kern w:val="0"/>
                <w:sz w:val="21"/>
                <w:szCs w:val="21"/>
                <w:u w:val="none"/>
                <w:lang w:val="en-US" w:eastAsia="zh-CN" w:bidi="ar"/>
              </w:rPr>
              <w:t xml:space="preserve">0.02 </w:t>
            </w:r>
          </w:p>
        </w:tc>
      </w:tr>
    </w:tbl>
    <w:p>
      <w:pPr>
        <w:spacing w:line="360" w:lineRule="auto"/>
        <w:ind w:firstLine="720" w:firstLineChars="300"/>
        <w:rPr>
          <w:rFonts w:hint="default" w:ascii="Times New Roman" w:hAnsi="Times New Roman" w:cs="Times New Roman"/>
        </w:rPr>
      </w:pPr>
      <w:r>
        <w:rPr>
          <w:rFonts w:hint="default" w:ascii="Times New Roman" w:hAnsi="Times New Roman" w:cs="Times New Roman"/>
        </w:rPr>
        <w:t>废水产生量及污染物负荷分别为</w:t>
      </w:r>
      <w:r>
        <w:rPr>
          <w:rFonts w:hint="eastAsia" w:cs="Times New Roman"/>
          <w:lang w:val="en-US" w:eastAsia="zh-CN"/>
        </w:rPr>
        <w:t>3832.5</w:t>
      </w:r>
      <w:r>
        <w:rPr>
          <w:rFonts w:hint="default" w:ascii="Times New Roman" w:hAnsi="Times New Roman" w:cs="Times New Roman"/>
        </w:rPr>
        <w:t xml:space="preserve">t/a、COD </w:t>
      </w:r>
      <w:r>
        <w:rPr>
          <w:rFonts w:hint="eastAsia" w:cs="Times New Roman"/>
          <w:lang w:val="en-US" w:eastAsia="zh-CN"/>
        </w:rPr>
        <w:t>2.03</w:t>
      </w:r>
      <w:r>
        <w:rPr>
          <w:rFonts w:hint="default" w:ascii="Times New Roman" w:hAnsi="Times New Roman" w:cs="Times New Roman"/>
        </w:rPr>
        <w:t>t/a、TN</w:t>
      </w:r>
      <w:r>
        <w:rPr>
          <w:rFonts w:hint="eastAsia" w:cs="Times New Roman"/>
          <w:lang w:val="en-US" w:eastAsia="zh-CN"/>
        </w:rPr>
        <w:t>0.1</w:t>
      </w:r>
      <w:r>
        <w:rPr>
          <w:rFonts w:hint="default" w:ascii="Times New Roman" w:hAnsi="Times New Roman" w:cs="Times New Roman"/>
        </w:rPr>
        <w:t>t/a、TP</w:t>
      </w:r>
      <w:r>
        <w:rPr>
          <w:rFonts w:hint="eastAsia" w:cs="Times New Roman"/>
          <w:lang w:val="en-US" w:eastAsia="zh-CN"/>
        </w:rPr>
        <w:t>0.02</w:t>
      </w:r>
      <w:r>
        <w:rPr>
          <w:rFonts w:hint="default" w:ascii="Times New Roman" w:hAnsi="Times New Roman" w:cs="Times New Roman"/>
        </w:rPr>
        <w:t>t/a。由于乡镇产生生活污水在排放前基本未经过处理，且通过沟渠进入农田，后进入各条河流</w:t>
      </w:r>
      <w:r>
        <w:rPr>
          <w:rFonts w:hint="default" w:ascii="Times New Roman" w:hAnsi="Times New Roman" w:cs="Times New Roman"/>
          <w:lang w:eastAsia="zh-CN"/>
        </w:rPr>
        <w:t>，最终汇流至</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w:t>
      </w:r>
    </w:p>
    <w:p>
      <w:pPr>
        <w:spacing w:line="360" w:lineRule="auto"/>
        <w:ind w:firstLine="480" w:firstLineChars="200"/>
        <w:rPr>
          <w:rFonts w:hint="default" w:ascii="Times New Roman" w:hAnsi="Times New Roman" w:cs="Times New Roman"/>
          <w:highlight w:val="red"/>
        </w:rPr>
      </w:pPr>
      <w:r>
        <w:rPr>
          <w:rFonts w:hint="default" w:ascii="Times New Roman" w:hAnsi="Times New Roman" w:cs="Times New Roman"/>
          <w:highlight w:val="red"/>
        </w:rPr>
        <w:t>根据调查，四川省</w:t>
      </w:r>
      <w:r>
        <w:rPr>
          <w:rFonts w:hint="default" w:ascii="Times New Roman" w:hAnsi="Times New Roman" w:cs="Times New Roman"/>
          <w:highlight w:val="red"/>
          <w:lang w:eastAsia="zh-CN"/>
        </w:rPr>
        <w:t>开江县县城</w:t>
      </w:r>
      <w:r>
        <w:rPr>
          <w:rFonts w:hint="eastAsia" w:cs="Times New Roman"/>
          <w:highlight w:val="red"/>
          <w:lang w:eastAsia="zh-CN"/>
        </w:rPr>
        <w:t>老河堰</w:t>
      </w:r>
      <w:r>
        <w:rPr>
          <w:rFonts w:hint="default" w:ascii="Times New Roman" w:hAnsi="Times New Roman" w:cs="Times New Roman"/>
          <w:highlight w:val="red"/>
          <w:lang w:eastAsia="zh-CN"/>
        </w:rPr>
        <w:t>水库</w:t>
      </w:r>
      <w:r>
        <w:rPr>
          <w:rFonts w:hint="default" w:ascii="Times New Roman" w:hAnsi="Times New Roman" w:cs="Times New Roman"/>
          <w:highlight w:val="red"/>
        </w:rPr>
        <w:t>集中式饮用水源地保护区周边遇到降雨，就会产生地表水</w:t>
      </w:r>
      <w:r>
        <w:rPr>
          <w:rFonts w:hint="eastAsia" w:ascii="Times New Roman" w:hAnsi="Times New Roman" w:cs="Times New Roman"/>
          <w:highlight w:val="red"/>
          <w:lang w:eastAsia="zh-CN"/>
        </w:rPr>
        <w:t>，</w:t>
      </w:r>
      <w:r>
        <w:rPr>
          <w:rFonts w:hint="default" w:ascii="Times New Roman" w:hAnsi="Times New Roman" w:cs="Times New Roman"/>
          <w:highlight w:val="red"/>
        </w:rPr>
        <w:t>而地表水就会进入水源地河流，降雨产生的地表流水，会携带原先地表的物质进入河流，如果地表存在污染源，这样就会顺着地表水流进入河流，引起河流水质的变化。而根据调查，能引起水质变化的污染源，主要是地表的牧业引起的粪便，因此，建议一级保护区内</w:t>
      </w:r>
      <w:r>
        <w:rPr>
          <w:rFonts w:hint="default" w:ascii="Times New Roman" w:hAnsi="Times New Roman" w:cs="Times New Roman"/>
          <w:highlight w:val="red"/>
          <w:lang w:eastAsia="zh-CN"/>
        </w:rPr>
        <w:t>禁止有居民居住，</w:t>
      </w:r>
      <w:r>
        <w:rPr>
          <w:rFonts w:hint="default" w:ascii="Times New Roman" w:hAnsi="Times New Roman" w:cs="Times New Roman"/>
          <w:highlight w:val="red"/>
        </w:rPr>
        <w:t>禁止从事牧业活动。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集中式饮用水源地保护区的生活污水及地表雨调查情况见</w:t>
      </w:r>
      <w:r>
        <w:rPr>
          <w:rFonts w:hint="default" w:ascii="Times New Roman" w:hAnsi="Times New Roman" w:cs="Times New Roman"/>
          <w:lang w:eastAsia="zh-CN"/>
        </w:rPr>
        <w:t>下表</w:t>
      </w:r>
      <w:r>
        <w:rPr>
          <w:rFonts w:hint="default" w:ascii="Times New Roman" w:hAnsi="Times New Roman" w:cs="Times New Roman"/>
        </w:rPr>
        <w:t>。</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lang w:eastAsia="zh-CN"/>
        </w:rPr>
        <w:t>开江县</w:t>
      </w:r>
      <w:r>
        <w:rPr>
          <w:rFonts w:hint="eastAsia" w:cs="Times New Roman"/>
          <w:b/>
          <w:bCs/>
          <w:color w:val="000000"/>
          <w:sz w:val="21"/>
          <w:szCs w:val="21"/>
          <w:lang w:eastAsia="zh-CN"/>
        </w:rPr>
        <w:t>老河堰</w:t>
      </w:r>
      <w:r>
        <w:rPr>
          <w:rFonts w:hint="default" w:ascii="Times New Roman" w:hAnsi="Times New Roman" w:cs="Times New Roman"/>
          <w:b/>
          <w:bCs/>
          <w:color w:val="000000"/>
          <w:sz w:val="21"/>
          <w:szCs w:val="21"/>
          <w:lang w:eastAsia="zh-CN"/>
        </w:rPr>
        <w:t>水库</w:t>
      </w:r>
      <w:r>
        <w:rPr>
          <w:rFonts w:hint="default" w:ascii="Times New Roman" w:hAnsi="Times New Roman" w:cs="Times New Roman"/>
          <w:b/>
          <w:bCs/>
          <w:color w:val="000000"/>
          <w:sz w:val="21"/>
          <w:szCs w:val="21"/>
        </w:rPr>
        <w:t>集中式饮用水水源地城镇生活污水、地表水及雨水调查表</w:t>
      </w:r>
    </w:p>
    <w:tbl>
      <w:tblPr>
        <w:tblStyle w:val="16"/>
        <w:tblW w:w="84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0"/>
        <w:gridCol w:w="900"/>
        <w:gridCol w:w="1545"/>
        <w:gridCol w:w="930"/>
        <w:gridCol w:w="1065"/>
        <w:gridCol w:w="675"/>
        <w:gridCol w:w="990"/>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40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90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乡镇</w:t>
            </w:r>
          </w:p>
        </w:tc>
        <w:tc>
          <w:tcPr>
            <w:tcW w:w="154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水源地名称</w:t>
            </w:r>
          </w:p>
        </w:tc>
        <w:tc>
          <w:tcPr>
            <w:tcW w:w="93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水源地</w:t>
            </w:r>
          </w:p>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类型</w:t>
            </w:r>
          </w:p>
        </w:tc>
        <w:tc>
          <w:tcPr>
            <w:tcW w:w="106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服务人口</w:t>
            </w:r>
          </w:p>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（人）</w:t>
            </w:r>
          </w:p>
        </w:tc>
        <w:tc>
          <w:tcPr>
            <w:tcW w:w="675"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生活污水</w:t>
            </w:r>
          </w:p>
        </w:tc>
        <w:tc>
          <w:tcPr>
            <w:tcW w:w="99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地表水、雨水</w:t>
            </w:r>
          </w:p>
        </w:tc>
        <w:tc>
          <w:tcPr>
            <w:tcW w:w="1989"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768" w:hRule="atLeast"/>
          <w:jc w:val="center"/>
        </w:trPr>
        <w:tc>
          <w:tcPr>
            <w:tcW w:w="40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900"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eastAsia="zh-CN"/>
              </w:rPr>
              <w:t>永兴镇</w:t>
            </w:r>
          </w:p>
        </w:tc>
        <w:tc>
          <w:tcPr>
            <w:tcW w:w="154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p>
        </w:tc>
        <w:tc>
          <w:tcPr>
            <w:tcW w:w="93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地表水</w:t>
            </w:r>
          </w:p>
        </w:tc>
        <w:tc>
          <w:tcPr>
            <w:tcW w:w="106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eastAsia" w:ascii="Times New Roman" w:hAnsi="Times New Roman" w:cs="Times New Roman"/>
                <w:sz w:val="21"/>
                <w:szCs w:val="21"/>
                <w:lang w:val="en-US" w:eastAsia="zh-CN"/>
              </w:rPr>
              <w:t>8000</w:t>
            </w:r>
          </w:p>
        </w:tc>
        <w:tc>
          <w:tcPr>
            <w:tcW w:w="675" w:type="dxa"/>
            <w:tcBorders>
              <w:tl2br w:val="nil"/>
              <w:tr2bl w:val="nil"/>
            </w:tcBorders>
            <w:vAlign w:val="center"/>
          </w:tcPr>
          <w:p>
            <w:pPr>
              <w:pStyle w:val="19"/>
              <w:jc w:val="center"/>
              <w:rPr>
                <w:rFonts w:hint="default" w:ascii="Times New Roman" w:hAnsi="Times New Roman" w:cs="Times New Roman" w:eastAsiaTheme="minorEastAsia"/>
                <w:sz w:val="21"/>
                <w:szCs w:val="21"/>
                <w:lang w:eastAsia="zh-CN"/>
              </w:rPr>
            </w:pPr>
            <w:r>
              <w:rPr>
                <w:rFonts w:hint="default" w:ascii="Times New Roman" w:hAnsi="Times New Roman" w:cs="Times New Roman"/>
                <w:sz w:val="21"/>
                <w:szCs w:val="21"/>
                <w:lang w:eastAsia="zh-CN"/>
              </w:rPr>
              <w:t>有</w:t>
            </w:r>
          </w:p>
        </w:tc>
        <w:tc>
          <w:tcPr>
            <w:tcW w:w="990"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有</w:t>
            </w:r>
          </w:p>
        </w:tc>
        <w:tc>
          <w:tcPr>
            <w:tcW w:w="1989" w:type="dxa"/>
            <w:tcBorders>
              <w:tl2br w:val="nil"/>
              <w:tr2bl w:val="nil"/>
            </w:tcBorders>
            <w:vAlign w:val="center"/>
          </w:tcPr>
          <w:p>
            <w:pPr>
              <w:pStyle w:val="19"/>
              <w:jc w:val="center"/>
              <w:rPr>
                <w:rFonts w:hint="default" w:ascii="Times New Roman" w:hAnsi="Times New Roman" w:cs="Times New Roman"/>
                <w:sz w:val="21"/>
                <w:szCs w:val="21"/>
              </w:rPr>
            </w:pPr>
            <w:r>
              <w:rPr>
                <w:rFonts w:hint="default" w:ascii="Times New Roman" w:hAnsi="Times New Roman" w:cs="Times New Roman"/>
                <w:sz w:val="21"/>
                <w:szCs w:val="21"/>
              </w:rPr>
              <w:t>一级保护区内禁止</w:t>
            </w:r>
            <w:r>
              <w:rPr>
                <w:rFonts w:hint="default" w:ascii="Times New Roman" w:hAnsi="Times New Roman" w:cs="Times New Roman"/>
                <w:sz w:val="21"/>
                <w:szCs w:val="21"/>
                <w:lang w:eastAsia="zh-CN"/>
              </w:rPr>
              <w:t>有居住居民，禁止</w:t>
            </w:r>
            <w:r>
              <w:rPr>
                <w:rFonts w:hint="default" w:ascii="Times New Roman" w:hAnsi="Times New Roman" w:cs="Times New Roman"/>
                <w:sz w:val="21"/>
                <w:szCs w:val="21"/>
              </w:rPr>
              <w:t>从事畜牧业活动</w:t>
            </w:r>
          </w:p>
        </w:tc>
      </w:tr>
    </w:tbl>
    <w:p>
      <w:pPr>
        <w:spacing w:line="360" w:lineRule="auto"/>
        <w:ind w:firstLine="482" w:firstLineChars="200"/>
        <w:rPr>
          <w:rFonts w:hint="default" w:ascii="Times New Roman" w:hAnsi="Times New Roman" w:cs="Times New Roman"/>
          <w:b/>
          <w:bCs/>
        </w:rPr>
      </w:pPr>
      <w:r>
        <w:rPr>
          <w:rFonts w:hint="default" w:ascii="Times New Roman" w:hAnsi="Times New Roman" w:cs="Times New Roman"/>
          <w:b/>
          <w:bCs/>
        </w:rPr>
        <w:t>2、乡镇生活垃圾污染现状</w:t>
      </w:r>
    </w:p>
    <w:p>
      <w:pPr>
        <w:tabs>
          <w:tab w:val="center" w:pos="4870"/>
        </w:tabs>
        <w:adjustRightInd w:val="0"/>
        <w:snapToGrid w:val="0"/>
        <w:spacing w:line="360" w:lineRule="auto"/>
        <w:ind w:firstLine="480" w:firstLineChars="200"/>
        <w:rPr>
          <w:rFonts w:hint="default" w:ascii="Times New Roman" w:hAnsi="Times New Roman" w:cs="Times New Roman" w:eastAsiaTheme="minorEastAsia"/>
          <w:b/>
          <w:sz w:val="21"/>
          <w:szCs w:val="21"/>
        </w:rPr>
      </w:pPr>
      <w:r>
        <w:rPr>
          <w:rFonts w:hint="default" w:ascii="Times New Roman" w:hAnsi="Times New Roman" w:cs="Times New Roman" w:eastAsiaTheme="minorEastAsia"/>
        </w:rPr>
        <w:t>目前，</w:t>
      </w:r>
      <w:r>
        <w:rPr>
          <w:rFonts w:hint="eastAsia" w:cs="Times New Roman"/>
          <w:lang w:eastAsia="zh-CN"/>
        </w:rPr>
        <w:t>保护区</w:t>
      </w:r>
      <w:r>
        <w:rPr>
          <w:rFonts w:hint="default" w:ascii="Times New Roman" w:hAnsi="Times New Roman" w:cs="Times New Roman" w:eastAsiaTheme="minorEastAsia"/>
        </w:rPr>
        <w:t>范围内乡镇缺乏生活垃圾集中、清运设施及处置机制，部分生活垃圾被村民直接堆放在</w:t>
      </w:r>
      <w:r>
        <w:rPr>
          <w:rFonts w:hint="eastAsia" w:cs="Times New Roman"/>
          <w:lang w:eastAsia="zh-CN"/>
        </w:rPr>
        <w:t>沟渠旁</w:t>
      </w:r>
      <w:r>
        <w:rPr>
          <w:rFonts w:hint="default" w:ascii="Times New Roman" w:hAnsi="Times New Roman" w:cs="Times New Roman" w:eastAsiaTheme="minorEastAsia"/>
        </w:rPr>
        <w:t>甚至倒入</w:t>
      </w:r>
      <w:r>
        <w:rPr>
          <w:rFonts w:hint="eastAsia" w:cs="Times New Roman"/>
          <w:lang w:eastAsia="zh-CN"/>
        </w:rPr>
        <w:t>老河堰水库内</w:t>
      </w:r>
      <w:r>
        <w:rPr>
          <w:rFonts w:hint="default" w:ascii="Times New Roman" w:hAnsi="Times New Roman" w:cs="Times New Roman" w:eastAsiaTheme="minorEastAsia"/>
        </w:rPr>
        <w:t>。参照相关资料及现场调查数据，乡镇垃圾污染系数为：人均日产产生生活垃圾1kg计算，COD4g/人.d、TN0.7g/人.d、TP0.15/人.d。计算得到</w:t>
      </w:r>
      <w:r>
        <w:rPr>
          <w:rFonts w:hint="eastAsia" w:cs="Times New Roman"/>
          <w:lang w:eastAsia="zh-CN"/>
        </w:rPr>
        <w:t>保护区内</w:t>
      </w:r>
      <w:r>
        <w:rPr>
          <w:rFonts w:hint="default" w:ascii="Times New Roman" w:hAnsi="Times New Roman" w:cs="Times New Roman" w:eastAsiaTheme="minorEastAsia"/>
        </w:rPr>
        <w:t>乡镇生活垃圾污染物产生量如</w:t>
      </w:r>
      <w:r>
        <w:rPr>
          <w:rFonts w:hint="eastAsia" w:ascii="Times New Roman" w:hAnsi="Times New Roman" w:cs="Times New Roman"/>
          <w:lang w:eastAsia="zh-CN"/>
        </w:rPr>
        <w:t>下表</w:t>
      </w:r>
      <w:r>
        <w:rPr>
          <w:rFonts w:hint="default" w:ascii="Times New Roman" w:hAnsi="Times New Roman" w:cs="Times New Roman" w:eastAsiaTheme="minorEastAsia"/>
        </w:rPr>
        <w:t>。</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 乡镇生活垃圾产生情况</w:t>
      </w:r>
    </w:p>
    <w:tbl>
      <w:tblPr>
        <w:tblStyle w:val="17"/>
        <w:tblW w:w="85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4"/>
        <w:gridCol w:w="1926"/>
        <w:gridCol w:w="1850"/>
        <w:gridCol w:w="1187"/>
        <w:gridCol w:w="10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乡镇</w:t>
            </w:r>
          </w:p>
        </w:tc>
        <w:tc>
          <w:tcPr>
            <w:tcW w:w="1274"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4"/>
                <w:szCs w:val="24"/>
              </w:rPr>
            </w:pPr>
            <w:r>
              <w:rPr>
                <w:rFonts w:hint="eastAsia" w:cs="Times New Roman"/>
                <w:b/>
                <w:sz w:val="24"/>
                <w:szCs w:val="24"/>
                <w:lang w:eastAsia="zh-CN"/>
              </w:rPr>
              <w:t>保护区内</w:t>
            </w:r>
            <w:r>
              <w:rPr>
                <w:rFonts w:hint="default" w:ascii="Times New Roman" w:hAnsi="Times New Roman" w:cs="Times New Roman" w:eastAsiaTheme="minorEastAsia"/>
                <w:b/>
                <w:sz w:val="24"/>
                <w:szCs w:val="24"/>
              </w:rPr>
              <w:t>人口数</w:t>
            </w:r>
          </w:p>
        </w:tc>
        <w:tc>
          <w:tcPr>
            <w:tcW w:w="1926" w:type="dxa"/>
            <w:vMerge w:val="restart"/>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生活垃圾产生量（t/a）</w:t>
            </w:r>
          </w:p>
        </w:tc>
        <w:tc>
          <w:tcPr>
            <w:tcW w:w="4074" w:type="dxa"/>
            <w:gridSpan w:val="3"/>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污染物产生量（t/a）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4"/>
                <w:szCs w:val="24"/>
              </w:rPr>
            </w:pPr>
          </w:p>
        </w:tc>
        <w:tc>
          <w:tcPr>
            <w:tcW w:w="1274"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4"/>
                <w:szCs w:val="24"/>
              </w:rPr>
            </w:pPr>
          </w:p>
        </w:tc>
        <w:tc>
          <w:tcPr>
            <w:tcW w:w="1926" w:type="dxa"/>
            <w:vMerge w:val="continue"/>
            <w:tcBorders>
              <w:tl2br w:val="nil"/>
              <w:tr2bl w:val="nil"/>
            </w:tcBorders>
            <w:vAlign w:val="center"/>
          </w:tcPr>
          <w:p>
            <w:pPr>
              <w:adjustRightInd w:val="0"/>
              <w:snapToGrid w:val="0"/>
              <w:spacing w:line="240" w:lineRule="auto"/>
              <w:jc w:val="center"/>
              <w:rPr>
                <w:rFonts w:hint="default" w:ascii="Times New Roman" w:hAnsi="Times New Roman" w:cs="Times New Roman" w:eastAsiaTheme="minorEastAsia"/>
                <w:sz w:val="24"/>
                <w:szCs w:val="24"/>
              </w:rPr>
            </w:pPr>
          </w:p>
        </w:tc>
        <w:tc>
          <w:tcPr>
            <w:tcW w:w="1850"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COD</w:t>
            </w:r>
          </w:p>
        </w:tc>
        <w:tc>
          <w:tcPr>
            <w:tcW w:w="1187"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TN</w:t>
            </w:r>
          </w:p>
        </w:tc>
        <w:tc>
          <w:tcPr>
            <w:tcW w:w="1037" w:type="dxa"/>
            <w:tcBorders>
              <w:tl2br w:val="nil"/>
              <w:tr2bl w:val="nil"/>
            </w:tcBorders>
            <w:vAlign w:val="center"/>
          </w:tcPr>
          <w:p>
            <w:pPr>
              <w:tabs>
                <w:tab w:val="center" w:pos="4870"/>
              </w:tabs>
              <w:adjustRightInd w:val="0"/>
              <w:snapToGrid w:val="0"/>
              <w:spacing w:line="240" w:lineRule="auto"/>
              <w:jc w:val="center"/>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242" w:type="dxa"/>
            <w:tcBorders>
              <w:tl2br w:val="nil"/>
              <w:tr2bl w:val="nil"/>
            </w:tcBorders>
            <w:vAlign w:val="center"/>
          </w:tcPr>
          <w:p>
            <w:pPr>
              <w:tabs>
                <w:tab w:val="center" w:pos="4870"/>
              </w:tabs>
              <w:adjustRightInd w:val="0"/>
              <w:snapToGrid w:val="0"/>
              <w:spacing w:line="240" w:lineRule="auto"/>
              <w:jc w:val="center"/>
              <w:rPr>
                <w:rFonts w:hint="eastAsia" w:ascii="Times New Roman" w:hAnsi="Times New Roman" w:cs="Times New Roman" w:eastAsiaTheme="minorEastAsia"/>
                <w:sz w:val="24"/>
                <w:szCs w:val="24"/>
                <w:lang w:eastAsia="zh-CN"/>
              </w:rPr>
            </w:pPr>
            <w:r>
              <w:rPr>
                <w:rFonts w:hint="eastAsia" w:cs="Times New Roman"/>
                <w:sz w:val="24"/>
                <w:szCs w:val="24"/>
                <w:lang w:eastAsia="zh-CN"/>
              </w:rPr>
              <w:t>永兴镇</w:t>
            </w:r>
          </w:p>
        </w:tc>
        <w:tc>
          <w:tcPr>
            <w:tcW w:w="1274" w:type="dxa"/>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cs="Times New Roman" w:eastAsiaTheme="minorEastAsia"/>
                <w:sz w:val="24"/>
                <w:szCs w:val="24"/>
                <w:lang w:eastAsia="zh-CN"/>
              </w:rPr>
            </w:pPr>
            <w:r>
              <w:rPr>
                <w:rFonts w:hint="default" w:ascii="Times New Roman" w:hAnsi="Times New Roman" w:eastAsia="宋体" w:cs="Times New Roman"/>
                <w:i w:val="0"/>
                <w:color w:val="000000"/>
                <w:kern w:val="0"/>
                <w:sz w:val="24"/>
                <w:szCs w:val="24"/>
                <w:u w:val="none"/>
                <w:lang w:val="en-US" w:eastAsia="zh-CN" w:bidi="ar"/>
              </w:rPr>
              <w:t>105</w:t>
            </w:r>
          </w:p>
        </w:tc>
        <w:tc>
          <w:tcPr>
            <w:tcW w:w="1926"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4"/>
                <w:szCs w:val="24"/>
              </w:rPr>
            </w:pPr>
            <w:r>
              <w:rPr>
                <w:rFonts w:hint="default" w:ascii="Times New Roman" w:hAnsi="Times New Roman" w:eastAsia="宋体" w:cs="Times New Roman"/>
                <w:i w:val="0"/>
                <w:color w:val="000000"/>
                <w:kern w:val="0"/>
                <w:sz w:val="24"/>
                <w:szCs w:val="24"/>
                <w:u w:val="none"/>
                <w:lang w:val="en-US" w:eastAsia="zh-CN" w:bidi="ar"/>
              </w:rPr>
              <w:t>38.325</w:t>
            </w:r>
          </w:p>
        </w:tc>
        <w:tc>
          <w:tcPr>
            <w:tcW w:w="1850"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4"/>
                <w:szCs w:val="24"/>
              </w:rPr>
            </w:pPr>
            <w:r>
              <w:rPr>
                <w:rFonts w:hint="default" w:ascii="Times New Roman" w:hAnsi="Times New Roman" w:eastAsia="宋体" w:cs="Times New Roman"/>
                <w:i w:val="0"/>
                <w:color w:val="000000"/>
                <w:kern w:val="0"/>
                <w:sz w:val="24"/>
                <w:szCs w:val="24"/>
                <w:u w:val="none"/>
                <w:lang w:val="en-US" w:eastAsia="zh-CN" w:bidi="ar"/>
              </w:rPr>
              <w:t xml:space="preserve">0.153 </w:t>
            </w:r>
          </w:p>
        </w:tc>
        <w:tc>
          <w:tcPr>
            <w:tcW w:w="118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4"/>
                <w:szCs w:val="24"/>
              </w:rPr>
            </w:pPr>
            <w:r>
              <w:rPr>
                <w:rFonts w:hint="default" w:ascii="Times New Roman" w:hAnsi="Times New Roman" w:eastAsia="宋体" w:cs="Times New Roman"/>
                <w:i w:val="0"/>
                <w:color w:val="000000"/>
                <w:kern w:val="0"/>
                <w:sz w:val="24"/>
                <w:szCs w:val="24"/>
                <w:u w:val="none"/>
                <w:lang w:val="en-US" w:eastAsia="zh-CN" w:bidi="ar"/>
              </w:rPr>
              <w:t xml:space="preserve">0.027 </w:t>
            </w:r>
          </w:p>
        </w:tc>
        <w:tc>
          <w:tcPr>
            <w:tcW w:w="103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eastAsiaTheme="minorEastAsia"/>
                <w:sz w:val="24"/>
                <w:szCs w:val="24"/>
              </w:rPr>
            </w:pPr>
            <w:r>
              <w:rPr>
                <w:rFonts w:hint="default" w:ascii="Times New Roman" w:hAnsi="Times New Roman" w:eastAsia="宋体" w:cs="Times New Roman"/>
                <w:i w:val="0"/>
                <w:color w:val="000000"/>
                <w:kern w:val="0"/>
                <w:sz w:val="24"/>
                <w:szCs w:val="24"/>
                <w:u w:val="none"/>
                <w:lang w:val="en-US" w:eastAsia="zh-CN" w:bidi="ar"/>
              </w:rPr>
              <w:t xml:space="preserve">0.006 </w:t>
            </w:r>
          </w:p>
        </w:tc>
      </w:tr>
    </w:tbl>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乡镇生活垃圾污染物产生量及污染负荷为</w:t>
      </w:r>
      <w:r>
        <w:rPr>
          <w:rFonts w:hint="eastAsia" w:cs="Times New Roman"/>
          <w:color w:val="auto"/>
          <w:lang w:val="en-US" w:eastAsia="zh-CN"/>
        </w:rPr>
        <w:t>38.325</w:t>
      </w:r>
      <w:r>
        <w:rPr>
          <w:rFonts w:hint="default" w:ascii="Times New Roman" w:hAnsi="Times New Roman" w:cs="Times New Roman"/>
          <w:color w:val="auto"/>
        </w:rPr>
        <w:t>t/a、COD</w:t>
      </w:r>
      <w:r>
        <w:rPr>
          <w:rFonts w:hint="eastAsia" w:cs="Times New Roman"/>
          <w:color w:val="auto"/>
          <w:lang w:val="en-US" w:eastAsia="zh-CN"/>
        </w:rPr>
        <w:t>0.153</w:t>
      </w:r>
      <w:r>
        <w:rPr>
          <w:rFonts w:hint="default" w:ascii="Times New Roman" w:hAnsi="Times New Roman" w:cs="Times New Roman"/>
          <w:color w:val="auto"/>
        </w:rPr>
        <w:t>t/a、TN</w:t>
      </w:r>
      <w:r>
        <w:rPr>
          <w:rFonts w:hint="eastAsia" w:cs="Times New Roman"/>
          <w:color w:val="auto"/>
          <w:lang w:val="en-US" w:eastAsia="zh-CN"/>
        </w:rPr>
        <w:t>0.027</w:t>
      </w:r>
      <w:r>
        <w:rPr>
          <w:rFonts w:hint="default" w:ascii="Times New Roman" w:hAnsi="Times New Roman" w:cs="Times New Roman"/>
          <w:color w:val="auto"/>
        </w:rPr>
        <w:t>t/a、TP</w:t>
      </w:r>
      <w:r>
        <w:rPr>
          <w:rFonts w:hint="eastAsia" w:cs="Times New Roman"/>
          <w:color w:val="auto"/>
          <w:lang w:val="en-US" w:eastAsia="zh-CN"/>
        </w:rPr>
        <w:t>0.006</w:t>
      </w:r>
      <w:r>
        <w:rPr>
          <w:rFonts w:hint="default" w:ascii="Times New Roman" w:hAnsi="Times New Roman" w:cs="Times New Roman"/>
          <w:color w:val="auto"/>
        </w:rPr>
        <w:t xml:space="preserve"> t/a。</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cs="Times New Roman"/>
          <w:color w:val="auto"/>
        </w:rPr>
      </w:pPr>
      <w:bookmarkStart w:id="138" w:name="_Toc26259"/>
      <w:bookmarkStart w:id="139" w:name="_Toc30741"/>
      <w:r>
        <w:rPr>
          <w:rFonts w:hint="eastAsia" w:ascii="Times New Roman" w:hAnsi="Times New Roman" w:cs="Times New Roman"/>
          <w:color w:val="auto"/>
          <w:lang w:val="en-US" w:eastAsia="zh-CN"/>
        </w:rPr>
        <w:t>4</w:t>
      </w:r>
      <w:r>
        <w:rPr>
          <w:rFonts w:hint="default" w:ascii="Times New Roman" w:hAnsi="Times New Roman" w:cs="Times New Roman"/>
          <w:color w:val="auto"/>
        </w:rPr>
        <w:t>.1.5航运污染源</w:t>
      </w:r>
      <w:bookmarkEnd w:id="137"/>
      <w:bookmarkEnd w:id="138"/>
      <w:bookmarkEnd w:id="139"/>
    </w:p>
    <w:p>
      <w:pPr>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rPr>
        <w:t>根据调查，</w:t>
      </w:r>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集中式饮用水源地保护区</w:t>
      </w:r>
      <w:r>
        <w:rPr>
          <w:rFonts w:hint="default" w:ascii="Times New Roman" w:hAnsi="Times New Roman" w:cs="Times New Roman"/>
          <w:color w:val="auto"/>
        </w:rPr>
        <w:t>内无航运，不存在航运污染源。</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textAlignment w:val="auto"/>
        <w:rPr>
          <w:rFonts w:hint="default" w:ascii="Times New Roman" w:hAnsi="Times New Roman" w:cs="Times New Roman"/>
          <w:color w:val="auto"/>
        </w:rPr>
      </w:pPr>
      <w:bookmarkStart w:id="140" w:name="_Toc3632"/>
      <w:bookmarkStart w:id="141" w:name="_Toc22254"/>
      <w:bookmarkStart w:id="142" w:name="_Toc7200"/>
      <w:r>
        <w:rPr>
          <w:rFonts w:hint="eastAsia" w:ascii="Times New Roman" w:hAnsi="Times New Roman" w:cs="Times New Roman"/>
          <w:color w:val="auto"/>
          <w:lang w:val="en-US" w:eastAsia="zh-CN"/>
        </w:rPr>
        <w:t>4</w:t>
      </w:r>
      <w:r>
        <w:rPr>
          <w:rFonts w:hint="default" w:ascii="Times New Roman" w:hAnsi="Times New Roman" w:cs="Times New Roman"/>
          <w:color w:val="auto"/>
        </w:rPr>
        <w:t>.1.6交通运输风险</w:t>
      </w:r>
      <w:bookmarkEnd w:id="140"/>
      <w:bookmarkEnd w:id="141"/>
      <w:bookmarkEnd w:id="142"/>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根据调查，</w:t>
      </w:r>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集中式饮用水源地保护区</w:t>
      </w:r>
      <w:r>
        <w:rPr>
          <w:rFonts w:hint="default" w:ascii="Times New Roman" w:hAnsi="Times New Roman" w:cs="Times New Roman"/>
          <w:color w:val="auto"/>
        </w:rPr>
        <w:t>内均无水上交通运输，无水上交通运输风险。</w:t>
      </w:r>
      <w:r>
        <w:rPr>
          <w:rFonts w:hint="default" w:ascii="Times New Roman" w:hAnsi="Times New Roman" w:cs="Times New Roman"/>
          <w:color w:val="auto"/>
          <w:lang w:eastAsia="zh-CN"/>
        </w:rPr>
        <w:t>开江县</w:t>
      </w:r>
      <w:r>
        <w:rPr>
          <w:rFonts w:hint="default" w:ascii="Times New Roman" w:hAnsi="Times New Roman" w:cs="Times New Roman"/>
          <w:color w:val="auto"/>
        </w:rPr>
        <w:t>陆路交通运输情况如</w:t>
      </w:r>
      <w:r>
        <w:rPr>
          <w:rFonts w:hint="eastAsia" w:cs="Times New Roman"/>
          <w:color w:val="auto"/>
          <w:lang w:eastAsia="zh-CN"/>
        </w:rPr>
        <w:t>下表</w:t>
      </w:r>
      <w:r>
        <w:rPr>
          <w:rFonts w:hint="default" w:ascii="Times New Roman" w:hAnsi="Times New Roman" w:cs="Times New Roman"/>
          <w:color w:val="auto"/>
        </w:rPr>
        <w:t>所示。</w:t>
      </w:r>
    </w:p>
    <w:p>
      <w:pPr>
        <w:numPr>
          <w:ilvl w:val="0"/>
          <w:numId w:val="2"/>
        </w:numPr>
        <w:spacing w:line="240" w:lineRule="auto"/>
        <w:ind w:left="425" w:leftChars="0" w:hanging="425" w:firstLineChars="0"/>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 xml:space="preserve"> </w:t>
      </w:r>
      <w:r>
        <w:rPr>
          <w:rFonts w:hint="default" w:ascii="Times New Roman" w:hAnsi="Times New Roman" w:cs="Times New Roman"/>
          <w:b/>
          <w:bCs/>
          <w:color w:val="000000"/>
          <w:sz w:val="21"/>
          <w:szCs w:val="21"/>
          <w:lang w:eastAsia="zh-CN"/>
        </w:rPr>
        <w:t>开江县</w:t>
      </w:r>
      <w:r>
        <w:rPr>
          <w:rFonts w:hint="eastAsia" w:cs="Times New Roman"/>
          <w:b/>
          <w:bCs/>
          <w:color w:val="000000"/>
          <w:sz w:val="21"/>
          <w:szCs w:val="21"/>
          <w:lang w:eastAsia="zh-CN"/>
        </w:rPr>
        <w:t>老河堰</w:t>
      </w:r>
      <w:r>
        <w:rPr>
          <w:rFonts w:hint="default" w:ascii="Times New Roman" w:hAnsi="Times New Roman" w:cs="Times New Roman"/>
          <w:b/>
          <w:bCs/>
          <w:color w:val="000000"/>
          <w:sz w:val="21"/>
          <w:szCs w:val="21"/>
          <w:lang w:eastAsia="zh-CN"/>
        </w:rPr>
        <w:t>水库</w:t>
      </w:r>
      <w:r>
        <w:rPr>
          <w:rFonts w:hint="default" w:ascii="Times New Roman" w:hAnsi="Times New Roman" w:cs="Times New Roman"/>
          <w:b/>
          <w:bCs/>
          <w:color w:val="000000"/>
          <w:sz w:val="21"/>
          <w:szCs w:val="21"/>
        </w:rPr>
        <w:t>集中式饮用水水源地交通运输情况调查表</w:t>
      </w:r>
    </w:p>
    <w:tbl>
      <w:tblPr>
        <w:tblStyle w:val="16"/>
        <w:tblW w:w="849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83"/>
        <w:gridCol w:w="975"/>
        <w:gridCol w:w="1590"/>
        <w:gridCol w:w="1215"/>
        <w:gridCol w:w="1632"/>
        <w:gridCol w:w="936"/>
        <w:gridCol w:w="913"/>
        <w:gridCol w:w="8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62" w:hRule="atLeast"/>
          <w:jc w:val="center"/>
        </w:trPr>
        <w:tc>
          <w:tcPr>
            <w:tcW w:w="383"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975"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乡镇</w:t>
            </w:r>
          </w:p>
        </w:tc>
        <w:tc>
          <w:tcPr>
            <w:tcW w:w="1590"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水源地名称</w:t>
            </w:r>
          </w:p>
        </w:tc>
        <w:tc>
          <w:tcPr>
            <w:tcW w:w="1215"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w:t>
            </w:r>
          </w:p>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c>
          <w:tcPr>
            <w:tcW w:w="1632"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服务人口</w:t>
            </w:r>
          </w:p>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（人）</w:t>
            </w:r>
          </w:p>
        </w:tc>
        <w:tc>
          <w:tcPr>
            <w:tcW w:w="936"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国道</w:t>
            </w:r>
          </w:p>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通过</w:t>
            </w:r>
          </w:p>
        </w:tc>
        <w:tc>
          <w:tcPr>
            <w:tcW w:w="913"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省道</w:t>
            </w:r>
          </w:p>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通过</w:t>
            </w:r>
          </w:p>
        </w:tc>
        <w:tc>
          <w:tcPr>
            <w:tcW w:w="846"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乡镇</w:t>
            </w:r>
          </w:p>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83"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sz w:val="21"/>
                <w:szCs w:val="21"/>
              </w:rPr>
              <w:t>1</w:t>
            </w:r>
          </w:p>
        </w:tc>
        <w:tc>
          <w:tcPr>
            <w:tcW w:w="975" w:type="dxa"/>
            <w:tcBorders>
              <w:tl2br w:val="nil"/>
              <w:tr2bl w:val="nil"/>
            </w:tcBorders>
            <w:vAlign w:val="center"/>
          </w:tcPr>
          <w:p>
            <w:pPr>
              <w:pStyle w:val="19"/>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sz w:val="21"/>
                <w:szCs w:val="21"/>
                <w:lang w:eastAsia="zh-CN"/>
              </w:rPr>
              <w:t>永兴镇</w:t>
            </w:r>
          </w:p>
        </w:tc>
        <w:tc>
          <w:tcPr>
            <w:tcW w:w="1590" w:type="dxa"/>
            <w:tcBorders>
              <w:tl2br w:val="nil"/>
              <w:tr2bl w:val="nil"/>
            </w:tcBorders>
            <w:vAlign w:val="center"/>
          </w:tcPr>
          <w:p>
            <w:pPr>
              <w:pStyle w:val="19"/>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sz w:val="21"/>
                <w:szCs w:val="21"/>
                <w:lang w:eastAsia="zh-CN"/>
              </w:rPr>
              <w:t>开江县</w:t>
            </w:r>
            <w:r>
              <w:rPr>
                <w:rFonts w:hint="eastAsia" w:ascii="Times New Roman" w:hAnsi="Times New Roman" w:cs="Times New Roman"/>
                <w:sz w:val="21"/>
                <w:szCs w:val="21"/>
                <w:lang w:eastAsia="zh-CN"/>
              </w:rPr>
              <w:t>老河堰</w:t>
            </w:r>
            <w:r>
              <w:rPr>
                <w:rFonts w:hint="default" w:ascii="Times New Roman" w:hAnsi="Times New Roman" w:cs="Times New Roman"/>
                <w:sz w:val="21"/>
                <w:szCs w:val="21"/>
                <w:lang w:eastAsia="zh-CN"/>
              </w:rPr>
              <w:t>水库</w:t>
            </w:r>
          </w:p>
        </w:tc>
        <w:tc>
          <w:tcPr>
            <w:tcW w:w="1215"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sz w:val="21"/>
                <w:szCs w:val="21"/>
              </w:rPr>
              <w:t>地表水</w:t>
            </w:r>
          </w:p>
        </w:tc>
        <w:tc>
          <w:tcPr>
            <w:tcW w:w="1632" w:type="dxa"/>
            <w:tcBorders>
              <w:tl2br w:val="nil"/>
              <w:tr2bl w:val="nil"/>
            </w:tcBorders>
            <w:vAlign w:val="center"/>
          </w:tcPr>
          <w:p>
            <w:pPr>
              <w:pStyle w:val="19"/>
              <w:jc w:val="center"/>
              <w:rPr>
                <w:rFonts w:hint="default" w:ascii="Times New Roman" w:hAnsi="Times New Roman" w:cs="Times New Roman" w:eastAsiaTheme="minorEastAsia"/>
                <w:color w:val="auto"/>
                <w:sz w:val="21"/>
                <w:szCs w:val="21"/>
                <w:lang w:eastAsia="zh-CN"/>
              </w:rPr>
            </w:pPr>
            <w:r>
              <w:rPr>
                <w:rFonts w:hint="eastAsia" w:ascii="Times New Roman" w:hAnsi="Times New Roman" w:cs="Times New Roman"/>
                <w:sz w:val="21"/>
                <w:szCs w:val="21"/>
                <w:lang w:val="en-US" w:eastAsia="zh-CN"/>
              </w:rPr>
              <w:t>80000</w:t>
            </w:r>
          </w:p>
        </w:tc>
        <w:tc>
          <w:tcPr>
            <w:tcW w:w="936"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913" w:type="dxa"/>
            <w:tcBorders>
              <w:tl2br w:val="nil"/>
              <w:tr2bl w:val="nil"/>
            </w:tcBorders>
            <w:vAlign w:val="center"/>
          </w:tcPr>
          <w:p>
            <w:pPr>
              <w:pStyle w:val="19"/>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846" w:type="dxa"/>
            <w:tcBorders>
              <w:tl2br w:val="nil"/>
              <w:tr2bl w:val="nil"/>
            </w:tcBorders>
            <w:vAlign w:val="center"/>
          </w:tcPr>
          <w:p>
            <w:pPr>
              <w:pStyle w:val="19"/>
              <w:jc w:val="center"/>
              <w:rPr>
                <w:rFonts w:hint="eastAsia" w:ascii="Times New Roman" w:hAnsi="Times New Roman" w:cs="Times New Roman" w:eastAsiaTheme="minorEastAsia"/>
                <w:color w:val="auto"/>
                <w:sz w:val="21"/>
                <w:szCs w:val="21"/>
                <w:lang w:eastAsia="zh-CN"/>
              </w:rPr>
            </w:pPr>
            <w:r>
              <w:rPr>
                <w:rFonts w:hint="eastAsia" w:ascii="Times New Roman" w:hAnsi="Times New Roman" w:cs="Times New Roman"/>
                <w:color w:val="auto"/>
                <w:sz w:val="21"/>
                <w:szCs w:val="21"/>
                <w:lang w:eastAsia="zh-CN"/>
              </w:rPr>
              <w:t>有</w:t>
            </w:r>
          </w:p>
        </w:tc>
      </w:tr>
    </w:tbl>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43" w:name="_Toc11305"/>
      <w:bookmarkStart w:id="144" w:name="_Toc26652"/>
      <w:bookmarkStart w:id="145" w:name="_Toc27004"/>
      <w:r>
        <w:rPr>
          <w:rFonts w:hint="eastAsia" w:ascii="Times New Roman" w:hAnsi="Times New Roman" w:cs="Times New Roman"/>
          <w:color w:val="auto"/>
          <w:lang w:val="en-US" w:eastAsia="zh-CN"/>
        </w:rPr>
        <w:t>4</w:t>
      </w:r>
      <w:r>
        <w:rPr>
          <w:rFonts w:hint="default" w:ascii="Times New Roman" w:hAnsi="Times New Roman" w:cs="Times New Roman"/>
          <w:color w:val="auto"/>
        </w:rPr>
        <w:t>.1.7地质灾害</w:t>
      </w:r>
      <w:bookmarkEnd w:id="143"/>
      <w:bookmarkEnd w:id="144"/>
      <w:bookmarkEnd w:id="145"/>
    </w:p>
    <w:p>
      <w:pPr>
        <w:spacing w:line="360" w:lineRule="auto"/>
        <w:ind w:firstLine="480" w:firstLineChars="200"/>
        <w:rPr>
          <w:rFonts w:hint="default" w:ascii="Times New Roman" w:hAnsi="Times New Roman" w:cs="Times New Roman"/>
        </w:rPr>
      </w:pPr>
      <w:bookmarkStart w:id="146" w:name="_Toc21048"/>
      <w:r>
        <w:rPr>
          <w:rFonts w:hint="default" w:ascii="Times New Roman" w:hAnsi="Times New Roman" w:cs="Times New Roman"/>
        </w:rPr>
        <w:t>在发生时间上，地质灾害主要发生于雨季—5月至10月，这与降雨量的月际变化规律相一致。</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库区地势多以山地、深丘为主，沟壑纵横，地形较为复杂，有地质灾害点95个，其点多、面广，突发性强、危害较重，是</w:t>
      </w:r>
      <w:r>
        <w:rPr>
          <w:rFonts w:hint="eastAsia" w:cs="Times New Roman"/>
          <w:lang w:eastAsia="zh-CN"/>
        </w:rPr>
        <w:t>开江县</w:t>
      </w:r>
      <w:r>
        <w:rPr>
          <w:rFonts w:hint="default" w:ascii="Times New Roman" w:hAnsi="Times New Roman" w:cs="Times New Roman"/>
        </w:rPr>
        <w:t>地质灾害频发地带。植被多为中幼、中龄林和低效林，防护能力较差。库区农业集中在上游三条河流域和沿水库周边，水土流失较为严重。库区有旱山村15个，占全县60个旱山村的25%，是</w:t>
      </w:r>
      <w:r>
        <w:rPr>
          <w:rFonts w:hint="eastAsia" w:cs="Times New Roman"/>
          <w:lang w:eastAsia="zh-CN"/>
        </w:rPr>
        <w:t>开江县</w:t>
      </w:r>
      <w:r>
        <w:rPr>
          <w:rFonts w:hint="default" w:ascii="Times New Roman" w:hAnsi="Times New Roman" w:cs="Times New Roman"/>
        </w:rPr>
        <w:t>旱灾最频繁、最严重的区域。春夏交际之间降水较频繁，会爆发山洪，由于地形多为山地，引起泥石流、山体滑坡等灾害。</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47" w:name="_Toc12178"/>
      <w:bookmarkStart w:id="148" w:name="_Toc193"/>
      <w:r>
        <w:rPr>
          <w:rFonts w:hint="eastAsia" w:ascii="Times New Roman" w:hAnsi="Times New Roman" w:cs="Times New Roman"/>
          <w:color w:val="auto"/>
          <w:lang w:val="en-US" w:eastAsia="zh-CN"/>
        </w:rPr>
        <w:t>4</w:t>
      </w:r>
      <w:r>
        <w:rPr>
          <w:rFonts w:hint="default" w:ascii="Times New Roman" w:hAnsi="Times New Roman" w:cs="Times New Roman"/>
          <w:color w:val="auto"/>
        </w:rPr>
        <w:t>.1.8突发性污染事故</w:t>
      </w:r>
      <w:bookmarkEnd w:id="146"/>
      <w:bookmarkEnd w:id="147"/>
      <w:bookmarkEnd w:id="148"/>
    </w:p>
    <w:p>
      <w:pPr>
        <w:spacing w:line="360" w:lineRule="auto"/>
        <w:ind w:firstLine="480" w:firstLineChars="200"/>
        <w:rPr>
          <w:rFonts w:hint="default" w:ascii="Times New Roman" w:hAnsi="Times New Roman" w:cs="Times New Roman"/>
          <w:color w:val="000000"/>
          <w:lang w:eastAsia="zh-CN"/>
        </w:rPr>
      </w:pPr>
      <w:r>
        <w:rPr>
          <w:rFonts w:hint="default" w:ascii="Times New Roman" w:hAnsi="Times New Roman" w:cs="Times New Roman"/>
          <w:color w:val="000000"/>
          <w:lang w:eastAsia="zh-CN"/>
        </w:rPr>
        <w:t>开江县属四川盆地中亚热带湿润气候区，年均气温17.2℃，最低气温为16.1℃；月平均气温最热月7月为27.1℃，最冷月1月为5.4℃；历年极端最高气温39.8℃，最低气温-5.5℃。年平均降水量为1259.4mm，最多年为1607.9毫米，最少年为935.8毫米。年平均日照1386.6小时，占可照时数的31%，无霜期282.6天。</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lang w:eastAsia="zh-CN"/>
        </w:rPr>
        <w:t>开江县</w:t>
      </w:r>
      <w:r>
        <w:rPr>
          <w:rFonts w:hint="default" w:ascii="Times New Roman" w:hAnsi="Times New Roman" w:cs="Times New Roman"/>
          <w:highlight w:val="none"/>
        </w:rPr>
        <w:t>城区位于侵蚀堆积河谷地貌上，主要沿鲜水河和纽日河及其支流的两岸呈断续分布。主要包括河谷漫滩及阶地。鲜水河共发育六级阶地，其中一、二级阶地多为堆积阶。</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综上所述，四川省</w:t>
      </w:r>
      <w:r>
        <w:rPr>
          <w:rFonts w:hint="default" w:ascii="Times New Roman" w:hAnsi="Times New Roman" w:cs="Times New Roman"/>
          <w:highlight w:val="none"/>
          <w:lang w:eastAsia="zh-CN"/>
        </w:rPr>
        <w:t>开江县县城</w:t>
      </w:r>
      <w:r>
        <w:rPr>
          <w:rFonts w:hint="eastAsia" w:cs="Times New Roman"/>
          <w:highlight w:val="none"/>
          <w:lang w:eastAsia="zh-CN"/>
        </w:rPr>
        <w:t>老河堰</w:t>
      </w:r>
      <w:r>
        <w:rPr>
          <w:rFonts w:hint="default" w:ascii="Times New Roman" w:hAnsi="Times New Roman" w:cs="Times New Roman"/>
          <w:highlight w:val="none"/>
          <w:lang w:eastAsia="zh-CN"/>
        </w:rPr>
        <w:t>水库</w:t>
      </w:r>
      <w:r>
        <w:rPr>
          <w:rFonts w:hint="default" w:ascii="Times New Roman" w:hAnsi="Times New Roman" w:cs="Times New Roman"/>
          <w:highlight w:val="none"/>
        </w:rPr>
        <w:t>集中式饮用水源地保护区都存在汛期、旱期等特殊情况发生的可能性，对水源的风险防范应更加严格谨慎。由于</w:t>
      </w:r>
      <w:r>
        <w:rPr>
          <w:rFonts w:hint="default" w:ascii="Times New Roman" w:hAnsi="Times New Roman" w:cs="Times New Roman"/>
          <w:highlight w:val="none"/>
          <w:lang w:eastAsia="zh-CN"/>
        </w:rPr>
        <w:t>开江县</w:t>
      </w:r>
      <w:r>
        <w:rPr>
          <w:rFonts w:hint="default" w:ascii="Times New Roman" w:hAnsi="Times New Roman" w:cs="Times New Roman"/>
          <w:highlight w:val="none"/>
        </w:rPr>
        <w:t>地质条件复杂，地形地貌独特，存在一定的突发事件会对水源地造成一定的影响。</w:t>
      </w:r>
    </w:p>
    <w:p>
      <w:pPr>
        <w:spacing w:line="360" w:lineRule="auto"/>
        <w:ind w:firstLine="480" w:firstLineChars="200"/>
        <w:rPr>
          <w:rFonts w:hint="default" w:ascii="Times New Roman" w:hAnsi="Times New Roman" w:cs="Times New Roman"/>
          <w:kern w:val="0"/>
          <w:highlight w:val="none"/>
        </w:rPr>
      </w:pPr>
      <w:r>
        <w:rPr>
          <w:rFonts w:hint="default" w:ascii="Times New Roman" w:hAnsi="Times New Roman" w:cs="Times New Roman"/>
          <w:highlight w:val="none"/>
        </w:rPr>
        <w:t>针对突发性污染事件，应加强水源巡查和保护的宣传；对水源周边重点污染源进行全面的排查，重点防范特殊时期企业违法偷排；增加水源监测频次。</w:t>
      </w:r>
    </w:p>
    <w:p>
      <w:pPr>
        <w:ind w:firstLine="482" w:firstLineChars="200"/>
        <w:rPr>
          <w:rFonts w:hint="default" w:ascii="Times New Roman" w:hAnsi="Times New Roman" w:cs="Times New Roman"/>
          <w:b/>
          <w:highlight w:val="none"/>
        </w:rPr>
      </w:pPr>
      <w:r>
        <w:rPr>
          <w:rFonts w:hint="default" w:ascii="Times New Roman" w:hAnsi="Times New Roman" w:cs="Times New Roman"/>
          <w:b/>
          <w:highlight w:val="none"/>
        </w:rPr>
        <w:t>1</w:t>
      </w:r>
      <w:r>
        <w:rPr>
          <w:rFonts w:hint="default" w:ascii="Times New Roman" w:hAnsi="Times New Roman" w:cs="Times New Roman"/>
          <w:b/>
          <w:highlight w:val="none"/>
          <w:lang w:eastAsia="zh-CN"/>
        </w:rPr>
        <w:t>、</w:t>
      </w:r>
      <w:r>
        <w:rPr>
          <w:rFonts w:hint="default" w:ascii="Times New Roman" w:hAnsi="Times New Roman" w:cs="Times New Roman"/>
          <w:b/>
          <w:highlight w:val="none"/>
        </w:rPr>
        <w:t>地震</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地震灾害期间饮用水环境安全保障工作应参照环境保护部印发的《地震灾区集中式饮用水水源保护技术指南（暂行）》、《地震灾区饮用水安全保障应急技术方案（暂行）》、《地震灾区地表水环境质量与集中式饮用水水质监测技术指南（暂行）》开展。</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震后通常选择水源的顺序是：水井、山泉、江河、水库、湖泊、池塘。当水质出现异常时，监测部门应立即对保留的分析样品进行复查，采取巡视、加强处置等措施，并及时报告。</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在水源地范围内，不得掩埋尸体，及时清理动物尸体、粪坑、禽畜养殖围栏等有机污染源，必要时采取臭味处理技术、浊度处理技术、消毒处理技术、除藻技术、清淤处理等应急处理技术。</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禁止向重点保护水域倾倒工业废渣、灾后生活和建筑垃圾、粪便及其他废弃物，防止病原体的污染。</w:t>
      </w:r>
    </w:p>
    <w:p>
      <w:pPr>
        <w:spacing w:line="360" w:lineRule="auto"/>
        <w:ind w:firstLine="480" w:firstLineChars="200"/>
        <w:rPr>
          <w:rFonts w:hint="default" w:ascii="Times New Roman" w:hAnsi="Times New Roman" w:cs="Times New Roman"/>
          <w:kern w:val="0"/>
          <w:highlight w:val="none"/>
        </w:rPr>
      </w:pPr>
      <w:r>
        <w:rPr>
          <w:rFonts w:hint="default" w:ascii="Times New Roman" w:hAnsi="Times New Roman" w:cs="Times New Roman"/>
          <w:highlight w:val="none"/>
        </w:rPr>
        <w:t>对水源地范围进行标识，并加强对水源地的巡查和保护宣传；在水源地设置简易导流沟，避免雨水或污水携带大量污染物直接进入水源地及其上游地区。</w:t>
      </w:r>
    </w:p>
    <w:p>
      <w:pPr>
        <w:ind w:firstLine="482" w:firstLineChars="200"/>
        <w:rPr>
          <w:rFonts w:hint="default" w:ascii="Times New Roman" w:hAnsi="Times New Roman" w:cs="Times New Roman"/>
          <w:b/>
          <w:highlight w:val="none"/>
        </w:rPr>
      </w:pPr>
      <w:r>
        <w:rPr>
          <w:rFonts w:hint="default" w:ascii="Times New Roman" w:hAnsi="Times New Roman" w:cs="Times New Roman"/>
          <w:b/>
          <w:highlight w:val="none"/>
        </w:rPr>
        <w:t>2</w:t>
      </w:r>
      <w:r>
        <w:rPr>
          <w:rFonts w:hint="default" w:ascii="Times New Roman" w:hAnsi="Times New Roman" w:cs="Times New Roman"/>
          <w:b/>
          <w:highlight w:val="none"/>
          <w:lang w:eastAsia="zh-CN"/>
        </w:rPr>
        <w:t>、</w:t>
      </w:r>
      <w:r>
        <w:rPr>
          <w:rFonts w:hint="default" w:ascii="Times New Roman" w:hAnsi="Times New Roman" w:cs="Times New Roman"/>
          <w:b/>
          <w:highlight w:val="none"/>
        </w:rPr>
        <w:t>汛期</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针对重大汛情，增加监测频次；联合卫生等部门加强水源地水质监测工作，重点监测细菌总数、大肠菌群、浊度、重金属等。</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汛期饮用水异常，判断可能是水源被污染时，环保部门应建议政府查找原因并科学应对，通过设立警示牌、清除主要污染源、建设治污截污工程、强化环境监管等措施，保障水源地的水质安全。</w:t>
      </w:r>
    </w:p>
    <w:p>
      <w:pPr>
        <w:spacing w:line="360" w:lineRule="auto"/>
        <w:ind w:firstLine="480" w:firstLineChars="200"/>
        <w:rPr>
          <w:rFonts w:hint="default" w:ascii="Times New Roman" w:hAnsi="Times New Roman" w:cs="Times New Roman"/>
          <w:kern w:val="0"/>
          <w:highlight w:val="none"/>
        </w:rPr>
      </w:pPr>
      <w:r>
        <w:rPr>
          <w:rFonts w:hint="default" w:ascii="Times New Roman" w:hAnsi="Times New Roman" w:cs="Times New Roman"/>
          <w:highlight w:val="none"/>
        </w:rPr>
        <w:t>当发生泥石流等自然灾害时，对现有水源地进行评估，按照水量充足、水质良好、取水便捷安全等条件，判断现有水源地是否可以继续使用。对水源地加强防护，并纳入清淤重点；建立水源保护制度，专人定期巡查，防止人为破坏。在人口聚集区附近现有水源地不安全的情况下，可考虑应急水源，除现场的环境卫生调查外，可使用快速检测仪器分析水源水质情况。在水源极度匮乏的特殊情况下，可考虑收集降水作为水源，并在收集池附近修建简单的沉淀、净化处理设施，收集池周围修置排水沟，防止地表径流污染水源。</w:t>
      </w:r>
    </w:p>
    <w:p>
      <w:pPr>
        <w:ind w:firstLine="482" w:firstLineChars="200"/>
        <w:rPr>
          <w:rFonts w:hint="default" w:ascii="Times New Roman" w:hAnsi="Times New Roman" w:cs="Times New Roman"/>
          <w:b/>
          <w:highlight w:val="none"/>
        </w:rPr>
      </w:pPr>
      <w:r>
        <w:rPr>
          <w:rFonts w:hint="default" w:ascii="Times New Roman" w:hAnsi="Times New Roman" w:cs="Times New Roman"/>
          <w:b/>
          <w:highlight w:val="none"/>
        </w:rPr>
        <w:t>3</w:t>
      </w:r>
      <w:r>
        <w:rPr>
          <w:rFonts w:hint="default" w:ascii="Times New Roman" w:hAnsi="Times New Roman" w:cs="Times New Roman"/>
          <w:b/>
          <w:highlight w:val="none"/>
          <w:lang w:eastAsia="zh-CN"/>
        </w:rPr>
        <w:t>、</w:t>
      </w:r>
      <w:r>
        <w:rPr>
          <w:rFonts w:hint="default" w:ascii="Times New Roman" w:hAnsi="Times New Roman" w:cs="Times New Roman"/>
          <w:b/>
          <w:highlight w:val="none"/>
        </w:rPr>
        <w:t>重大旱情</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严密监控水质变化。经常受重大旱情影响的地区，环保部门应加大与供水企业、卫生等部门的沟通联系，对辖区内旱情严重地区的主要水源地加密监测，及时掌握水质变化情况。</w:t>
      </w:r>
    </w:p>
    <w:p>
      <w:pPr>
        <w:spacing w:line="360" w:lineRule="auto"/>
        <w:ind w:firstLine="480" w:firstLineChars="200"/>
        <w:rPr>
          <w:rFonts w:hint="default" w:ascii="Times New Roman" w:hAnsi="Times New Roman" w:cs="Times New Roman"/>
          <w:highlight w:val="none"/>
        </w:rPr>
      </w:pPr>
      <w:r>
        <w:rPr>
          <w:rFonts w:hint="default" w:ascii="Times New Roman" w:hAnsi="Times New Roman" w:cs="Times New Roman"/>
          <w:highlight w:val="none"/>
        </w:rPr>
        <w:t>防止新增污染负荷。环保部门应集中力量开展水源地周边隐患排查工作，加强对流动源的监管，减少或避免对水源地造成影响。</w:t>
      </w:r>
    </w:p>
    <w:p>
      <w:pPr>
        <w:spacing w:line="360" w:lineRule="auto"/>
        <w:ind w:firstLine="480" w:firstLineChars="200"/>
        <w:rPr>
          <w:rFonts w:hint="default" w:ascii="Times New Roman" w:hAnsi="Times New Roman" w:cs="Times New Roman"/>
          <w:kern w:val="0"/>
          <w:highlight w:val="none"/>
        </w:rPr>
      </w:pPr>
      <w:r>
        <w:rPr>
          <w:rFonts w:hint="default" w:ascii="Times New Roman" w:hAnsi="Times New Roman" w:cs="Times New Roman"/>
          <w:highlight w:val="none"/>
        </w:rPr>
        <w:t>保障新增水源水质安全。供水单位新开辟的水塘、河、沟等应急水源，选点尽量处于生活用水点和牲畜用水点的上游，取水口尽量设在河道、湖泊的中心位置，必要时采取澄清、过滤、消毒、打捞等处理措施。实施调水工程时，环保部门应建议政府加强对调水工程沿线的排查力度，以及水源地周边环境及水质监测频次，及时掌握水质变化情况并报告。</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color w:val="auto"/>
        </w:rPr>
      </w:pPr>
      <w:bookmarkStart w:id="149" w:name="_Toc21199"/>
      <w:bookmarkStart w:id="150" w:name="_Toc27334"/>
      <w:r>
        <w:rPr>
          <w:rFonts w:hint="eastAsia" w:ascii="Times New Roman" w:hAnsi="Times New Roman" w:cs="Times New Roman"/>
          <w:color w:val="auto"/>
          <w:lang w:val="en-US" w:eastAsia="zh-CN"/>
        </w:rPr>
        <w:t>4</w:t>
      </w:r>
      <w:r>
        <w:rPr>
          <w:rFonts w:hint="default" w:ascii="Times New Roman" w:hAnsi="Times New Roman" w:cs="Times New Roman"/>
          <w:color w:val="auto"/>
        </w:rPr>
        <w:t>.2水环境系统分析</w:t>
      </w:r>
      <w:bookmarkEnd w:id="149"/>
      <w:bookmarkEnd w:id="150"/>
    </w:p>
    <w:p>
      <w:pPr>
        <w:spacing w:line="360" w:lineRule="auto"/>
        <w:ind w:firstLine="480" w:firstLineChars="200"/>
        <w:rPr>
          <w:rFonts w:hint="default" w:ascii="Times New Roman" w:hAnsi="Times New Roman" w:cs="Times New Roman"/>
        </w:rPr>
      </w:pPr>
      <w:bookmarkStart w:id="151" w:name="_Toc6471"/>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集中式饮用水源地保护区划分涉及县域内</w:t>
      </w:r>
      <w:r>
        <w:rPr>
          <w:rFonts w:hint="eastAsia" w:cs="Times New Roman"/>
          <w:lang w:eastAsia="zh-CN"/>
        </w:rPr>
        <w:t>永兴镇</w:t>
      </w:r>
      <w:r>
        <w:rPr>
          <w:rFonts w:hint="default" w:ascii="Times New Roman" w:hAnsi="Times New Roman" w:cs="Times New Roman"/>
        </w:rPr>
        <w:t>结合资料调研和现状调查的情况，对饮用水水源地可能产生污染影响的主要污染源、污染物及污染影响途径进行分析。</w:t>
      </w: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52" w:name="_Toc20573"/>
      <w:bookmarkStart w:id="153" w:name="_Toc4592"/>
      <w:r>
        <w:rPr>
          <w:rFonts w:hint="eastAsia" w:ascii="Times New Roman" w:hAnsi="Times New Roman" w:cs="Times New Roman"/>
          <w:color w:val="auto"/>
          <w:lang w:val="en-US" w:eastAsia="zh-CN"/>
        </w:rPr>
        <w:t>4</w:t>
      </w:r>
      <w:r>
        <w:rPr>
          <w:rFonts w:hint="default" w:ascii="Times New Roman" w:hAnsi="Times New Roman" w:cs="Times New Roman"/>
          <w:color w:val="auto"/>
        </w:rPr>
        <w:t>.2.1主要污染源分析</w:t>
      </w:r>
      <w:bookmarkEnd w:id="151"/>
      <w:bookmarkEnd w:id="152"/>
      <w:bookmarkEnd w:id="153"/>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根据现场踏勘，</w:t>
      </w:r>
      <w:r>
        <w:rPr>
          <w:rFonts w:hint="default" w:ascii="Times New Roman" w:hAnsi="Times New Roman" w:cs="Times New Roman"/>
          <w:lang w:eastAsia="zh-CN"/>
        </w:rPr>
        <w:t>开江县</w:t>
      </w:r>
      <w:r>
        <w:rPr>
          <w:rFonts w:hint="default" w:ascii="Times New Roman" w:hAnsi="Times New Roman" w:cs="Times New Roman"/>
        </w:rPr>
        <w:t>城集中式饮用水源地附近面源污染主要是牲畜活动，而</w:t>
      </w:r>
      <w:r>
        <w:rPr>
          <w:rFonts w:hint="eastAsia" w:cs="Times New Roman"/>
          <w:lang w:eastAsia="zh-CN"/>
        </w:rPr>
        <w:t>老河堰</w:t>
      </w:r>
      <w:r>
        <w:rPr>
          <w:rFonts w:hint="default" w:ascii="Times New Roman" w:hAnsi="Times New Roman" w:cs="Times New Roman"/>
        </w:rPr>
        <w:t>库区内畜禽养殖基础设施相对落后，农户居住分散，信息闭塞导致畜产品流通成本较大；农民以个体户为主体的生产，抵御风险能力差，并对水源地产生一定的面源污染；</w:t>
      </w:r>
      <w:r>
        <w:rPr>
          <w:rFonts w:hint="eastAsia" w:cs="Times New Roman"/>
          <w:lang w:eastAsia="zh-CN"/>
        </w:rPr>
        <w:t>当畜牧业及农业污染物</w:t>
      </w:r>
      <w:r>
        <w:rPr>
          <w:rFonts w:hint="default" w:ascii="Times New Roman" w:hAnsi="Times New Roman" w:cs="Times New Roman"/>
        </w:rPr>
        <w:t>进入水源地，如果超过了水源地水体的自净能力，就会引起污染，还有牲畜脱落的毛发，自身的一些病原菌和疾病会导致水源地水质病菌含量超高，从而可能会形成病菌的传播源，引起传染病和其他疾病。</w:t>
      </w:r>
    </w:p>
    <w:p>
      <w:pPr>
        <w:spacing w:line="360" w:lineRule="auto"/>
        <w:ind w:firstLine="480" w:firstLineChars="200"/>
        <w:rPr>
          <w:rFonts w:hint="default" w:ascii="Times New Roman" w:hAnsi="Times New Roman" w:cs="Times New Roman"/>
        </w:rPr>
      </w:pPr>
      <w:r>
        <w:rPr>
          <w:rFonts w:hint="eastAsia" w:cs="Times New Roman"/>
          <w:lang w:eastAsia="zh-CN"/>
        </w:rPr>
        <w:t>老河堰</w:t>
      </w:r>
      <w:r>
        <w:rPr>
          <w:rFonts w:hint="default" w:ascii="Times New Roman" w:hAnsi="Times New Roman" w:cs="Times New Roman"/>
        </w:rPr>
        <w:t>湖面是水源保护的重中之重，然而整个内却存在大面积耕地，这些耕地不仅仅在村庄周边，还有一部分紧邻着</w:t>
      </w:r>
      <w:r>
        <w:rPr>
          <w:rFonts w:hint="eastAsia" w:cs="Times New Roman"/>
          <w:lang w:eastAsia="zh-CN"/>
        </w:rPr>
        <w:t>老河堰</w:t>
      </w:r>
      <w:r>
        <w:rPr>
          <w:rFonts w:hint="default" w:ascii="Times New Roman" w:hAnsi="Times New Roman" w:cs="Times New Roman"/>
        </w:rPr>
        <w:t>水面，这些耕地的耕作不乏农业农药的施放，农业面源污染直接影响水源地水质，并且耕作过程也不利于水源地的水土保持，另外一些耕地还处于坡度大于25°的区域，既不利于耕作，产量较低，还容易造成水土流失等问题；现状土地利用中林地分布零散，植被类型单一，不利于水土涵养与水源地保护。</w:t>
      </w:r>
    </w:p>
    <w:p>
      <w:pPr>
        <w:spacing w:line="360" w:lineRule="auto"/>
        <w:ind w:firstLine="480" w:firstLineChars="200"/>
        <w:rPr>
          <w:rFonts w:hint="eastAsia" w:cs="Times New Roman"/>
          <w:lang w:eastAsia="zh-CN"/>
        </w:rPr>
      </w:pPr>
      <w:r>
        <w:rPr>
          <w:rFonts w:hint="eastAsia" w:cs="Times New Roman"/>
          <w:lang w:eastAsia="zh-CN"/>
        </w:rPr>
        <w:t>在</w:t>
      </w:r>
      <w:r>
        <w:rPr>
          <w:rFonts w:hint="default" w:ascii="Times New Roman" w:hAnsi="Times New Roman" w:cs="Times New Roman"/>
          <w:lang w:eastAsia="zh-CN"/>
        </w:rPr>
        <w:t>开江县</w:t>
      </w:r>
      <w:r>
        <w:rPr>
          <w:rFonts w:hint="default" w:ascii="Times New Roman" w:hAnsi="Times New Roman" w:cs="Times New Roman"/>
        </w:rPr>
        <w:t>城集中式饮用水源地附近</w:t>
      </w:r>
      <w:r>
        <w:rPr>
          <w:rFonts w:hint="eastAsia" w:cs="Times New Roman"/>
          <w:lang w:eastAsia="zh-CN"/>
        </w:rPr>
        <w:t>目前有一些零散的散户，在散户生活过程中，将产生一定的生活废水等，生活废水未经过处理</w:t>
      </w:r>
      <w:r>
        <w:rPr>
          <w:rFonts w:hint="default" w:ascii="Times New Roman" w:hAnsi="Times New Roman" w:cs="Times New Roman"/>
        </w:rPr>
        <w:t>，</w:t>
      </w:r>
      <w:r>
        <w:rPr>
          <w:rFonts w:hint="eastAsia" w:cs="Times New Roman"/>
          <w:lang w:eastAsia="zh-CN"/>
        </w:rPr>
        <w:t>排至水库将对水库的水质造成一定的影响，导致粪大肠杆菌超标，导致疾病的传播。</w:t>
      </w:r>
    </w:p>
    <w:p>
      <w:pPr>
        <w:spacing w:line="360" w:lineRule="auto"/>
        <w:ind w:firstLine="480" w:firstLineChars="200"/>
        <w:rPr>
          <w:rFonts w:hint="default" w:ascii="Times New Roman" w:hAnsi="Times New Roman" w:cs="Times New Roman"/>
          <w:color w:val="0000FF"/>
        </w:rPr>
      </w:pPr>
      <w:r>
        <w:rPr>
          <w:rFonts w:hint="default" w:ascii="Times New Roman" w:hAnsi="Times New Roman" w:cs="Times New Roman"/>
        </w:rPr>
        <w:t>总而言之，</w:t>
      </w:r>
      <w:r>
        <w:rPr>
          <w:rFonts w:hint="default" w:ascii="Times New Roman" w:hAnsi="Times New Roman" w:cs="Times New Roman"/>
          <w:lang w:eastAsia="zh-CN"/>
        </w:rPr>
        <w:t>开江县</w:t>
      </w:r>
      <w:r>
        <w:rPr>
          <w:rFonts w:hint="default" w:ascii="Times New Roman" w:hAnsi="Times New Roman" w:cs="Times New Roman"/>
        </w:rPr>
        <w:t>城集中式饮用水源地主要污染源是水源地保护区内的畜牧业</w:t>
      </w:r>
      <w:r>
        <w:rPr>
          <w:rFonts w:hint="eastAsia" w:cs="Times New Roman"/>
          <w:lang w:eastAsia="zh-CN"/>
        </w:rPr>
        <w:t>、农业</w:t>
      </w:r>
      <w:r>
        <w:rPr>
          <w:rFonts w:hint="default" w:ascii="Times New Roman" w:hAnsi="Times New Roman" w:cs="Times New Roman"/>
        </w:rPr>
        <w:t>，建议未来一定时期，需要采取有力措施对水源地保护区环境进行整治，以使地表水</w:t>
      </w:r>
      <w:r>
        <w:rPr>
          <w:rFonts w:hint="default" w:ascii="Times New Roman" w:hAnsi="Times New Roman" w:cs="Times New Roman"/>
          <w:color w:val="0000FF"/>
        </w:rPr>
        <w:t>一级保护区内水质达到《地表水环境质量标准》（GB3838-2002）II类水质标准。</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eastAsia="仿宋_GB2312" w:cs="Times New Roman"/>
          <w:color w:val="auto"/>
          <w:sz w:val="20"/>
          <w:szCs w:val="20"/>
        </w:rPr>
      </w:pPr>
      <w:bookmarkStart w:id="154" w:name="_Toc8564"/>
      <w:bookmarkStart w:id="155" w:name="_Toc4813"/>
      <w:bookmarkStart w:id="156" w:name="_Toc5105"/>
      <w:r>
        <w:rPr>
          <w:rFonts w:hint="eastAsia" w:ascii="Times New Roman" w:hAnsi="Times New Roman" w:cs="Times New Roman"/>
          <w:color w:val="auto"/>
          <w:lang w:val="en-US" w:eastAsia="zh-CN"/>
        </w:rPr>
        <w:t>4</w:t>
      </w:r>
      <w:r>
        <w:rPr>
          <w:rFonts w:hint="default" w:ascii="Times New Roman" w:hAnsi="Times New Roman" w:cs="Times New Roman"/>
          <w:color w:val="auto"/>
        </w:rPr>
        <w:t>.2.2污染源分布</w:t>
      </w:r>
      <w:bookmarkEnd w:id="154"/>
      <w:bookmarkEnd w:id="155"/>
      <w:bookmarkEnd w:id="156"/>
    </w:p>
    <w:p>
      <w:pPr>
        <w:spacing w:line="360" w:lineRule="auto"/>
        <w:ind w:firstLine="480" w:firstLineChars="200"/>
        <w:rPr>
          <w:rFonts w:hint="default" w:ascii="Times New Roman" w:hAnsi="Times New Roman" w:cs="Times New Roman"/>
        </w:rPr>
      </w:pPr>
      <w:bookmarkStart w:id="157" w:name="_Toc1375"/>
      <w:r>
        <w:rPr>
          <w:rFonts w:hint="default" w:ascii="Times New Roman" w:hAnsi="Times New Roman" w:cs="Times New Roman"/>
        </w:rPr>
        <w:t>水源地都是处在自然生态环境状态下，根据调查，水源地的补给区、分布区和取水口都没有污染源。根据现场踏勘，访问和查阅文献，水源地周围都不同程度存在牧业活动，而牧业产生的粪便，还有踩踏行为都对水源地的水质造成一定程度的污染，同时牧业的牲畜也可以形成传染疾病的传播源和潜在风险。</w:t>
      </w:r>
    </w:p>
    <w:p>
      <w:pPr>
        <w:spacing w:line="360" w:lineRule="auto"/>
        <w:ind w:firstLine="480" w:firstLineChars="200"/>
        <w:rPr>
          <w:rFonts w:hint="default" w:ascii="Times New Roman" w:hAnsi="Times New Roman" w:cs="Times New Roman"/>
          <w:kern w:val="0"/>
        </w:rPr>
      </w:pPr>
      <w:r>
        <w:rPr>
          <w:rFonts w:hint="default" w:ascii="Times New Roman" w:hAnsi="Times New Roman" w:cs="Times New Roman"/>
        </w:rPr>
        <w:t>总而言之，四川省</w:t>
      </w:r>
      <w:r>
        <w:rPr>
          <w:rFonts w:hint="default" w:ascii="Times New Roman" w:hAnsi="Times New Roman" w:cs="Times New Roman"/>
          <w:lang w:eastAsia="zh-CN"/>
        </w:rPr>
        <w:t>开江县</w:t>
      </w:r>
      <w:r>
        <w:rPr>
          <w:rFonts w:hint="default" w:ascii="Times New Roman" w:hAnsi="Times New Roman" w:cs="Times New Roman"/>
        </w:rPr>
        <w:t>城集中式饮用水源地保护区划分涉及的水源地污染源都主要是</w:t>
      </w:r>
      <w:r>
        <w:rPr>
          <w:rFonts w:hint="eastAsia" w:cs="Times New Roman"/>
          <w:lang w:eastAsia="zh-CN"/>
        </w:rPr>
        <w:t>农业、畜牧业</w:t>
      </w:r>
      <w:r>
        <w:rPr>
          <w:rFonts w:hint="default" w:ascii="Times New Roman" w:hAnsi="Times New Roman" w:cs="Times New Roman"/>
        </w:rPr>
        <w:t>活动引起的，牲畜的踩踏和牲畜粪便都有可能对水源地产生影响，而畜牧业本身带来的传染病亦可影响水源地水质。因此，</w:t>
      </w:r>
      <w:r>
        <w:rPr>
          <w:rFonts w:hint="default" w:ascii="Times New Roman" w:hAnsi="Times New Roman" w:cs="Times New Roman"/>
          <w:lang w:eastAsia="zh-CN"/>
        </w:rPr>
        <w:t>开江县</w:t>
      </w:r>
      <w:r>
        <w:rPr>
          <w:rFonts w:hint="default" w:ascii="Times New Roman" w:hAnsi="Times New Roman" w:cs="Times New Roman"/>
        </w:rPr>
        <w:t>城集中式饮用水源地的污染源主要分布在水源地保护区内，建议对水源地保护区采取保护措施，治理污染源。</w:t>
      </w:r>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58" w:name="_Toc1501"/>
      <w:bookmarkStart w:id="159" w:name="_Toc1890"/>
      <w:r>
        <w:rPr>
          <w:rFonts w:hint="eastAsia" w:ascii="Times New Roman" w:hAnsi="Times New Roman" w:cs="Times New Roman"/>
          <w:color w:val="auto"/>
          <w:lang w:val="en-US" w:eastAsia="zh-CN"/>
        </w:rPr>
        <w:t>4</w:t>
      </w:r>
      <w:r>
        <w:rPr>
          <w:rFonts w:hint="default" w:ascii="Times New Roman" w:hAnsi="Times New Roman" w:cs="Times New Roman"/>
          <w:color w:val="auto"/>
        </w:rPr>
        <w:t>.2.3污染物影响途径分析</w:t>
      </w:r>
      <w:bookmarkEnd w:id="157"/>
      <w:bookmarkEnd w:id="158"/>
      <w:bookmarkEnd w:id="159"/>
    </w:p>
    <w:p>
      <w:pPr>
        <w:spacing w:line="360" w:lineRule="auto"/>
        <w:ind w:firstLine="480" w:firstLineChars="200"/>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1</w:t>
      </w:r>
      <w:r>
        <w:rPr>
          <w:rFonts w:hint="eastAsia" w:ascii="Times New Roman" w:hAnsi="Times New Roman" w:cs="Times New Roman"/>
          <w:lang w:eastAsia="zh-CN"/>
        </w:rPr>
        <w:t>）</w:t>
      </w:r>
      <w:r>
        <w:rPr>
          <w:rFonts w:hint="default" w:ascii="Times New Roman" w:hAnsi="Times New Roman" w:cs="Times New Roman"/>
        </w:rPr>
        <w:t>本次划定的饮用水源保护区范围内</w:t>
      </w:r>
      <w:r>
        <w:rPr>
          <w:rFonts w:hint="eastAsia" w:ascii="Times New Roman" w:hAnsi="Times New Roman" w:cs="Times New Roman"/>
          <w:lang w:eastAsia="zh-CN"/>
        </w:rPr>
        <w:t>有少许零星农田</w:t>
      </w:r>
      <w:r>
        <w:rPr>
          <w:rFonts w:hint="default" w:ascii="Times New Roman" w:hAnsi="Times New Roman" w:cs="Times New Roman"/>
        </w:rPr>
        <w:t>，</w:t>
      </w:r>
      <w:r>
        <w:rPr>
          <w:rFonts w:hint="eastAsia" w:ascii="Times New Roman" w:hAnsi="Times New Roman" w:cs="Times New Roman"/>
          <w:lang w:eastAsia="zh-CN"/>
        </w:rPr>
        <w:t>农田施肥、农药等活动，一旦下雨等情况。农肥及农药随着雨水将留入水库，对水源地造成影响。</w:t>
      </w:r>
    </w:p>
    <w:p>
      <w:pPr>
        <w:spacing w:line="360" w:lineRule="auto"/>
        <w:ind w:firstLine="480" w:firstLineChars="200"/>
        <w:rPr>
          <w:rFonts w:hint="eastAsia" w:ascii="Times New Roman" w:hAnsi="Times New Roman" w:cs="Times New Roman" w:eastAsiaTheme="minorEastAsia"/>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2</w:t>
      </w:r>
      <w:r>
        <w:rPr>
          <w:rFonts w:hint="eastAsia" w:ascii="Times New Roman" w:hAnsi="Times New Roman" w:cs="Times New Roman"/>
          <w:lang w:eastAsia="zh-CN"/>
        </w:rPr>
        <w:t>）划定的饮用水源保护区范围内主要有</w:t>
      </w:r>
      <w:r>
        <w:rPr>
          <w:rFonts w:hint="default" w:ascii="Times New Roman" w:hAnsi="Times New Roman" w:cs="Times New Roman"/>
        </w:rPr>
        <w:t>零星牧业，牛、羊等牲畜活动范围大，四处践踏，粪便到处都是，随着降雨，这些粪便随着表流进入水源地，而</w:t>
      </w:r>
      <w:r>
        <w:rPr>
          <w:rFonts w:hint="default" w:ascii="Times New Roman" w:hAnsi="Times New Roman" w:cs="Times New Roman"/>
          <w:lang w:eastAsia="zh-CN"/>
        </w:rPr>
        <w:t>开江县</w:t>
      </w:r>
      <w:r>
        <w:rPr>
          <w:rFonts w:hint="default" w:ascii="Times New Roman" w:hAnsi="Times New Roman" w:cs="Times New Roman"/>
        </w:rPr>
        <w:t>集中式水源地都是</w:t>
      </w:r>
      <w:r>
        <w:rPr>
          <w:rFonts w:hint="eastAsia" w:cs="Times New Roman"/>
          <w:lang w:eastAsia="zh-CN"/>
        </w:rPr>
        <w:t>水库型</w:t>
      </w:r>
      <w:r>
        <w:rPr>
          <w:rFonts w:hint="default" w:ascii="Times New Roman" w:hAnsi="Times New Roman" w:cs="Times New Roman"/>
        </w:rPr>
        <w:t>，这些粪便一旦进入水源地，很容易超过水源地水的自净能力，必然会引起污染，还有牲畜脱落的毛发，自身的一些病原菌和疾病会导致水源地水质病菌含量超高，从而可能会形成病菌的传播源，引起传染病和其他疾病</w:t>
      </w:r>
      <w:r>
        <w:rPr>
          <w:rFonts w:hint="eastAsia" w:cs="Times New Roman"/>
          <w:lang w:eastAsia="zh-CN"/>
        </w:rPr>
        <w:t>。</w:t>
      </w:r>
    </w:p>
    <w:p>
      <w:pPr>
        <w:spacing w:line="360" w:lineRule="auto"/>
        <w:ind w:firstLine="480" w:firstLineChars="200"/>
        <w:rPr>
          <w:rFonts w:hint="eastAsia" w:ascii="Times New Roman" w:hAnsi="Times New Roman" w:cs="Times New Roman"/>
          <w:lang w:eastAsia="zh-CN"/>
        </w:rPr>
      </w:pPr>
      <w:r>
        <w:rPr>
          <w:rFonts w:hint="eastAsia" w:ascii="Times New Roman" w:hAnsi="Times New Roman" w:cs="Times New Roman"/>
          <w:lang w:eastAsia="zh-CN"/>
        </w:rPr>
        <w:t>（</w:t>
      </w:r>
      <w:r>
        <w:rPr>
          <w:rFonts w:hint="eastAsia" w:ascii="Times New Roman" w:hAnsi="Times New Roman" w:cs="Times New Roman"/>
          <w:lang w:val="en-US" w:eastAsia="zh-CN"/>
        </w:rPr>
        <w:t>3</w:t>
      </w:r>
      <w:r>
        <w:rPr>
          <w:rFonts w:hint="eastAsia" w:ascii="Times New Roman" w:hAnsi="Times New Roman" w:cs="Times New Roman"/>
          <w:lang w:eastAsia="zh-CN"/>
        </w:rPr>
        <w:t>）在划定的饮用水源保护区内有部分人类活动，将产生生活废水，生活废水一旦未经过处理后排至水库，将很容易超过水源地水的自净能力。对水源地造成影响。</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rPr>
        <w:t>因此，针对水源地主要污染源的污染途径，采取有力措施进行整治，以使水源地污染物的污染途径中断，治理污染物，切断污染途径。</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color w:val="auto"/>
        </w:rPr>
      </w:pPr>
      <w:bookmarkStart w:id="160" w:name="_Toc441"/>
      <w:bookmarkStart w:id="161" w:name="_Toc16817"/>
      <w:r>
        <w:rPr>
          <w:rFonts w:hint="eastAsia" w:ascii="Times New Roman" w:hAnsi="Times New Roman" w:cs="Times New Roman"/>
          <w:color w:val="auto"/>
          <w:lang w:val="en-US" w:eastAsia="zh-CN"/>
        </w:rPr>
        <w:t>4</w:t>
      </w:r>
      <w:r>
        <w:rPr>
          <w:rFonts w:hint="default" w:ascii="Times New Roman" w:hAnsi="Times New Roman" w:cs="Times New Roman"/>
          <w:color w:val="auto"/>
        </w:rPr>
        <w:t>.3水环境风险控制</w:t>
      </w:r>
      <w:bookmarkEnd w:id="160"/>
      <w:bookmarkEnd w:id="161"/>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仿宋_GB2312" w:cs="Times New Roman"/>
          <w:color w:val="auto"/>
          <w:sz w:val="20"/>
          <w:szCs w:val="20"/>
        </w:rPr>
      </w:pPr>
      <w:bookmarkStart w:id="162" w:name="_Toc27312"/>
      <w:bookmarkStart w:id="163" w:name="_Toc779"/>
      <w:bookmarkStart w:id="164" w:name="_Toc23129"/>
      <w:r>
        <w:rPr>
          <w:rFonts w:hint="eastAsia" w:ascii="Times New Roman" w:hAnsi="Times New Roman" w:cs="Times New Roman"/>
          <w:color w:val="auto"/>
          <w:lang w:val="en-US" w:eastAsia="zh-CN"/>
        </w:rPr>
        <w:t>4</w:t>
      </w:r>
      <w:r>
        <w:rPr>
          <w:rFonts w:hint="default" w:ascii="Times New Roman" w:hAnsi="Times New Roman" w:cs="Times New Roman"/>
          <w:color w:val="auto"/>
        </w:rPr>
        <w:t>.3.1一级保护区水环境风险控制</w:t>
      </w:r>
      <w:bookmarkEnd w:id="162"/>
      <w:bookmarkEnd w:id="163"/>
      <w:bookmarkEnd w:id="164"/>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开江县</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集中式饮用水源地周围没有固定风险源，</w:t>
      </w:r>
      <w:r>
        <w:rPr>
          <w:rFonts w:hint="default" w:ascii="Times New Roman" w:hAnsi="Times New Roman" w:cs="Times New Roman"/>
          <w:lang w:eastAsia="zh-CN"/>
        </w:rPr>
        <w:t>开江县</w:t>
      </w:r>
      <w:r>
        <w:rPr>
          <w:rFonts w:hint="default" w:ascii="Times New Roman" w:hAnsi="Times New Roman" w:cs="Times New Roman"/>
        </w:rPr>
        <w:t>城基本都是半农半牧，畜牧业</w:t>
      </w:r>
      <w:r>
        <w:rPr>
          <w:rFonts w:hint="eastAsia" w:cs="Times New Roman"/>
          <w:lang w:eastAsia="zh-CN"/>
        </w:rPr>
        <w:t>、农业</w:t>
      </w:r>
      <w:r>
        <w:rPr>
          <w:rFonts w:hint="default" w:ascii="Times New Roman" w:hAnsi="Times New Roman" w:cs="Times New Roman"/>
        </w:rPr>
        <w:t>是当地的主要经济收入来源，而畜牧业主要是养殖牛，羊等牲畜，同时有犬类，而动物就是包虫病的主要传播源。</w:t>
      </w:r>
    </w:p>
    <w:p>
      <w:pPr>
        <w:ind w:firstLine="480" w:firstLineChars="200"/>
        <w:rPr>
          <w:rFonts w:hint="default" w:ascii="Times New Roman" w:hAnsi="Times New Roman" w:cs="Times New Roman"/>
        </w:rPr>
      </w:pP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点源污染防治工程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一级保护区主要是点源污染，为了有效防止饮用水水源保护区内的点源污染，及时控制现有的重点污染源，保障饮用水源水质。在近期，主要解除饮用水水源地水质的重要威胁，在远期实现污染的有效预防和控制。点源污染防治工程内容为：围绕集中式饮用水水源保护区，严格按照《饮用水水源保护区污染防治管理规定》中对不同级别保护区的相关规定，对各保护区的点源污染，一级保护区污染防治工程按照“查明核定”、“清理拆除”、“严格控制”污染源为基本原则，实施清理、整治与管理。针对地表水水源地的一级保护区，按照相关规定，列出相应的主要污染点源清单，对工程实施中和实施后的水源保护区严格土地使用管制，防止污染排放。</w:t>
      </w:r>
    </w:p>
    <w:p>
      <w:pPr>
        <w:ind w:firstLine="480" w:firstLineChars="200"/>
        <w:rPr>
          <w:rFonts w:hint="default" w:ascii="Times New Roman" w:hAnsi="Times New Roman" w:cs="Times New Roman"/>
        </w:rPr>
      </w:pPr>
      <w:r>
        <w:rPr>
          <w:rFonts w:hint="default" w:ascii="Times New Roman" w:hAnsi="Times New Roman" w:cs="Times New Roman"/>
        </w:rPr>
        <w:t>2</w:t>
      </w:r>
      <w:r>
        <w:rPr>
          <w:rFonts w:hint="default" w:ascii="Times New Roman" w:hAnsi="Times New Roman" w:cs="Times New Roman"/>
          <w:lang w:eastAsia="zh-CN"/>
        </w:rPr>
        <w:t>、</w:t>
      </w:r>
      <w:r>
        <w:rPr>
          <w:rFonts w:hint="default" w:ascii="Times New Roman" w:hAnsi="Times New Roman" w:cs="Times New Roman"/>
        </w:rPr>
        <w:t>基础设施建设工程</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t>制定饮用水水源保护区的基础设施建设方案，工程内容如保护区界碑、界桩的建设、宣传警示牌等，具体涉及内容根据区域实际情况有所差异。</w:t>
      </w:r>
    </w:p>
    <w:p>
      <w:pPr>
        <w:spacing w:line="360" w:lineRule="auto"/>
        <w:ind w:firstLine="480" w:firstLineChars="200"/>
        <w:jc w:val="left"/>
        <w:rPr>
          <w:rFonts w:hint="default" w:ascii="Times New Roman" w:hAnsi="Times New Roman" w:cs="Times New Roman"/>
          <w:b w:val="0"/>
          <w:bCs/>
          <w:color w:val="auto"/>
        </w:rPr>
      </w:pPr>
      <w:r>
        <w:rPr>
          <w:rFonts w:hint="default" w:ascii="Times New Roman" w:hAnsi="Times New Roman" w:cs="Times New Roman"/>
          <w:b w:val="0"/>
          <w:bCs/>
          <w:color w:val="auto"/>
        </w:rPr>
        <w:t>3</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风险应急控制措施</w:t>
      </w:r>
    </w:p>
    <w:p>
      <w:pPr>
        <w:ind w:firstLine="480" w:firstLineChars="200"/>
        <w:rPr>
          <w:rFonts w:hint="default" w:ascii="Times New Roman" w:hAnsi="Times New Roman" w:cs="Times New Roman"/>
          <w:b w:val="0"/>
          <w:bCs/>
          <w:color w:val="auto"/>
        </w:rPr>
      </w:pPr>
      <w:r>
        <w:rPr>
          <w:rFonts w:hint="default" w:ascii="Times New Roman" w:hAnsi="Times New Roman" w:cs="Times New Roman"/>
          <w:b w:val="0"/>
          <w:bCs/>
          <w:color w:val="auto"/>
        </w:rPr>
        <w:t>（1）设立预警监测断面</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在常规人工监测、重点流域自动监测的基础上，根据流域的特征、污染物的类型，对易超标指标，适当增加预警监测，监控有毒有害物质。</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（2）完善风险防控措施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在该地表水型饮用水水源上游设置突发事件缓冲区，利用现有工程或采取措施实现拦截、导流、调水、降污功能；在水源周围设置应急防护措施，防止有毒有害物质进入水源。</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（3）建立风险评估机制</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建立饮用水水源风险评估机制，分析饮用水水源保护区外或与水源共处同一水文地质单元的风险源对水源的影响，分级管理水源风险，严格管理和控制。评估风险源对水源安全产生的风险，科学编制防控方案。</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（4）建立取供水安全保障机制</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环保、水利、城建、卫生等部门应建立联动机制，制定联动方案，共享水源地水质变化信息、取水信息、供水水质信息，共同应对饮用水突发环境事件。</w:t>
      </w:r>
    </w:p>
    <w:p>
      <w:pPr>
        <w:spacing w:line="360" w:lineRule="auto"/>
        <w:rPr>
          <w:rFonts w:hint="default" w:ascii="Times New Roman" w:hAnsi="Times New Roman" w:cs="Times New Roman"/>
          <w:color w:val="auto"/>
        </w:rPr>
      </w:pPr>
      <w:r>
        <w:rPr>
          <w:rFonts w:hint="default" w:ascii="Times New Roman" w:hAnsi="Times New Roman" w:cs="Times New Roman"/>
          <w:color w:val="auto"/>
        </w:rPr>
        <w:t>取水安全保障。建议政府组织有关部门通过迁移取水口，实施污染物消减工程措施，完善调水、补水、停水方案，强化在线监控，增加应急监测指标等方式，提高取水安全保障能力。</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供水单位通过储备必要的应急物资，深化处理工艺，供水管线改造，分功能供水，规范停止取水、中断供水管理等措施，提高供水安全保障能力。在污染能够通过供水企业治理达标的情况下，尽量不停止供水；或通过管道管理只停止饮用水供应，尽量减少对居民其他用水和社会经济活动的影响。</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（5）风险源管理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建立风险源目标化档案管理模式，明确责任人和监管任务，严格执行水源保护区建设项目准入制度，对存在污染饮用水源风险的建设项目，要完善风险防范措施。输送管线等特殊设施，确需穿越水源的，必须配套泄漏预警及风险防范措施，编制专项应急预案。</w:t>
      </w:r>
    </w:p>
    <w:p>
      <w:pPr>
        <w:spacing w:line="360" w:lineRule="auto"/>
        <w:ind w:firstLine="480" w:firstLineChars="200"/>
        <w:rPr>
          <w:rFonts w:hint="default" w:ascii="Times New Roman" w:hAnsi="Times New Roman" w:cs="Times New Roman"/>
          <w:color w:val="auto"/>
          <w:kern w:val="0"/>
        </w:rPr>
      </w:pPr>
      <w:r>
        <w:rPr>
          <w:rFonts w:hint="default" w:ascii="Times New Roman" w:hAnsi="Times New Roman" w:cs="Times New Roman"/>
          <w:color w:val="auto"/>
        </w:rPr>
        <w:t>严格控制运输危险化学品、危险废物及其他影响饮用水水源安全的车辆进入水源保护区，进入车辆应申请并经有关部门批准、登记，并设置防渗、防溢、防漏等设施。</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（6）制定应急预案</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应急预案是为迅速、有效、有序地应对和缓解一些突发事件，而预先制定的一套程序化、规范化、详细的操作性文件和规定。应急预案在应急体系建立中具有政策性、纲领性和指导性作用，明确救援队伍、应急物质和专家技术支持等，从而确使突发事件带来的危害降到最低。</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eastAsia="仿宋_GB2312" w:cs="Times New Roman"/>
          <w:color w:val="auto"/>
          <w:sz w:val="20"/>
          <w:szCs w:val="20"/>
        </w:rPr>
      </w:pPr>
      <w:bookmarkStart w:id="165" w:name="_Toc24366"/>
      <w:bookmarkStart w:id="166" w:name="_Toc32283"/>
      <w:bookmarkStart w:id="167" w:name="_Toc4961"/>
      <w:r>
        <w:rPr>
          <w:rFonts w:hint="eastAsia" w:ascii="Times New Roman" w:hAnsi="Times New Roman" w:cs="Times New Roman"/>
          <w:color w:val="auto"/>
          <w:lang w:val="en-US" w:eastAsia="zh-CN"/>
        </w:rPr>
        <w:t>4</w:t>
      </w:r>
      <w:r>
        <w:rPr>
          <w:rFonts w:hint="default" w:ascii="Times New Roman" w:hAnsi="Times New Roman" w:cs="Times New Roman"/>
          <w:color w:val="auto"/>
        </w:rPr>
        <w:t>.3.2二级保护区水环境风险控制</w:t>
      </w:r>
      <w:bookmarkEnd w:id="165"/>
      <w:bookmarkEnd w:id="166"/>
      <w:bookmarkEnd w:id="167"/>
    </w:p>
    <w:p>
      <w:pPr>
        <w:spacing w:line="360" w:lineRule="auto"/>
        <w:ind w:firstLine="480" w:firstLineChars="200"/>
        <w:rPr>
          <w:rFonts w:hint="default" w:ascii="Times New Roman" w:hAnsi="Times New Roman" w:cs="Times New Roman"/>
        </w:rPr>
      </w:pPr>
      <w:bookmarkStart w:id="168" w:name="_Toc22468"/>
      <w:r>
        <w:rPr>
          <w:rFonts w:hint="default" w:ascii="Times New Roman" w:hAnsi="Times New Roman" w:cs="Times New Roman"/>
        </w:rPr>
        <w:t>根据水源地水质监测报告的数据，</w:t>
      </w:r>
      <w:r>
        <w:rPr>
          <w:rFonts w:hint="default" w:ascii="Times New Roman" w:hAnsi="Times New Roman" w:cs="Times New Roman"/>
          <w:lang w:eastAsia="zh-CN"/>
        </w:rPr>
        <w:t>开江县</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集中式水源地的污染物质主要是总氮</w:t>
      </w:r>
      <w:r>
        <w:rPr>
          <w:rFonts w:hint="eastAsia" w:cs="Times New Roman"/>
          <w:lang w:eastAsia="zh-CN"/>
        </w:rPr>
        <w:t>、粪大肠杆菌</w:t>
      </w:r>
      <w:r>
        <w:rPr>
          <w:rFonts w:hint="default" w:ascii="Times New Roman" w:hAnsi="Times New Roman" w:cs="Times New Roman"/>
        </w:rPr>
        <w:t>，而这些污染物质主要是来源于点源污染，二级点源污染防治工程按照近期以清查污染源为主，远期以污染预防为主的原则予以实施。对于二级保护区内的污染源，限期治理超标排放的污染源。对于不达标的饮用水水源地，根据水质目标和水源地环境容量，提出点源污染负荷总量削减方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针对水源保护区内的生态现状，进行生态修复、生态建设工程，提高保护区内自然净化能力，促进生态良性循环，改善和保护饮用水源水质。生态恢复与建设工程的基本原则包括：</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（1）保护优先、以防为主；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（2）生态建设与景观建设相结合，人工恢复与自然恢复相结合；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（3）二级</w:t>
      </w:r>
      <w:r>
        <w:rPr>
          <w:rFonts w:hint="default" w:ascii="Times New Roman" w:hAnsi="Times New Roman" w:eastAsia="宋体" w:cs="Times New Roman"/>
        </w:rPr>
        <w:t>保护区以“重点恢复和建设”为原</w:t>
      </w:r>
      <w:r>
        <w:rPr>
          <w:rFonts w:hint="default" w:ascii="Times New Roman" w:hAnsi="Times New Roman" w:cs="Times New Roman"/>
        </w:rPr>
        <w:t>则，在规划期内逐步推进全面的生态恢复和建设工程。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生态恢复与建设工程的内容以饮用水源的保护涵养为核心，适当结合点、面源污染负荷的总量控制来考虑。根据不同保护区的生态现状，识别诊断主要问题，确定工程主要内容和目标，制定各时期的工程方案，分析方案的技术可行性、所需投资及环境效益，最终优化确定方案。</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color w:val="auto"/>
        </w:rPr>
      </w:pPr>
      <w:bookmarkStart w:id="169" w:name="_Toc859"/>
      <w:r>
        <w:rPr>
          <w:rFonts w:hint="eastAsia" w:ascii="Times New Roman" w:hAnsi="Times New Roman" w:cs="Times New Roman"/>
          <w:color w:val="auto"/>
          <w:lang w:val="en-US" w:eastAsia="zh-CN"/>
        </w:rPr>
        <w:t>4</w:t>
      </w:r>
      <w:r>
        <w:rPr>
          <w:rFonts w:hint="default" w:ascii="Times New Roman" w:hAnsi="Times New Roman" w:cs="Times New Roman"/>
          <w:color w:val="auto"/>
        </w:rPr>
        <w:t>.4饮用水水源保护区环境保护工程</w:t>
      </w:r>
      <w:bookmarkEnd w:id="168"/>
      <w:bookmarkEnd w:id="169"/>
    </w:p>
    <w:p>
      <w:pPr>
        <w:pStyle w:val="4"/>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仿宋_GB2312" w:cs="Times New Roman"/>
          <w:color w:val="auto"/>
          <w:sz w:val="20"/>
          <w:szCs w:val="20"/>
        </w:rPr>
      </w:pPr>
      <w:bookmarkStart w:id="170" w:name="_Toc32559"/>
      <w:bookmarkStart w:id="171" w:name="_Toc30159"/>
      <w:bookmarkStart w:id="172" w:name="_Toc14222"/>
      <w:r>
        <w:rPr>
          <w:rFonts w:hint="eastAsia" w:ascii="Times New Roman" w:hAnsi="Times New Roman" w:cs="Times New Roman"/>
          <w:color w:val="auto"/>
          <w:lang w:val="en-US" w:eastAsia="zh-CN"/>
        </w:rPr>
        <w:t>4</w:t>
      </w:r>
      <w:r>
        <w:rPr>
          <w:rFonts w:hint="default" w:ascii="Times New Roman" w:hAnsi="Times New Roman" w:cs="Times New Roman"/>
          <w:color w:val="auto"/>
        </w:rPr>
        <w:t>.4.1饮用水水源保护区污染防治工程</w:t>
      </w:r>
      <w:bookmarkEnd w:id="170"/>
      <w:bookmarkEnd w:id="171"/>
      <w:bookmarkEnd w:id="172"/>
    </w:p>
    <w:p>
      <w:pPr>
        <w:autoSpaceDE w:val="0"/>
        <w:autoSpaceDN w:val="0"/>
        <w:adjustRightInd w:val="0"/>
        <w:spacing w:line="360" w:lineRule="auto"/>
        <w:ind w:firstLine="480" w:firstLineChars="200"/>
        <w:jc w:val="left"/>
        <w:rPr>
          <w:rFonts w:hint="default" w:ascii="Times New Roman" w:hAnsi="Times New Roman" w:cs="Times New Roman"/>
        </w:rPr>
      </w:pPr>
      <w:bookmarkStart w:id="173" w:name="_Toc8732"/>
      <w:r>
        <w:rPr>
          <w:rFonts w:hint="default" w:ascii="Times New Roman" w:hAnsi="Times New Roman" w:cs="Times New Roman"/>
        </w:rPr>
        <w:t>（1）点源污染防治工程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点源污染防治工程的目的为了有效防止饮用水水源保护区内的点源污染，及时控制现有的重点污染源，保障饮用水源水质。在近期，主要解除饮用水水源地水质的重要威胁，在远期实现污染的有效预防和控制。</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点源污染防治工程内容为：围绕集中式饮用水水源保护区，严格按照《饮用水水源保护区污染防治管理规定》中对不同级别保护区的相关规定，对各保护区的点源污染，尤其是污染型工业企业、违规建筑物和建设项目，制定清拆、整治和总量控制方案，分析方案的技术可行性、所需投资及环境效益，进行方案优化。对不同级别保护区主要内容如下：</w:t>
      </w:r>
    </w:p>
    <w:p>
      <w:pPr>
        <w:spacing w:line="360" w:lineRule="auto"/>
        <w:ind w:firstLine="480" w:firstLineChars="200"/>
        <w:rPr>
          <w:rFonts w:hint="default" w:ascii="Times New Roman" w:hAnsi="Times New Roman" w:cs="Times New Roman"/>
        </w:rPr>
      </w:pPr>
      <w:r>
        <w:rPr>
          <w:rFonts w:hint="default" w:ascii="Times New Roman" w:hAnsi="Times New Roman" w:eastAsia="MS Mincho" w:cs="Times New Roman"/>
        </w:rPr>
        <w:t>➀</w:t>
      </w:r>
      <w:r>
        <w:rPr>
          <w:rFonts w:hint="default" w:ascii="Times New Roman" w:hAnsi="Times New Roman" w:cs="Times New Roman"/>
        </w:rPr>
        <w:t>一级饮用水水源保护区</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一级保护区污染防治工程按照“查明核定”、“清理拆除”、“严格控制”污染源为基本原则，实施清理、整治与管理。</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针对地表水水源地的一级保护区，按照相关规定，列出相应的主要污染点源清单，包括违规建筑物、违规建设项目（含工业企业）、污水排放口、渗坑渗井等；清理核定拟拆迁建筑物和建设项目名单，制定拆迁方案，整理核定污水排放口的数量及分布，制定截污和拆除方案；对工程实施中和实施后的水源保护区严格土地使用管制，控制企业进入，防止污染排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在一级保护区内，禁止</w:t>
      </w:r>
      <w:r>
        <w:rPr>
          <w:rFonts w:hint="eastAsia" w:cs="Times New Roman"/>
          <w:lang w:eastAsia="zh-CN"/>
        </w:rPr>
        <w:t>养殖鱼类</w:t>
      </w:r>
      <w:r>
        <w:rPr>
          <w:rFonts w:hint="default" w:ascii="Times New Roman" w:hAnsi="Times New Roman" w:cs="Times New Roman"/>
        </w:rPr>
        <w:t>，禁止搭建帐篷，禁止搞旅游活动，禁止探矿采矿；</w:t>
      </w:r>
    </w:p>
    <w:p>
      <w:pPr>
        <w:spacing w:line="360" w:lineRule="auto"/>
        <w:ind w:firstLine="480" w:firstLineChars="200"/>
        <w:rPr>
          <w:rFonts w:hint="default" w:ascii="Times New Roman" w:hAnsi="Times New Roman" w:cs="Times New Roman"/>
        </w:rPr>
      </w:pPr>
      <w:r>
        <w:rPr>
          <w:rFonts w:hint="default" w:ascii="Times New Roman" w:hAnsi="Times New Roman" w:eastAsia="MS Mincho" w:cs="Times New Roman"/>
        </w:rPr>
        <w:t>➁</w:t>
      </w:r>
      <w:r>
        <w:rPr>
          <w:rFonts w:hint="default" w:ascii="Times New Roman" w:hAnsi="Times New Roman" w:cs="Times New Roman"/>
        </w:rPr>
        <w:t>二级、准保护区点源污染防治工程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二级、准保护区的点源污染防治工程按照近期以清查、拆除违规污染源为主，远期以污染预防为主的原则予以实施。</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按照相关规定，列出违规建筑物和建设项目清单；清理核定违规建筑物和建设项目名单，制定拆迁方案。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对于二级核准保护区内的污染源，限期治理超标排放的污染源，严格要求达到一级污水排放标准排放。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对于不达标的饮用水水源地，根据水质目标和水源地环境容量，提出点源污染负荷总量削减方案；对相关排污企业提出限期整改和治理方案。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（2）面源源污染防治工程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面源污染防治工程的目的为了有效减少和防止饮用水水源保护区内的面源污染，尤其是农业面源污染，保障饮用水源水质。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面源污染防治工程的基本原包括：坚持系统、循环、平衡的生态学原则；与生态修复工程相结合。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在近期，针对重点地区，围绕总量控制，以输移路径控制和末端控制为主，及时减少面源污染负荷，主要工程包括农村污水分散处理，畜禽养殖沼气化工程，泥沙滞留的前置库工程。与此同时，兼顾源头污染负荷削减相关政策、法规、技术、措施的推广来实施。</w:t>
      </w:r>
    </w:p>
    <w:p>
      <w:pPr>
        <w:spacing w:line="360" w:lineRule="auto"/>
        <w:ind w:firstLine="480" w:firstLineChars="200"/>
        <w:rPr>
          <w:rFonts w:hint="default" w:ascii="Times New Roman" w:hAnsi="Times New Roman" w:cs="Times New Roman"/>
          <w:kern w:val="0"/>
        </w:rPr>
      </w:pPr>
      <w:r>
        <w:rPr>
          <w:rFonts w:hint="default" w:ascii="Times New Roman" w:hAnsi="Times New Roman" w:cs="Times New Roman"/>
        </w:rPr>
        <w:t>在中、远期，遵循生态经济理念，着重从源头控制污染负荷，进一步保障水质，在近期的基础上，深入推广生态农业、生态施肥、保护性耕作等措施。与此同时，继续巩固近期末端控制的各类工程措施的成效，实现综合控制。</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174" w:name="_Toc13571"/>
      <w:bookmarkStart w:id="175" w:name="_Toc21103"/>
      <w:r>
        <w:rPr>
          <w:rFonts w:hint="eastAsia" w:ascii="Times New Roman" w:hAnsi="Times New Roman" w:cs="Times New Roman"/>
          <w:color w:val="auto"/>
          <w:lang w:val="en-US" w:eastAsia="zh-CN"/>
        </w:rPr>
        <w:t>4</w:t>
      </w:r>
      <w:r>
        <w:rPr>
          <w:rFonts w:hint="default" w:ascii="Times New Roman" w:hAnsi="Times New Roman" w:cs="Times New Roman"/>
          <w:color w:val="auto"/>
        </w:rPr>
        <w:t>.4.2饮用水水源保护区生态恢复与建设工程</w:t>
      </w:r>
      <w:bookmarkEnd w:id="173"/>
      <w:bookmarkEnd w:id="174"/>
      <w:bookmarkEnd w:id="175"/>
    </w:p>
    <w:p>
      <w:pPr>
        <w:spacing w:line="360" w:lineRule="auto"/>
        <w:ind w:firstLine="480" w:firstLineChars="200"/>
        <w:rPr>
          <w:rFonts w:hint="default" w:ascii="Times New Roman" w:hAnsi="Times New Roman" w:cs="Times New Roman"/>
        </w:rPr>
      </w:pPr>
      <w:bookmarkStart w:id="176" w:name="_Toc18361"/>
      <w:r>
        <w:rPr>
          <w:rFonts w:hint="default" w:ascii="Times New Roman" w:hAnsi="Times New Roman" w:cs="Times New Roman"/>
        </w:rPr>
        <w:t>针对水源保护区内的生态现状，进行生态修复、生态建设工程，提高保护区内自然净化能力，促进生态良性循环，改善和保护饮用水源水质。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生态恢复与建设工程的基本原则包括：</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（1）保护优先、以防为主；</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（2）生态建设与景观建设相结合，人工恢复与自然恢复相结合；</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（3）一级保护区以生态环境的“全面恢复”为原则，全方位开展恢复和建设工程。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（4）二级、准保护区以“重点恢复和建设”为原则，在规划期内逐步推进全面的生态恢复和建设工程。</w:t>
      </w:r>
    </w:p>
    <w:p>
      <w:pPr>
        <w:spacing w:line="360" w:lineRule="auto"/>
        <w:ind w:firstLine="480" w:firstLineChars="200"/>
        <w:rPr>
          <w:rFonts w:hint="default" w:ascii="Times New Roman" w:hAnsi="Times New Roman" w:cs="Times New Roman"/>
          <w:kern w:val="0"/>
        </w:rPr>
      </w:pPr>
      <w:r>
        <w:rPr>
          <w:rFonts w:hint="default" w:ascii="Times New Roman" w:hAnsi="Times New Roman" w:cs="Times New Roman"/>
        </w:rPr>
        <w:t>生态恢复与建设工程的内容以饮用水源的保护涵养为核心，适当结合点、面源污染负荷的总量控制来考虑。根据不同保护区的生态现状，识别诊断主要问题，确定工程主要内容和目标，制定各时期的工程方案，分析方案的技术可行性、所需投资及环境效益，最终优化确定方案。</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77" w:name="_Toc2512"/>
      <w:bookmarkStart w:id="178" w:name="_Toc7771"/>
      <w:r>
        <w:rPr>
          <w:rFonts w:hint="eastAsia" w:ascii="Times New Roman" w:hAnsi="Times New Roman" w:cs="Times New Roman"/>
          <w:color w:val="auto"/>
          <w:lang w:val="en-US" w:eastAsia="zh-CN"/>
        </w:rPr>
        <w:t>4</w:t>
      </w:r>
      <w:r>
        <w:rPr>
          <w:rFonts w:hint="default" w:ascii="Times New Roman" w:hAnsi="Times New Roman" w:cs="Times New Roman"/>
          <w:color w:val="auto"/>
        </w:rPr>
        <w:t>.4.3饮用水水源地环境应急能力建设工程</w:t>
      </w:r>
      <w:bookmarkEnd w:id="176"/>
      <w:bookmarkEnd w:id="177"/>
      <w:bookmarkEnd w:id="178"/>
    </w:p>
    <w:p>
      <w:pPr>
        <w:spacing w:line="360" w:lineRule="auto"/>
        <w:ind w:firstLine="480" w:firstLineChars="200"/>
        <w:rPr>
          <w:rFonts w:hint="default" w:ascii="Times New Roman" w:hAnsi="Times New Roman" w:cs="Times New Roman"/>
        </w:rPr>
      </w:pPr>
      <w:bookmarkStart w:id="179" w:name="_Toc24030"/>
      <w:r>
        <w:rPr>
          <w:rFonts w:hint="default" w:ascii="Times New Roman" w:hAnsi="Times New Roman" w:cs="Times New Roman"/>
        </w:rPr>
        <w:t>针对目前各地饮用水水源保护的应急能力建设普遍薄弱的现象开展该项工作，目的在于加强环境事故风险防范能力，避免或防止饮用水源污染，保障居民生活的用水安全。应急能力建设工程的基本原则包括：</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（1）以防为主，充分考虑潜在的突发性事故风险；</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（2）应急措施的科学性、针对性、及时性和有效性。</w:t>
      </w:r>
    </w:p>
    <w:p>
      <w:pPr>
        <w:spacing w:line="360" w:lineRule="auto"/>
        <w:ind w:firstLine="480" w:firstLineChars="200"/>
        <w:rPr>
          <w:rFonts w:hint="default" w:ascii="Times New Roman" w:hAnsi="Times New Roman" w:eastAsia="仿宋_GB2312" w:cs="Times New Roman"/>
          <w:kern w:val="0"/>
          <w:sz w:val="20"/>
          <w:szCs w:val="20"/>
        </w:rPr>
      </w:pPr>
      <w:r>
        <w:rPr>
          <w:rFonts w:hint="default" w:ascii="Times New Roman" w:hAnsi="Times New Roman" w:cs="Times New Roman"/>
        </w:rPr>
        <w:t>通过饮用水源风险源的识别，制定不同风险源的应急处理处置方案，形成应对突发事故应急处理处置能力。工程的主要内容包括：建设饮用水水源地应急系统，保障系统有效运行；建立饮用水水源地应急能力；制定饮用水水源地应急预案。建设的内容设置以近期为重点建设期，中、远期不断更新和完善。</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cs="Times New Roman"/>
          <w:color w:val="auto"/>
        </w:rPr>
      </w:pPr>
      <w:bookmarkStart w:id="180" w:name="_Toc77"/>
      <w:bookmarkStart w:id="181" w:name="_Toc4333"/>
      <w:r>
        <w:rPr>
          <w:rFonts w:hint="eastAsia" w:ascii="Times New Roman" w:hAnsi="Times New Roman" w:cs="Times New Roman"/>
          <w:color w:val="auto"/>
          <w:lang w:val="en-US" w:eastAsia="zh-CN"/>
        </w:rPr>
        <w:t>4</w:t>
      </w:r>
      <w:r>
        <w:rPr>
          <w:rFonts w:hint="default" w:ascii="Times New Roman" w:hAnsi="Times New Roman" w:cs="Times New Roman"/>
          <w:color w:val="auto"/>
        </w:rPr>
        <w:t>.4.4饮用水水源地环境预警监控体系建设工程</w:t>
      </w:r>
      <w:bookmarkEnd w:id="179"/>
      <w:bookmarkEnd w:id="180"/>
      <w:bookmarkEnd w:id="181"/>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为实时监测、控制水源地的水质、水量安全状况，提高预警预报能力，适应饮用水水源地保护的管理需求，开展该项工程建设。提交成果为饮用水水源地预警监控体系建设工程报告。</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（1）充分考虑饮用水水源地管理与保护的基本要求，监测断面布设的位置、监测频次、监测因子统一和规范化。</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（2）充分利用现有站网建设基础，紧密结合管理和保护需求，进行监测站点（断面）的优化及增设，做到站网设置在技术和经济上合理。</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（3）水质、水量双重监控，监测站点考虑与已有水文站网的结合。</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工程内容：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（1）现有水质监测站网完善</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提出现有站网完善方案、监测能力建设方案。在国家级、省级重点饮用水水源保护区建立水量和水质自动监测网。</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（2）饮用水水源保护区污染源监控网络建设</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筛选保护区内重要污染源、直接进入水体的排污口，建立水量水质实时监测系统。</w:t>
      </w:r>
    </w:p>
    <w:p>
      <w:pPr>
        <w:pStyle w:val="4"/>
        <w:keepNext w:val="0"/>
        <w:keepLines w:val="0"/>
        <w:pageBreakBefore w:val="0"/>
        <w:kinsoku/>
        <w:wordWrap/>
        <w:overflowPunct/>
        <w:topLinePunct w:val="0"/>
        <w:autoSpaceDE/>
        <w:autoSpaceDN/>
        <w:bidi w:val="0"/>
        <w:adjustRightInd/>
        <w:snapToGrid/>
        <w:spacing w:beforeAutospacing="0" w:afterAutospacing="0" w:line="360" w:lineRule="auto"/>
        <w:ind w:left="0" w:leftChars="0" w:right="0" w:rightChars="0"/>
        <w:jc w:val="left"/>
        <w:textAlignment w:val="auto"/>
        <w:rPr>
          <w:rFonts w:hint="default" w:ascii="Times New Roman" w:hAnsi="Times New Roman" w:eastAsia="仿宋_GB2312" w:cs="Times New Roman"/>
          <w:color w:val="auto"/>
          <w:sz w:val="28"/>
          <w:szCs w:val="28"/>
        </w:rPr>
      </w:pPr>
      <w:bookmarkStart w:id="182" w:name="_Toc792"/>
      <w:bookmarkStart w:id="183" w:name="_Toc12269"/>
      <w:bookmarkStart w:id="184" w:name="_Toc26854"/>
      <w:r>
        <w:rPr>
          <w:rFonts w:hint="eastAsia" w:ascii="Times New Roman" w:hAnsi="Times New Roman" w:cs="Times New Roman"/>
          <w:color w:val="auto"/>
          <w:lang w:val="en-US" w:eastAsia="zh-CN"/>
        </w:rPr>
        <w:t>4</w:t>
      </w:r>
      <w:r>
        <w:rPr>
          <w:rFonts w:hint="default" w:ascii="Times New Roman" w:hAnsi="Times New Roman" w:cs="Times New Roman"/>
          <w:color w:val="auto"/>
        </w:rPr>
        <w:t>.4.5饮用水水源地环境管理能力建设工程</w:t>
      </w:r>
      <w:bookmarkEnd w:id="182"/>
      <w:bookmarkEnd w:id="183"/>
      <w:bookmarkEnd w:id="184"/>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为保障规划实施效果，制定饮用水水源地保护的监督管理能力建设方案，重点内容包括三个方面：保护区的基础设施建设、监督管理自身能力建设、环境监控信息系统建设。</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（1）基础设施建设工程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制定饮用水水源保护区的基础设施建设方案，工程内容如保护区界碑、界桩的建设、宣传警示牌等，具体涉及内容根据区域实际情况有所差异。</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（2）监督管理自身能力建设工程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制定监督管理自身能力建设方案，着重从管理者自身角度加强监督管理能力，包括管理者相关技术培训、监督管理考核体制，同时，包括相关的基础性科学研究。</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（3）饮用水水源地环境监控信息系统建设工程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建设饮用水水源地监控信息系统，包括饮用水水源地数据库建设，数据采集和传输系统建设、数据管理系统建设及监控管理中心建设。</w:t>
      </w:r>
    </w:p>
    <w:p>
      <w:pPr>
        <w:pStyle w:val="6"/>
        <w:keepNext w:val="0"/>
        <w:keepLines w:val="0"/>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both"/>
        <w:textAlignment w:val="auto"/>
        <w:outlineLvl w:val="0"/>
        <w:rPr>
          <w:rFonts w:hint="eastAsia" w:eastAsia="宋体" w:cs="Times New Roman"/>
          <w:b/>
          <w:bCs/>
          <w:color w:val="auto"/>
          <w:kern w:val="0"/>
          <w:sz w:val="44"/>
          <w:szCs w:val="44"/>
          <w:lang w:val="en-US" w:eastAsia="zh-CN"/>
        </w:rPr>
      </w:pPr>
      <w:bookmarkStart w:id="185" w:name="_Toc9497"/>
      <w:bookmarkStart w:id="186" w:name="_Toc492740615"/>
      <w:r>
        <w:rPr>
          <w:rFonts w:hint="eastAsia" w:eastAsia="宋体" w:cs="Times New Roman"/>
          <w:b/>
          <w:bCs/>
          <w:color w:val="auto"/>
          <w:kern w:val="0"/>
          <w:sz w:val="44"/>
          <w:szCs w:val="44"/>
          <w:lang w:val="en-US" w:eastAsia="zh-CN"/>
        </w:rPr>
        <w:br w:type="page"/>
      </w:r>
    </w:p>
    <w:p>
      <w:pPr>
        <w:pStyle w:val="6"/>
        <w:keepNext w:val="0"/>
        <w:keepLines w:val="0"/>
        <w:pageBreakBefore w:val="0"/>
        <w:widowControl w:val="0"/>
        <w:kinsoku/>
        <w:wordWrap/>
        <w:overflowPunct/>
        <w:topLinePunct w:val="0"/>
        <w:autoSpaceDE/>
        <w:autoSpaceDN/>
        <w:bidi w:val="0"/>
        <w:adjustRightInd/>
        <w:snapToGrid/>
        <w:spacing w:before="340" w:after="330" w:line="360" w:lineRule="auto"/>
        <w:ind w:left="0" w:leftChars="0" w:right="0" w:rightChars="0" w:firstLine="0" w:firstLineChars="0"/>
        <w:jc w:val="center"/>
        <w:textAlignment w:val="auto"/>
        <w:outlineLvl w:val="0"/>
        <w:rPr>
          <w:rFonts w:hint="default" w:ascii="Times New Roman" w:hAnsi="Times New Roman" w:eastAsia="黑体" w:cs="Times New Roman"/>
          <w:color w:val="auto"/>
          <w:kern w:val="0"/>
          <w:sz w:val="44"/>
          <w:szCs w:val="44"/>
          <w:lang w:val="zh-CN"/>
        </w:rPr>
      </w:pPr>
      <w:r>
        <w:rPr>
          <w:rFonts w:hint="eastAsia" w:eastAsia="宋体" w:cs="Times New Roman"/>
          <w:b/>
          <w:bCs/>
          <w:color w:val="auto"/>
          <w:kern w:val="0"/>
          <w:sz w:val="44"/>
          <w:szCs w:val="44"/>
          <w:lang w:val="en-US" w:eastAsia="zh-CN"/>
        </w:rPr>
        <w:t>5</w:t>
      </w:r>
      <w:r>
        <w:rPr>
          <w:rFonts w:hint="default" w:ascii="Times New Roman" w:hAnsi="Times New Roman" w:eastAsia="宋体" w:cs="Times New Roman"/>
          <w:b/>
          <w:bCs/>
          <w:color w:val="auto"/>
          <w:kern w:val="0"/>
          <w:sz w:val="44"/>
          <w:szCs w:val="44"/>
          <w:lang w:val="en-US" w:eastAsia="zh-CN"/>
        </w:rPr>
        <w:t xml:space="preserve"> </w:t>
      </w:r>
      <w:r>
        <w:rPr>
          <w:rFonts w:hint="default" w:ascii="Times New Roman" w:hAnsi="Times New Roman" w:eastAsia="宋体" w:cs="Times New Roman"/>
          <w:b/>
          <w:bCs/>
          <w:color w:val="auto"/>
          <w:kern w:val="0"/>
          <w:sz w:val="44"/>
          <w:szCs w:val="44"/>
          <w:lang w:val="zh-CN"/>
        </w:rPr>
        <w:t>饮</w:t>
      </w:r>
      <w:bookmarkStart w:id="187" w:name="_Toc370460898"/>
      <w:bookmarkStart w:id="188" w:name="_Toc370461016"/>
      <w:r>
        <w:rPr>
          <w:rFonts w:hint="default" w:ascii="Times New Roman" w:hAnsi="Times New Roman" w:eastAsia="宋体" w:cs="Times New Roman"/>
          <w:b/>
          <w:bCs/>
          <w:color w:val="auto"/>
          <w:kern w:val="0"/>
          <w:sz w:val="44"/>
          <w:szCs w:val="44"/>
          <w:lang w:val="zh-CN"/>
        </w:rPr>
        <w:t>用水源保护区划定</w:t>
      </w:r>
      <w:bookmarkEnd w:id="185"/>
      <w:bookmarkEnd w:id="186"/>
    </w:p>
    <w:bookmarkEnd w:id="187"/>
    <w:bookmarkEnd w:id="188"/>
    <w:p>
      <w:pPr>
        <w:pStyle w:val="3"/>
        <w:spacing w:before="120" w:after="0" w:line="520" w:lineRule="exact"/>
        <w:rPr>
          <w:rFonts w:hint="default" w:ascii="Times New Roman" w:hAnsi="Times New Roman" w:eastAsia="宋体" w:cs="Times New Roman"/>
          <w:b/>
          <w:bCs w:val="0"/>
          <w:color w:val="auto"/>
          <w:kern w:val="0"/>
          <w:sz w:val="28"/>
          <w:szCs w:val="28"/>
        </w:rPr>
      </w:pPr>
      <w:bookmarkStart w:id="189" w:name="_Toc492740616"/>
      <w:bookmarkStart w:id="190" w:name="_Toc16375"/>
      <w:r>
        <w:rPr>
          <w:rFonts w:hint="eastAsia" w:ascii="Times New Roman" w:hAnsi="Times New Roman" w:eastAsia="黑体" w:cs="Times New Roman"/>
          <w:b/>
          <w:bCs w:val="0"/>
          <w:color w:val="auto"/>
          <w:kern w:val="0"/>
          <w:sz w:val="30"/>
          <w:szCs w:val="30"/>
          <w:lang w:val="en-US" w:eastAsia="zh-CN"/>
        </w:rPr>
        <w:t>5</w:t>
      </w:r>
      <w:r>
        <w:rPr>
          <w:rFonts w:hint="default" w:ascii="Times New Roman" w:hAnsi="Times New Roman" w:eastAsia="黑体" w:cs="Times New Roman"/>
          <w:b/>
          <w:bCs w:val="0"/>
          <w:color w:val="auto"/>
          <w:kern w:val="0"/>
          <w:sz w:val="30"/>
          <w:szCs w:val="30"/>
        </w:rPr>
        <w:t>.1</w:t>
      </w:r>
      <w:bookmarkStart w:id="191" w:name="_Toc370460899"/>
      <w:bookmarkStart w:id="192" w:name="_Toc370461017"/>
      <w:r>
        <w:rPr>
          <w:rFonts w:hint="default" w:ascii="Times New Roman" w:hAnsi="Times New Roman" w:eastAsia="宋体" w:cs="Times New Roman"/>
          <w:b/>
          <w:bCs w:val="0"/>
          <w:color w:val="auto"/>
          <w:kern w:val="0"/>
          <w:sz w:val="28"/>
          <w:szCs w:val="28"/>
        </w:rPr>
        <w:t>水源类型及保护区设置</w:t>
      </w:r>
      <w:bookmarkEnd w:id="189"/>
      <w:bookmarkEnd w:id="190"/>
    </w:p>
    <w:p>
      <w:pPr>
        <w:keepNext/>
        <w:keepLines/>
        <w:pageBreakBefore w:val="0"/>
        <w:widowControl w:val="0"/>
        <w:kinsoku/>
        <w:wordWrap/>
        <w:overflowPunct/>
        <w:topLinePunct w:val="0"/>
        <w:autoSpaceDE/>
        <w:autoSpaceDN/>
        <w:bidi w:val="0"/>
        <w:adjustRightInd/>
        <w:snapToGrid/>
        <w:spacing w:line="360" w:lineRule="auto"/>
        <w:ind w:left="0" w:leftChars="0" w:right="0" w:rightChars="0" w:firstLine="562" w:firstLineChars="200"/>
        <w:jc w:val="left"/>
        <w:textAlignment w:val="auto"/>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8"/>
          <w:szCs w:val="28"/>
        </w:rPr>
        <w:t>（</w:t>
      </w:r>
      <w:r>
        <w:rPr>
          <w:rFonts w:hint="default" w:ascii="Times New Roman" w:hAnsi="Times New Roman" w:cs="Times New Roman"/>
          <w:b/>
          <w:color w:val="auto"/>
          <w:sz w:val="24"/>
          <w:szCs w:val="24"/>
        </w:rPr>
        <w:t>1</w:t>
      </w:r>
      <w:bookmarkEnd w:id="191"/>
      <w:bookmarkEnd w:id="192"/>
      <w:r>
        <w:rPr>
          <w:rFonts w:hint="default" w:ascii="Times New Roman" w:hAnsi="Times New Roman" w:cs="Times New Roman"/>
          <w:b/>
          <w:color w:val="auto"/>
          <w:sz w:val="24"/>
          <w:szCs w:val="24"/>
        </w:rPr>
        <w:t>）类型划分</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56"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结合</w:t>
      </w:r>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水源地</w:t>
      </w:r>
      <w:r>
        <w:rPr>
          <w:rFonts w:hint="default" w:ascii="Times New Roman" w:hAnsi="Times New Roman" w:cs="Times New Roman"/>
          <w:color w:val="auto"/>
          <w:spacing w:val="-6"/>
          <w:sz w:val="24"/>
          <w:szCs w:val="24"/>
        </w:rPr>
        <w:t>将河流作为取水水源，属于</w:t>
      </w:r>
      <w:r>
        <w:rPr>
          <w:rFonts w:hint="eastAsia" w:cs="Times New Roman"/>
          <w:color w:val="auto"/>
          <w:spacing w:val="-6"/>
          <w:sz w:val="24"/>
          <w:szCs w:val="24"/>
          <w:lang w:eastAsia="zh-CN"/>
        </w:rPr>
        <w:t>水库型</w:t>
      </w:r>
      <w:r>
        <w:rPr>
          <w:rFonts w:hint="default" w:ascii="Times New Roman" w:hAnsi="Times New Roman" w:cs="Times New Roman"/>
          <w:color w:val="auto"/>
          <w:spacing w:val="-6"/>
          <w:sz w:val="24"/>
          <w:szCs w:val="24"/>
        </w:rPr>
        <w:t>饮用水源地。</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2" w:firstLineChars="200"/>
        <w:jc w:val="both"/>
        <w:textAlignment w:val="auto"/>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（2）保护区设置要求</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华人民共和国水污染防治法》（2008）第五十六条规定、《四川省饮用水水源保护管理条例》（2012）第十条规定：集中式饮用水水源按照水源类型，划分为地表水饮用水水源保护区和地下水饮用水水源保护区；根据防护要求，划分为一级保护区和二级保护区；必要时，可以在饮用水水源保护区外围划定一定的区域作为准保护区。</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482" w:firstLineChars="200"/>
        <w:jc w:val="both"/>
        <w:textAlignment w:val="auto"/>
        <w:outlineLvl w:val="9"/>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（3）保护区划分原则</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依法划分。饮用水源保护区划分严格按照《中华人民共和国水污染防治法》、《四川省饮用水水源保护管理条例》等相关法律法规进行划分。</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科学划分。饮用水源保护区划分在划分方法上严格按照</w:t>
      </w:r>
      <w:r>
        <w:rPr>
          <w:rFonts w:hint="default" w:ascii="Times New Roman" w:hAnsi="Times New Roman" w:cs="Times New Roman"/>
          <w:color w:val="auto"/>
          <w:kern w:val="0"/>
          <w:sz w:val="24"/>
          <w:szCs w:val="24"/>
          <w:highlight w:val="red"/>
        </w:rPr>
        <w:t>《饮用水源保护区划定技术规范》（HJ/T338-20</w:t>
      </w:r>
      <w:r>
        <w:rPr>
          <w:rFonts w:hint="eastAsia" w:cs="Times New Roman"/>
          <w:color w:val="auto"/>
          <w:kern w:val="0"/>
          <w:sz w:val="24"/>
          <w:szCs w:val="24"/>
          <w:highlight w:val="red"/>
          <w:lang w:val="en-US" w:eastAsia="zh-CN"/>
        </w:rPr>
        <w:t>18</w:t>
      </w:r>
      <w:r>
        <w:rPr>
          <w:rFonts w:hint="default" w:ascii="Times New Roman" w:hAnsi="Times New Roman" w:cs="Times New Roman"/>
          <w:color w:val="auto"/>
          <w:kern w:val="0"/>
          <w:sz w:val="24"/>
          <w:szCs w:val="24"/>
          <w:highlight w:val="red"/>
        </w:rPr>
        <w:t>）</w:t>
      </w:r>
      <w:r>
        <w:rPr>
          <w:rFonts w:hint="default" w:ascii="Times New Roman" w:hAnsi="Times New Roman" w:cs="Times New Roman"/>
          <w:color w:val="auto"/>
          <w:kern w:val="0"/>
          <w:sz w:val="24"/>
          <w:szCs w:val="24"/>
        </w:rPr>
        <w:t>中的相关技术要求进行科学论证。</w:t>
      </w:r>
      <w:r>
        <w:rPr>
          <w:rFonts w:hint="default" w:ascii="Times New Roman" w:hAnsi="Times New Roman" w:cs="Times New Roman"/>
          <w:color w:val="auto"/>
          <w:sz w:val="24"/>
          <w:szCs w:val="24"/>
        </w:rPr>
        <w:t>确定饮用水水源保护区划分的技术指标，应考虑以下因素：当地的地理位置、水文、气象、水动力特性、水域污染类型、污染特征、污染源分布、排水区分布、水源地规模、水量需求；地表水饮用水源保护区范围还应按照不同水域特点进行水质定量预测、并考虑当地具体条件加以确定，保证在规划设计的水文条件和污染负荷下，供应规划水量时，保护区的水质能满足相应的标准。</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保护优先。划定的水源保护区范围，应防止水源地附近人类活动对水源的直接污染；应足以使所选定的主要污染物在向取水点输移（或运移）过程中，衰减到所期望的浓度水平；在正常情况下保证取水水质达到规定要求；一旦出现污染水源的突发情况，有采取紧急补救措施的时间和缓冲地带。</w:t>
      </w:r>
    </w:p>
    <w:p>
      <w:pPr>
        <w:pageBreakBefore w:val="0"/>
        <w:widowControl w:val="0"/>
        <w:numPr>
          <w:ilvl w:val="0"/>
          <w:numId w:val="3"/>
        </w:numPr>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合理划分。在确保饮用水水源水质不受污染的前提下，划定的水源保护区范围应尽可能小。</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b/>
          <w:bCs/>
          <w:color w:val="auto"/>
        </w:rPr>
      </w:pPr>
      <w:bookmarkStart w:id="193" w:name="_Toc492740617"/>
      <w:bookmarkStart w:id="194" w:name="_Toc11433"/>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.2</w:t>
      </w:r>
      <w:r>
        <w:rPr>
          <w:rFonts w:hint="eastAsia" w:ascii="Times New Roman" w:hAnsi="Times New Roman" w:cs="Times New Roman"/>
          <w:b/>
          <w:bCs/>
          <w:color w:val="auto"/>
          <w:lang w:eastAsia="zh-CN"/>
        </w:rPr>
        <w:t>水库型</w:t>
      </w:r>
      <w:r>
        <w:rPr>
          <w:rFonts w:hint="default" w:ascii="Times New Roman" w:hAnsi="Times New Roman" w:cs="Times New Roman"/>
          <w:b/>
          <w:bCs/>
          <w:color w:val="auto"/>
        </w:rPr>
        <w:t>水源地保护区划分</w:t>
      </w:r>
      <w:bookmarkEnd w:id="193"/>
      <w:bookmarkEnd w:id="194"/>
    </w:p>
    <w:p>
      <w:pPr>
        <w:pageBreakBefore w:val="0"/>
        <w:widowControl w:val="0"/>
        <w:kinsoku/>
        <w:wordWrap/>
        <w:overflowPunct/>
        <w:topLinePunct w:val="0"/>
        <w:autoSpaceDE w:val="0"/>
        <w:autoSpaceDN w:val="0"/>
        <w:bidi w:val="0"/>
        <w:adjustRightInd w:val="0"/>
        <w:snapToGrid/>
        <w:spacing w:line="360" w:lineRule="auto"/>
        <w:ind w:left="0" w:leftChars="0" w:right="0" w:rightChars="0"/>
        <w:jc w:val="both"/>
        <w:textAlignment w:val="auto"/>
        <w:outlineLvl w:val="2"/>
        <w:rPr>
          <w:rFonts w:hint="default" w:ascii="Times New Roman" w:hAnsi="Times New Roman" w:cs="Times New Roman"/>
          <w:b/>
          <w:color w:val="auto"/>
          <w:kern w:val="0"/>
          <w:sz w:val="24"/>
          <w:szCs w:val="24"/>
          <w:lang w:val="zh-CN"/>
        </w:rPr>
      </w:pPr>
      <w:bookmarkStart w:id="195" w:name="_Toc27555"/>
      <w:bookmarkStart w:id="196" w:name="_Toc27099"/>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lang w:val="zh-CN"/>
        </w:rPr>
        <w:t>.2.1 一级保护区划分方案</w:t>
      </w:r>
      <w:bookmarkEnd w:id="195"/>
      <w:bookmarkEnd w:id="196"/>
    </w:p>
    <w:p>
      <w:pPr>
        <w:outlineLvl w:val="3"/>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.2.1.</w:t>
      </w:r>
      <w:r>
        <w:rPr>
          <w:rFonts w:hint="eastAsia" w:cs="Times New Roman"/>
          <w:b/>
          <w:color w:val="auto"/>
          <w:kern w:val="0"/>
          <w:sz w:val="24"/>
          <w:szCs w:val="24"/>
          <w:lang w:val="en-US" w:eastAsia="zh-CN"/>
        </w:rPr>
        <w:t>1</w:t>
      </w:r>
      <w:r>
        <w:rPr>
          <w:rFonts w:hint="default" w:ascii="Times New Roman" w:hAnsi="Times New Roman" w:cs="Times New Roman"/>
          <w:b/>
          <w:color w:val="auto"/>
          <w:kern w:val="0"/>
          <w:sz w:val="24"/>
          <w:szCs w:val="24"/>
        </w:rPr>
        <w:t xml:space="preserve"> </w:t>
      </w:r>
      <w:r>
        <w:rPr>
          <w:rFonts w:hint="eastAsia" w:cs="Times New Roman"/>
          <w:b/>
          <w:color w:val="auto"/>
          <w:kern w:val="0"/>
          <w:sz w:val="24"/>
          <w:szCs w:val="24"/>
          <w:lang w:eastAsia="zh-CN"/>
        </w:rPr>
        <w:t>水域</w:t>
      </w:r>
      <w:r>
        <w:rPr>
          <w:rFonts w:hint="default" w:ascii="Times New Roman" w:hAnsi="Times New Roman" w:cs="Times New Roman"/>
          <w:b/>
          <w:color w:val="auto"/>
          <w:kern w:val="0"/>
          <w:sz w:val="24"/>
          <w:szCs w:val="24"/>
        </w:rPr>
        <w:t>范围</w:t>
      </w:r>
    </w:p>
    <w:p>
      <w:pPr>
        <w:pageBreakBefore w:val="0"/>
        <w:widowControl w:val="0"/>
        <w:kinsoku/>
        <w:wordWrap/>
        <w:overflowPunct/>
        <w:topLinePunct w:val="0"/>
        <w:autoSpaceDE w:val="0"/>
        <w:autoSpaceDN w:val="0"/>
        <w:bidi w:val="0"/>
        <w:adjustRightInd w:val="0"/>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shd w:val="clear" w:color="FFFFFF" w:fill="D9D9D9"/>
        </w:rPr>
      </w:pPr>
      <w:r>
        <w:rPr>
          <w:rFonts w:hint="default" w:ascii="Times New Roman" w:hAnsi="Times New Roman" w:cs="Times New Roman"/>
          <w:shd w:val="clear" w:color="FFFFFF" w:fill="D9D9D9"/>
        </w:rPr>
        <w:t>四川省</w:t>
      </w:r>
      <w:r>
        <w:rPr>
          <w:rFonts w:hint="default" w:ascii="Times New Roman" w:hAnsi="Times New Roman" w:cs="Times New Roman"/>
          <w:shd w:val="clear" w:color="FFFFFF" w:fill="D9D9D9"/>
          <w:lang w:eastAsia="zh-CN"/>
        </w:rPr>
        <w:t>开江县县城</w:t>
      </w:r>
      <w:r>
        <w:rPr>
          <w:rFonts w:hint="eastAsia" w:cs="Times New Roman"/>
          <w:shd w:val="clear" w:color="FFFFFF" w:fill="D9D9D9"/>
          <w:lang w:eastAsia="zh-CN"/>
        </w:rPr>
        <w:t>老河堰</w:t>
      </w:r>
      <w:r>
        <w:rPr>
          <w:rFonts w:hint="default" w:ascii="Times New Roman" w:hAnsi="Times New Roman" w:cs="Times New Roman"/>
          <w:shd w:val="clear" w:color="FFFFFF" w:fill="D9D9D9"/>
          <w:lang w:eastAsia="zh-CN"/>
        </w:rPr>
        <w:t>水库</w:t>
      </w:r>
      <w:r>
        <w:rPr>
          <w:rFonts w:hint="default" w:ascii="Times New Roman" w:hAnsi="Times New Roman" w:cs="Times New Roman"/>
          <w:shd w:val="clear" w:color="FFFFFF" w:fill="D9D9D9"/>
        </w:rPr>
        <w:t>水源地</w:t>
      </w:r>
      <w:r>
        <w:rPr>
          <w:rFonts w:hint="default" w:ascii="Times New Roman" w:hAnsi="Times New Roman" w:cs="Times New Roman"/>
          <w:color w:val="auto"/>
          <w:sz w:val="24"/>
          <w:szCs w:val="24"/>
          <w:shd w:val="clear" w:color="FFFFFF" w:fill="D9D9D9"/>
        </w:rPr>
        <w:t>取水</w:t>
      </w:r>
      <w:r>
        <w:rPr>
          <w:rFonts w:hint="eastAsia" w:cs="Times New Roman"/>
          <w:color w:val="auto"/>
          <w:sz w:val="24"/>
          <w:szCs w:val="24"/>
          <w:shd w:val="clear" w:color="FFFFFF" w:fill="D9D9D9"/>
          <w:lang w:eastAsia="zh-CN"/>
        </w:rPr>
        <w:t>水源地</w:t>
      </w:r>
      <w:r>
        <w:rPr>
          <w:rFonts w:hint="default" w:ascii="Times New Roman" w:hAnsi="Times New Roman" w:cs="Times New Roman"/>
          <w:color w:val="auto"/>
          <w:sz w:val="24"/>
          <w:szCs w:val="24"/>
          <w:shd w:val="clear" w:color="FFFFFF" w:fill="D9D9D9"/>
        </w:rPr>
        <w:t>为</w:t>
      </w:r>
      <w:r>
        <w:rPr>
          <w:rFonts w:hint="eastAsia" w:cs="Times New Roman"/>
          <w:color w:val="auto"/>
          <w:sz w:val="24"/>
          <w:szCs w:val="24"/>
          <w:shd w:val="clear" w:color="FFFFFF" w:fill="D9D9D9"/>
          <w:lang w:eastAsia="zh-CN"/>
        </w:rPr>
        <w:t>人工水库</w:t>
      </w:r>
      <w:r>
        <w:rPr>
          <w:rFonts w:hint="default" w:ascii="Times New Roman" w:hAnsi="Times New Roman" w:cs="Times New Roman"/>
          <w:color w:val="auto"/>
          <w:sz w:val="24"/>
          <w:szCs w:val="24"/>
          <w:shd w:val="clear" w:color="FFFFFF" w:fill="D9D9D9"/>
        </w:rPr>
        <w:t>，取水口所在段</w:t>
      </w:r>
      <w:r>
        <w:rPr>
          <w:rFonts w:hint="eastAsia" w:cs="Times New Roman"/>
          <w:color w:val="auto"/>
          <w:sz w:val="24"/>
          <w:szCs w:val="24"/>
          <w:shd w:val="clear" w:color="FFFFFF" w:fill="D9D9D9"/>
          <w:lang w:eastAsia="zh-CN"/>
        </w:rPr>
        <w:t>水库</w:t>
      </w:r>
      <w:r>
        <w:rPr>
          <w:rFonts w:hint="default" w:ascii="Times New Roman" w:hAnsi="Times New Roman" w:cs="Times New Roman"/>
          <w:color w:val="auto"/>
          <w:sz w:val="24"/>
          <w:szCs w:val="24"/>
          <w:shd w:val="clear" w:color="FFFFFF" w:fill="D9D9D9"/>
        </w:rPr>
        <w:t>无通航功能</w:t>
      </w:r>
      <w:r>
        <w:rPr>
          <w:rFonts w:hint="default" w:ascii="Times New Roman" w:hAnsi="Times New Roman" w:cs="Times New Roman"/>
          <w:color w:val="0000FF"/>
          <w:sz w:val="24"/>
          <w:szCs w:val="24"/>
          <w:shd w:val="clear" w:color="FFFFFF" w:fill="D9D9D9"/>
        </w:rPr>
        <w:t>，水质常年以</w:t>
      </w:r>
      <w:r>
        <w:rPr>
          <w:rFonts w:hint="eastAsia" w:cs="Times New Roman"/>
          <w:color w:val="0000FF"/>
          <w:spacing w:val="-6"/>
          <w:sz w:val="24"/>
          <w:szCs w:val="24"/>
          <w:shd w:val="clear" w:color="FFFFFF" w:fill="D9D9D9"/>
          <w:lang w:val="en-US" w:eastAsia="zh-CN"/>
        </w:rPr>
        <w:t>III</w:t>
      </w:r>
      <w:r>
        <w:rPr>
          <w:rFonts w:hint="default" w:ascii="Times New Roman" w:hAnsi="Times New Roman" w:cs="Times New Roman"/>
          <w:color w:val="0000FF"/>
          <w:sz w:val="24"/>
          <w:szCs w:val="24"/>
          <w:shd w:val="clear" w:color="FFFFFF" w:fill="D9D9D9"/>
        </w:rPr>
        <w:t>类为主</w:t>
      </w:r>
      <w:r>
        <w:rPr>
          <w:rFonts w:hint="default" w:ascii="Times New Roman" w:hAnsi="Times New Roman" w:cs="Times New Roman"/>
          <w:color w:val="auto"/>
          <w:sz w:val="24"/>
          <w:szCs w:val="24"/>
          <w:shd w:val="clear" w:color="FFFFFF" w:fill="D9D9D9"/>
        </w:rPr>
        <w:t>，故一级保护区划分方法采取类比经验法。</w:t>
      </w:r>
    </w:p>
    <w:p>
      <w:pPr>
        <w:pageBreakBefore w:val="0"/>
        <w:widowControl w:val="0"/>
        <w:kinsoku/>
        <w:wordWrap/>
        <w:overflowPunct/>
        <w:topLinePunct w:val="0"/>
        <w:autoSpaceDE w:val="0"/>
        <w:autoSpaceDN w:val="0"/>
        <w:bidi w:val="0"/>
        <w:adjustRightInd w:val="0"/>
        <w:snapToGrid/>
        <w:spacing w:line="360" w:lineRule="auto"/>
        <w:ind w:left="0" w:leftChars="0" w:right="0" w:rightChars="0" w:firstLine="482" w:firstLineChars="200"/>
        <w:jc w:val="both"/>
        <w:textAlignment w:val="auto"/>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（1）划分依据</w:t>
      </w:r>
    </w:p>
    <w:p>
      <w:pPr>
        <w:pageBreakBefore w:val="0"/>
        <w:widowControl w:val="0"/>
        <w:numPr>
          <w:ilvl w:val="0"/>
          <w:numId w:val="4"/>
        </w:numPr>
        <w:kinsoku/>
        <w:wordWrap/>
        <w:overflowPunct/>
        <w:topLinePunct w:val="0"/>
        <w:autoSpaceDE w:val="0"/>
        <w:autoSpaceDN w:val="0"/>
        <w:bidi w:val="0"/>
        <w:adjustRightInd w:val="0"/>
        <w:snapToGrid/>
        <w:spacing w:line="360" w:lineRule="auto"/>
        <w:ind w:left="0" w:leftChars="0" w:right="0" w:rightChars="0" w:firstLine="426"/>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根据《饮用水水源保护区划分技术规范》（HJ/T338-20</w:t>
      </w:r>
      <w:r>
        <w:rPr>
          <w:rFonts w:hint="eastAsia" w:cs="Times New Roman"/>
          <w:color w:val="auto"/>
          <w:sz w:val="24"/>
          <w:szCs w:val="24"/>
          <w:lang w:val="en-US" w:eastAsia="zh-CN"/>
        </w:rPr>
        <w:t>18</w:t>
      </w:r>
      <w:r>
        <w:rPr>
          <w:rFonts w:hint="default" w:ascii="Times New Roman" w:hAnsi="Times New Roman" w:cs="Times New Roman"/>
          <w:color w:val="auto"/>
          <w:sz w:val="24"/>
          <w:szCs w:val="24"/>
        </w:rPr>
        <w:t>），小型水库和单一供水功能的湖泊、水库应将多年平均水位对应的高程线以下的全部水域划为一级保护区。一级保护区上、下游范围不得小于卫生部门规定的饮用水源卫生防护带范围。</w:t>
      </w:r>
    </w:p>
    <w:p>
      <w:pPr>
        <w:pageBreakBefore w:val="0"/>
        <w:widowControl w:val="0"/>
        <w:numPr>
          <w:ilvl w:val="0"/>
          <w:numId w:val="4"/>
        </w:numPr>
        <w:kinsoku/>
        <w:wordWrap/>
        <w:overflowPunct/>
        <w:topLinePunct w:val="0"/>
        <w:autoSpaceDE w:val="0"/>
        <w:autoSpaceDN w:val="0"/>
        <w:bidi w:val="0"/>
        <w:adjustRightInd w:val="0"/>
        <w:snapToGrid/>
        <w:spacing w:line="360" w:lineRule="auto"/>
        <w:ind w:left="0" w:leftChars="0" w:right="0" w:rightChars="0" w:firstLine="426"/>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根据《生活饮用水集中式供水单位卫生规范》第</w:t>
      </w:r>
      <w:r>
        <w:rPr>
          <w:rFonts w:hint="eastAsia" w:cs="Times New Roman"/>
          <w:color w:val="auto"/>
          <w:sz w:val="24"/>
          <w:szCs w:val="24"/>
          <w:lang w:eastAsia="zh-CN"/>
        </w:rPr>
        <w:t>十</w:t>
      </w:r>
      <w:r>
        <w:rPr>
          <w:rFonts w:hint="default" w:ascii="Times New Roman" w:hAnsi="Times New Roman" w:cs="Times New Roman"/>
          <w:color w:val="auto"/>
          <w:sz w:val="24"/>
          <w:szCs w:val="24"/>
        </w:rPr>
        <w:t>条，</w:t>
      </w:r>
      <w:r>
        <w:rPr>
          <w:rFonts w:hint="default" w:ascii="Times New Roman" w:hAnsi="Times New Roman" w:cs="Times New Roman"/>
          <w:color w:val="auto"/>
          <w:sz w:val="24"/>
          <w:szCs w:val="24"/>
          <w:lang w:val="en-US" w:eastAsia="zh-CN"/>
        </w:rPr>
        <w:t>取水点周围半径100米的水域内，严禁捕捞、网箱养殖、停靠船只、游泳和从事其他可能污染水源的任何活动。</w:t>
      </w:r>
      <w:r>
        <w:rPr>
          <w:rFonts w:hint="default" w:ascii="Times New Roman" w:hAnsi="Times New Roman" w:cs="Times New Roman"/>
          <w:color w:val="auto"/>
          <w:sz w:val="24"/>
          <w:szCs w:val="24"/>
        </w:rPr>
        <w:t>取水点上游1000米至下游100米的水域不得排入工业废水和生活污水；其沿岸防护范围内不得堆放废渣，不得设立有毒、有害化学物品仓库、堆栈，不得设立装卸垃圾、粪便和有毒有害化学物品的码头，不得使用工业废水或生活污水灌溉及施用难降解或剧毒的农药，不得排放有毒气体、放射性物质，不得从事</w:t>
      </w:r>
      <w:r>
        <w:rPr>
          <w:rFonts w:hint="eastAsia" w:cs="Times New Roman"/>
          <w:color w:val="auto"/>
          <w:sz w:val="24"/>
          <w:szCs w:val="24"/>
          <w:lang w:eastAsia="zh-CN"/>
        </w:rPr>
        <w:t>畜禽养殖</w:t>
      </w:r>
      <w:r>
        <w:rPr>
          <w:rFonts w:hint="default" w:ascii="Times New Roman" w:hAnsi="Times New Roman" w:cs="Times New Roman"/>
          <w:color w:val="auto"/>
          <w:sz w:val="24"/>
          <w:szCs w:val="24"/>
        </w:rPr>
        <w:t>等有可能污染该段水域水质的活动。作为生活饮用水水源的水库和湖泊，应根据不同情况，将取水点周围部分水域或整个水域及其沿岸划为水源保护区，并按第一、二项的规定执行。</w:t>
      </w:r>
    </w:p>
    <w:p>
      <w:pPr>
        <w:pageBreakBefore w:val="0"/>
        <w:widowControl w:val="0"/>
        <w:kinsoku/>
        <w:wordWrap/>
        <w:overflowPunct/>
        <w:topLinePunct w:val="0"/>
        <w:bidi w:val="0"/>
        <w:snapToGrid/>
        <w:spacing w:line="360" w:lineRule="auto"/>
        <w:ind w:left="0" w:leftChars="0" w:right="0" w:rightChars="0" w:firstLine="480" w:firstLineChars="200"/>
        <w:jc w:val="both"/>
        <w:textAlignment w:val="auto"/>
        <w:rPr>
          <w:rFonts w:hint="default" w:ascii="Times New Roman" w:hAnsi="Times New Roman" w:cs="Times New Roman"/>
          <w:color w:val="0000FF"/>
          <w:sz w:val="24"/>
          <w:szCs w:val="24"/>
        </w:rPr>
      </w:pPr>
      <w:r>
        <w:rPr>
          <w:rFonts w:hint="default" w:ascii="Times New Roman" w:hAnsi="Times New Roman" w:cs="Times New Roman"/>
          <w:color w:val="0000FF"/>
          <w:sz w:val="24"/>
          <w:szCs w:val="24"/>
        </w:rPr>
        <w:t>如果饮用水源一级保护区或二级保护区内有支流汇入，应从支流汇入口向上游延伸一定距离，作为相应的一级保护区和二级保护区，划分方法可参照上述</w:t>
      </w:r>
      <w:r>
        <w:rPr>
          <w:rFonts w:hint="eastAsia" w:cs="Times New Roman"/>
          <w:color w:val="0000FF"/>
          <w:sz w:val="24"/>
          <w:szCs w:val="24"/>
          <w:lang w:eastAsia="zh-CN"/>
        </w:rPr>
        <w:t>水库型</w:t>
      </w:r>
      <w:r>
        <w:rPr>
          <w:rFonts w:hint="default" w:ascii="Times New Roman" w:hAnsi="Times New Roman" w:cs="Times New Roman"/>
          <w:color w:val="0000FF"/>
          <w:sz w:val="24"/>
          <w:szCs w:val="24"/>
        </w:rPr>
        <w:t>水源地保护区划分方法划定。根据支流汇入口所在的保护区级别的高低和距取水口距离的远近，其范围可适当减小。</w:t>
      </w:r>
    </w:p>
    <w:p>
      <w:pPr>
        <w:autoSpaceDE w:val="0"/>
        <w:autoSpaceDN w:val="0"/>
        <w:adjustRightInd w:val="0"/>
        <w:spacing w:line="520" w:lineRule="exact"/>
        <w:ind w:left="56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（2）划分分析</w:t>
      </w:r>
    </w:p>
    <w:p>
      <w:pPr>
        <w:autoSpaceDE w:val="0"/>
        <w:autoSpaceDN w:val="0"/>
        <w:adjustRightIn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rPr>
        <w:t>四川省</w:t>
      </w:r>
      <w:r>
        <w:rPr>
          <w:rFonts w:hint="default" w:ascii="Times New Roman" w:hAnsi="Times New Roman" w:cs="Times New Roman"/>
          <w:lang w:eastAsia="zh-CN"/>
        </w:rPr>
        <w:t>开江县县城</w:t>
      </w:r>
      <w:r>
        <w:rPr>
          <w:rFonts w:hint="eastAsia" w:cs="Times New Roman"/>
          <w:lang w:eastAsia="zh-CN"/>
        </w:rPr>
        <w:t>老河堰</w:t>
      </w:r>
      <w:r>
        <w:rPr>
          <w:rFonts w:hint="default" w:ascii="Times New Roman" w:hAnsi="Times New Roman" w:cs="Times New Roman"/>
          <w:lang w:eastAsia="zh-CN"/>
        </w:rPr>
        <w:t>水库</w:t>
      </w:r>
      <w:r>
        <w:rPr>
          <w:rFonts w:hint="default" w:ascii="Times New Roman" w:hAnsi="Times New Roman" w:cs="Times New Roman"/>
        </w:rPr>
        <w:t>水源地</w:t>
      </w:r>
      <w:r>
        <w:rPr>
          <w:rFonts w:hint="default" w:ascii="Times New Roman" w:hAnsi="Times New Roman" w:cs="Times New Roman"/>
          <w:color w:val="auto"/>
          <w:sz w:val="24"/>
          <w:szCs w:val="24"/>
        </w:rPr>
        <w:t>取水口段水质较好，</w:t>
      </w:r>
      <w:r>
        <w:rPr>
          <w:rFonts w:hint="eastAsia" w:cs="Times New Roman"/>
          <w:color w:val="auto"/>
          <w:sz w:val="24"/>
          <w:szCs w:val="24"/>
          <w:lang w:eastAsia="zh-CN"/>
        </w:rPr>
        <w:t>根据建设单位提供的资料，老河堰水库位于永兴镇，所在流域为永兴河，总库容为</w:t>
      </w:r>
      <w:r>
        <w:rPr>
          <w:rFonts w:hint="eastAsia" w:cs="Times New Roman"/>
          <w:color w:val="auto"/>
          <w:sz w:val="24"/>
          <w:szCs w:val="24"/>
          <w:lang w:val="en-US" w:eastAsia="zh-CN"/>
        </w:rPr>
        <w:t>103.3万m³，根据</w:t>
      </w:r>
      <w:r>
        <w:rPr>
          <w:rFonts w:hint="default" w:ascii="Times New Roman" w:hAnsi="Times New Roman" w:cs="Times New Roman"/>
          <w:color w:val="auto"/>
          <w:sz w:val="24"/>
          <w:szCs w:val="24"/>
        </w:rPr>
        <w:t>《饮用水水源保护区划分技术规范》（HJ/T338-20</w:t>
      </w:r>
      <w:r>
        <w:rPr>
          <w:rFonts w:hint="eastAsia" w:cs="Times New Roman"/>
          <w:color w:val="auto"/>
          <w:sz w:val="24"/>
          <w:szCs w:val="24"/>
          <w:lang w:val="en-US" w:eastAsia="zh-CN"/>
        </w:rPr>
        <w:t>18</w:t>
      </w:r>
      <w:r>
        <w:rPr>
          <w:rFonts w:hint="default" w:ascii="Times New Roman" w:hAnsi="Times New Roman" w:cs="Times New Roman"/>
          <w:color w:val="auto"/>
          <w:sz w:val="24"/>
          <w:szCs w:val="24"/>
        </w:rPr>
        <w:t>）</w:t>
      </w:r>
      <w:r>
        <w:rPr>
          <w:rFonts w:hint="eastAsia" w:cs="Times New Roman"/>
          <w:color w:val="auto"/>
          <w:sz w:val="24"/>
          <w:szCs w:val="24"/>
          <w:lang w:eastAsia="zh-CN"/>
        </w:rPr>
        <w:t>中的相关规定，库容≤</w:t>
      </w:r>
      <w:r>
        <w:rPr>
          <w:rFonts w:hint="eastAsia" w:cs="Times New Roman"/>
          <w:color w:val="auto"/>
          <w:sz w:val="24"/>
          <w:szCs w:val="24"/>
          <w:lang w:val="en-US" w:eastAsia="zh-CN"/>
        </w:rPr>
        <w:t>0.1亿m³为小型水库。</w:t>
      </w:r>
      <w:r>
        <w:rPr>
          <w:rFonts w:hint="eastAsia" w:cs="Times New Roman"/>
          <w:color w:val="FF0000"/>
          <w:sz w:val="24"/>
          <w:szCs w:val="24"/>
          <w:lang w:val="en-US" w:eastAsia="zh-CN"/>
        </w:rPr>
        <w:t>老河堰水库</w:t>
      </w:r>
      <w:r>
        <w:rPr>
          <w:rFonts w:hint="default" w:ascii="Times New Roman" w:hAnsi="Times New Roman" w:cs="Times New Roman"/>
          <w:color w:val="FF0000"/>
          <w:sz w:val="24"/>
          <w:szCs w:val="24"/>
        </w:rPr>
        <w:t>常年以</w:t>
      </w:r>
      <w:r>
        <w:rPr>
          <w:rFonts w:hint="eastAsia" w:cs="Times New Roman"/>
          <w:color w:val="FF0000"/>
          <w:spacing w:val="-6"/>
          <w:sz w:val="24"/>
          <w:szCs w:val="24"/>
          <w:lang w:val="en-US" w:eastAsia="zh-CN"/>
        </w:rPr>
        <w:t>III</w:t>
      </w:r>
      <w:r>
        <w:rPr>
          <w:rFonts w:hint="default" w:ascii="Times New Roman" w:hAnsi="Times New Roman" w:cs="Times New Roman"/>
          <w:color w:val="FF0000"/>
          <w:sz w:val="24"/>
          <w:szCs w:val="24"/>
        </w:rPr>
        <w:t>类水质为主</w:t>
      </w:r>
      <w:r>
        <w:rPr>
          <w:rFonts w:hint="default" w:ascii="Times New Roman" w:hAnsi="Times New Roman" w:cs="Times New Roman"/>
          <w:color w:val="auto"/>
          <w:sz w:val="24"/>
          <w:szCs w:val="24"/>
        </w:rPr>
        <w:t>，因此按照经验值确定</w:t>
      </w:r>
      <w:r>
        <w:rPr>
          <w:rFonts w:hint="eastAsia" w:cs="Times New Roman"/>
          <w:color w:val="auto"/>
          <w:sz w:val="24"/>
          <w:szCs w:val="24"/>
          <w:lang w:val="en-US" w:eastAsia="zh-CN"/>
        </w:rPr>
        <w:t>一级保护区为</w:t>
      </w:r>
      <w:r>
        <w:rPr>
          <w:rFonts w:hint="eastAsia" w:cs="Times New Roman"/>
          <w:color w:val="auto"/>
          <w:sz w:val="24"/>
          <w:szCs w:val="24"/>
          <w:lang w:eastAsia="zh-CN"/>
        </w:rPr>
        <w:t>取水口半径不小于</w:t>
      </w:r>
      <w:r>
        <w:rPr>
          <w:rFonts w:hint="eastAsia" w:cs="Times New Roman"/>
          <w:color w:val="auto"/>
          <w:sz w:val="24"/>
          <w:szCs w:val="24"/>
          <w:lang w:val="en-US" w:eastAsia="zh-CN"/>
        </w:rPr>
        <w:t>200m范围内的区域。</w:t>
      </w:r>
    </w:p>
    <w:p>
      <w:pPr>
        <w:autoSpaceDE w:val="0"/>
        <w:autoSpaceDN w:val="0"/>
        <w:adjustRightInd w:val="0"/>
        <w:spacing w:line="520" w:lineRule="exact"/>
        <w:ind w:left="56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（3）划分方案</w:t>
      </w:r>
    </w:p>
    <w:p>
      <w:pPr>
        <w:autoSpaceDE w:val="0"/>
        <w:autoSpaceDN w:val="0"/>
        <w:adjustRightIn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一级保护区</w:t>
      </w:r>
      <w:r>
        <w:rPr>
          <w:rFonts w:hint="eastAsia" w:cs="Times New Roman"/>
          <w:color w:val="auto"/>
          <w:sz w:val="24"/>
          <w:szCs w:val="24"/>
          <w:lang w:eastAsia="zh-CN"/>
        </w:rPr>
        <w:t>为</w:t>
      </w:r>
      <w:r>
        <w:rPr>
          <w:rFonts w:hint="default" w:ascii="Times New Roman" w:hAnsi="Times New Roman" w:cs="Times New Roman"/>
          <w:color w:val="auto"/>
          <w:lang w:eastAsia="zh-CN"/>
        </w:rPr>
        <w:t>开江县</w:t>
      </w:r>
      <w:r>
        <w:rPr>
          <w:rFonts w:hint="eastAsia" w:cs="Times New Roman"/>
          <w:color w:val="auto"/>
          <w:lang w:eastAsia="zh-CN"/>
        </w:rPr>
        <w:t>老河堰</w:t>
      </w:r>
      <w:r>
        <w:rPr>
          <w:rFonts w:hint="default" w:ascii="Times New Roman" w:hAnsi="Times New Roman" w:cs="Times New Roman"/>
          <w:color w:val="auto"/>
          <w:lang w:eastAsia="zh-CN"/>
        </w:rPr>
        <w:t>水库</w:t>
      </w:r>
      <w:r>
        <w:rPr>
          <w:rFonts w:hint="default" w:ascii="Times New Roman" w:hAnsi="Times New Roman" w:cs="Times New Roman"/>
          <w:color w:val="auto"/>
        </w:rPr>
        <w:t>水源地</w:t>
      </w:r>
      <w:r>
        <w:rPr>
          <w:rFonts w:hint="default" w:ascii="Times New Roman" w:hAnsi="Times New Roman" w:cs="Times New Roman"/>
          <w:color w:val="auto"/>
          <w:sz w:val="24"/>
          <w:szCs w:val="24"/>
        </w:rPr>
        <w:t>取水口</w:t>
      </w:r>
      <w:r>
        <w:rPr>
          <w:rFonts w:hint="eastAsia" w:cs="Times New Roman"/>
          <w:color w:val="auto"/>
          <w:sz w:val="24"/>
          <w:szCs w:val="24"/>
          <w:lang w:eastAsia="zh-CN"/>
        </w:rPr>
        <w:t>半径不小于</w:t>
      </w:r>
      <w:r>
        <w:rPr>
          <w:rFonts w:hint="eastAsia" w:cs="Times New Roman"/>
          <w:color w:val="auto"/>
          <w:sz w:val="24"/>
          <w:szCs w:val="24"/>
          <w:lang w:val="en-US" w:eastAsia="zh-CN"/>
        </w:rPr>
        <w:t>200m范围内的区域。</w:t>
      </w:r>
    </w:p>
    <w:p>
      <w:pPr>
        <w:outlineLvl w:val="3"/>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.2.1.</w:t>
      </w:r>
      <w:r>
        <w:rPr>
          <w:rFonts w:hint="eastAsia" w:cs="Times New Roman"/>
          <w:b/>
          <w:color w:val="auto"/>
          <w:kern w:val="0"/>
          <w:sz w:val="24"/>
          <w:szCs w:val="24"/>
          <w:lang w:val="en-US" w:eastAsia="zh-CN"/>
        </w:rPr>
        <w:t>2</w:t>
      </w:r>
      <w:r>
        <w:rPr>
          <w:rFonts w:hint="default" w:ascii="Times New Roman" w:hAnsi="Times New Roman" w:cs="Times New Roman"/>
          <w:b/>
          <w:color w:val="auto"/>
          <w:kern w:val="0"/>
          <w:sz w:val="24"/>
          <w:szCs w:val="24"/>
        </w:rPr>
        <w:t xml:space="preserve">  陆域范围</w:t>
      </w:r>
    </w:p>
    <w:p>
      <w:pPr>
        <w:autoSpaceDE w:val="0"/>
        <w:autoSpaceDN w:val="0"/>
        <w:adjustRightInd w:val="0"/>
        <w:spacing w:line="50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（1）划分依据</w:t>
      </w:r>
    </w:p>
    <w:p>
      <w:pPr>
        <w:numPr>
          <w:ilvl w:val="0"/>
          <w:numId w:val="5"/>
        </w:numPr>
        <w:autoSpaceDE w:val="0"/>
        <w:autoSpaceDN w:val="0"/>
        <w:adjustRightInd w:val="0"/>
        <w:spacing w:line="500" w:lineRule="exact"/>
        <w:ind w:left="0" w:firstLine="709"/>
        <w:rPr>
          <w:rFonts w:hint="default" w:ascii="Times New Roman" w:hAnsi="Times New Roman" w:cs="Times New Roman"/>
          <w:color w:val="auto"/>
          <w:sz w:val="24"/>
          <w:szCs w:val="24"/>
        </w:rPr>
      </w:pPr>
      <w:r>
        <w:rPr>
          <w:rFonts w:hint="eastAsia" w:cs="Times New Roman"/>
          <w:color w:val="auto"/>
          <w:sz w:val="24"/>
          <w:szCs w:val="24"/>
          <w:lang w:val="en-US" w:eastAsia="zh-CN"/>
        </w:rPr>
        <w:t>小型和单一供水功能的湖泊、水库以及中小型水库为一级保护区水域外不小于 200 m 范围内的陆域，或一定高程线以下的陆域，但不超过流域分水岭范围</w:t>
      </w:r>
      <w:r>
        <w:rPr>
          <w:rFonts w:hint="default" w:ascii="Times New Roman" w:hAnsi="Times New Roman" w:cs="Times New Roman"/>
          <w:color w:val="auto"/>
          <w:sz w:val="24"/>
          <w:szCs w:val="24"/>
        </w:rPr>
        <w:t>。</w:t>
      </w:r>
    </w:p>
    <w:p>
      <w:pPr>
        <w:autoSpaceDE w:val="0"/>
        <w:autoSpaceDN w:val="0"/>
        <w:adjustRightInd w:val="0"/>
        <w:ind w:firstLine="482" w:firstLineChars="200"/>
        <w:jc w:val="left"/>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（2）划分方案</w:t>
      </w:r>
    </w:p>
    <w:p>
      <w:pPr>
        <w:pageBreakBefore w:val="0"/>
        <w:widowControl w:val="0"/>
        <w:kinsoku/>
        <w:wordWrap/>
        <w:overflowPunct/>
        <w:topLinePunct w:val="0"/>
        <w:bidi w:val="0"/>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综上，按照经验值划分方法，故一级保护区陆域范围为</w:t>
      </w:r>
      <w:r>
        <w:rPr>
          <w:rFonts w:hint="eastAsia" w:cs="Times New Roman"/>
          <w:color w:val="auto"/>
          <w:sz w:val="24"/>
          <w:szCs w:val="24"/>
          <w:lang w:eastAsia="zh-CN"/>
        </w:rPr>
        <w:t>以</w:t>
      </w:r>
      <w:r>
        <w:rPr>
          <w:rFonts w:hint="default" w:ascii="Times New Roman" w:hAnsi="Times New Roman" w:cs="Times New Roman"/>
          <w:color w:val="auto"/>
          <w:sz w:val="24"/>
          <w:szCs w:val="24"/>
          <w:lang w:val="en-US" w:eastAsia="zh-CN"/>
        </w:rPr>
        <w:t>一级保护区水域外不小于200m范围内的陆域</w:t>
      </w:r>
      <w:r>
        <w:rPr>
          <w:rFonts w:hint="default" w:ascii="Times New Roman" w:hAnsi="Times New Roman" w:cs="Times New Roman"/>
          <w:color w:val="auto"/>
          <w:sz w:val="24"/>
          <w:szCs w:val="24"/>
        </w:rPr>
        <w:t>。</w:t>
      </w:r>
    </w:p>
    <w:p>
      <w:pPr>
        <w:outlineLvl w:val="3"/>
        <w:rPr>
          <w:rFonts w:hint="default" w:ascii="Times New Roman" w:hAnsi="Times New Roman" w:cs="Times New Roman"/>
          <w:b/>
          <w:color w:val="auto"/>
          <w:kern w:val="0"/>
          <w:sz w:val="24"/>
          <w:szCs w:val="24"/>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rPr>
        <w:t>.2.1.4  划分结果及定界</w:t>
      </w:r>
    </w:p>
    <w:p>
      <w:pPr>
        <w:pageBreakBefore w:val="0"/>
        <w:widowControl w:val="0"/>
        <w:kinsoku/>
        <w:wordWrap/>
        <w:overflowPunct/>
        <w:topLinePunct w:val="0"/>
        <w:bidi w:val="0"/>
        <w:snapToGrid/>
        <w:spacing w:line="360" w:lineRule="auto"/>
        <w:ind w:left="0" w:leftChars="0" w:right="0" w:rightChars="0"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一级保护区水域范围</w:t>
      </w:r>
      <w:r>
        <w:rPr>
          <w:rFonts w:hint="eastAsia" w:cs="Times New Roman"/>
          <w:color w:val="auto"/>
          <w:sz w:val="24"/>
          <w:szCs w:val="24"/>
          <w:lang w:val="en-US" w:eastAsia="zh-CN"/>
        </w:rPr>
        <w:t>为</w:t>
      </w:r>
      <w:r>
        <w:rPr>
          <w:rFonts w:hint="eastAsia" w:cs="Times New Roman"/>
          <w:color w:val="auto"/>
          <w:sz w:val="24"/>
          <w:szCs w:val="24"/>
          <w:lang w:eastAsia="zh-CN"/>
        </w:rPr>
        <w:t>取水口半径不小于</w:t>
      </w:r>
      <w:r>
        <w:rPr>
          <w:rFonts w:hint="eastAsia" w:cs="Times New Roman"/>
          <w:color w:val="auto"/>
          <w:sz w:val="24"/>
          <w:szCs w:val="24"/>
          <w:lang w:val="en-US" w:eastAsia="zh-CN"/>
        </w:rPr>
        <w:t>200m范围内的区域。</w:t>
      </w:r>
      <w:r>
        <w:rPr>
          <w:rFonts w:hint="default" w:ascii="Times New Roman" w:hAnsi="Times New Roman" w:cs="Times New Roman"/>
          <w:color w:val="auto"/>
          <w:sz w:val="24"/>
          <w:szCs w:val="24"/>
        </w:rPr>
        <w:t>陆域范围为</w:t>
      </w:r>
      <w:r>
        <w:rPr>
          <w:rFonts w:hint="eastAsia" w:cs="Times New Roman"/>
          <w:color w:val="auto"/>
          <w:sz w:val="24"/>
          <w:szCs w:val="24"/>
          <w:lang w:eastAsia="zh-CN"/>
        </w:rPr>
        <w:t>以</w:t>
      </w:r>
      <w:r>
        <w:rPr>
          <w:rFonts w:hint="default" w:ascii="Times New Roman" w:hAnsi="Times New Roman" w:cs="Times New Roman"/>
          <w:color w:val="auto"/>
          <w:sz w:val="24"/>
          <w:szCs w:val="24"/>
          <w:lang w:val="en-US" w:eastAsia="zh-CN"/>
        </w:rPr>
        <w:t>一级保护区水域外不小于200m范围内的陆域</w:t>
      </w:r>
      <w:r>
        <w:rPr>
          <w:rFonts w:hint="default" w:ascii="Times New Roman" w:hAnsi="Times New Roman" w:cs="Times New Roman"/>
          <w:color w:val="auto"/>
          <w:sz w:val="24"/>
          <w:szCs w:val="24"/>
        </w:rPr>
        <w:t>。</w:t>
      </w:r>
    </w:p>
    <w:p>
      <w:pPr>
        <w:autoSpaceDE w:val="0"/>
        <w:autoSpaceDN w:val="0"/>
        <w:adjustRightInd w:val="0"/>
        <w:spacing w:line="360" w:lineRule="auto"/>
        <w:outlineLvl w:val="2"/>
        <w:rPr>
          <w:rFonts w:hint="default" w:ascii="Times New Roman" w:hAnsi="Times New Roman" w:cs="Times New Roman"/>
          <w:b/>
          <w:color w:val="auto"/>
          <w:kern w:val="0"/>
          <w:sz w:val="24"/>
          <w:szCs w:val="24"/>
          <w:lang w:val="zh-CN"/>
        </w:rPr>
      </w:pPr>
      <w:bookmarkStart w:id="197" w:name="_Toc5149"/>
      <w:bookmarkStart w:id="198" w:name="_Toc10419"/>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lang w:val="zh-CN"/>
        </w:rPr>
        <w:t>.2.2 二级保护区划分方案</w:t>
      </w:r>
      <w:bookmarkEnd w:id="197"/>
      <w:bookmarkEnd w:id="198"/>
    </w:p>
    <w:p>
      <w:pPr>
        <w:autoSpaceDE w:val="0"/>
        <w:autoSpaceDN w:val="0"/>
        <w:adjustRightInd w:val="0"/>
        <w:spacing w:line="52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（1）划分依据</w:t>
      </w:r>
    </w:p>
    <w:p>
      <w:pPr>
        <w:autoSpaceDE w:val="0"/>
        <w:autoSpaceDN w:val="0"/>
        <w:adjustRightIn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根据《饮用水水源保护区划分技术规范》（HJ/T338-20</w:t>
      </w:r>
      <w:r>
        <w:rPr>
          <w:rFonts w:hint="eastAsia" w:cs="Times New Roman"/>
          <w:color w:val="auto"/>
          <w:sz w:val="24"/>
          <w:szCs w:val="24"/>
          <w:lang w:val="en-US" w:eastAsia="zh-CN"/>
        </w:rPr>
        <w:t>18</w:t>
      </w:r>
      <w:r>
        <w:rPr>
          <w:rFonts w:hint="default" w:ascii="Times New Roman" w:hAnsi="Times New Roman" w:cs="Times New Roman"/>
          <w:color w:val="auto"/>
          <w:sz w:val="24"/>
          <w:szCs w:val="24"/>
        </w:rPr>
        <w:t>）：</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满足条件的水源地，可采用类比经验法确定二级保护区水域范围。</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小型湖泊、中小型水库一级保护区边界外的水域面积设定为二级保护区。</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大中型湖泊、大型水库以一级保护区外径向距离不小于 2000 m 区域为二级保护区水域面积，但不超过水域范围。</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FF0000"/>
          <w:sz w:val="24"/>
          <w:szCs w:val="24"/>
        </w:rPr>
        <w:t>当面污染源为主要污染源时，二级保护区陆域沿岸纵深范围，主要依据自然地理、环境特征和环境管理的需要，通过分析地形、植被、土地利用、森林开发、流域汇流特性、集水域范围等确定</w:t>
      </w:r>
      <w:r>
        <w:rPr>
          <w:rFonts w:hint="default" w:ascii="Times New Roman" w:hAnsi="Times New Roman" w:cs="Times New Roman"/>
          <w:color w:val="auto"/>
          <w:sz w:val="24"/>
          <w:szCs w:val="24"/>
        </w:rPr>
        <w:t>。</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eastAsia" w:cs="Times New Roman"/>
          <w:color w:val="auto"/>
          <w:sz w:val="24"/>
          <w:szCs w:val="24"/>
          <w:lang w:eastAsia="zh-CN"/>
        </w:rPr>
        <w:t>小型水库可将上游整个流域（一级保护区陆域外区域）设定为二级保护区。</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单一功能的湖泊、水库、小型湖泊和平原型中型水库的二级保护区范围是一级保护区以外水平距离不小于2000 m区域，山区型中型水库二级保护区的范围为水库周边山脊线以内（一级保护区以外）及入库河流上溯不小于 3000 m 的汇水区域。二级保护区陆域边界不超过相应的流域分水岭。</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依据水源地周边污染源的分布和排放特征，选择采用数值模型计算法或应急响应时间法，确定二级保护区水域范围。采用数值模型计算法时，二级保护区的水域范围，应大于主要污染物从现状水质浓度水平衰减到 GB 3838 相关水质标准要求的浓度水平所需的距离。数值模型计算法参见附录 C。所得到的二级保护区范围不得小于类比经验法确定的二级保护区范围，且二级保护区边界控制断面水质不得发生退化。</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采用应急响应时间法时，二级保护区的水域范围，应大于一定响应时间内流程的径向距离。应急响应时间可根据水源地所在地应急能力状况确定，一般不小于2个小时，所得到的二级水源保护区范围不得小于类比经验法确定的范围。</w:t>
      </w:r>
    </w:p>
    <w:p>
      <w:pPr>
        <w:autoSpaceDE w:val="0"/>
        <w:autoSpaceDN w:val="0"/>
        <w:adjustRightInd w:val="0"/>
        <w:spacing w:line="52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（2）划分分析</w:t>
      </w:r>
    </w:p>
    <w:p>
      <w:pPr>
        <w:autoSpaceDE w:val="0"/>
        <w:autoSpaceDN w:val="0"/>
        <w:adjustRightInd w:val="0"/>
        <w:spacing w:line="520" w:lineRule="exact"/>
        <w:ind w:firstLine="480" w:firstLineChars="200"/>
        <w:rPr>
          <w:rFonts w:hint="eastAsia" w:cs="Times New Roman"/>
          <w:color w:val="auto"/>
          <w:sz w:val="24"/>
          <w:szCs w:val="24"/>
          <w:lang w:val="en-US" w:eastAsia="zh-CN"/>
        </w:rPr>
      </w:pPr>
      <w:r>
        <w:rPr>
          <w:rFonts w:hint="eastAsia" w:cs="Times New Roman"/>
          <w:color w:val="auto"/>
          <w:sz w:val="24"/>
          <w:szCs w:val="24"/>
          <w:lang w:eastAsia="zh-CN"/>
        </w:rPr>
        <w:t>老河堰水库水源地现状水质达标，主要污染类型为面源污染，且上游</w:t>
      </w:r>
      <w:r>
        <w:rPr>
          <w:rFonts w:hint="eastAsia" w:cs="Times New Roman"/>
          <w:color w:val="auto"/>
          <w:sz w:val="24"/>
          <w:szCs w:val="24"/>
          <w:lang w:val="en-US" w:eastAsia="zh-CN"/>
        </w:rPr>
        <w:t>24个小时流程时间内无重大风险源，故本次划分可采用类比经验法。采用类比经验法划分保护区后，应定期开展跟踪监测，若发现划分结果不合理。应及时予以调整。</w:t>
      </w:r>
    </w:p>
    <w:p>
      <w:pPr>
        <w:numPr>
          <w:ilvl w:val="0"/>
          <w:numId w:val="6"/>
        </w:numPr>
        <w:autoSpaceDE w:val="0"/>
        <w:autoSpaceDN w:val="0"/>
        <w:adjustRightInd w:val="0"/>
        <w:spacing w:line="520" w:lineRule="exact"/>
        <w:ind w:left="0" w:firstLine="560"/>
        <w:rPr>
          <w:rFonts w:hint="default" w:ascii="Times New Roman" w:hAnsi="Times New Roman" w:cs="Times New Roman"/>
          <w:color w:val="auto"/>
          <w:sz w:val="24"/>
          <w:szCs w:val="24"/>
        </w:rPr>
      </w:pPr>
      <w:r>
        <w:rPr>
          <w:rFonts w:hint="eastAsia" w:cs="Times New Roman"/>
          <w:color w:val="auto"/>
          <w:sz w:val="24"/>
          <w:szCs w:val="24"/>
          <w:lang w:eastAsia="zh-CN"/>
        </w:rPr>
        <w:t>根据</w:t>
      </w:r>
      <w:r>
        <w:rPr>
          <w:rFonts w:hint="default" w:ascii="Times New Roman" w:hAnsi="Times New Roman" w:cs="Times New Roman"/>
          <w:color w:val="auto"/>
          <w:sz w:val="24"/>
          <w:szCs w:val="24"/>
        </w:rPr>
        <w:t>《饮用水水源保护区划分技术规范》（HJ/T338-20</w:t>
      </w:r>
      <w:r>
        <w:rPr>
          <w:rFonts w:hint="eastAsia" w:cs="Times New Roman"/>
          <w:color w:val="auto"/>
          <w:sz w:val="24"/>
          <w:szCs w:val="24"/>
          <w:lang w:val="en-US" w:eastAsia="zh-CN"/>
        </w:rPr>
        <w:t>18</w:t>
      </w:r>
      <w:r>
        <w:rPr>
          <w:rFonts w:hint="default" w:ascii="Times New Roman" w:hAnsi="Times New Roman" w:cs="Times New Roman"/>
          <w:color w:val="auto"/>
          <w:sz w:val="24"/>
          <w:szCs w:val="24"/>
        </w:rPr>
        <w:t>）</w:t>
      </w:r>
      <w:r>
        <w:rPr>
          <w:rFonts w:hint="eastAsia" w:cs="Times New Roman"/>
          <w:color w:val="auto"/>
          <w:sz w:val="24"/>
          <w:szCs w:val="24"/>
          <w:lang w:eastAsia="zh-CN"/>
        </w:rPr>
        <w:t>，</w:t>
      </w:r>
      <w:r>
        <w:rPr>
          <w:rFonts w:hint="default" w:ascii="Times New Roman" w:hAnsi="Times New Roman" w:cs="Times New Roman"/>
          <w:color w:val="auto"/>
          <w:sz w:val="24"/>
          <w:szCs w:val="24"/>
        </w:rPr>
        <w:t>单一功能的湖泊、水库、小型湖泊和平原型中型水库的二级保护区范围是一级保护区以外水平距离不小于2000 m区域，山区型中型水库二级保护区的范围为水库周边山脊线以内（一级保护区以外）及入库河流上溯不小于 3000 m 的汇水区域。二级保护区陆域边界不超过相应的流域分水岭。</w:t>
      </w:r>
    </w:p>
    <w:p>
      <w:pPr>
        <w:autoSpaceDE w:val="0"/>
        <w:autoSpaceDN w:val="0"/>
        <w:adjustRightInd w:val="0"/>
        <w:spacing w:line="520" w:lineRule="exact"/>
        <w:ind w:firstLine="482" w:firstLineChars="200"/>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（3）划分方案</w:t>
      </w:r>
    </w:p>
    <w:p>
      <w:pPr>
        <w:autoSpaceDE w:val="0"/>
        <w:autoSpaceDN w:val="0"/>
        <w:adjustRightInd w:val="0"/>
        <w:spacing w:line="52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综合以上分析，</w:t>
      </w:r>
      <w:r>
        <w:rPr>
          <w:rFonts w:hint="eastAsia" w:cs="Times New Roman"/>
          <w:color w:val="auto"/>
          <w:sz w:val="24"/>
          <w:szCs w:val="24"/>
          <w:lang w:eastAsia="zh-CN"/>
        </w:rPr>
        <w:t>老河堰</w:t>
      </w:r>
      <w:r>
        <w:rPr>
          <w:rFonts w:hint="default" w:ascii="Times New Roman" w:hAnsi="Times New Roman" w:cs="Times New Roman"/>
          <w:color w:val="auto"/>
          <w:sz w:val="24"/>
          <w:szCs w:val="24"/>
          <w:lang w:eastAsia="zh-CN"/>
        </w:rPr>
        <w:t>水库</w:t>
      </w:r>
      <w:r>
        <w:rPr>
          <w:rFonts w:hint="eastAsia" w:cs="Times New Roman"/>
          <w:color w:val="auto"/>
          <w:sz w:val="24"/>
          <w:szCs w:val="24"/>
          <w:lang w:eastAsia="zh-CN"/>
        </w:rPr>
        <w:t>的二级保护区水域范围，老河堰周边山脊线以内为二级保护区陆域面积。</w:t>
      </w:r>
    </w:p>
    <w:p>
      <w:pPr>
        <w:pStyle w:val="3"/>
        <w:pageBreakBefore w:val="0"/>
        <w:kinsoku/>
        <w:wordWrap/>
        <w:overflowPunct/>
        <w:topLinePunct w:val="0"/>
        <w:autoSpaceDE/>
        <w:autoSpaceDN/>
        <w:bidi w:val="0"/>
        <w:adjustRightInd/>
        <w:snapToGrid/>
        <w:spacing w:before="0" w:beforeAutospacing="0" w:after="0" w:afterAutospacing="0" w:line="360" w:lineRule="auto"/>
        <w:ind w:left="0" w:leftChars="0" w:right="0" w:rightChars="0"/>
        <w:jc w:val="left"/>
        <w:textAlignment w:val="auto"/>
        <w:rPr>
          <w:rFonts w:hint="default" w:ascii="Times New Roman" w:hAnsi="Times New Roman" w:cs="Times New Roman"/>
          <w:b/>
          <w:bCs/>
          <w:color w:val="auto"/>
        </w:rPr>
      </w:pPr>
      <w:bookmarkStart w:id="199" w:name="_Toc10233"/>
      <w:bookmarkStart w:id="200" w:name="_Toc492740619"/>
      <w:r>
        <w:rPr>
          <w:rFonts w:hint="eastAsia" w:ascii="Times New Roman" w:hAnsi="Times New Roman" w:cs="Times New Roman"/>
          <w:b/>
          <w:bCs/>
          <w:color w:val="auto"/>
          <w:lang w:val="en-US" w:eastAsia="zh-CN"/>
        </w:rPr>
        <w:t>5</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饮用水源保护区最终定界</w:t>
      </w:r>
      <w:bookmarkEnd w:id="199"/>
      <w:bookmarkEnd w:id="200"/>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根据《规划》，结合水源保护区的地形、地标、地物特点，最终确定各级保护区的界线。</w:t>
      </w:r>
      <w:r>
        <w:rPr>
          <w:rFonts w:hint="eastAsia" w:cs="Times New Roman"/>
          <w:color w:val="auto"/>
          <w:highlight w:val="none"/>
          <w:lang w:eastAsia="zh-CN"/>
        </w:rPr>
        <w:t>取水口位于老河堰水库西南侧东经</w:t>
      </w:r>
      <w:r>
        <w:rPr>
          <w:rFonts w:hint="eastAsia" w:cs="Times New Roman"/>
          <w:color w:val="auto"/>
          <w:highlight w:val="none"/>
          <w:lang w:val="en-US" w:eastAsia="zh-CN"/>
        </w:rPr>
        <w:t>107.907709（107°54′27.75″），纬度31.15595（31°09′21.42″）。</w:t>
      </w:r>
    </w:p>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b/>
          <w:color w:val="auto"/>
          <w:kern w:val="0"/>
          <w:sz w:val="24"/>
          <w:szCs w:val="24"/>
          <w:lang w:val="zh-CN"/>
        </w:rPr>
      </w:pPr>
      <w:r>
        <w:rPr>
          <w:rFonts w:hint="eastAsia" w:cs="Times New Roman"/>
          <w:b/>
          <w:color w:val="auto"/>
          <w:kern w:val="0"/>
          <w:sz w:val="24"/>
          <w:szCs w:val="24"/>
          <w:lang w:val="en-US" w:eastAsia="zh-CN"/>
        </w:rPr>
        <w:t>5</w:t>
      </w:r>
      <w:r>
        <w:rPr>
          <w:rFonts w:hint="default" w:ascii="Times New Roman" w:hAnsi="Times New Roman" w:cs="Times New Roman"/>
          <w:b/>
          <w:color w:val="auto"/>
          <w:kern w:val="0"/>
          <w:sz w:val="24"/>
          <w:szCs w:val="24"/>
          <w:lang w:val="zh-CN"/>
        </w:rPr>
        <w:t>.</w:t>
      </w:r>
      <w:r>
        <w:rPr>
          <w:rFonts w:hint="default" w:ascii="Times New Roman" w:hAnsi="Times New Roman" w:cs="Times New Roman"/>
          <w:b/>
          <w:color w:val="auto"/>
          <w:kern w:val="0"/>
          <w:sz w:val="24"/>
          <w:szCs w:val="24"/>
          <w:lang w:val="en-US" w:eastAsia="zh-CN"/>
        </w:rPr>
        <w:t>3</w:t>
      </w:r>
      <w:r>
        <w:rPr>
          <w:rFonts w:hint="default" w:ascii="Times New Roman" w:hAnsi="Times New Roman" w:cs="Times New Roman"/>
          <w:b/>
          <w:color w:val="auto"/>
          <w:kern w:val="0"/>
          <w:sz w:val="24"/>
          <w:szCs w:val="24"/>
          <w:lang w:val="zh-CN"/>
        </w:rPr>
        <w:t>.1保护区划定结果</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color w:val="auto"/>
          <w:sz w:val="22"/>
          <w:szCs w:val="20"/>
        </w:rPr>
      </w:pPr>
      <w:r>
        <w:rPr>
          <w:rFonts w:hint="default" w:ascii="Times New Roman" w:hAnsi="Times New Roman" w:cs="Times New Roman"/>
          <w:b/>
          <w:color w:val="auto"/>
          <w:sz w:val="22"/>
          <w:szCs w:val="20"/>
        </w:rPr>
        <w:t>表</w:t>
      </w:r>
      <w:r>
        <w:rPr>
          <w:rFonts w:hint="eastAsia" w:cs="Times New Roman"/>
          <w:b/>
          <w:color w:val="auto"/>
          <w:sz w:val="22"/>
          <w:szCs w:val="20"/>
          <w:lang w:eastAsia="zh-CN"/>
        </w:rPr>
        <w:t>5-</w:t>
      </w:r>
      <w:r>
        <w:rPr>
          <w:rFonts w:hint="default" w:ascii="Times New Roman" w:hAnsi="Times New Roman" w:cs="Times New Roman"/>
          <w:b/>
          <w:color w:val="auto"/>
          <w:sz w:val="22"/>
          <w:szCs w:val="20"/>
        </w:rPr>
        <w:t>1</w:t>
      </w:r>
      <w:r>
        <w:rPr>
          <w:rFonts w:hint="default" w:ascii="Times New Roman" w:hAnsi="Times New Roman" w:cs="Times New Roman"/>
          <w:b/>
          <w:bCs/>
          <w:color w:val="auto"/>
          <w:sz w:val="21"/>
          <w:szCs w:val="21"/>
          <w:lang w:eastAsia="zh-CN"/>
        </w:rPr>
        <w:t>开江县</w:t>
      </w:r>
      <w:r>
        <w:rPr>
          <w:rFonts w:hint="eastAsia" w:cs="Times New Roman"/>
          <w:b/>
          <w:bCs/>
          <w:color w:val="auto"/>
          <w:sz w:val="21"/>
          <w:szCs w:val="21"/>
          <w:lang w:eastAsia="zh-CN"/>
        </w:rPr>
        <w:t>老河堰</w:t>
      </w:r>
      <w:r>
        <w:rPr>
          <w:rFonts w:hint="default" w:ascii="Times New Roman" w:hAnsi="Times New Roman" w:cs="Times New Roman"/>
          <w:b/>
          <w:bCs/>
          <w:color w:val="auto"/>
          <w:sz w:val="21"/>
          <w:szCs w:val="21"/>
          <w:lang w:eastAsia="zh-CN"/>
        </w:rPr>
        <w:t>水库</w:t>
      </w:r>
      <w:r>
        <w:rPr>
          <w:rFonts w:hint="eastAsia" w:cs="Times New Roman"/>
          <w:b/>
          <w:bCs/>
          <w:color w:val="auto"/>
          <w:sz w:val="21"/>
          <w:szCs w:val="21"/>
          <w:lang w:eastAsia="zh-CN"/>
        </w:rPr>
        <w:t>水库型</w:t>
      </w:r>
      <w:r>
        <w:rPr>
          <w:rFonts w:hint="default" w:ascii="Times New Roman" w:hAnsi="Times New Roman" w:cs="Times New Roman"/>
          <w:b/>
          <w:color w:val="auto"/>
          <w:sz w:val="22"/>
          <w:szCs w:val="20"/>
        </w:rPr>
        <w:t>饮用水水源保护区划分方案表</w:t>
      </w:r>
    </w:p>
    <w:tbl>
      <w:tblPr>
        <w:tblStyle w:val="16"/>
        <w:tblW w:w="8470" w:type="dxa"/>
        <w:jc w:val="center"/>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
      <w:tblGrid>
        <w:gridCol w:w="401"/>
        <w:gridCol w:w="853"/>
        <w:gridCol w:w="821"/>
        <w:gridCol w:w="1517"/>
        <w:gridCol w:w="1783"/>
        <w:gridCol w:w="1579"/>
        <w:gridCol w:w="151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27" w:hRule="atLeast"/>
          <w:tblHeader/>
          <w:jc w:val="center"/>
        </w:trPr>
        <w:tc>
          <w:tcPr>
            <w:tcW w:w="401" w:type="dxa"/>
            <w:vMerge w:val="restart"/>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序号</w:t>
            </w:r>
          </w:p>
        </w:tc>
        <w:tc>
          <w:tcPr>
            <w:tcW w:w="853" w:type="dxa"/>
            <w:vMerge w:val="restart"/>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名称</w:t>
            </w:r>
          </w:p>
        </w:tc>
        <w:tc>
          <w:tcPr>
            <w:tcW w:w="821" w:type="dxa"/>
            <w:vMerge w:val="restart"/>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取水口</w:t>
            </w:r>
          </w:p>
        </w:tc>
        <w:tc>
          <w:tcPr>
            <w:tcW w:w="3300" w:type="dxa"/>
            <w:gridSpan w:val="2"/>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一级保护区</w:t>
            </w:r>
          </w:p>
        </w:tc>
        <w:tc>
          <w:tcPr>
            <w:tcW w:w="3095" w:type="dxa"/>
            <w:gridSpan w:val="2"/>
            <w:vAlign w:val="center"/>
          </w:tcPr>
          <w:p>
            <w:pPr>
              <w:pStyle w:val="22"/>
              <w:rPr>
                <w:rFonts w:hint="eastAsia" w:ascii="Times New Roman" w:hAnsi="Times New Roman" w:cs="Times New Roman" w:eastAsiaTheme="minorEastAsia"/>
                <w:b/>
                <w:color w:val="auto"/>
                <w:sz w:val="21"/>
                <w:szCs w:val="21"/>
                <w:lang w:eastAsia="zh-CN"/>
              </w:rPr>
            </w:pPr>
            <w:r>
              <w:rPr>
                <w:rFonts w:hint="eastAsia" w:cs="Times New Roman" w:eastAsiaTheme="minorEastAsia"/>
                <w:b/>
                <w:color w:val="auto"/>
                <w:sz w:val="21"/>
                <w:szCs w:val="21"/>
                <w:lang w:eastAsia="zh-CN"/>
              </w:rPr>
              <w:t>二级保护区</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85" w:hRule="atLeast"/>
          <w:tblHeader/>
          <w:jc w:val="center"/>
        </w:trPr>
        <w:tc>
          <w:tcPr>
            <w:tcW w:w="401" w:type="dxa"/>
            <w:vMerge w:val="continue"/>
            <w:vAlign w:val="center"/>
          </w:tcPr>
          <w:p>
            <w:pPr>
              <w:pStyle w:val="22"/>
              <w:rPr>
                <w:rFonts w:hint="default" w:ascii="Times New Roman" w:hAnsi="Times New Roman" w:cs="Times New Roman" w:eastAsiaTheme="minorEastAsia"/>
                <w:b/>
                <w:color w:val="auto"/>
                <w:sz w:val="21"/>
                <w:szCs w:val="21"/>
              </w:rPr>
            </w:pPr>
          </w:p>
        </w:tc>
        <w:tc>
          <w:tcPr>
            <w:tcW w:w="853" w:type="dxa"/>
            <w:vMerge w:val="continue"/>
            <w:vAlign w:val="center"/>
          </w:tcPr>
          <w:p>
            <w:pPr>
              <w:pStyle w:val="22"/>
              <w:rPr>
                <w:rFonts w:hint="default" w:ascii="Times New Roman" w:hAnsi="Times New Roman" w:cs="Times New Roman" w:eastAsiaTheme="minorEastAsia"/>
                <w:b/>
                <w:color w:val="auto"/>
                <w:sz w:val="21"/>
                <w:szCs w:val="21"/>
              </w:rPr>
            </w:pPr>
          </w:p>
        </w:tc>
        <w:tc>
          <w:tcPr>
            <w:tcW w:w="821" w:type="dxa"/>
            <w:vMerge w:val="continue"/>
            <w:vAlign w:val="center"/>
          </w:tcPr>
          <w:p>
            <w:pPr>
              <w:pStyle w:val="22"/>
              <w:rPr>
                <w:rFonts w:hint="default" w:ascii="Times New Roman" w:hAnsi="Times New Roman" w:cs="Times New Roman" w:eastAsiaTheme="minorEastAsia"/>
                <w:b/>
                <w:color w:val="auto"/>
                <w:sz w:val="21"/>
                <w:szCs w:val="21"/>
              </w:rPr>
            </w:pPr>
          </w:p>
        </w:tc>
        <w:tc>
          <w:tcPr>
            <w:tcW w:w="1517" w:type="dxa"/>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水域</w:t>
            </w:r>
          </w:p>
        </w:tc>
        <w:tc>
          <w:tcPr>
            <w:tcW w:w="1783" w:type="dxa"/>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陆域</w:t>
            </w:r>
          </w:p>
        </w:tc>
        <w:tc>
          <w:tcPr>
            <w:tcW w:w="1579" w:type="dxa"/>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水域</w:t>
            </w:r>
          </w:p>
        </w:tc>
        <w:tc>
          <w:tcPr>
            <w:tcW w:w="1516" w:type="dxa"/>
            <w:vAlign w:val="center"/>
          </w:tcPr>
          <w:p>
            <w:pPr>
              <w:pStyle w:val="22"/>
              <w:rPr>
                <w:rFonts w:hint="default" w:ascii="Times New Roman" w:hAnsi="Times New Roman" w:cs="Times New Roman" w:eastAsiaTheme="minorEastAsia"/>
                <w:b/>
                <w:color w:val="auto"/>
                <w:sz w:val="21"/>
                <w:szCs w:val="21"/>
              </w:rPr>
            </w:pPr>
            <w:r>
              <w:rPr>
                <w:rFonts w:hint="default" w:ascii="Times New Roman" w:hAnsi="Times New Roman" w:cs="Times New Roman" w:eastAsiaTheme="minorEastAsia"/>
                <w:b/>
                <w:color w:val="auto"/>
                <w:sz w:val="21"/>
                <w:szCs w:val="21"/>
              </w:rPr>
              <w:t>陆域</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85" w:type="dxa"/>
            <w:bottom w:w="0" w:type="dxa"/>
            <w:right w:w="85" w:type="dxa"/>
          </w:tblCellMar>
        </w:tblPrEx>
        <w:trPr>
          <w:trHeight w:val="227" w:hRule="atLeast"/>
          <w:jc w:val="center"/>
        </w:trPr>
        <w:tc>
          <w:tcPr>
            <w:tcW w:w="401"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rPr>
              <w:t>1</w:t>
            </w:r>
          </w:p>
        </w:tc>
        <w:tc>
          <w:tcPr>
            <w:tcW w:w="853" w:type="dxa"/>
            <w:vAlign w:val="center"/>
          </w:tcPr>
          <w:p>
            <w:pPr>
              <w:pStyle w:val="22"/>
              <w:rPr>
                <w:rFonts w:hint="default" w:ascii="Times New Roman" w:hAnsi="Times New Roman" w:cs="Times New Roman" w:eastAsiaTheme="minorEastAsia"/>
                <w:b w:val="0"/>
                <w:bCs w:val="0"/>
                <w:color w:val="auto"/>
                <w:sz w:val="21"/>
                <w:szCs w:val="21"/>
              </w:rPr>
            </w:pPr>
            <w:r>
              <w:rPr>
                <w:rFonts w:hint="default" w:ascii="Times New Roman" w:hAnsi="Times New Roman" w:cs="Times New Roman" w:eastAsiaTheme="minorEastAsia"/>
                <w:b w:val="0"/>
                <w:bCs w:val="0"/>
                <w:color w:val="auto"/>
                <w:sz w:val="21"/>
                <w:szCs w:val="21"/>
                <w:lang w:eastAsia="zh-CN"/>
              </w:rPr>
              <w:t>开江县</w:t>
            </w:r>
            <w:r>
              <w:rPr>
                <w:rFonts w:hint="eastAsia" w:cs="Times New Roman" w:eastAsiaTheme="minorEastAsia"/>
                <w:b w:val="0"/>
                <w:bCs w:val="0"/>
                <w:color w:val="auto"/>
                <w:sz w:val="21"/>
                <w:szCs w:val="21"/>
                <w:lang w:eastAsia="zh-CN"/>
              </w:rPr>
              <w:t>老河堰</w:t>
            </w:r>
            <w:r>
              <w:rPr>
                <w:rFonts w:hint="default" w:ascii="Times New Roman" w:hAnsi="Times New Roman" w:cs="Times New Roman" w:eastAsiaTheme="minorEastAsia"/>
                <w:b w:val="0"/>
                <w:bCs w:val="0"/>
                <w:color w:val="auto"/>
                <w:sz w:val="21"/>
                <w:szCs w:val="21"/>
                <w:lang w:eastAsia="zh-CN"/>
              </w:rPr>
              <w:t>水库</w:t>
            </w:r>
            <w:r>
              <w:rPr>
                <w:rFonts w:hint="default" w:ascii="Times New Roman" w:hAnsi="Times New Roman" w:cs="Times New Roman" w:eastAsiaTheme="minorEastAsia"/>
                <w:b w:val="0"/>
                <w:bCs w:val="0"/>
                <w:color w:val="auto"/>
                <w:sz w:val="21"/>
                <w:szCs w:val="21"/>
              </w:rPr>
              <w:t>水源地</w:t>
            </w:r>
          </w:p>
        </w:tc>
        <w:tc>
          <w:tcPr>
            <w:tcW w:w="821" w:type="dxa"/>
            <w:vAlign w:val="center"/>
          </w:tcPr>
          <w:p>
            <w:pPr>
              <w:pStyle w:val="22"/>
              <w:rPr>
                <w:rFonts w:hint="default" w:ascii="Times New Roman" w:hAnsi="Times New Roman" w:cs="Times New Roman" w:eastAsiaTheme="minorEastAsia"/>
                <w:color w:val="000000"/>
                <w:kern w:val="0"/>
                <w:sz w:val="21"/>
                <w:szCs w:val="21"/>
                <w:lang w:val="en-US" w:eastAsia="zh-CN" w:bidi="ar-SA"/>
              </w:rPr>
            </w:pPr>
            <w:r>
              <w:rPr>
                <w:rFonts w:hint="default" w:ascii="Times New Roman" w:hAnsi="Times New Roman" w:cs="Times New Roman" w:eastAsiaTheme="minorEastAsia"/>
                <w:color w:val="000000"/>
                <w:kern w:val="0"/>
                <w:sz w:val="21"/>
                <w:szCs w:val="21"/>
                <w:lang w:val="en-US" w:eastAsia="zh-CN" w:bidi="ar-SA"/>
              </w:rPr>
              <w:t>E107°54′27.75″</w:t>
            </w:r>
          </w:p>
          <w:p>
            <w:pPr>
              <w:pStyle w:val="22"/>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000000"/>
                <w:kern w:val="0"/>
                <w:sz w:val="21"/>
                <w:szCs w:val="21"/>
                <w:lang w:val="en-US" w:eastAsia="zh-CN" w:bidi="ar-SA"/>
              </w:rPr>
              <w:t>N31°09′21.42″</w:t>
            </w:r>
          </w:p>
        </w:tc>
        <w:tc>
          <w:tcPr>
            <w:tcW w:w="1517" w:type="dxa"/>
            <w:vAlign w:val="top"/>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开江县</w:t>
            </w:r>
            <w:r>
              <w:rPr>
                <w:rFonts w:hint="eastAsia" w:cs="Times New Roman" w:eastAsiaTheme="minorEastAsia"/>
                <w:b w:val="0"/>
                <w:bCs w:val="0"/>
                <w:color w:val="auto"/>
                <w:sz w:val="21"/>
                <w:szCs w:val="21"/>
                <w:lang w:eastAsia="zh-CN"/>
              </w:rPr>
              <w:t>老河堰</w:t>
            </w:r>
            <w:r>
              <w:rPr>
                <w:rFonts w:hint="default" w:ascii="Times New Roman" w:hAnsi="Times New Roman" w:cs="Times New Roman" w:eastAsiaTheme="minorEastAsia"/>
                <w:b w:val="0"/>
                <w:bCs w:val="0"/>
                <w:color w:val="auto"/>
                <w:sz w:val="21"/>
                <w:szCs w:val="21"/>
                <w:lang w:eastAsia="zh-CN"/>
              </w:rPr>
              <w:t>水库水源地取水口半径不小于</w:t>
            </w:r>
            <w:r>
              <w:rPr>
                <w:rFonts w:hint="eastAsia" w:cs="Times New Roman" w:eastAsiaTheme="minorEastAsia"/>
                <w:b w:val="0"/>
                <w:bCs w:val="0"/>
                <w:color w:val="auto"/>
                <w:sz w:val="21"/>
                <w:szCs w:val="21"/>
                <w:lang w:val="en-US" w:eastAsia="zh-CN"/>
              </w:rPr>
              <w:t>200</w:t>
            </w:r>
            <w:r>
              <w:rPr>
                <w:rFonts w:hint="default" w:ascii="Times New Roman" w:hAnsi="Times New Roman" w:cs="Times New Roman" w:eastAsiaTheme="minorEastAsia"/>
                <w:b w:val="0"/>
                <w:bCs w:val="0"/>
                <w:color w:val="auto"/>
                <w:sz w:val="21"/>
                <w:szCs w:val="21"/>
                <w:lang w:val="en-US" w:eastAsia="zh-CN"/>
              </w:rPr>
              <w:t>m范围内的区域</w:t>
            </w:r>
          </w:p>
        </w:tc>
        <w:tc>
          <w:tcPr>
            <w:tcW w:w="1783" w:type="dxa"/>
            <w:vAlign w:val="top"/>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val="en-US" w:eastAsia="zh-CN"/>
              </w:rPr>
              <w:t>一级保护区水域外不小于200m范围内的陆域</w:t>
            </w:r>
          </w:p>
        </w:tc>
        <w:tc>
          <w:tcPr>
            <w:tcW w:w="1579" w:type="dxa"/>
            <w:vAlign w:val="top"/>
          </w:tcPr>
          <w:p>
            <w:pPr>
              <w:pStyle w:val="22"/>
              <w:rPr>
                <w:rFonts w:hint="default" w:ascii="Times New Roman" w:hAnsi="Times New Roman" w:cs="Times New Roman" w:eastAsiaTheme="minorEastAsia"/>
                <w:b w:val="0"/>
                <w:bCs w:val="0"/>
                <w:color w:val="auto"/>
                <w:sz w:val="21"/>
                <w:szCs w:val="21"/>
                <w:lang w:eastAsia="zh-CN"/>
              </w:rPr>
            </w:pPr>
            <w:r>
              <w:rPr>
                <w:rFonts w:hint="default" w:ascii="Times New Roman" w:hAnsi="Times New Roman" w:cs="Times New Roman" w:eastAsiaTheme="minorEastAsia"/>
                <w:b w:val="0"/>
                <w:bCs w:val="0"/>
                <w:color w:val="auto"/>
                <w:sz w:val="21"/>
                <w:szCs w:val="21"/>
                <w:lang w:eastAsia="zh-CN"/>
              </w:rPr>
              <w:t>一级保护区边界外的水域面积设定为二级保护区。</w:t>
            </w:r>
          </w:p>
        </w:tc>
        <w:tc>
          <w:tcPr>
            <w:tcW w:w="1516" w:type="dxa"/>
            <w:vAlign w:val="top"/>
          </w:tcPr>
          <w:p>
            <w:pPr>
              <w:pStyle w:val="22"/>
              <w:rPr>
                <w:rFonts w:hint="default" w:ascii="Times New Roman" w:hAnsi="Times New Roman" w:cs="Times New Roman" w:eastAsiaTheme="minorEastAsia"/>
                <w:b w:val="0"/>
                <w:bCs w:val="0"/>
                <w:color w:val="auto"/>
                <w:sz w:val="21"/>
                <w:szCs w:val="21"/>
                <w:lang w:eastAsia="zh-CN"/>
              </w:rPr>
            </w:pPr>
            <w:r>
              <w:rPr>
                <w:rFonts w:hint="eastAsia" w:cs="Times New Roman" w:eastAsiaTheme="minorEastAsia"/>
                <w:b w:val="0"/>
                <w:bCs w:val="0"/>
                <w:color w:val="auto"/>
                <w:sz w:val="21"/>
                <w:szCs w:val="21"/>
                <w:lang w:eastAsia="zh-CN"/>
              </w:rPr>
              <w:t>老河堰周边山脊线以内</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ascii="Times New Roman" w:hAnsi="Times New Roman" w:cs="Times New Roman"/>
          <w:color w:val="auto"/>
        </w:rPr>
      </w:pPr>
      <w:r>
        <w:drawing>
          <wp:inline distT="0" distB="0" distL="114300" distR="114300">
            <wp:extent cx="5269865" cy="3977005"/>
            <wp:effectExtent l="0" t="0" r="6985" b="4445"/>
            <wp:docPr id="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pic:cNvPicPr>
                      <a:picLocks noChangeAspect="1"/>
                    </pic:cNvPicPr>
                  </pic:nvPicPr>
                  <pic:blipFill>
                    <a:blip r:embed="rId23"/>
                    <a:stretch>
                      <a:fillRect/>
                    </a:stretch>
                  </pic:blipFill>
                  <pic:spPr>
                    <a:xfrm>
                      <a:off x="0" y="0"/>
                      <a:ext cx="5269865" cy="3977005"/>
                    </a:xfrm>
                    <a:prstGeom prst="rect">
                      <a:avLst/>
                    </a:prstGeom>
                    <a:noFill/>
                    <a:ln w="9525">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图</w:t>
      </w:r>
      <w:r>
        <w:rPr>
          <w:rFonts w:hint="eastAsia" w:cs="Times New Roman"/>
          <w:b/>
          <w:bCs w:val="0"/>
          <w:color w:val="auto"/>
          <w:sz w:val="21"/>
          <w:szCs w:val="21"/>
          <w:lang w:eastAsia="zh-CN"/>
        </w:rPr>
        <w:t>5-</w:t>
      </w:r>
      <w:r>
        <w:rPr>
          <w:rFonts w:hint="default" w:ascii="Times New Roman" w:hAnsi="Times New Roman" w:cs="Times New Roman"/>
          <w:b/>
          <w:bCs w:val="0"/>
          <w:color w:val="auto"/>
          <w:sz w:val="21"/>
          <w:szCs w:val="21"/>
        </w:rPr>
        <w:t>1</w:t>
      </w:r>
      <w:r>
        <w:rPr>
          <w:rFonts w:hint="default" w:ascii="Times New Roman" w:hAnsi="Times New Roman" w:cs="Times New Roman"/>
          <w:b/>
          <w:bCs w:val="0"/>
          <w:color w:val="auto"/>
          <w:sz w:val="21"/>
          <w:szCs w:val="21"/>
          <w:lang w:val="en-US" w:eastAsia="zh-CN"/>
        </w:rPr>
        <w:t xml:space="preserve"> 开江县</w:t>
      </w:r>
      <w:r>
        <w:rPr>
          <w:rFonts w:hint="eastAsia" w:eastAsia="宋体" w:cs="Times New Roman"/>
          <w:b/>
          <w:bCs w:val="0"/>
          <w:color w:val="auto"/>
          <w:sz w:val="21"/>
          <w:szCs w:val="21"/>
          <w:lang w:eastAsia="zh-CN"/>
        </w:rPr>
        <w:t>老河堰</w:t>
      </w:r>
      <w:r>
        <w:rPr>
          <w:rFonts w:hint="default" w:ascii="Times New Roman" w:hAnsi="Times New Roman" w:eastAsia="宋体" w:cs="Times New Roman"/>
          <w:b/>
          <w:bCs w:val="0"/>
          <w:color w:val="auto"/>
          <w:sz w:val="21"/>
          <w:szCs w:val="21"/>
          <w:lang w:eastAsia="zh-CN"/>
        </w:rPr>
        <w:t>水库</w:t>
      </w:r>
      <w:r>
        <w:rPr>
          <w:rFonts w:hint="default" w:ascii="Times New Roman" w:hAnsi="Times New Roman" w:cs="Times New Roman"/>
          <w:b/>
          <w:bCs w:val="0"/>
          <w:color w:val="auto"/>
          <w:sz w:val="21"/>
          <w:szCs w:val="21"/>
        </w:rPr>
        <w:t>饮用水水源一级保护区定界</w:t>
      </w:r>
    </w:p>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default" w:ascii="Times New Roman" w:hAnsi="Times New Roman" w:cs="Times New Roman"/>
          <w:color w:val="auto"/>
        </w:rPr>
      </w:pPr>
      <w:r>
        <w:drawing>
          <wp:inline distT="0" distB="0" distL="114300" distR="114300">
            <wp:extent cx="5266690" cy="4726305"/>
            <wp:effectExtent l="0" t="0" r="10160" b="17145"/>
            <wp:docPr id="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pic:cNvPicPr>
                      <a:picLocks noChangeAspect="1"/>
                    </pic:cNvPicPr>
                  </pic:nvPicPr>
                  <pic:blipFill>
                    <a:blip r:embed="rId24"/>
                    <a:stretch>
                      <a:fillRect/>
                    </a:stretch>
                  </pic:blipFill>
                  <pic:spPr>
                    <a:xfrm>
                      <a:off x="0" y="0"/>
                      <a:ext cx="5266690" cy="4726305"/>
                    </a:xfrm>
                    <a:prstGeom prst="rect">
                      <a:avLst/>
                    </a:prstGeom>
                    <a:noFill/>
                    <a:ln w="9525">
                      <a:noFill/>
                    </a:ln>
                  </pic:spPr>
                </pic:pic>
              </a:graphicData>
            </a:graphic>
          </wp:inline>
        </w:drawing>
      </w:r>
    </w:p>
    <w:p>
      <w:pPr>
        <w:autoSpaceDE w:val="0"/>
        <w:autoSpaceDN w:val="0"/>
        <w:adjustRightInd w:val="0"/>
        <w:jc w:val="center"/>
        <w:rPr>
          <w:rFonts w:hint="default" w:ascii="Times New Roman" w:hAnsi="Times New Roman" w:cs="Times New Roman"/>
          <w:b/>
          <w:bCs w:val="0"/>
          <w:color w:val="auto"/>
          <w:sz w:val="21"/>
          <w:szCs w:val="21"/>
        </w:rPr>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32" w:charSpace="0"/>
        </w:sectPr>
      </w:pPr>
      <w:r>
        <w:rPr>
          <w:rFonts w:hint="default" w:ascii="Times New Roman" w:hAnsi="Times New Roman" w:cs="Times New Roman"/>
          <w:b/>
          <w:bCs w:val="0"/>
          <w:color w:val="auto"/>
          <w:sz w:val="21"/>
          <w:szCs w:val="21"/>
        </w:rPr>
        <w:t>图</w:t>
      </w:r>
      <w:r>
        <w:rPr>
          <w:rFonts w:hint="eastAsia" w:cs="Times New Roman"/>
          <w:b/>
          <w:bCs w:val="0"/>
          <w:color w:val="auto"/>
          <w:sz w:val="21"/>
          <w:szCs w:val="21"/>
          <w:lang w:eastAsia="zh-CN"/>
        </w:rPr>
        <w:t>5-</w:t>
      </w:r>
      <w:r>
        <w:rPr>
          <w:rFonts w:hint="default" w:ascii="Times New Roman" w:hAnsi="Times New Roman" w:cs="Times New Roman"/>
          <w:b/>
          <w:bCs w:val="0"/>
          <w:color w:val="auto"/>
          <w:sz w:val="21"/>
          <w:szCs w:val="21"/>
          <w:lang w:val="en-US" w:eastAsia="zh-CN"/>
        </w:rPr>
        <w:t>2 开江县</w:t>
      </w:r>
      <w:r>
        <w:rPr>
          <w:rFonts w:hint="eastAsia" w:eastAsia="宋体" w:cs="Times New Roman"/>
          <w:b/>
          <w:bCs w:val="0"/>
          <w:color w:val="auto"/>
          <w:sz w:val="21"/>
          <w:szCs w:val="21"/>
          <w:lang w:eastAsia="zh-CN"/>
        </w:rPr>
        <w:t>老河堰</w:t>
      </w:r>
      <w:r>
        <w:rPr>
          <w:rFonts w:hint="default" w:ascii="Times New Roman" w:hAnsi="Times New Roman" w:eastAsia="宋体" w:cs="Times New Roman"/>
          <w:b/>
          <w:bCs w:val="0"/>
          <w:color w:val="auto"/>
          <w:sz w:val="21"/>
          <w:szCs w:val="21"/>
          <w:lang w:eastAsia="zh-CN"/>
        </w:rPr>
        <w:t>水库</w:t>
      </w:r>
      <w:r>
        <w:rPr>
          <w:rFonts w:hint="default" w:ascii="Times New Roman" w:hAnsi="Times New Roman" w:cs="Times New Roman"/>
          <w:b/>
          <w:bCs w:val="0"/>
          <w:color w:val="auto"/>
          <w:sz w:val="21"/>
          <w:szCs w:val="21"/>
        </w:rPr>
        <w:t>饮用水水源一级、二级保护区定界</w:t>
      </w:r>
    </w:p>
    <w:p>
      <w:pPr>
        <w:autoSpaceDE w:val="0"/>
        <w:autoSpaceDN w:val="0"/>
        <w:adjustRightInd w:val="0"/>
        <w:jc w:val="center"/>
        <w:rPr>
          <w:rFonts w:hint="default" w:ascii="Times New Roman" w:hAnsi="Times New Roman" w:cs="Times New Roman"/>
          <w:b w:val="0"/>
          <w:bCs/>
          <w:color w:val="auto"/>
          <w:sz w:val="24"/>
          <w:szCs w:val="24"/>
          <w:lang w:val="zh-CN"/>
        </w:rPr>
      </w:pPr>
    </w:p>
    <w:p>
      <w:pPr>
        <w:spacing w:line="500" w:lineRule="exact"/>
        <w:ind w:firstLine="480" w:firstLineChars="200"/>
        <w:rPr>
          <w:rFonts w:hint="default" w:ascii="Times New Roman" w:hAnsi="Times New Roman" w:cs="Times New Roman"/>
          <w:color w:val="auto"/>
          <w:spacing w:val="-6"/>
          <w:sz w:val="24"/>
          <w:szCs w:val="24"/>
          <w:lang w:val="zh-CN"/>
        </w:rPr>
      </w:pPr>
      <w:r>
        <w:rPr>
          <w:rFonts w:hint="default" w:ascii="Times New Roman" w:hAnsi="Times New Roman" w:eastAsia="宋体" w:cs="Times New Roman"/>
          <w:color w:val="auto"/>
          <w:sz w:val="24"/>
          <w:szCs w:val="24"/>
          <w:lang w:eastAsia="zh-CN"/>
        </w:rPr>
        <w:t>开江县</w:t>
      </w:r>
      <w:r>
        <w:rPr>
          <w:rFonts w:hint="eastAsia" w:eastAsia="宋体" w:cs="Times New Roman"/>
          <w:color w:val="auto"/>
          <w:sz w:val="24"/>
          <w:szCs w:val="24"/>
          <w:lang w:eastAsia="zh-CN"/>
        </w:rPr>
        <w:t>老河堰</w:t>
      </w:r>
      <w:r>
        <w:rPr>
          <w:rFonts w:hint="default" w:ascii="Times New Roman" w:hAnsi="Times New Roman" w:eastAsia="宋体" w:cs="Times New Roman"/>
          <w:color w:val="auto"/>
          <w:sz w:val="24"/>
          <w:szCs w:val="24"/>
          <w:lang w:eastAsia="zh-CN"/>
        </w:rPr>
        <w:t>水库</w:t>
      </w:r>
      <w:r>
        <w:rPr>
          <w:rFonts w:hint="default" w:ascii="Times New Roman" w:hAnsi="Times New Roman" w:eastAsia="宋体" w:cs="Times New Roman"/>
          <w:color w:val="auto"/>
          <w:sz w:val="24"/>
          <w:szCs w:val="24"/>
        </w:rPr>
        <w:t>水源地</w:t>
      </w:r>
      <w:r>
        <w:rPr>
          <w:rFonts w:hint="default" w:ascii="Times New Roman" w:hAnsi="Times New Roman" w:cs="Times New Roman"/>
          <w:color w:val="auto"/>
          <w:spacing w:val="-6"/>
          <w:sz w:val="24"/>
          <w:szCs w:val="24"/>
        </w:rPr>
        <w:t>水源一级、二级保护区各拐点坐标如下表：</w:t>
      </w:r>
    </w:p>
    <w:p>
      <w:pPr>
        <w:spacing w:line="500" w:lineRule="exact"/>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bCs w:val="0"/>
          <w:color w:val="auto"/>
          <w:sz w:val="21"/>
          <w:szCs w:val="21"/>
        </w:rPr>
        <w:t>表</w:t>
      </w:r>
      <w:r>
        <w:rPr>
          <w:rFonts w:hint="eastAsia" w:cs="Times New Roman"/>
          <w:b/>
          <w:bCs w:val="0"/>
          <w:color w:val="auto"/>
          <w:sz w:val="21"/>
          <w:szCs w:val="21"/>
          <w:lang w:eastAsia="zh-CN"/>
        </w:rPr>
        <w:t>5-</w:t>
      </w:r>
      <w:r>
        <w:rPr>
          <w:rFonts w:hint="default" w:ascii="Times New Roman" w:hAnsi="Times New Roman" w:cs="Times New Roman"/>
          <w:b/>
          <w:bCs w:val="0"/>
          <w:color w:val="auto"/>
          <w:sz w:val="21"/>
          <w:szCs w:val="21"/>
        </w:rPr>
        <w:t>2</w:t>
      </w:r>
      <w:r>
        <w:rPr>
          <w:rFonts w:hint="default" w:ascii="Times New Roman" w:hAnsi="Times New Roman" w:eastAsia="宋体" w:cs="Times New Roman"/>
          <w:b/>
          <w:bCs/>
          <w:color w:val="auto"/>
          <w:sz w:val="21"/>
          <w:szCs w:val="21"/>
          <w:lang w:eastAsia="zh-CN"/>
        </w:rPr>
        <w:t>开江县</w:t>
      </w:r>
      <w:r>
        <w:rPr>
          <w:rFonts w:hint="eastAsia" w:eastAsia="宋体" w:cs="Times New Roman"/>
          <w:b/>
          <w:bCs/>
          <w:color w:val="auto"/>
          <w:sz w:val="21"/>
          <w:szCs w:val="21"/>
          <w:lang w:eastAsia="zh-CN"/>
        </w:rPr>
        <w:t>老河堰</w:t>
      </w:r>
      <w:r>
        <w:rPr>
          <w:rFonts w:hint="default" w:ascii="Times New Roman" w:hAnsi="Times New Roman" w:eastAsia="宋体" w:cs="Times New Roman"/>
          <w:b/>
          <w:bCs/>
          <w:color w:val="auto"/>
          <w:sz w:val="21"/>
          <w:szCs w:val="21"/>
          <w:lang w:eastAsia="zh-CN"/>
        </w:rPr>
        <w:t>水库</w:t>
      </w:r>
      <w:r>
        <w:rPr>
          <w:rFonts w:hint="eastAsia" w:eastAsia="宋体" w:cs="Times New Roman"/>
          <w:b/>
          <w:bCs/>
          <w:color w:val="auto"/>
          <w:sz w:val="21"/>
          <w:szCs w:val="21"/>
          <w:lang w:eastAsia="zh-CN"/>
        </w:rPr>
        <w:t>备用</w:t>
      </w:r>
      <w:r>
        <w:rPr>
          <w:rFonts w:hint="default" w:ascii="Times New Roman" w:hAnsi="Times New Roman" w:eastAsia="宋体" w:cs="Times New Roman"/>
          <w:b/>
          <w:bCs/>
          <w:color w:val="auto"/>
          <w:sz w:val="21"/>
          <w:szCs w:val="21"/>
        </w:rPr>
        <w:t>水源地</w:t>
      </w:r>
      <w:r>
        <w:rPr>
          <w:rFonts w:hint="default" w:ascii="Times New Roman" w:hAnsi="Times New Roman" w:cs="Times New Roman"/>
          <w:b/>
          <w:bCs/>
          <w:color w:val="auto"/>
          <w:sz w:val="21"/>
          <w:szCs w:val="21"/>
        </w:rPr>
        <w:t>保护区边界拐点坐标表</w:t>
      </w:r>
    </w:p>
    <w:tbl>
      <w:tblPr>
        <w:tblStyle w:val="16"/>
        <w:tblW w:w="85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1702"/>
        <w:gridCol w:w="1702"/>
        <w:gridCol w:w="1703"/>
        <w:gridCol w:w="1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tcBorders>
              <w:tl2br w:val="nil"/>
              <w:tr2bl w:val="nil"/>
            </w:tcBorders>
            <w:vAlign w:val="top"/>
          </w:tcPr>
          <w:p>
            <w:pPr>
              <w:spacing w:line="240" w:lineRule="auto"/>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保护区</w:t>
            </w: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1703" w:type="dxa"/>
            <w:tcBorders>
              <w:tl2br w:val="nil"/>
              <w:tr2bl w:val="nil"/>
            </w:tcBorders>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w:t>
            </w:r>
          </w:p>
        </w:tc>
        <w:tc>
          <w:tcPr>
            <w:tcW w:w="1703" w:type="dxa"/>
            <w:tcBorders>
              <w:tl2br w:val="nil"/>
              <w:tr2bl w:val="nil"/>
            </w:tcBorders>
            <w:vAlign w:val="top"/>
          </w:tcPr>
          <w:p>
            <w:pPr>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海拔（米）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Borders>
              <w:tl2br w:val="nil"/>
              <w:tr2bl w:val="nil"/>
            </w:tcBorders>
            <w:vAlign w:val="center"/>
          </w:tcPr>
          <w:p>
            <w:pPr>
              <w:spacing w:line="240" w:lineRule="auto"/>
              <w:jc w:val="center"/>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eastAsia="zh-CN"/>
              </w:rPr>
              <w:t>一级保护区</w:t>
            </w:r>
          </w:p>
          <w:p>
            <w:pPr>
              <w:spacing w:line="240" w:lineRule="auto"/>
              <w:jc w:val="center"/>
              <w:rPr>
                <w:rFonts w:hint="default" w:ascii="Times New Roman" w:hAnsi="Times New Roman" w:eastAsia="宋体" w:cs="Times New Roman"/>
                <w:color w:val="auto"/>
                <w:sz w:val="22"/>
                <w:szCs w:val="22"/>
                <w:lang w:eastAsia="zh-CN"/>
              </w:rPr>
            </w:pPr>
            <w:r>
              <w:rPr>
                <w:rFonts w:hint="eastAsia" w:cs="Times New Roman"/>
                <w:color w:val="auto"/>
                <w:sz w:val="22"/>
                <w:szCs w:val="22"/>
                <w:lang w:eastAsia="zh-CN"/>
              </w:rPr>
              <w:t>水域</w:t>
            </w: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107°54′30.24″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31°09′07.56″</w:t>
            </w:r>
          </w:p>
        </w:tc>
        <w:tc>
          <w:tcPr>
            <w:tcW w:w="1703" w:type="dxa"/>
            <w:tcBorders>
              <w:tl2br w:val="nil"/>
              <w:tr2bl w:val="nil"/>
            </w:tcBorders>
            <w:vAlign w:val="center"/>
          </w:tcPr>
          <w:p>
            <w:pPr>
              <w:spacing w:line="240" w:lineRule="auto"/>
              <w:jc w:val="center"/>
              <w:rPr>
                <w:rFonts w:hint="eastAsia" w:ascii="Times New Roman" w:hAnsi="Times New Roman" w:cs="Times New Roman" w:eastAsiaTheme="minorEastAsia"/>
                <w:color w:val="FF0000"/>
                <w:sz w:val="21"/>
                <w:szCs w:val="21"/>
                <w:lang w:eastAsia="zh-CN"/>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1-2</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107°54′29.88″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31°09′09.00″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1-3</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107°54′33.48″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31°09′12.60″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1-4</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107°54′32.40″</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31°09′07.56″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1-5</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107°54′37.08″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31°09′08.64″</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1-6</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107°54′35.64″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31°09′06.12″</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1-7</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107°54′37.44″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31°09′03.96″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1-8</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107°54′39.24″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31°09′03.96″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1-9</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107°54′39.24″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31°09′01.44″</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1-10</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107°54′49.68″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31°08′60.00″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1-11</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107°54′50.40″</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31°09′01.44″</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1-12</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107°54′50.40″</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31°08′59.28″</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1-13</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107°54′44.28″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2"/>
                <w:szCs w:val="22"/>
                <w:u w:val="none"/>
                <w:lang w:val="en-US" w:eastAsia="zh-CN" w:bidi="ar"/>
              </w:rPr>
              <w:t>31°08′57.48″</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1-14</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107°54′37.08″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31°08′56.40″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rPr>
              <w:t>1-1</w:t>
            </w:r>
            <w:r>
              <w:rPr>
                <w:rFonts w:hint="eastAsia" w:cs="Times New Roman"/>
                <w:color w:val="auto"/>
                <w:sz w:val="22"/>
                <w:szCs w:val="22"/>
                <w:lang w:val="en-US" w:eastAsia="zh-CN"/>
              </w:rPr>
              <w:t>5</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107°54′34.56″</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31°08′53.16″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ascii="Times New Roman" w:hAnsi="Times New Roman" w:cs="Times New Roman" w:eastAsiaTheme="minorEastAsia"/>
                <w:color w:val="auto"/>
                <w:sz w:val="22"/>
                <w:szCs w:val="22"/>
                <w:lang w:val="en-US" w:eastAsia="zh-CN"/>
              </w:rPr>
            </w:pPr>
            <w:r>
              <w:rPr>
                <w:rFonts w:hint="eastAsia" w:cs="Times New Roman"/>
                <w:color w:val="auto"/>
                <w:sz w:val="22"/>
                <w:szCs w:val="22"/>
                <w:lang w:val="en-US" w:eastAsia="zh-CN"/>
              </w:rPr>
              <w:t>1-16</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107°54′35.28″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31°08′58.56″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ascii="Times New Roman" w:hAnsi="Times New Roman" w:cs="Times New Roman" w:eastAsiaTheme="minorEastAsia"/>
                <w:color w:val="auto"/>
                <w:sz w:val="22"/>
                <w:szCs w:val="22"/>
                <w:lang w:val="en-US" w:eastAsia="zh-CN"/>
              </w:rPr>
            </w:pPr>
            <w:r>
              <w:rPr>
                <w:rFonts w:hint="eastAsia" w:cs="Times New Roman"/>
                <w:color w:val="auto"/>
                <w:sz w:val="22"/>
                <w:szCs w:val="22"/>
                <w:lang w:val="en-US" w:eastAsia="zh-CN"/>
              </w:rPr>
              <w:t>1-17</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107°54′30.24″</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31°09′07.56″</w:t>
            </w:r>
          </w:p>
        </w:tc>
        <w:tc>
          <w:tcPr>
            <w:tcW w:w="1703" w:type="dxa"/>
            <w:tcBorders>
              <w:tl2br w:val="nil"/>
              <w:tr2bl w:val="nil"/>
            </w:tcBorders>
            <w:vAlign w:val="center"/>
          </w:tcPr>
          <w:p>
            <w:pPr>
              <w:spacing w:line="240" w:lineRule="auto"/>
              <w:jc w:val="center"/>
              <w:rPr>
                <w:rFonts w:hint="eastAsia" w:ascii="Times New Roman" w:hAnsi="Times New Roman" w:cs="Times New Roman" w:eastAsiaTheme="minorEastAsia"/>
                <w:color w:val="FF0000"/>
                <w:sz w:val="21"/>
                <w:szCs w:val="21"/>
                <w:lang w:val="en-US" w:eastAsia="zh-CN"/>
              </w:rPr>
            </w:pPr>
            <w:r>
              <w:rPr>
                <w:rFonts w:hint="eastAsia" w:cs="Times New Roman"/>
                <w:color w:val="FF0000"/>
                <w:sz w:val="21"/>
                <w:szCs w:val="21"/>
                <w:lang w:val="en-US" w:eastAsia="zh-CN"/>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Borders>
              <w:tl2br w:val="nil"/>
              <w:tr2bl w:val="nil"/>
            </w:tcBorders>
            <w:vAlign w:val="top"/>
          </w:tcPr>
          <w:p>
            <w:pPr>
              <w:spacing w:line="240" w:lineRule="auto"/>
              <w:jc w:val="center"/>
              <w:rPr>
                <w:rFonts w:hint="default" w:ascii="Times New Roman" w:hAnsi="Times New Roman" w:cs="Times New Roman"/>
                <w:color w:val="auto"/>
                <w:sz w:val="22"/>
                <w:szCs w:val="22"/>
                <w:lang w:eastAsia="zh-CN"/>
              </w:rPr>
            </w:pPr>
            <w:r>
              <w:rPr>
                <w:rFonts w:hint="default" w:ascii="Times New Roman" w:hAnsi="Times New Roman" w:cs="Times New Roman"/>
                <w:color w:val="auto"/>
                <w:sz w:val="22"/>
                <w:szCs w:val="22"/>
                <w:lang w:eastAsia="zh-CN"/>
              </w:rPr>
              <w:t>一级保护区</w:t>
            </w:r>
          </w:p>
          <w:p>
            <w:pPr>
              <w:spacing w:line="240" w:lineRule="auto"/>
              <w:jc w:val="center"/>
              <w:rPr>
                <w:rFonts w:hint="default" w:ascii="Times New Roman" w:hAnsi="Times New Roman" w:cs="Times New Roman"/>
                <w:color w:val="auto"/>
                <w:sz w:val="22"/>
                <w:szCs w:val="22"/>
              </w:rPr>
            </w:pPr>
            <w:r>
              <w:rPr>
                <w:rFonts w:hint="eastAsia" w:cs="Times New Roman"/>
                <w:color w:val="auto"/>
                <w:sz w:val="22"/>
                <w:szCs w:val="22"/>
                <w:lang w:eastAsia="zh-CN"/>
              </w:rPr>
              <w:t>陆域</w:t>
            </w:r>
          </w:p>
        </w:tc>
        <w:tc>
          <w:tcPr>
            <w:tcW w:w="1702" w:type="dxa"/>
            <w:tcBorders>
              <w:tl2br w:val="nil"/>
              <w:tr2bl w:val="nil"/>
            </w:tcBorders>
            <w:vAlign w:val="top"/>
          </w:tcPr>
          <w:p>
            <w:pPr>
              <w:spacing w:line="240" w:lineRule="auto"/>
              <w:jc w:val="center"/>
              <w:rPr>
                <w:rFonts w:hint="eastAsia" w:ascii="Times New Roman" w:hAnsi="Times New Roman" w:cs="Times New Roman" w:eastAsiaTheme="minorEastAsia"/>
                <w:color w:val="auto"/>
                <w:sz w:val="22"/>
                <w:szCs w:val="22"/>
                <w:lang w:val="en-US" w:eastAsia="zh-CN"/>
              </w:rPr>
            </w:pPr>
            <w:r>
              <w:rPr>
                <w:rFonts w:hint="default" w:ascii="Times New Roman" w:hAnsi="Times New Roman" w:cs="Times New Roman"/>
                <w:color w:val="auto"/>
                <w:sz w:val="22"/>
                <w:szCs w:val="22"/>
              </w:rPr>
              <w:t>2-1</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107°54′33.12″</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31°09′00.36″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ascii="Times New Roman" w:hAnsi="Times New Roman" w:cs="Times New Roman" w:eastAsiaTheme="minorEastAsia"/>
                <w:color w:val="auto"/>
                <w:sz w:val="22"/>
                <w:szCs w:val="22"/>
                <w:lang w:val="en-US" w:eastAsia="zh-CN"/>
              </w:rPr>
            </w:pPr>
            <w:r>
              <w:rPr>
                <w:rFonts w:hint="default" w:ascii="Times New Roman" w:hAnsi="Times New Roman" w:cs="Times New Roman"/>
                <w:color w:val="auto"/>
                <w:sz w:val="22"/>
                <w:szCs w:val="22"/>
              </w:rPr>
              <w:t>2-2</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107°54′27.72″</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31°08′58.20″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cs="Times New Roman"/>
                <w:color w:val="auto"/>
                <w:sz w:val="22"/>
                <w:szCs w:val="22"/>
                <w:lang w:val="en-US" w:eastAsia="zh-CN"/>
              </w:rPr>
            </w:pPr>
            <w:r>
              <w:rPr>
                <w:rFonts w:hint="default" w:ascii="Times New Roman" w:hAnsi="Times New Roman" w:cs="Times New Roman"/>
                <w:color w:val="auto"/>
                <w:sz w:val="22"/>
                <w:szCs w:val="22"/>
              </w:rPr>
              <w:t>2-3</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107°54′22.68″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31°08′60.00″</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cs="Times New Roman"/>
                <w:color w:val="auto"/>
                <w:sz w:val="22"/>
                <w:szCs w:val="22"/>
                <w:lang w:val="en-US" w:eastAsia="zh-CN"/>
              </w:rPr>
            </w:pPr>
            <w:r>
              <w:rPr>
                <w:rFonts w:hint="default" w:ascii="Times New Roman" w:hAnsi="Times New Roman" w:cs="Times New Roman"/>
                <w:color w:val="auto"/>
                <w:sz w:val="22"/>
                <w:szCs w:val="22"/>
              </w:rPr>
              <w:t>2-4</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107°54′20.88″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31°09′07.56″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cs="Times New Roman"/>
                <w:color w:val="auto"/>
                <w:sz w:val="22"/>
                <w:szCs w:val="22"/>
                <w:lang w:val="en-US" w:eastAsia="zh-CN"/>
              </w:rPr>
            </w:pPr>
            <w:r>
              <w:rPr>
                <w:rFonts w:hint="default" w:ascii="Times New Roman" w:hAnsi="Times New Roman" w:cs="Times New Roman"/>
                <w:color w:val="auto"/>
                <w:sz w:val="22"/>
                <w:szCs w:val="22"/>
              </w:rPr>
              <w:t>2-5</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107°54′27.00″</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31°09′12.24″</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eastAsia" w:cs="Times New Roman"/>
                <w:color w:val="auto"/>
                <w:sz w:val="22"/>
                <w:szCs w:val="22"/>
                <w:lang w:val="en-US" w:eastAsia="zh-CN"/>
              </w:rPr>
            </w:pPr>
            <w:r>
              <w:rPr>
                <w:rFonts w:hint="default" w:ascii="Times New Roman" w:hAnsi="Times New Roman" w:cs="Times New Roman"/>
                <w:color w:val="auto"/>
                <w:sz w:val="22"/>
                <w:szCs w:val="22"/>
              </w:rPr>
              <w:t>2-6</w:t>
            </w:r>
          </w:p>
        </w:tc>
        <w:tc>
          <w:tcPr>
            <w:tcW w:w="1702"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107°54′31.68″</w:t>
            </w:r>
          </w:p>
        </w:tc>
        <w:tc>
          <w:tcPr>
            <w:tcW w:w="1703" w:type="dxa"/>
            <w:tcBorders>
              <w:tl2br w:val="nil"/>
              <w:tr2bl w:val="nil"/>
            </w:tcBorders>
            <w:shd w:val="clear" w:color="auto" w:fill="auto"/>
            <w:vAlign w:val="center"/>
          </w:tcPr>
          <w:p>
            <w:pPr>
              <w:keepNext w:val="0"/>
              <w:keepLines w:val="0"/>
              <w:widowControl/>
              <w:suppressLineNumbers w:val="0"/>
              <w:jc w:val="left"/>
              <w:textAlignment w:val="center"/>
              <w:rPr>
                <w:rFonts w:hint="default" w:ascii="Times New Roman" w:hAnsi="Times New Roman" w:cs="Times New Roman"/>
                <w:color w:val="000000"/>
                <w:sz w:val="21"/>
                <w:szCs w:val="21"/>
              </w:rPr>
            </w:pPr>
            <w:r>
              <w:rPr>
                <w:rFonts w:hint="default" w:ascii="Times New Roman" w:hAnsi="Times New Roman" w:eastAsia="宋体" w:cs="Times New Roman"/>
                <w:i w:val="0"/>
                <w:color w:val="000000"/>
                <w:kern w:val="0"/>
                <w:sz w:val="22"/>
                <w:szCs w:val="22"/>
                <w:u w:val="none"/>
                <w:lang w:val="en-US" w:eastAsia="zh-CN" w:bidi="ar"/>
              </w:rPr>
              <w:t>31°09′11.16″</w:t>
            </w:r>
          </w:p>
        </w:tc>
        <w:tc>
          <w:tcPr>
            <w:tcW w:w="1703" w:type="dxa"/>
            <w:tcBorders>
              <w:tl2br w:val="nil"/>
              <w:tr2bl w:val="nil"/>
            </w:tcBorders>
            <w:vAlign w:val="center"/>
          </w:tcPr>
          <w:p>
            <w:pPr>
              <w:spacing w:line="240" w:lineRule="auto"/>
              <w:jc w:val="center"/>
              <w:rPr>
                <w:rFonts w:hint="default" w:ascii="Times New Roman" w:hAnsi="Times New Roman" w:cs="Times New Roman"/>
                <w:color w:val="FF0000"/>
                <w:sz w:val="21"/>
                <w:szCs w:val="21"/>
              </w:rPr>
            </w:pPr>
            <w:r>
              <w:rPr>
                <w:rFonts w:hint="eastAsia" w:cs="Times New Roman"/>
                <w:color w:val="FF0000"/>
                <w:sz w:val="21"/>
                <w:szCs w:val="21"/>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Borders>
              <w:tl2br w:val="nil"/>
              <w:tr2bl w:val="nil"/>
            </w:tcBorders>
            <w:vAlign w:val="center"/>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eastAsia="zh-CN"/>
              </w:rPr>
              <w:t>二级保护区</w:t>
            </w:r>
            <w:r>
              <w:rPr>
                <w:rFonts w:hint="eastAsia" w:cs="Times New Roman"/>
                <w:color w:val="auto"/>
                <w:sz w:val="22"/>
                <w:szCs w:val="22"/>
                <w:lang w:eastAsia="zh-CN"/>
              </w:rPr>
              <w:t>水域</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107°54′50.51″</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31°09′01.34″</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3-2</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107°54′52.64″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31°09′00.83″</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3-3</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107°54′56.48″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31°09′03.09″</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3-4</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107°54′57.06″</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31°09′05.37″</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3-5</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107°54′58.50″</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31°09′05.56″</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3-6</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107°54′57.29″</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31°09′05.22″</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3-7</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107°54′56.74″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31°09′03.01″</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3-8</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107°54′52.47″</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31°09′00.66″</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3-9</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107°54′50.38″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31°09′01.06″</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restart"/>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cs="Times New Roman"/>
                <w:color w:val="auto"/>
                <w:sz w:val="22"/>
                <w:szCs w:val="22"/>
                <w:lang w:eastAsia="zh-CN"/>
              </w:rPr>
              <w:t>二级保护区</w:t>
            </w:r>
            <w:r>
              <w:rPr>
                <w:rFonts w:hint="eastAsia" w:cs="Times New Roman"/>
                <w:color w:val="auto"/>
                <w:sz w:val="22"/>
                <w:szCs w:val="22"/>
                <w:lang w:eastAsia="zh-CN"/>
              </w:rPr>
              <w:t>陆域</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107°54′28.98″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31°09′12.27″</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4-2</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107°54′43.19″</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31°09′23.48″</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4-3</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107°54′53.88″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31°09′23.41″</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4-4</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107°55′03.06″</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31°09′24.71″</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4-5</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107°55′10.02″</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31°09′17.11″</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4-6</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107°55′19.98″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31°09′15.74″</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4-7</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107°55′25.54″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31°09′03.40″</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4-8</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107°55′14.30″</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31°08′59.29″</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4-9</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107°55′07.04″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31°08′46.96″</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4-10</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107°55′10.39″</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31°08′44.70″</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4-11</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107°55′09.64″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31°08′38.59″</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4-12</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107°54′45.38″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31°08′27.63″</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4-13</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107°54′39.90″</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31°08′30.65″</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4-14</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107°54′35.58″</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31°08′28.66″</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503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4-15</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107°54′35.03″</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31°08′22.97″</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eastAsia="宋体" w:cs="Times New Roman"/>
                <w:i w:val="0"/>
                <w:color w:val="000000"/>
                <w:kern w:val="0"/>
                <w:sz w:val="21"/>
                <w:szCs w:val="21"/>
                <w:u w:val="none"/>
                <w:lang w:val="en-US" w:eastAsia="zh-CN" w:bidi="ar"/>
              </w:rPr>
              <w:t>4-1</w:t>
            </w:r>
            <w:r>
              <w:rPr>
                <w:rFonts w:hint="eastAsia" w:eastAsia="宋体" w:cs="Times New Roman"/>
                <w:i w:val="0"/>
                <w:color w:val="000000"/>
                <w:kern w:val="0"/>
                <w:sz w:val="21"/>
                <w:szCs w:val="21"/>
                <w:u w:val="none"/>
                <w:lang w:val="en-US" w:eastAsia="zh-CN" w:bidi="ar"/>
              </w:rPr>
              <w:t>6</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107°54′23.94″</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31°08′15.87″</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default" w:ascii="Times New Roman" w:hAnsi="Times New Roman" w:eastAsia="宋体" w:cs="Times New Roman"/>
                <w:i w:val="0"/>
                <w:color w:val="000000"/>
                <w:kern w:val="0"/>
                <w:sz w:val="21"/>
                <w:szCs w:val="21"/>
                <w:u w:val="none"/>
                <w:lang w:val="en-US" w:eastAsia="zh-CN" w:bidi="ar"/>
              </w:rPr>
              <w:t>4-1</w:t>
            </w:r>
            <w:r>
              <w:rPr>
                <w:rFonts w:hint="eastAsia" w:eastAsia="宋体" w:cs="Times New Roman"/>
                <w:i w:val="0"/>
                <w:color w:val="000000"/>
                <w:kern w:val="0"/>
                <w:sz w:val="21"/>
                <w:szCs w:val="21"/>
                <w:u w:val="none"/>
                <w:lang w:val="en-US" w:eastAsia="zh-CN" w:bidi="ar"/>
              </w:rPr>
              <w:t>7</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107°54′14.06″</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31°08′25.71″</w:t>
            </w:r>
          </w:p>
        </w:tc>
        <w:tc>
          <w:tcPr>
            <w:tcW w:w="1703" w:type="dxa"/>
            <w:tcBorders>
              <w:tl2br w:val="nil"/>
              <w:tr2bl w:val="nil"/>
            </w:tcBorders>
            <w:vAlign w:val="center"/>
          </w:tcPr>
          <w:p>
            <w:pPr>
              <w:spacing w:line="240" w:lineRule="auto"/>
              <w:jc w:val="center"/>
              <w:rPr>
                <w:rFonts w:hint="default" w:ascii="Times New Roman" w:hAnsi="Times New Roman" w:cs="Times New Roman"/>
                <w:color w:val="auto"/>
                <w:sz w:val="21"/>
                <w:szCs w:val="21"/>
              </w:rPr>
            </w:pPr>
            <w:r>
              <w:rPr>
                <w:rFonts w:hint="eastAsia" w:cs="Times New Roman"/>
                <w:color w:val="FF0000"/>
                <w:sz w:val="21"/>
                <w:szCs w:val="21"/>
                <w:lang w:val="en-US" w:eastAsia="zh-CN"/>
              </w:rPr>
              <w:t>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Merge w:val="continue"/>
            <w:tcBorders>
              <w:tl2br w:val="nil"/>
              <w:tr2bl w:val="nil"/>
            </w:tcBorders>
            <w:vAlign w:val="top"/>
          </w:tcPr>
          <w:p>
            <w:pPr>
              <w:spacing w:line="240" w:lineRule="auto"/>
              <w:jc w:val="center"/>
              <w:rPr>
                <w:rFonts w:hint="default" w:ascii="Times New Roman" w:hAnsi="Times New Roman" w:cs="Times New Roman"/>
                <w:color w:val="auto"/>
                <w:sz w:val="22"/>
                <w:szCs w:val="22"/>
              </w:rPr>
            </w:pPr>
          </w:p>
        </w:tc>
        <w:tc>
          <w:tcPr>
            <w:tcW w:w="1702" w:type="dxa"/>
            <w:tcBorders>
              <w:tl2br w:val="nil"/>
              <w:tr2bl w:val="nil"/>
            </w:tcBorders>
            <w:vAlign w:val="top"/>
          </w:tcPr>
          <w:p>
            <w:pPr>
              <w:spacing w:line="240" w:lineRule="auto"/>
              <w:jc w:val="center"/>
              <w:rPr>
                <w:rFonts w:hint="default" w:ascii="Times New Roman" w:hAnsi="Times New Roman" w:cs="Times New Roman"/>
                <w:color w:val="auto"/>
                <w:sz w:val="22"/>
                <w:szCs w:val="22"/>
              </w:rPr>
            </w:pPr>
            <w:r>
              <w:rPr>
                <w:rFonts w:hint="eastAsia" w:cs="Times New Roman"/>
                <w:color w:val="auto"/>
                <w:sz w:val="22"/>
                <w:szCs w:val="22"/>
                <w:lang w:val="en-US" w:eastAsia="zh-CN"/>
              </w:rPr>
              <w:t>4</w:t>
            </w:r>
            <w:r>
              <w:rPr>
                <w:rFonts w:hint="default" w:ascii="Times New Roman" w:hAnsi="Times New Roman" w:cs="Times New Roman"/>
                <w:color w:val="auto"/>
                <w:sz w:val="22"/>
                <w:szCs w:val="22"/>
              </w:rPr>
              <w:t>-</w:t>
            </w:r>
            <w:r>
              <w:rPr>
                <w:rFonts w:hint="eastAsia" w:cs="Times New Roman"/>
                <w:color w:val="auto"/>
                <w:sz w:val="22"/>
                <w:szCs w:val="22"/>
                <w:lang w:val="en-US" w:eastAsia="zh-CN"/>
              </w:rPr>
              <w:t>18</w:t>
            </w:r>
          </w:p>
        </w:tc>
        <w:tc>
          <w:tcPr>
            <w:tcW w:w="1702"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107°54′22.79″</w:t>
            </w:r>
          </w:p>
        </w:tc>
        <w:tc>
          <w:tcPr>
            <w:tcW w:w="170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color w:val="000000"/>
                <w:kern w:val="0"/>
                <w:sz w:val="21"/>
                <w:szCs w:val="21"/>
                <w:u w:val="none"/>
                <w:lang w:val="en-US" w:eastAsia="zh-CN" w:bidi="ar"/>
              </w:rPr>
              <w:t>31°08′59.94″</w:t>
            </w:r>
          </w:p>
        </w:tc>
        <w:tc>
          <w:tcPr>
            <w:tcW w:w="1703" w:type="dxa"/>
            <w:tcBorders>
              <w:tl2br w:val="nil"/>
              <w:tr2bl w:val="nil"/>
            </w:tcBorders>
            <w:vAlign w:val="center"/>
          </w:tcPr>
          <w:p>
            <w:pPr>
              <w:spacing w:line="240" w:lineRule="auto"/>
              <w:jc w:val="center"/>
              <w:rPr>
                <w:rFonts w:hint="eastAsia" w:ascii="Times New Roman" w:hAnsi="Times New Roman" w:cs="Times New Roman" w:eastAsiaTheme="minorEastAsia"/>
                <w:color w:val="auto"/>
                <w:sz w:val="21"/>
                <w:szCs w:val="21"/>
                <w:lang w:val="en-US" w:eastAsia="zh-CN"/>
              </w:rPr>
            </w:pPr>
            <w:r>
              <w:rPr>
                <w:rFonts w:hint="eastAsia" w:cs="Times New Roman"/>
                <w:color w:val="auto"/>
                <w:sz w:val="21"/>
                <w:szCs w:val="21"/>
                <w:lang w:val="en-US" w:eastAsia="zh-CN"/>
              </w:rPr>
              <w:t>490</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outlineLvl w:val="9"/>
        <w:rPr>
          <w:rFonts w:hint="default" w:cs="Times New Roman"/>
          <w:b/>
          <w:color w:val="auto"/>
          <w:kern w:val="0"/>
          <w:sz w:val="24"/>
          <w:szCs w:val="24"/>
          <w:lang w:val="zh-CN" w:eastAsia="zh-CN"/>
        </w:rPr>
      </w:pPr>
      <w:r>
        <w:rPr>
          <w:rFonts w:hint="eastAsia" w:cs="Times New Roman"/>
          <w:b/>
          <w:color w:val="auto"/>
          <w:kern w:val="0"/>
          <w:sz w:val="24"/>
          <w:szCs w:val="24"/>
          <w:lang w:val="en-US" w:eastAsia="zh-CN"/>
        </w:rPr>
        <w:t>5</w:t>
      </w:r>
      <w:r>
        <w:rPr>
          <w:rFonts w:hint="default" w:cs="Times New Roman"/>
          <w:b/>
          <w:color w:val="auto"/>
          <w:kern w:val="0"/>
          <w:sz w:val="24"/>
          <w:szCs w:val="24"/>
          <w:lang w:val="zh-CN" w:eastAsia="zh-CN"/>
        </w:rPr>
        <w:t>.</w:t>
      </w:r>
      <w:r>
        <w:rPr>
          <w:rFonts w:hint="eastAsia" w:cs="Times New Roman"/>
          <w:b/>
          <w:color w:val="auto"/>
          <w:kern w:val="0"/>
          <w:sz w:val="24"/>
          <w:szCs w:val="24"/>
          <w:lang w:val="en-US" w:eastAsia="zh-CN"/>
        </w:rPr>
        <w:t>3</w:t>
      </w:r>
      <w:r>
        <w:rPr>
          <w:rFonts w:hint="default" w:cs="Times New Roman"/>
          <w:b/>
          <w:color w:val="auto"/>
          <w:kern w:val="0"/>
          <w:sz w:val="24"/>
          <w:szCs w:val="24"/>
          <w:lang w:val="zh-CN" w:eastAsia="zh-CN"/>
        </w:rPr>
        <w:t>.</w:t>
      </w:r>
      <w:r>
        <w:rPr>
          <w:rFonts w:hint="eastAsia" w:cs="Times New Roman"/>
          <w:b/>
          <w:color w:val="auto"/>
          <w:kern w:val="0"/>
          <w:sz w:val="24"/>
          <w:szCs w:val="24"/>
          <w:lang w:val="en-US" w:eastAsia="zh-CN"/>
        </w:rPr>
        <w:t>2</w:t>
      </w:r>
      <w:r>
        <w:rPr>
          <w:rFonts w:hint="default" w:cs="Times New Roman"/>
          <w:b/>
          <w:color w:val="auto"/>
          <w:kern w:val="0"/>
          <w:sz w:val="24"/>
          <w:szCs w:val="24"/>
          <w:lang w:val="zh-CN" w:eastAsia="zh-CN"/>
        </w:rPr>
        <w:t>保护区面积估算</w:t>
      </w:r>
    </w:p>
    <w:p>
      <w:pPr>
        <w:spacing w:line="500" w:lineRule="exact"/>
        <w:ind w:firstLine="456" w:firstLineChars="200"/>
        <w:rPr>
          <w:rFonts w:hint="default" w:ascii="Times New Roman" w:hAnsi="Times New Roman" w:cs="Times New Roman"/>
          <w:color w:val="FF0000"/>
          <w:spacing w:val="-6"/>
          <w:sz w:val="24"/>
          <w:szCs w:val="24"/>
          <w:lang w:val="en-US" w:eastAsia="zh-CN"/>
        </w:rPr>
      </w:pPr>
      <w:r>
        <w:rPr>
          <w:rFonts w:hint="default" w:ascii="Times New Roman" w:hAnsi="Times New Roman" w:cs="Times New Roman"/>
          <w:color w:val="FF0000"/>
          <w:spacing w:val="-6"/>
          <w:sz w:val="24"/>
          <w:szCs w:val="24"/>
        </w:rPr>
        <w:t>结合GIS初步估算，</w:t>
      </w:r>
      <w:r>
        <w:rPr>
          <w:rFonts w:hint="default" w:ascii="Times New Roman" w:hAnsi="Times New Roman" w:eastAsia="宋体" w:cs="Times New Roman"/>
          <w:b w:val="0"/>
          <w:bCs w:val="0"/>
          <w:color w:val="FF0000"/>
          <w:sz w:val="24"/>
          <w:szCs w:val="24"/>
          <w:lang w:eastAsia="zh-CN"/>
        </w:rPr>
        <w:t>开江县</w:t>
      </w:r>
      <w:r>
        <w:rPr>
          <w:rFonts w:hint="eastAsia" w:eastAsia="宋体" w:cs="Times New Roman"/>
          <w:b w:val="0"/>
          <w:bCs w:val="0"/>
          <w:color w:val="FF0000"/>
          <w:sz w:val="24"/>
          <w:szCs w:val="24"/>
          <w:lang w:eastAsia="zh-CN"/>
        </w:rPr>
        <w:t>老河堰</w:t>
      </w:r>
      <w:r>
        <w:rPr>
          <w:rFonts w:hint="default" w:ascii="Times New Roman" w:hAnsi="Times New Roman" w:eastAsia="宋体" w:cs="Times New Roman"/>
          <w:b w:val="0"/>
          <w:bCs w:val="0"/>
          <w:color w:val="FF0000"/>
          <w:sz w:val="24"/>
          <w:szCs w:val="24"/>
          <w:lang w:eastAsia="zh-CN"/>
        </w:rPr>
        <w:t>水库</w:t>
      </w:r>
      <w:r>
        <w:rPr>
          <w:rFonts w:hint="eastAsia" w:eastAsia="宋体" w:cs="Times New Roman"/>
          <w:b w:val="0"/>
          <w:bCs w:val="0"/>
          <w:color w:val="FF0000"/>
          <w:sz w:val="24"/>
          <w:szCs w:val="24"/>
          <w:lang w:eastAsia="zh-CN"/>
        </w:rPr>
        <w:t>备用</w:t>
      </w:r>
      <w:r>
        <w:rPr>
          <w:rFonts w:hint="default" w:ascii="Times New Roman" w:hAnsi="Times New Roman" w:eastAsia="宋体" w:cs="Times New Roman"/>
          <w:b w:val="0"/>
          <w:bCs w:val="0"/>
          <w:color w:val="FF0000"/>
          <w:sz w:val="24"/>
          <w:szCs w:val="24"/>
        </w:rPr>
        <w:t>水源</w:t>
      </w:r>
      <w:r>
        <w:rPr>
          <w:rFonts w:hint="default" w:ascii="Times New Roman" w:hAnsi="Times New Roman" w:eastAsia="宋体" w:cs="Times New Roman"/>
          <w:b w:val="0"/>
          <w:bCs/>
          <w:color w:val="FF0000"/>
          <w:sz w:val="24"/>
          <w:szCs w:val="24"/>
        </w:rPr>
        <w:t>地</w:t>
      </w:r>
      <w:r>
        <w:rPr>
          <w:rFonts w:hint="default" w:ascii="Times New Roman" w:hAnsi="Times New Roman" w:cs="Times New Roman"/>
          <w:color w:val="FF0000"/>
          <w:spacing w:val="-6"/>
          <w:sz w:val="24"/>
          <w:szCs w:val="24"/>
          <w:lang w:val="en-US" w:eastAsia="zh-CN"/>
        </w:rPr>
        <w:t>一级保护区水域</w:t>
      </w:r>
      <w:r>
        <w:rPr>
          <w:rFonts w:hint="eastAsia" w:cs="Times New Roman"/>
          <w:color w:val="FF0000"/>
          <w:spacing w:val="-6"/>
          <w:sz w:val="24"/>
          <w:szCs w:val="24"/>
          <w:lang w:val="en-US" w:eastAsia="zh-CN"/>
        </w:rPr>
        <w:t>面积为</w:t>
      </w:r>
      <w:r>
        <w:rPr>
          <w:rFonts w:hint="default" w:ascii="Times New Roman" w:hAnsi="Times New Roman" w:cs="Times New Roman"/>
          <w:color w:val="FF0000"/>
          <w:spacing w:val="-6"/>
          <w:sz w:val="24"/>
          <w:szCs w:val="24"/>
          <w:lang w:val="en-US" w:eastAsia="zh-CN"/>
        </w:rPr>
        <w:t>9.084873</w:t>
      </w:r>
      <w:r>
        <w:rPr>
          <w:rFonts w:hint="eastAsia" w:cs="Times New Roman"/>
          <w:color w:val="FF0000"/>
          <w:spacing w:val="-6"/>
          <w:sz w:val="24"/>
          <w:szCs w:val="24"/>
          <w:lang w:val="en-US" w:eastAsia="zh-CN"/>
        </w:rPr>
        <w:t>公顷</w:t>
      </w:r>
      <w:r>
        <w:rPr>
          <w:rFonts w:hint="default" w:ascii="Times New Roman" w:hAnsi="Times New Roman" w:cs="Times New Roman"/>
          <w:color w:val="FF0000"/>
          <w:spacing w:val="-6"/>
          <w:sz w:val="24"/>
          <w:szCs w:val="24"/>
          <w:lang w:val="en-US" w:eastAsia="zh-CN"/>
        </w:rPr>
        <w:t>，一级</w:t>
      </w:r>
      <w:r>
        <w:rPr>
          <w:rFonts w:hint="eastAsia" w:cs="Times New Roman"/>
          <w:color w:val="FF0000"/>
          <w:spacing w:val="-6"/>
          <w:sz w:val="24"/>
          <w:szCs w:val="24"/>
          <w:lang w:val="en-US" w:eastAsia="zh-CN"/>
        </w:rPr>
        <w:t>保护区</w:t>
      </w:r>
      <w:r>
        <w:rPr>
          <w:rFonts w:hint="default" w:ascii="Times New Roman" w:hAnsi="Times New Roman" w:cs="Times New Roman"/>
          <w:color w:val="FF0000"/>
          <w:spacing w:val="-6"/>
          <w:sz w:val="24"/>
          <w:szCs w:val="24"/>
          <w:lang w:val="en-US" w:eastAsia="zh-CN"/>
        </w:rPr>
        <w:t>陆域</w:t>
      </w:r>
      <w:r>
        <w:rPr>
          <w:rFonts w:hint="eastAsia" w:cs="Times New Roman"/>
          <w:color w:val="FF0000"/>
          <w:spacing w:val="-6"/>
          <w:sz w:val="24"/>
          <w:szCs w:val="24"/>
          <w:lang w:val="en-US" w:eastAsia="zh-CN"/>
        </w:rPr>
        <w:t>面积为</w:t>
      </w:r>
      <w:r>
        <w:rPr>
          <w:rFonts w:hint="default" w:ascii="Times New Roman" w:hAnsi="Times New Roman" w:cs="Times New Roman"/>
          <w:color w:val="FF0000"/>
          <w:spacing w:val="-6"/>
          <w:sz w:val="24"/>
          <w:szCs w:val="24"/>
          <w:lang w:val="en-US" w:eastAsia="zh-CN"/>
        </w:rPr>
        <w:t>9.262721</w:t>
      </w:r>
      <w:r>
        <w:rPr>
          <w:rFonts w:hint="eastAsia" w:cs="Times New Roman"/>
          <w:color w:val="FF0000"/>
          <w:spacing w:val="-6"/>
          <w:sz w:val="24"/>
          <w:szCs w:val="24"/>
          <w:lang w:val="en-US" w:eastAsia="zh-CN"/>
        </w:rPr>
        <w:t>公顷</w:t>
      </w:r>
      <w:r>
        <w:rPr>
          <w:rFonts w:hint="default" w:ascii="Times New Roman" w:hAnsi="Times New Roman" w:cs="Times New Roman"/>
          <w:color w:val="FF0000"/>
          <w:spacing w:val="-6"/>
          <w:sz w:val="24"/>
          <w:szCs w:val="24"/>
          <w:lang w:val="en-US" w:eastAsia="zh-CN"/>
        </w:rPr>
        <w:t>。二级</w:t>
      </w:r>
      <w:r>
        <w:rPr>
          <w:rFonts w:hint="eastAsia" w:cs="Times New Roman"/>
          <w:color w:val="FF0000"/>
          <w:spacing w:val="-6"/>
          <w:sz w:val="24"/>
          <w:szCs w:val="24"/>
          <w:lang w:val="en-US" w:eastAsia="zh-CN"/>
        </w:rPr>
        <w:t>保护区</w:t>
      </w:r>
      <w:r>
        <w:rPr>
          <w:rFonts w:hint="default" w:ascii="Times New Roman" w:hAnsi="Times New Roman" w:cs="Times New Roman"/>
          <w:color w:val="FF0000"/>
          <w:spacing w:val="-6"/>
          <w:sz w:val="24"/>
          <w:szCs w:val="24"/>
          <w:lang w:val="en-US" w:eastAsia="zh-CN"/>
        </w:rPr>
        <w:t>水域</w:t>
      </w:r>
      <w:r>
        <w:rPr>
          <w:rFonts w:hint="eastAsia" w:cs="Times New Roman"/>
          <w:color w:val="FF0000"/>
          <w:spacing w:val="-6"/>
          <w:sz w:val="24"/>
          <w:szCs w:val="24"/>
          <w:lang w:val="en-US" w:eastAsia="zh-CN"/>
        </w:rPr>
        <w:t>面积为</w:t>
      </w:r>
      <w:r>
        <w:rPr>
          <w:rFonts w:hint="default" w:ascii="Times New Roman" w:hAnsi="Times New Roman" w:cs="Times New Roman"/>
          <w:color w:val="FF0000"/>
          <w:spacing w:val="-6"/>
          <w:sz w:val="24"/>
          <w:szCs w:val="24"/>
          <w:lang w:val="en-US" w:eastAsia="zh-CN"/>
        </w:rPr>
        <w:t>0.174739</w:t>
      </w:r>
      <w:r>
        <w:rPr>
          <w:rFonts w:hint="eastAsia" w:cs="Times New Roman"/>
          <w:color w:val="FF0000"/>
          <w:spacing w:val="-6"/>
          <w:sz w:val="24"/>
          <w:szCs w:val="24"/>
          <w:lang w:val="en-US" w:eastAsia="zh-CN"/>
        </w:rPr>
        <w:t>公顷</w:t>
      </w:r>
      <w:r>
        <w:rPr>
          <w:rFonts w:hint="default" w:ascii="Times New Roman" w:hAnsi="Times New Roman" w:cs="Times New Roman"/>
          <w:color w:val="FF0000"/>
          <w:spacing w:val="-6"/>
          <w:sz w:val="24"/>
          <w:szCs w:val="24"/>
          <w:lang w:val="en-US" w:eastAsia="zh-CN"/>
        </w:rPr>
        <w:t>。二级</w:t>
      </w:r>
      <w:r>
        <w:rPr>
          <w:rFonts w:hint="eastAsia" w:cs="Times New Roman"/>
          <w:color w:val="FF0000"/>
          <w:spacing w:val="-6"/>
          <w:sz w:val="24"/>
          <w:szCs w:val="24"/>
          <w:lang w:val="en-US" w:eastAsia="zh-CN"/>
        </w:rPr>
        <w:t>保护区</w:t>
      </w:r>
      <w:r>
        <w:rPr>
          <w:rFonts w:hint="default" w:ascii="Times New Roman" w:hAnsi="Times New Roman" w:cs="Times New Roman"/>
          <w:color w:val="FF0000"/>
          <w:spacing w:val="-6"/>
          <w:sz w:val="24"/>
          <w:szCs w:val="24"/>
          <w:lang w:val="en-US" w:eastAsia="zh-CN"/>
        </w:rPr>
        <w:t>陆域</w:t>
      </w:r>
      <w:r>
        <w:rPr>
          <w:rFonts w:hint="eastAsia" w:cs="Times New Roman"/>
          <w:color w:val="FF0000"/>
          <w:spacing w:val="-6"/>
          <w:sz w:val="24"/>
          <w:szCs w:val="24"/>
          <w:lang w:val="en-US" w:eastAsia="zh-CN"/>
        </w:rPr>
        <w:t>面积为</w:t>
      </w:r>
      <w:r>
        <w:rPr>
          <w:rFonts w:hint="default" w:ascii="Times New Roman" w:hAnsi="Times New Roman" w:cs="Times New Roman"/>
          <w:color w:val="FF0000"/>
          <w:spacing w:val="-6"/>
          <w:sz w:val="24"/>
          <w:szCs w:val="24"/>
          <w:lang w:val="en-US" w:eastAsia="zh-CN"/>
        </w:rPr>
        <w:t>213.673458公顷。</w:t>
      </w:r>
    </w:p>
    <w:p>
      <w:pPr>
        <w:spacing w:line="500" w:lineRule="exact"/>
        <w:ind w:firstLine="456" w:firstLineChars="200"/>
        <w:rPr>
          <w:rFonts w:hint="default" w:ascii="Times New Roman" w:hAnsi="Times New Roman" w:cs="Times New Roman"/>
          <w:color w:val="auto"/>
          <w:spacing w:val="-6"/>
          <w:sz w:val="24"/>
          <w:szCs w:val="24"/>
          <w:lang w:val="en-US" w:eastAsia="zh-CN"/>
        </w:rPr>
      </w:pPr>
    </w:p>
    <w:p>
      <w:pPr>
        <w:pStyle w:val="2"/>
        <w:jc w:val="center"/>
        <w:rPr>
          <w:rFonts w:hint="default" w:ascii="Times New Roman" w:hAnsi="Times New Roman" w:cs="Times New Roman"/>
          <w:color w:val="auto"/>
          <w:lang w:val="en-US" w:eastAsia="zh-CN"/>
        </w:rPr>
      </w:pPr>
      <w:bookmarkStart w:id="201" w:name="_Toc16377"/>
      <w:bookmarkStart w:id="202" w:name="_Toc32508"/>
      <w:r>
        <w:rPr>
          <w:rFonts w:hint="default" w:ascii="Times New Roman" w:hAnsi="Times New Roman" w:cs="Times New Roman"/>
          <w:color w:val="auto"/>
          <w:lang w:val="en-US" w:eastAsia="zh-CN"/>
        </w:rPr>
        <w:br w:type="page"/>
      </w:r>
    </w:p>
    <w:p>
      <w:pPr>
        <w:pStyle w:val="2"/>
        <w:jc w:val="center"/>
        <w:rPr>
          <w:rFonts w:hint="default" w:ascii="Times New Roman" w:hAnsi="Times New Roman" w:cs="Times New Roman"/>
          <w:color w:val="auto"/>
        </w:rPr>
      </w:pPr>
      <w:r>
        <w:rPr>
          <w:rFonts w:hint="eastAsia" w:cs="Times New Roman"/>
          <w:color w:val="auto"/>
          <w:lang w:val="en-US" w:eastAsia="zh-CN"/>
        </w:rPr>
        <w:t>6</w:t>
      </w:r>
      <w:r>
        <w:rPr>
          <w:rFonts w:hint="default" w:ascii="Times New Roman" w:hAnsi="Times New Roman" w:cs="Times New Roman"/>
          <w:color w:val="auto"/>
        </w:rPr>
        <w:t xml:space="preserve"> 水源保护区管理措施</w:t>
      </w:r>
      <w:bookmarkEnd w:id="201"/>
      <w:bookmarkEnd w:id="202"/>
    </w:p>
    <w:p>
      <w:pPr>
        <w:pStyle w:val="3"/>
        <w:rPr>
          <w:rFonts w:hint="default" w:ascii="Times New Roman" w:hAnsi="Times New Roman" w:cs="Times New Roman"/>
          <w:color w:val="auto"/>
        </w:rPr>
      </w:pPr>
      <w:bookmarkStart w:id="203" w:name="_Toc18598"/>
      <w:bookmarkStart w:id="204" w:name="_Toc29212"/>
      <w:r>
        <w:rPr>
          <w:rFonts w:hint="eastAsia" w:ascii="Times New Roman" w:hAnsi="Times New Roman" w:cs="Times New Roman"/>
          <w:color w:val="auto"/>
          <w:lang w:val="en-US" w:eastAsia="zh-CN"/>
        </w:rPr>
        <w:t>6.</w:t>
      </w:r>
      <w:r>
        <w:rPr>
          <w:rFonts w:hint="default" w:ascii="Times New Roman" w:hAnsi="Times New Roman" w:cs="Times New Roman"/>
          <w:color w:val="auto"/>
        </w:rPr>
        <w:t>1饮用水水源保护区界标标志工程</w:t>
      </w:r>
      <w:bookmarkEnd w:id="203"/>
      <w:bookmarkEnd w:id="204"/>
    </w:p>
    <w:p>
      <w:pPr>
        <w:spacing w:line="360" w:lineRule="auto"/>
        <w:ind w:firstLine="480" w:firstLineChars="200"/>
        <w:rPr>
          <w:rFonts w:hint="default" w:ascii="Times New Roman" w:hAnsi="Times New Roman" w:cs="Times New Roman"/>
          <w:color w:val="FF0000"/>
        </w:rPr>
      </w:pPr>
      <w:bookmarkStart w:id="205" w:name="_Toc5648"/>
      <w:r>
        <w:rPr>
          <w:rFonts w:hint="default" w:ascii="Times New Roman" w:hAnsi="Times New Roman" w:cs="Times New Roman"/>
          <w:color w:val="FF0000"/>
        </w:rPr>
        <w:t>根据《中华人民共和国水法》、《中华人民共和国水污染防治法》及其实施细则、《饮用水水源保护区污染防治管理规定》、《四川省饮用水水源保护管理条例》等的相关规定，由县环保局会同县水务局、卫生局等部门提出饮用水水源保护区划分方案，报请</w:t>
      </w:r>
      <w:r>
        <w:rPr>
          <w:rFonts w:hint="eastAsia" w:cs="Times New Roman"/>
          <w:color w:val="FF0000"/>
          <w:lang w:eastAsia="zh-CN"/>
        </w:rPr>
        <w:t>开江县</w:t>
      </w:r>
      <w:r>
        <w:rPr>
          <w:rFonts w:hint="default" w:ascii="Times New Roman" w:hAnsi="Times New Roman" w:cs="Times New Roman"/>
          <w:color w:val="FF0000"/>
        </w:rPr>
        <w:t>政府、</w:t>
      </w:r>
      <w:r>
        <w:rPr>
          <w:rFonts w:hint="eastAsia" w:cs="Times New Roman"/>
          <w:color w:val="FF0000"/>
          <w:lang w:eastAsia="zh-CN"/>
        </w:rPr>
        <w:t>开江</w:t>
      </w:r>
      <w:r>
        <w:rPr>
          <w:rFonts w:hint="default" w:ascii="Times New Roman" w:hAnsi="Times New Roman" w:cs="Times New Roman"/>
          <w:color w:val="FF0000"/>
        </w:rPr>
        <w:t>政府审定后，报四川省人民政府批准。经省人民政府批准后，由</w:t>
      </w:r>
      <w:r>
        <w:rPr>
          <w:rFonts w:hint="default" w:ascii="Times New Roman" w:hAnsi="Times New Roman" w:cs="Times New Roman"/>
          <w:color w:val="FF0000"/>
          <w:lang w:eastAsia="zh-CN"/>
        </w:rPr>
        <w:t>开江县</w:t>
      </w:r>
      <w:r>
        <w:rPr>
          <w:rFonts w:hint="default" w:ascii="Times New Roman" w:hAnsi="Times New Roman" w:cs="Times New Roman"/>
          <w:color w:val="FF0000"/>
        </w:rPr>
        <w:t>人民政府向社会公布水源保护区地理界线，并责成相关部门在一、二级保护区</w:t>
      </w:r>
      <w:r>
        <w:rPr>
          <w:rFonts w:hint="default" w:ascii="Times New Roman" w:hAnsi="Times New Roman" w:cs="Times New Roman"/>
          <w:color w:val="FF0000"/>
          <w:lang w:eastAsia="zh-CN"/>
        </w:rPr>
        <w:t>和准保护区</w:t>
      </w:r>
      <w:r>
        <w:rPr>
          <w:rFonts w:hint="default" w:ascii="Times New Roman" w:hAnsi="Times New Roman" w:cs="Times New Roman"/>
          <w:color w:val="FF0000"/>
        </w:rPr>
        <w:t>设置标志牌、警示牌、界碑、界桩等。</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（1）界标设立位置</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饮用水水源保护区界标的设立位置应以根据《饮用水水源保护区划分技术规范》（HJ/T338-2007）最终确定的各级保护区界线进行设</w:t>
      </w:r>
      <w:r>
        <w:rPr>
          <w:rFonts w:hint="default" w:ascii="Times New Roman" w:hAnsi="Times New Roman" w:cs="Times New Roman"/>
          <w:lang w:eastAsia="zh-CN"/>
        </w:rPr>
        <w:t>立</w:t>
      </w:r>
      <w:r>
        <w:rPr>
          <w:rFonts w:hint="default" w:ascii="Times New Roman" w:hAnsi="Times New Roman" w:cs="Times New Roman"/>
        </w:rPr>
        <w:t>，应充分考虑保护区地形、地标、地物的特点。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饮用水水源保护区界标一般设立于保护区陆域界线的顶点处。饮用水水源保护区陆域范围为矩形或接近矩形时（如某些</w:t>
      </w:r>
      <w:r>
        <w:rPr>
          <w:rFonts w:hint="eastAsia" w:cs="Times New Roman"/>
          <w:lang w:eastAsia="zh-CN"/>
        </w:rPr>
        <w:t>水库型</w:t>
      </w:r>
      <w:r>
        <w:rPr>
          <w:rFonts w:hint="default" w:ascii="Times New Roman" w:hAnsi="Times New Roman" w:cs="Times New Roman"/>
        </w:rPr>
        <w:t>饮用水水源保护区），宜在陆域外侧两顶点处设置界标；饮用水水源保护区陆域范围为弧形或接近弧形时（如某些湖库型饮用水水源保护区），宜在陆域两个弧端点及弧顶处设置界标；如果地下取水口为多个水井形成的井群，划定的保护区范围为多边形区域时，宜在多边形的各顶点处设立界标，也可结合水源地护栏围网等隔离防护工程设立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在划定的陆域范围内，可根据环境管理需要在人群易见、活动处（如交叉路口，绿地休闲区等）设立界标。饮用水水源保护区界标的设立应综合考虑饮用水水源一级保护区、二级保护区和准保护区的界标设立数量和分布而进行设置。</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（2）饮用水水源保护区交通警示牌的设立位置</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饮用水水源保护区交通警示牌设在保护区道路的进入点及驶出点。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饮用水水源保护区道路警示牌设置于一级保护区、二级保护区和准保护区范围内的主干道、高速公路等道路旁。道路警示牌的具体设立位置应符合《道路交通标志和标线》（GB5768-2009）的相关要求。</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（3）饮用水水源保护区宣传牌的设立位置</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饮用水水源保护区宣传牌的设立位置可根据实际需要在适当的位置设立饮用水源保护区宣传牌，但应符合《道路交通标志和标线》（GB5768-2009）的相关要求。</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06" w:name="_Toc18325"/>
      <w:bookmarkStart w:id="207" w:name="_Toc17511"/>
      <w:r>
        <w:rPr>
          <w:rFonts w:hint="eastAsia" w:ascii="Times New Roman" w:hAnsi="Times New Roman" w:cs="Times New Roman"/>
          <w:color w:val="auto"/>
          <w:lang w:val="en-US" w:eastAsia="zh-CN"/>
        </w:rPr>
        <w:t>6.</w:t>
      </w:r>
      <w:r>
        <w:rPr>
          <w:rFonts w:hint="default" w:ascii="Times New Roman" w:hAnsi="Times New Roman" w:cs="Times New Roman"/>
          <w:color w:val="auto"/>
        </w:rPr>
        <w:t>1.1饮用水水源保护区图形标志</w:t>
      </w:r>
      <w:bookmarkEnd w:id="205"/>
      <w:bookmarkEnd w:id="206"/>
      <w:bookmarkEnd w:id="207"/>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饮用水水源保护区标志包括饮用水水源保护区界标、饮用水水源保护区交通警示牌和饮用水水源保护区宣传牌。</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（1）饮用水水源保护区界标：是在饮用水水源保护区的地理边界设立的标志。标识饮用水水源保护区范围，并警示人们需谨慎行为。</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（2）饮用水水源保护区交通警示牌：警示车辆或行人进入饮用水水源保护区道路，需谨慎驾驶或谨慎行为的标志。</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（3）饮用水水源保护区宣传牌：根据实际需要，为保护当地饮用水水源而对过往人群进行宣传教育所设立的标志。</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饮用水水源保护区图形标志及尺寸比例如下图所示，饮用水水源 保护区图形标的尺寸可根据实际情况按比例缩放。</w:t>
      </w:r>
    </w:p>
    <w:p>
      <w:pPr>
        <w:spacing w:line="36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2725420" cy="2745740"/>
            <wp:effectExtent l="0" t="0" r="1778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5"/>
                    <a:stretch>
                      <a:fillRect/>
                    </a:stretch>
                  </pic:blipFill>
                  <pic:spPr>
                    <a:xfrm>
                      <a:off x="0" y="0"/>
                      <a:ext cx="2725420" cy="2745740"/>
                    </a:xfrm>
                    <a:prstGeom prst="rect">
                      <a:avLst/>
                    </a:prstGeom>
                    <a:noFill/>
                    <a:ln w="9525">
                      <a:noFill/>
                    </a:ln>
                  </pic:spPr>
                </pic:pic>
              </a:graphicData>
            </a:graphic>
          </wp:inline>
        </w:drawing>
      </w:r>
    </w:p>
    <w:p>
      <w:pPr>
        <w:jc w:val="center"/>
        <w:rPr>
          <w:rFonts w:hint="default" w:ascii="Times New Roman" w:hAnsi="Times New Roman" w:cs="Times New Roman"/>
          <w:b/>
          <w:color w:val="auto"/>
          <w:kern w:val="0"/>
          <w:sz w:val="23"/>
          <w:szCs w:val="23"/>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1</w:t>
      </w:r>
      <w:r>
        <w:rPr>
          <w:rFonts w:hint="default" w:ascii="Times New Roman" w:hAnsi="Times New Roman" w:cs="Times New Roman"/>
          <w:b/>
          <w:color w:val="auto"/>
          <w:kern w:val="0"/>
          <w:sz w:val="23"/>
          <w:szCs w:val="23"/>
        </w:rPr>
        <w:t>饮用水水源保护区图形标志及尺寸比例示意图</w:t>
      </w:r>
    </w:p>
    <w:p>
      <w:pPr>
        <w:jc w:val="center"/>
        <w:rPr>
          <w:rFonts w:hint="default" w:ascii="Times New Roman" w:hAnsi="Times New Roman" w:cs="Times New Roman"/>
          <w:b/>
          <w:color w:val="auto"/>
          <w:kern w:val="0"/>
          <w:sz w:val="23"/>
          <w:szCs w:val="23"/>
        </w:rPr>
      </w:pPr>
    </w:p>
    <w:p>
      <w:pPr>
        <w:jc w:val="center"/>
        <w:rPr>
          <w:rFonts w:hint="default" w:ascii="Times New Roman" w:hAnsi="Times New Roman" w:cs="Times New Roman"/>
          <w:color w:val="auto"/>
          <w:kern w:val="0"/>
        </w:rPr>
      </w:pPr>
      <w:r>
        <w:rPr>
          <w:rFonts w:hint="default" w:ascii="Times New Roman" w:hAnsi="Times New Roman" w:cs="Times New Roman"/>
          <w:color w:val="auto"/>
          <w:kern w:val="0"/>
        </w:rPr>
        <w:drawing>
          <wp:inline distT="0" distB="0" distL="114300" distR="114300">
            <wp:extent cx="5085715" cy="2996565"/>
            <wp:effectExtent l="0" t="0" r="635" b="133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6"/>
                    <a:stretch>
                      <a:fillRect/>
                    </a:stretch>
                  </pic:blipFill>
                  <pic:spPr>
                    <a:xfrm>
                      <a:off x="0" y="0"/>
                      <a:ext cx="5085715" cy="2996565"/>
                    </a:xfrm>
                    <a:prstGeom prst="rect">
                      <a:avLst/>
                    </a:prstGeom>
                    <a:noFill/>
                    <a:ln w="9525">
                      <a:noFill/>
                    </a:ln>
                  </pic:spPr>
                </pic:pic>
              </a:graphicData>
            </a:graphic>
          </wp:inline>
        </w:drawing>
      </w:r>
    </w:p>
    <w:p>
      <w:pPr>
        <w:rPr>
          <w:rFonts w:hint="default" w:ascii="Times New Roman" w:hAnsi="Times New Roman" w:cs="Times New Roman"/>
          <w:b/>
          <w:color w:val="auto"/>
          <w:kern w:val="0"/>
          <w:sz w:val="23"/>
          <w:szCs w:val="23"/>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2</w:t>
      </w:r>
      <w:r>
        <w:rPr>
          <w:rFonts w:hint="default" w:ascii="Times New Roman" w:hAnsi="Times New Roman" w:cs="Times New Roman"/>
          <w:b/>
          <w:color w:val="auto"/>
          <w:kern w:val="0"/>
          <w:sz w:val="23"/>
          <w:szCs w:val="23"/>
        </w:rPr>
        <w:t>饮用水水源保护区界标正面示意图 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3</w:t>
      </w:r>
      <w:r>
        <w:rPr>
          <w:rFonts w:hint="default" w:ascii="Times New Roman" w:hAnsi="Times New Roman" w:cs="Times New Roman"/>
          <w:b/>
          <w:color w:val="auto"/>
          <w:kern w:val="0"/>
          <w:sz w:val="23"/>
          <w:szCs w:val="23"/>
        </w:rPr>
        <w:t>饮用水水源保护区界标背面示意图</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503930" cy="1457960"/>
            <wp:effectExtent l="0" t="0" r="127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3503930" cy="1457960"/>
                    </a:xfrm>
                    <a:prstGeom prst="rect">
                      <a:avLst/>
                    </a:prstGeom>
                    <a:noFill/>
                    <a:ln w="9525">
                      <a:noFill/>
                    </a:ln>
                  </pic:spPr>
                </pic:pic>
              </a:graphicData>
            </a:graphic>
          </wp:inline>
        </w:drawing>
      </w:r>
    </w:p>
    <w:p>
      <w:pPr>
        <w:jc w:val="center"/>
        <w:rPr>
          <w:rFonts w:hint="default" w:ascii="Times New Roman" w:hAnsi="Times New Roman" w:cs="Times New Roman"/>
          <w:b/>
          <w:color w:val="auto"/>
          <w:kern w:val="0"/>
          <w:sz w:val="23"/>
          <w:szCs w:val="23"/>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4</w:t>
      </w:r>
      <w:r>
        <w:rPr>
          <w:rFonts w:hint="default" w:ascii="Times New Roman" w:hAnsi="Times New Roman" w:cs="Times New Roman"/>
          <w:b/>
          <w:color w:val="auto"/>
          <w:kern w:val="0"/>
          <w:sz w:val="23"/>
          <w:szCs w:val="23"/>
        </w:rPr>
        <w:t>饮用水水源保护区道路警示牌示意图（一般道路）</w:t>
      </w:r>
    </w:p>
    <w:p>
      <w:pPr>
        <w:jc w:val="center"/>
        <w:rPr>
          <w:rFonts w:hint="default" w:ascii="Times New Roman" w:hAnsi="Times New Roman" w:cs="Times New Roman"/>
          <w:b/>
          <w:color w:val="auto"/>
          <w:kern w:val="0"/>
          <w:sz w:val="23"/>
          <w:szCs w:val="23"/>
        </w:rPr>
      </w:pPr>
      <w:r>
        <w:rPr>
          <w:rFonts w:hint="default" w:ascii="Times New Roman" w:hAnsi="Times New Roman" w:cs="Times New Roman"/>
          <w:b/>
          <w:color w:val="auto"/>
          <w:kern w:val="0"/>
          <w:sz w:val="23"/>
          <w:szCs w:val="23"/>
        </w:rPr>
        <w:drawing>
          <wp:inline distT="0" distB="0" distL="114300" distR="114300">
            <wp:extent cx="3465830" cy="1398905"/>
            <wp:effectExtent l="0" t="0" r="127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a:stretch>
                      <a:fillRect/>
                    </a:stretch>
                  </pic:blipFill>
                  <pic:spPr>
                    <a:xfrm>
                      <a:off x="0" y="0"/>
                      <a:ext cx="3465830" cy="1398905"/>
                    </a:xfrm>
                    <a:prstGeom prst="rect">
                      <a:avLst/>
                    </a:prstGeom>
                    <a:noFill/>
                    <a:ln w="9525">
                      <a:noFill/>
                    </a:ln>
                  </pic:spPr>
                </pic:pic>
              </a:graphicData>
            </a:graphic>
          </wp:inline>
        </w:drawing>
      </w:r>
    </w:p>
    <w:p>
      <w:pPr>
        <w:jc w:val="center"/>
        <w:rPr>
          <w:rFonts w:hint="default" w:ascii="Times New Roman" w:hAnsi="Times New Roman" w:cs="Times New Roman"/>
          <w:b/>
          <w:color w:val="auto"/>
          <w:kern w:val="0"/>
          <w:sz w:val="23"/>
          <w:szCs w:val="23"/>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5</w:t>
      </w:r>
      <w:r>
        <w:rPr>
          <w:rFonts w:hint="default" w:ascii="Times New Roman" w:hAnsi="Times New Roman" w:cs="Times New Roman"/>
          <w:b/>
          <w:color w:val="auto"/>
          <w:kern w:val="0"/>
          <w:sz w:val="23"/>
          <w:szCs w:val="23"/>
        </w:rPr>
        <w:t>饮用水水源保护区道路警示牌示意图（高速公路）</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503930" cy="1457960"/>
            <wp:effectExtent l="0" t="0" r="127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3503930" cy="1457960"/>
                    </a:xfrm>
                    <a:prstGeom prst="rect">
                      <a:avLst/>
                    </a:prstGeom>
                    <a:noFill/>
                    <a:ln w="9525">
                      <a:noFill/>
                    </a:ln>
                  </pic:spPr>
                </pic:pic>
              </a:graphicData>
            </a:graphic>
          </wp:inline>
        </w:drawing>
      </w:r>
    </w:p>
    <w:p>
      <w:pPr>
        <w:jc w:val="center"/>
        <w:rPr>
          <w:rFonts w:hint="default" w:ascii="Times New Roman" w:hAnsi="Times New Roman" w:cs="Times New Roman"/>
          <w:color w:val="auto"/>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6驶离</w:t>
      </w:r>
      <w:r>
        <w:rPr>
          <w:rFonts w:hint="default" w:ascii="Times New Roman" w:hAnsi="Times New Roman" w:cs="Times New Roman"/>
          <w:b/>
          <w:color w:val="auto"/>
          <w:kern w:val="0"/>
          <w:sz w:val="23"/>
          <w:szCs w:val="23"/>
        </w:rPr>
        <w:t>饮用水水源保护区道路告示牌示意图（一般道路）</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3609975" cy="14573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3609975" cy="1457325"/>
                    </a:xfrm>
                    <a:prstGeom prst="rect">
                      <a:avLst/>
                    </a:prstGeom>
                    <a:noFill/>
                    <a:ln w="9525">
                      <a:noFill/>
                    </a:ln>
                  </pic:spPr>
                </pic:pic>
              </a:graphicData>
            </a:graphic>
          </wp:inline>
        </w:drawing>
      </w:r>
    </w:p>
    <w:p>
      <w:pPr>
        <w:jc w:val="center"/>
        <w:rPr>
          <w:rFonts w:hint="default" w:ascii="Times New Roman" w:hAnsi="Times New Roman" w:cs="Times New Roman"/>
          <w:color w:val="auto"/>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7 驶离</w:t>
      </w:r>
      <w:r>
        <w:rPr>
          <w:rFonts w:hint="default" w:ascii="Times New Roman" w:hAnsi="Times New Roman" w:cs="Times New Roman"/>
          <w:b/>
          <w:color w:val="auto"/>
          <w:kern w:val="0"/>
          <w:sz w:val="23"/>
          <w:szCs w:val="23"/>
        </w:rPr>
        <w:t>饮用水水源保护区道路告示牌示意图（高速公路）</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08" w:name="_Toc6031"/>
      <w:bookmarkStart w:id="209" w:name="_Toc28824"/>
      <w:bookmarkStart w:id="210" w:name="_Toc15046"/>
      <w:r>
        <w:rPr>
          <w:rFonts w:hint="eastAsia" w:ascii="Times New Roman" w:hAnsi="Times New Roman" w:cs="Times New Roman"/>
          <w:color w:val="auto"/>
          <w:lang w:val="en-US" w:eastAsia="zh-CN"/>
        </w:rPr>
        <w:t>6.</w:t>
      </w:r>
      <w:r>
        <w:rPr>
          <w:rFonts w:hint="default" w:ascii="Times New Roman" w:hAnsi="Times New Roman" w:cs="Times New Roman"/>
          <w:color w:val="auto"/>
        </w:rPr>
        <w:t>1.2饮用水水源保护区标志内容</w:t>
      </w:r>
      <w:bookmarkEnd w:id="208"/>
      <w:bookmarkEnd w:id="209"/>
      <w:bookmarkEnd w:id="210"/>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（1）界标内容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界标正面的上方为饮用水水源保护区图形标。中下方书写饮用水水源保护区名称，如：饮用水水源一级保护区、饮用水水源二级保护区等。下方为“监督管理电话：XXXXXXXX”等。监督管理方面的信息，监督管理电话一般为当地环境保护行政主管部门联系电话。饮用水水源保护区界标正面内容的示意图如图</w:t>
      </w:r>
      <w:r>
        <w:rPr>
          <w:rFonts w:hint="eastAsia" w:cs="Times New Roman"/>
          <w:color w:val="auto"/>
          <w:lang w:val="en-US" w:eastAsia="zh-CN"/>
        </w:rPr>
        <w:t>6-</w:t>
      </w:r>
      <w:r>
        <w:rPr>
          <w:rFonts w:hint="default" w:ascii="Times New Roman" w:hAnsi="Times New Roman" w:cs="Times New Roman"/>
          <w:color w:val="auto"/>
        </w:rPr>
        <w:t>2。</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界标背面的上方用清晰、易懂的图形或文字说明根据《饮用水水源保护区划分技术规范》（HJ/T338-2007）划定的饮用水水源保护区范围，以标明保护区准确地理坐标和范围参数等为宜。中下方书写饮用水水源保护区具体的管理要求，可引用《中华人民共和国水污染防治法》以及其它有关法律法规中关于饮用水水源保护区的条款和内容。最下方靠右处书写“XX政府XXXX年设立”字样。饮用水水源保护区界标背面内容的示意图如图</w:t>
      </w:r>
      <w:r>
        <w:rPr>
          <w:rFonts w:hint="eastAsia" w:cs="Times New Roman"/>
          <w:color w:val="auto"/>
          <w:lang w:val="en-US" w:eastAsia="zh-CN"/>
        </w:rPr>
        <w:t>6-</w:t>
      </w:r>
      <w:r>
        <w:rPr>
          <w:rFonts w:hint="default" w:ascii="Times New Roman" w:hAnsi="Times New Roman" w:cs="Times New Roman"/>
          <w:color w:val="auto"/>
        </w:rPr>
        <w:t>3。</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（2）交通警示牌内容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饮用水水源保护区道路警示牌：一般公路如图 </w:t>
      </w:r>
      <w:r>
        <w:rPr>
          <w:rFonts w:hint="eastAsia" w:cs="Times New Roman"/>
          <w:color w:val="auto"/>
          <w:lang w:val="en-US" w:eastAsia="zh-CN"/>
        </w:rPr>
        <w:t>6-</w:t>
      </w:r>
      <w:r>
        <w:rPr>
          <w:rFonts w:hint="default" w:ascii="Times New Roman" w:hAnsi="Times New Roman" w:cs="Times New Roman"/>
          <w:color w:val="auto"/>
        </w:rPr>
        <w:t xml:space="preserve">4，高速公路如图 </w:t>
      </w:r>
      <w:r>
        <w:rPr>
          <w:rFonts w:hint="eastAsia" w:cs="Times New Roman"/>
          <w:color w:val="auto"/>
          <w:lang w:val="en-US" w:eastAsia="zh-CN"/>
        </w:rPr>
        <w:t>6-</w:t>
      </w:r>
      <w:r>
        <w:rPr>
          <w:rFonts w:hint="default" w:ascii="Times New Roman" w:hAnsi="Times New Roman" w:cs="Times New Roman"/>
          <w:color w:val="auto"/>
        </w:rPr>
        <w:t>5。</w:t>
      </w:r>
    </w:p>
    <w:p>
      <w:pPr>
        <w:spacing w:line="360" w:lineRule="auto"/>
        <w:rPr>
          <w:rFonts w:hint="default" w:ascii="Times New Roman" w:hAnsi="Times New Roman" w:cs="Times New Roman"/>
          <w:color w:val="auto"/>
        </w:rPr>
      </w:pPr>
      <w:r>
        <w:rPr>
          <w:rFonts w:hint="default" w:ascii="Times New Roman" w:hAnsi="Times New Roman" w:cs="Times New Roman"/>
          <w:color w:val="auto"/>
        </w:rPr>
        <w:t xml:space="preserve">在驶离饮用水水源保护区的路侧，可设立驶离告示牌，一般公路如图 </w:t>
      </w:r>
      <w:r>
        <w:rPr>
          <w:rFonts w:hint="eastAsia" w:cs="Times New Roman"/>
          <w:color w:val="auto"/>
          <w:lang w:val="en-US" w:eastAsia="zh-CN"/>
        </w:rPr>
        <w:t>6-</w:t>
      </w:r>
      <w:r>
        <w:rPr>
          <w:rFonts w:hint="default" w:ascii="Times New Roman" w:hAnsi="Times New Roman" w:cs="Times New Roman"/>
          <w:color w:val="auto"/>
        </w:rPr>
        <w:t xml:space="preserve">6，高速公路如图 </w:t>
      </w:r>
      <w:r>
        <w:rPr>
          <w:rFonts w:hint="eastAsia" w:cs="Times New Roman"/>
          <w:color w:val="auto"/>
          <w:lang w:val="en-US" w:eastAsia="zh-CN"/>
        </w:rPr>
        <w:t>6-</w:t>
      </w:r>
      <w:r>
        <w:rPr>
          <w:rFonts w:hint="default" w:ascii="Times New Roman" w:hAnsi="Times New Roman" w:cs="Times New Roman"/>
          <w:color w:val="auto"/>
        </w:rPr>
        <w:t>7。</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（3）宣传牌内容</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各地方政府可根据实际需求设计宣传牌上的图形和文字，如介绍当地饮用水水源保护区的地形地貌、划分情况、保护现状、管理要求等。同时，针对本饮用水水源地位于藏族聚居区，因此，还应在宣传牌上设计对应的藏文内容。</w:t>
      </w:r>
    </w:p>
    <w:p>
      <w:pPr>
        <w:spacing w:line="360" w:lineRule="auto"/>
        <w:rPr>
          <w:rFonts w:hint="default" w:ascii="Times New Roman" w:hAnsi="Times New Roman" w:cs="Times New Roman"/>
          <w:color w:val="auto"/>
        </w:rPr>
      </w:pPr>
      <w:r>
        <w:rPr>
          <w:rFonts w:hint="default" w:ascii="Times New Roman" w:hAnsi="Times New Roman" w:cs="Times New Roman"/>
          <w:color w:val="auto"/>
        </w:rPr>
        <w:t>饮用水水源保护区宣传牌宜在明显位置采用饮用水水源保护区图形标。</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11" w:name="_Toc182"/>
      <w:bookmarkStart w:id="212" w:name="_Toc20633"/>
      <w:bookmarkStart w:id="213" w:name="_Toc13744"/>
      <w:r>
        <w:rPr>
          <w:rFonts w:hint="eastAsia" w:ascii="Times New Roman" w:hAnsi="Times New Roman" w:cs="Times New Roman"/>
          <w:color w:val="auto"/>
          <w:lang w:val="en-US" w:eastAsia="zh-CN"/>
        </w:rPr>
        <w:t>6.</w:t>
      </w:r>
      <w:r>
        <w:rPr>
          <w:rFonts w:hint="default" w:ascii="Times New Roman" w:hAnsi="Times New Roman" w:cs="Times New Roman"/>
          <w:color w:val="auto"/>
        </w:rPr>
        <w:t>1.3饮用水水源保护区标志的构造</w:t>
      </w:r>
      <w:bookmarkEnd w:id="211"/>
      <w:bookmarkEnd w:id="212"/>
      <w:bookmarkEnd w:id="213"/>
    </w:p>
    <w:p>
      <w:pPr>
        <w:spacing w:line="360" w:lineRule="auto"/>
        <w:ind w:firstLine="480" w:firstLineChars="200"/>
        <w:rPr>
          <w:rFonts w:hint="default" w:ascii="Times New Roman" w:hAnsi="Times New Roman" w:cs="Times New Roman"/>
        </w:rPr>
      </w:pPr>
      <w:bookmarkStart w:id="214" w:name="_Toc29534"/>
      <w:r>
        <w:rPr>
          <w:rFonts w:hint="default" w:ascii="Times New Roman" w:hAnsi="Times New Roman" w:cs="Times New Roman"/>
        </w:rPr>
        <w:t xml:space="preserve">（1）颜色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图形标的基本色为蓝色，“两滴水”为绿色，“饮用水杯”为白色，文字为蓝色。饮用水水源保护区道路警示牌的颜色一般道路为蓝底、白边，图案背景和文字为白色；高速公路为绿底、白边，图案背景和文字为白色。</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饮用水水源保护区航道警示牌的颜色为黄底、黑边、白色图案背 景，黑色文字；立柱为黄色和黑色相间的斜向条纹。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饮用水水源保护区宣传牌颜色由各地方政府根据实际情况确定。</w:t>
      </w:r>
    </w:p>
    <w:p>
      <w:pPr>
        <w:ind w:firstLine="480" w:firstLineChars="200"/>
        <w:rPr>
          <w:rFonts w:hint="default" w:ascii="Times New Roman" w:hAnsi="Times New Roman" w:cs="Times New Roman"/>
        </w:rPr>
      </w:pPr>
      <w:r>
        <w:rPr>
          <w:rFonts w:hint="default" w:ascii="Times New Roman" w:hAnsi="Times New Roman" w:cs="Times New Roman"/>
        </w:rPr>
        <w:t xml:space="preserve">（2）尺寸 </w:t>
      </w:r>
    </w:p>
    <w:p>
      <w:pPr>
        <w:spacing w:line="360" w:lineRule="auto"/>
        <w:ind w:firstLine="480" w:firstLineChars="200"/>
        <w:jc w:val="left"/>
        <w:rPr>
          <w:rFonts w:hint="default" w:ascii="Times New Roman" w:hAnsi="Times New Roman" w:cs="Times New Roman"/>
        </w:rPr>
      </w:pPr>
      <w:r>
        <w:rPr>
          <w:rFonts w:hint="default" w:ascii="Times New Roman" w:hAnsi="Times New Roman" w:cs="Times New Roman"/>
        </w:rPr>
        <w:t>饮用水水源保护区标志的尺寸见《饮用水水源保护区标志技术要求》（HJ/T433-2008）附录B。饮用水水源保护区标志的尺寸可根据实际情况按比例缩放。</w:t>
      </w:r>
    </w:p>
    <w:p>
      <w:pPr>
        <w:ind w:firstLine="480" w:firstLineChars="200"/>
        <w:rPr>
          <w:rFonts w:hint="default" w:ascii="Times New Roman" w:hAnsi="Times New Roman" w:cs="Times New Roman"/>
        </w:rPr>
      </w:pPr>
      <w:r>
        <w:rPr>
          <w:rFonts w:hint="default" w:ascii="Times New Roman" w:hAnsi="Times New Roman" w:cs="Times New Roman"/>
        </w:rPr>
        <w:t xml:space="preserve">（3）支持方式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界标宜采用双柱式的支持方式，尺寸可参考《道路交通标志和标线》（GB5768-2009）。饮用水水源保护区交通警示牌的支持方式形式可多样，但必须符合《道路交通标志和标线》（GB5768-2009）的规定。饮用水水源保护区宣传牌的支持方式由地方主管部门根据实际情况确定。</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标志柱的结构设计可参考《道路交通标志和标线》（GB5768-2009）中交通标志柱的结构设计进行。</w:t>
      </w:r>
    </w:p>
    <w:p>
      <w:pPr>
        <w:ind w:firstLine="480" w:firstLineChars="200"/>
        <w:rPr>
          <w:rFonts w:hint="default" w:ascii="Times New Roman" w:hAnsi="Times New Roman" w:cs="Times New Roman"/>
        </w:rPr>
      </w:pPr>
      <w:r>
        <w:rPr>
          <w:rFonts w:hint="default" w:ascii="Times New Roman" w:hAnsi="Times New Roman" w:cs="Times New Roman"/>
        </w:rPr>
        <w:t xml:space="preserve">（4）材质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饮用水水源保护区标志应遵循耐久、经济的原则，宜采用铝合金板、合成树脂类板材等材质。饮用水水源保护区界标如有必要，也可采用大理石等材质。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标志表面宜采用反光材料。道路警示牌的反光性能按照《道路交通标志标线》（GB5768-2009）执行。</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15" w:name="_Toc24653"/>
      <w:bookmarkStart w:id="216" w:name="_Toc31242"/>
      <w:r>
        <w:rPr>
          <w:rFonts w:hint="eastAsia" w:ascii="Times New Roman" w:hAnsi="Times New Roman" w:cs="Times New Roman"/>
          <w:color w:val="auto"/>
          <w:lang w:val="en-US" w:eastAsia="zh-CN"/>
        </w:rPr>
        <w:t>6.</w:t>
      </w:r>
      <w:r>
        <w:rPr>
          <w:rFonts w:hint="default" w:ascii="Times New Roman" w:hAnsi="Times New Roman" w:cs="Times New Roman"/>
          <w:color w:val="auto"/>
        </w:rPr>
        <w:t>1.4饮用水水源保护区标志的制作</w:t>
      </w:r>
      <w:bookmarkEnd w:id="214"/>
      <w:bookmarkEnd w:id="215"/>
      <w:bookmarkEnd w:id="216"/>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饮用水水源保护区标志由各级地方人民政府设立，国家环境保护行政主管部门统一监制。</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标志的加工要求、外观质量及其测试方法可参照《道路交通标志板及支撑件》（GB/T2382</w:t>
      </w:r>
      <w:r>
        <w:rPr>
          <w:rFonts w:hint="eastAsia" w:cs="Times New Roman"/>
          <w:color w:val="auto"/>
          <w:lang w:val="en-US" w:eastAsia="zh-CN"/>
        </w:rPr>
        <w:t>7</w:t>
      </w:r>
      <w:r>
        <w:rPr>
          <w:rFonts w:hint="eastAsia" w:cs="Times New Roman"/>
          <w:color w:val="auto"/>
          <w:lang w:eastAsia="zh-CN"/>
        </w:rPr>
        <w:t>-</w:t>
      </w:r>
      <w:r>
        <w:rPr>
          <w:rFonts w:hint="default" w:ascii="Times New Roman" w:hAnsi="Times New Roman" w:cs="Times New Roman"/>
          <w:color w:val="auto"/>
        </w:rPr>
        <w:t>2009）的有关规定执行。</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17" w:name="_Toc15748"/>
      <w:bookmarkStart w:id="218" w:name="_Toc31690"/>
      <w:bookmarkStart w:id="219" w:name="_Toc12877"/>
      <w:r>
        <w:rPr>
          <w:rFonts w:hint="eastAsia" w:ascii="Times New Roman" w:hAnsi="Times New Roman" w:cs="Times New Roman"/>
          <w:color w:val="auto"/>
          <w:lang w:val="en-US" w:eastAsia="zh-CN"/>
        </w:rPr>
        <w:t>6.</w:t>
      </w:r>
      <w:r>
        <w:rPr>
          <w:rFonts w:hint="default" w:ascii="Times New Roman" w:hAnsi="Times New Roman" w:cs="Times New Roman"/>
          <w:color w:val="auto"/>
        </w:rPr>
        <w:t>1.5饮用水水源保护区标志的设立位置</w:t>
      </w:r>
      <w:bookmarkEnd w:id="217"/>
      <w:bookmarkEnd w:id="218"/>
      <w:bookmarkEnd w:id="219"/>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参照《饮用水水源保护区标志技术要求》（HJ/T433-2008），水源保护区标志的设立位置如下： </w:t>
      </w:r>
    </w:p>
    <w:p>
      <w:pPr>
        <w:ind w:firstLine="480" w:firstLineChars="200"/>
        <w:rPr>
          <w:rFonts w:hint="default" w:ascii="Times New Roman" w:hAnsi="Times New Roman" w:cs="Times New Roman"/>
        </w:rPr>
      </w:pPr>
      <w:r>
        <w:rPr>
          <w:rFonts w:hint="default" w:ascii="Times New Roman" w:hAnsi="Times New Roman" w:cs="Times New Roman"/>
        </w:rPr>
        <w:t xml:space="preserve">1、一级保护区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①一级保护区水域范围界标设立位置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取水口靠岸水域宽度处设立1个保护区界标（如上图中A0点）。上游水域陆地边界处，以根据《饮用水水源保护区划分技术规范》（HJ/T338-2007）划定的取水口上游水域长度和水域宽度确定的上游水域陆地边界处设立1个界标（如上图中A1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沿上游水域，以根据《饮用水水源保护区划分技术规范》（HJ/T338-2007）划定的水域宽度为宽度，若上游水域陆地边界处与取水口水平距离小于1500米，则在取水口与上游水域陆地边界处的中间长度位置设置1个界标（如上图中D1点）；若上游水域陆地边界处与取水口水平距离超过1500米，需每隔不超过750米长度的距离等距设立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下游水域陆地边界处，以根据《饮用水水源保护区划分技术规范》（HJ/T338-2007）划定的取水口下游水域长度和水域宽度确定的下游水域陆地边界处设立1个界标（如上图中A2点）。若下游范围与上游范围相当（如潮汐河段水源地），则参考沿上游水域界标设置方式沿下游水域设置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若水源保护区水域宽度为整个河道范围，则在取水口对岸相应位置设立界标。</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②一级保护区陆域范围界标设立位置</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以根据《饮用水水源保护区划分技术规范》（HJ/T338-2007）划定的陆域沿岸纵深距离为宽度，参考水域长度的距离设立界标（如上 图中A3、A4、A5、D2点）。</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在划定的陆域范围内，应根据实际需要在人群易见、活动处（如交叉路口，绿地休闲区等）设立界标。 可依据自然地理、环境特征和环境管理需要设立界标。</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③若根据《饮用水水源保护区划分技术规范》（HJ/T338-2007）划定的陆域沿岸纵深与河岸的水平距离小于500米，则水域范围边界不设立界标，而在保护区的陆域范围边界设立。</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2、二级保护区</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①二级保护区水域范围界标设立位置二级保护区上游水域陆地边界处，以根据《饮用水水源保护区划分技术规范》（HJ/T338-2007）划定的二级保护区上游水域长度和水域宽度确定的上游水域陆地边界处设立 1 个界标（如上图中 B1、B3 点）。</w:t>
      </w:r>
    </w:p>
    <w:p>
      <w:pPr>
        <w:spacing w:line="360" w:lineRule="auto"/>
        <w:ind w:firstLine="480" w:firstLineChars="200"/>
        <w:rPr>
          <w:rFonts w:hint="default" w:ascii="Times New Roman" w:hAnsi="Times New Roman" w:cs="Times New Roman"/>
          <w:color w:val="FF0000"/>
        </w:rPr>
      </w:pPr>
      <w:r>
        <w:rPr>
          <w:rFonts w:hint="default" w:ascii="Times New Roman" w:hAnsi="Times New Roman" w:cs="Times New Roman"/>
          <w:color w:val="FF0000"/>
        </w:rPr>
        <w:t>沿上游水域，以根据《饮用水水源保护区划分技术规范》（HJ/T338-2007）划定的水域宽度为宽度，若二级保护区上游边界与一级保护区上游边界的水平距离小于3000米，则在二级保护区上游边界与一级保护区上游边界的中间长度位置设置1个界标（如上图中C1点）；若上游水域陆地边界处与一级保护区上游边界的水平距离超过3000米，需不超过1500米长度的间隔等距设立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二级保护区下游水域陆地边界处，以根据《饮用水水源保护区划分技术规范》（HJ/T338-2007）划定的二级保护区下游水域长度和水域宽度确定的下游水域陆地边界处设立1个界标（如上图中B2、B4点）。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②二级保护区陆域范围界标设立位置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根据《饮用水水源保护区划分技术规范》（HJ/T338-2007）划定的二级保护区陆域沿岸纵深距离为宽度，参考水域长度的距离设立界标（如上图中B5、B6、B7、B8点）。</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在划定的陆域范围内，应根据实际需要在人群易见、活动处（如交叉路口，绿地休闲区等）设立界标。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可依据自然地理、环境特征和环境管理需要设立界标。</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w:t>
      </w:r>
      <w:r>
        <w:rPr>
          <w:rFonts w:hint="default" w:ascii="Times New Roman" w:hAnsi="Times New Roman" w:cs="Times New Roman"/>
          <w:lang w:eastAsia="zh-CN"/>
        </w:rPr>
        <w:t>准</w:t>
      </w:r>
      <w:r>
        <w:rPr>
          <w:rFonts w:hint="default" w:ascii="Times New Roman" w:hAnsi="Times New Roman" w:cs="Times New Roman"/>
        </w:rPr>
        <w:t>保护区</w:t>
      </w:r>
    </w:p>
    <w:p>
      <w:pPr>
        <w:spacing w:line="360" w:lineRule="auto"/>
        <w:ind w:firstLine="480" w:firstLineChars="200"/>
        <w:jc w:val="left"/>
        <w:rPr>
          <w:rFonts w:hint="default" w:ascii="Times New Roman" w:hAnsi="Times New Roman" w:cs="Times New Roman"/>
          <w:color w:val="auto"/>
        </w:rPr>
      </w:pPr>
      <w:r>
        <w:rPr>
          <w:rFonts w:hint="default" w:ascii="Times New Roman" w:hAnsi="Times New Roman" w:cs="Times New Roman"/>
          <w:color w:val="auto"/>
          <w:lang w:eastAsia="zh-CN"/>
        </w:rPr>
        <w:t>准保护区参考二级保护区</w:t>
      </w:r>
      <w:r>
        <w:rPr>
          <w:rFonts w:hint="default" w:ascii="Times New Roman" w:hAnsi="Times New Roman" w:cs="Times New Roman"/>
          <w:color w:val="auto"/>
        </w:rPr>
        <w:t>标志的设立位置</w:t>
      </w:r>
      <w:r>
        <w:rPr>
          <w:rFonts w:hint="default" w:ascii="Times New Roman" w:hAnsi="Times New Roman" w:cs="Times New Roman"/>
          <w:color w:val="auto"/>
          <w:lang w:eastAsia="zh-CN"/>
        </w:rPr>
        <w:t>进行设立</w:t>
      </w:r>
      <w:r>
        <w:rPr>
          <w:rFonts w:hint="default" w:ascii="Times New Roman" w:hAnsi="Times New Roman" w:cs="Times New Roman"/>
          <w:color w:val="auto"/>
        </w:rPr>
        <w:t>。</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t>综上，水源地保护区图形标志数量统计见下表。</w:t>
      </w:r>
    </w:p>
    <w:p>
      <w:pPr>
        <w:pStyle w:val="19"/>
        <w:jc w:val="center"/>
        <w:rPr>
          <w:rFonts w:hint="default" w:ascii="Times New Roman" w:hAnsi="Times New Roman" w:cs="Times New Roman"/>
          <w:color w:val="auto"/>
        </w:rPr>
      </w:pPr>
      <w:r>
        <w:rPr>
          <w:rFonts w:hint="default" w:ascii="Times New Roman" w:hAnsi="Times New Roman" w:cs="Times New Roman"/>
          <w:b/>
          <w:color w:val="auto"/>
          <w:sz w:val="21"/>
          <w:szCs w:val="21"/>
        </w:rPr>
        <w:t>表</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1  水源地保护区图形标志数量统计表表</w:t>
      </w:r>
    </w:p>
    <w:tbl>
      <w:tblPr>
        <w:tblStyle w:val="16"/>
        <w:tblW w:w="846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9"/>
        <w:gridCol w:w="1005"/>
        <w:gridCol w:w="720"/>
        <w:gridCol w:w="1275"/>
        <w:gridCol w:w="1650"/>
        <w:gridCol w:w="3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39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00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水源地名称</w:t>
            </w:r>
          </w:p>
        </w:tc>
        <w:tc>
          <w:tcPr>
            <w:tcW w:w="72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界标</w:t>
            </w:r>
          </w:p>
        </w:tc>
        <w:tc>
          <w:tcPr>
            <w:tcW w:w="1275"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交通警示牌</w:t>
            </w:r>
          </w:p>
        </w:tc>
        <w:tc>
          <w:tcPr>
            <w:tcW w:w="16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饮用水水源保护区宣传牌</w:t>
            </w:r>
          </w:p>
        </w:tc>
        <w:tc>
          <w:tcPr>
            <w:tcW w:w="3413" w:type="dxa"/>
            <w:vAlign w:val="center"/>
          </w:tcPr>
          <w:p>
            <w:pPr>
              <w:jc w:val="center"/>
              <w:rPr>
                <w:rFonts w:hint="default" w:ascii="Times New Roman" w:hAnsi="Times New Roman"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99"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005" w:type="dxa"/>
            <w:vAlign w:val="center"/>
          </w:tcPr>
          <w:p>
            <w:pPr>
              <w:ind w:left="-2" w:leftChars="-1"/>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eastAsia="zh-CN"/>
              </w:rPr>
              <w:t>开江县</w:t>
            </w:r>
            <w:r>
              <w:rPr>
                <w:rFonts w:hint="eastAsia" w:cs="Times New Roman"/>
                <w:color w:val="auto"/>
                <w:sz w:val="21"/>
                <w:szCs w:val="21"/>
                <w:lang w:eastAsia="zh-CN"/>
              </w:rPr>
              <w:t>老河堰</w:t>
            </w:r>
            <w:r>
              <w:rPr>
                <w:rFonts w:hint="default" w:ascii="Times New Roman" w:hAnsi="Times New Roman" w:cs="Times New Roman"/>
                <w:color w:val="auto"/>
                <w:sz w:val="21"/>
                <w:szCs w:val="21"/>
                <w:lang w:eastAsia="zh-CN"/>
              </w:rPr>
              <w:t>水库</w:t>
            </w:r>
          </w:p>
        </w:tc>
        <w:tc>
          <w:tcPr>
            <w:tcW w:w="72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51</w:t>
            </w:r>
          </w:p>
        </w:tc>
        <w:tc>
          <w:tcPr>
            <w:tcW w:w="1275"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color w:val="auto"/>
                <w:sz w:val="21"/>
                <w:szCs w:val="21"/>
                <w:lang w:val="en-US" w:eastAsia="zh-CN"/>
              </w:rPr>
              <w:t>1</w:t>
            </w:r>
          </w:p>
        </w:tc>
        <w:tc>
          <w:tcPr>
            <w:tcW w:w="16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3413"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级保护区</w:t>
            </w:r>
            <w:r>
              <w:rPr>
                <w:rFonts w:hint="default" w:ascii="Times New Roman" w:hAnsi="Times New Roman" w:cs="Times New Roman"/>
                <w:color w:val="auto"/>
                <w:sz w:val="21"/>
                <w:szCs w:val="21"/>
                <w:lang w:eastAsia="zh-CN"/>
              </w:rPr>
              <w:t>取水口</w:t>
            </w:r>
            <w:r>
              <w:rPr>
                <w:rFonts w:hint="default" w:ascii="Times New Roman" w:hAnsi="Times New Roman" w:cs="Times New Roman"/>
                <w:color w:val="auto"/>
                <w:sz w:val="21"/>
                <w:szCs w:val="21"/>
              </w:rPr>
              <w:t>附近有居民，在居民附近河道旁设置1个警示牌</w:t>
            </w:r>
          </w:p>
        </w:tc>
      </w:tr>
    </w:tbl>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default" w:ascii="Times New Roman" w:hAnsi="Times New Roman" w:cs="Times New Roman"/>
          <w:color w:val="auto"/>
        </w:rPr>
      </w:pPr>
      <w:bookmarkStart w:id="220" w:name="_Toc16727"/>
      <w:bookmarkStart w:id="221" w:name="_Toc3333"/>
      <w:bookmarkStart w:id="222" w:name="_Toc11519"/>
      <w:r>
        <w:rPr>
          <w:rFonts w:hint="eastAsia" w:ascii="Times New Roman" w:hAnsi="Times New Roman" w:cs="Times New Roman"/>
          <w:color w:val="auto"/>
          <w:lang w:val="en-US" w:eastAsia="zh-CN"/>
        </w:rPr>
        <w:t>6.</w:t>
      </w:r>
      <w:r>
        <w:rPr>
          <w:rFonts w:hint="default" w:ascii="Times New Roman" w:hAnsi="Times New Roman" w:cs="Times New Roman"/>
          <w:color w:val="auto"/>
        </w:rPr>
        <w:t>1.6饮用水水源保护区标志的管理与维护</w:t>
      </w:r>
      <w:bookmarkEnd w:id="220"/>
      <w:bookmarkEnd w:id="221"/>
      <w:bookmarkEnd w:id="222"/>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饮用水水源保护区标志由各级地方政府或其环境保护行政主管部门负责管理和维护。</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23" w:name="_Toc30719"/>
      <w:bookmarkStart w:id="224" w:name="_Toc9207"/>
      <w:r>
        <w:rPr>
          <w:rFonts w:hint="eastAsia" w:ascii="Times New Roman" w:hAnsi="Times New Roman" w:cs="Times New Roman"/>
          <w:color w:val="auto"/>
          <w:lang w:val="en-US" w:eastAsia="zh-CN"/>
        </w:rPr>
        <w:t>6.</w:t>
      </w:r>
      <w:r>
        <w:rPr>
          <w:rFonts w:hint="default" w:ascii="Times New Roman" w:hAnsi="Times New Roman" w:cs="Times New Roman"/>
          <w:color w:val="auto"/>
        </w:rPr>
        <w:t>2饮用水水源保护区防护隔离工程</w:t>
      </w:r>
      <w:bookmarkEnd w:id="223"/>
      <w:bookmarkEnd w:id="224"/>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为分隔人类活动和牛羊群对水源的干扰，减少污染物排放，增加保护区的生物多样性，需对水源地一级保护区进行隔离防护。《四川省饮用水水源保护管理条例》规定：饮用水水源一级保护区应当设置 隔离设施，实行封闭式管理。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在水源地一级保护区陆域周围建设隔离防护设施。结合具体情况，可采用在水源保护区的边界建护栏、围网等物理隔离设施。 </w:t>
      </w:r>
    </w:p>
    <w:p>
      <w:pPr>
        <w:rPr>
          <w:rFonts w:hint="default" w:ascii="Times New Roman" w:hAnsi="Times New Roman" w:cs="Times New Roman"/>
        </w:rPr>
      </w:pPr>
      <w:r>
        <w:rPr>
          <w:rFonts w:hint="default" w:ascii="Times New Roman" w:hAnsi="Times New Roman" w:cs="Times New Roman"/>
        </w:rPr>
        <w:t xml:space="preserve">1、隔离设施建设范围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为了有效保护饮用水水源保护区不受外界干扰，特别是牛羊群的进入，在一级保护区内设置隔离围栏（围网）。 </w:t>
      </w:r>
    </w:p>
    <w:p>
      <w:pPr>
        <w:rPr>
          <w:rFonts w:hint="default" w:ascii="Times New Roman" w:hAnsi="Times New Roman" w:cs="Times New Roman"/>
        </w:rPr>
      </w:pPr>
      <w:r>
        <w:rPr>
          <w:rFonts w:hint="default" w:ascii="Times New Roman" w:hAnsi="Times New Roman" w:cs="Times New Roman"/>
        </w:rPr>
        <w:t xml:space="preserve">2、围栏规格、标准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采用高150cm的铁丝网围栏，用3-5mm粗低碳钢丝焊接而成，其 具有很好的抗老化、抗晒、耐腐蚀等特点，网孔5cm×15cm，网片做折弯处理，既达到美观、又能增强抗冲击力。支柱采用上边5cm、下边8cm的梯形立柱，顶部做135度的弯头处理，底部加20cm×20cm法兰盘焊接而成。 </w:t>
      </w:r>
    </w:p>
    <w:p>
      <w:pPr>
        <w:rPr>
          <w:rFonts w:hint="default" w:ascii="Times New Roman" w:hAnsi="Times New Roman" w:cs="Times New Roman"/>
        </w:rPr>
      </w:pPr>
      <w:r>
        <w:rPr>
          <w:rFonts w:hint="default" w:ascii="Times New Roman" w:hAnsi="Times New Roman" w:cs="Times New Roman"/>
        </w:rPr>
        <w:t xml:space="preserve">3、网围栏建设技术要求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①立柱每2m栽一根，地下埋深为50cm，应压紧、夯实、垂直。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②围栏必须绷紧拉直，固定牢固。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4、围栏投资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铁丝网围栏每米按20</w:t>
      </w:r>
      <w:r>
        <w:rPr>
          <w:rFonts w:hint="default" w:ascii="Times New Roman" w:hAnsi="Times New Roman" w:cs="Times New Roman"/>
          <w:lang w:val="en-US" w:eastAsia="zh-CN"/>
        </w:rPr>
        <w:t>0</w:t>
      </w:r>
      <w:r>
        <w:rPr>
          <w:rFonts w:hint="default" w:ascii="Times New Roman" w:hAnsi="Times New Roman" w:cs="Times New Roman"/>
        </w:rPr>
        <w:t xml:space="preserve">元计算。 </w:t>
      </w:r>
    </w:p>
    <w:p>
      <w:pPr>
        <w:spacing w:line="360" w:lineRule="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943475" cy="22002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a:stretch>
                      <a:fillRect/>
                    </a:stretch>
                  </pic:blipFill>
                  <pic:spPr>
                    <a:xfrm>
                      <a:off x="0" y="0"/>
                      <a:ext cx="4943475" cy="2200275"/>
                    </a:xfrm>
                    <a:prstGeom prst="rect">
                      <a:avLst/>
                    </a:prstGeom>
                    <a:noFill/>
                    <a:ln w="9525">
                      <a:noFill/>
                    </a:ln>
                  </pic:spPr>
                </pic:pic>
              </a:graphicData>
            </a:graphic>
          </wp:inline>
        </w:drawing>
      </w:r>
    </w:p>
    <w:p>
      <w:pPr>
        <w:spacing w:line="360" w:lineRule="auto"/>
        <w:jc w:val="center"/>
        <w:rPr>
          <w:rFonts w:hint="default" w:ascii="Times New Roman" w:hAnsi="Times New Roman" w:cs="Times New Roman"/>
          <w:b/>
          <w:bCs/>
          <w:color w:val="auto"/>
          <w:kern w:val="0"/>
          <w:sz w:val="23"/>
          <w:szCs w:val="23"/>
        </w:rPr>
      </w:pPr>
      <w:r>
        <w:rPr>
          <w:rFonts w:hint="default" w:ascii="Times New Roman" w:hAnsi="Times New Roman" w:cs="Times New Roman"/>
          <w:b/>
          <w:color w:val="auto"/>
          <w:kern w:val="0"/>
          <w:sz w:val="23"/>
          <w:szCs w:val="23"/>
        </w:rPr>
        <w:t>图</w:t>
      </w:r>
      <w:r>
        <w:rPr>
          <w:rFonts w:hint="eastAsia" w:cs="Times New Roman"/>
          <w:b/>
          <w:bCs/>
          <w:color w:val="auto"/>
          <w:kern w:val="0"/>
          <w:sz w:val="23"/>
          <w:szCs w:val="23"/>
          <w:lang w:val="en-US" w:eastAsia="zh-CN"/>
        </w:rPr>
        <w:t>6-</w:t>
      </w:r>
      <w:r>
        <w:rPr>
          <w:rFonts w:hint="default" w:ascii="Times New Roman" w:hAnsi="Times New Roman" w:cs="Times New Roman"/>
          <w:b/>
          <w:bCs/>
          <w:color w:val="auto"/>
          <w:kern w:val="0"/>
          <w:sz w:val="23"/>
          <w:szCs w:val="23"/>
        </w:rPr>
        <w:t>9 铁丝网围栏示意图</w:t>
      </w:r>
    </w:p>
    <w:p>
      <w:pPr>
        <w:pStyle w:val="19"/>
        <w:rPr>
          <w:rFonts w:hint="default" w:ascii="Times New Roman" w:hAnsi="Times New Roman" w:cs="Times New Roman"/>
          <w:color w:val="auto"/>
        </w:rPr>
      </w:pPr>
      <w:r>
        <w:rPr>
          <w:rFonts w:hint="default" w:ascii="Times New Roman" w:hAnsi="Times New Roman" w:cs="Times New Roman"/>
          <w:color w:val="auto"/>
        </w:rPr>
        <w:t>围栏数量统计见下表：</w:t>
      </w:r>
    </w:p>
    <w:p>
      <w:pPr>
        <w:spacing w:line="240" w:lineRule="auto"/>
        <w:ind w:firstLine="422" w:firstLineChars="200"/>
        <w:jc w:val="center"/>
        <w:rPr>
          <w:rFonts w:hint="default" w:ascii="Times New Roman" w:hAnsi="Times New Roman" w:cs="Times New Roman"/>
          <w:b/>
          <w:bCs/>
          <w:color w:val="auto"/>
          <w:sz w:val="21"/>
          <w:szCs w:val="21"/>
        </w:rPr>
      </w:pPr>
      <w:r>
        <w:rPr>
          <w:rFonts w:hint="default" w:ascii="Times New Roman" w:hAnsi="Times New Roman" w:cs="Times New Roman"/>
          <w:b/>
          <w:color w:val="auto"/>
          <w:sz w:val="21"/>
          <w:szCs w:val="21"/>
        </w:rPr>
        <w:t>表</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rPr>
        <w:t>2  水源地护区围栏数量统计表</w:t>
      </w:r>
    </w:p>
    <w:tbl>
      <w:tblPr>
        <w:tblStyle w:val="16"/>
        <w:tblW w:w="85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350"/>
        <w:gridCol w:w="1680"/>
        <w:gridCol w:w="4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jc w:val="center"/>
        </w:trPr>
        <w:tc>
          <w:tcPr>
            <w:tcW w:w="63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13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水源地名称</w:t>
            </w:r>
          </w:p>
        </w:tc>
        <w:tc>
          <w:tcPr>
            <w:tcW w:w="168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围栏长度约（m）</w:t>
            </w:r>
          </w:p>
        </w:tc>
        <w:tc>
          <w:tcPr>
            <w:tcW w:w="48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36"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w:t>
            </w:r>
          </w:p>
        </w:tc>
        <w:tc>
          <w:tcPr>
            <w:tcW w:w="1350" w:type="dxa"/>
            <w:vAlign w:val="center"/>
          </w:tcPr>
          <w:p>
            <w:pPr>
              <w:jc w:val="center"/>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sz w:val="21"/>
                <w:szCs w:val="21"/>
                <w:lang w:eastAsia="zh-CN"/>
              </w:rPr>
              <w:t>开江县</w:t>
            </w:r>
            <w:r>
              <w:rPr>
                <w:rFonts w:hint="eastAsia" w:cs="Times New Roman"/>
                <w:sz w:val="21"/>
                <w:szCs w:val="21"/>
                <w:lang w:eastAsia="zh-CN"/>
              </w:rPr>
              <w:t>老河堰</w:t>
            </w:r>
            <w:r>
              <w:rPr>
                <w:rFonts w:hint="default" w:ascii="Times New Roman" w:hAnsi="Times New Roman" w:cs="Times New Roman"/>
                <w:sz w:val="21"/>
                <w:szCs w:val="21"/>
                <w:lang w:eastAsia="zh-CN"/>
              </w:rPr>
              <w:t>水库</w:t>
            </w:r>
          </w:p>
        </w:tc>
        <w:tc>
          <w:tcPr>
            <w:tcW w:w="1680" w:type="dxa"/>
            <w:vAlign w:val="center"/>
          </w:tcPr>
          <w:p>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600</w:t>
            </w:r>
          </w:p>
        </w:tc>
        <w:tc>
          <w:tcPr>
            <w:tcW w:w="4850" w:type="dxa"/>
            <w:vAlign w:val="center"/>
          </w:tcPr>
          <w:p>
            <w:pPr>
              <w:jc w:val="center"/>
              <w:rPr>
                <w:rFonts w:hint="default" w:ascii="Times New Roman" w:hAnsi="Times New Roman" w:cs="Times New Roman"/>
                <w:color w:val="auto"/>
                <w:sz w:val="21"/>
                <w:szCs w:val="21"/>
              </w:rPr>
            </w:pPr>
            <w:r>
              <w:rPr>
                <w:rFonts w:hint="default" w:ascii="Times New Roman" w:hAnsi="Times New Roman" w:cs="Times New Roman"/>
                <w:sz w:val="21"/>
                <w:szCs w:val="21"/>
                <w:lang w:val="en-US" w:eastAsia="zh-CN"/>
              </w:rPr>
              <w:t>当地环境很好，植被覆盖良好，山体陡峭，就是天然的屏障，不需要人工修建围栏，反而破坏了植被。在一级保护区上下游横向用栅栏封堵即可。</w:t>
            </w:r>
          </w:p>
        </w:tc>
      </w:tr>
    </w:tbl>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b/>
          <w:bCs/>
          <w:color w:val="auto"/>
          <w:lang w:val="en-US" w:eastAsia="zh-CN"/>
        </w:rPr>
      </w:pPr>
      <w:bookmarkStart w:id="225" w:name="_Toc16540"/>
      <w:bookmarkStart w:id="226" w:name="_Toc21880"/>
      <w:r>
        <w:rPr>
          <w:rFonts w:hint="eastAsia" w:ascii="Times New Roman" w:hAnsi="Times New Roman" w:cs="Times New Roman"/>
          <w:b/>
          <w:bCs/>
          <w:color w:val="auto"/>
          <w:lang w:val="en-US" w:eastAsia="zh-CN"/>
        </w:rPr>
        <w:t>6.</w:t>
      </w:r>
      <w:r>
        <w:rPr>
          <w:rFonts w:hint="default" w:ascii="Times New Roman" w:hAnsi="Times New Roman" w:cs="Times New Roman"/>
          <w:b/>
          <w:bCs/>
          <w:color w:val="auto"/>
          <w:lang w:val="en-US" w:eastAsia="zh-CN"/>
        </w:rPr>
        <w:t>3饮用水水源保护区污染源治理工程</w:t>
      </w:r>
      <w:bookmarkEnd w:id="225"/>
      <w:bookmarkEnd w:id="226"/>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eastAsia" w:ascii="Times New Roman" w:hAnsi="Times New Roman" w:cs="Times New Roman"/>
          <w:color w:val="auto"/>
          <w:sz w:val="21"/>
          <w:lang w:val="en-US" w:eastAsia="zh-CN"/>
        </w:rPr>
      </w:pPr>
      <w:bookmarkStart w:id="227" w:name="_Toc6488"/>
      <w:r>
        <w:rPr>
          <w:rFonts w:hint="eastAsia" w:ascii="Times New Roman" w:hAnsi="Times New Roman" w:cs="Times New Roman"/>
          <w:color w:val="auto"/>
          <w:sz w:val="21"/>
          <w:lang w:val="en-US" w:eastAsia="zh-CN"/>
        </w:rPr>
        <w:t>6.3.1坚决取缔违法建设项目</w:t>
      </w:r>
    </w:p>
    <w:p>
      <w:pPr>
        <w:spacing w:line="360" w:lineRule="auto"/>
        <w:ind w:firstLine="480" w:firstLineChars="200"/>
        <w:rPr>
          <w:rFonts w:hint="eastAsia" w:cs="Times New Roman"/>
          <w:lang w:eastAsia="zh-CN"/>
        </w:rPr>
      </w:pPr>
      <w:r>
        <w:rPr>
          <w:rFonts w:hint="eastAsia" w:cs="Times New Roman"/>
          <w:lang w:eastAsia="zh-CN"/>
        </w:rPr>
        <w:t>对一级保护区内的畜禽养殖场进行搬迁。</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eastAsia"/>
          <w:lang w:val="en-US" w:eastAsia="zh-CN"/>
        </w:rPr>
      </w:pPr>
      <w:r>
        <w:rPr>
          <w:rFonts w:hint="eastAsia" w:ascii="Times New Roman" w:hAnsi="Times New Roman" w:cs="Times New Roman"/>
          <w:color w:val="auto"/>
          <w:sz w:val="21"/>
          <w:lang w:val="en-US" w:eastAsia="zh-CN"/>
        </w:rPr>
        <w:t>6.3.2推进农村生活源整治</w:t>
      </w:r>
    </w:p>
    <w:p>
      <w:pPr>
        <w:spacing w:line="360" w:lineRule="auto"/>
        <w:ind w:firstLine="480" w:firstLineChars="200"/>
        <w:rPr>
          <w:rFonts w:hint="default" w:ascii="Times New Roman" w:hAnsi="Times New Roman" w:cs="Times New Roman"/>
        </w:rPr>
      </w:pPr>
      <w:r>
        <w:rPr>
          <w:rFonts w:hint="eastAsia" w:ascii="Times New Roman" w:hAnsi="Times New Roman" w:cs="Times New Roman"/>
        </w:rPr>
        <w:t>（1）</w:t>
      </w:r>
      <w:r>
        <w:rPr>
          <w:rFonts w:hint="default" w:ascii="Times New Roman" w:hAnsi="Times New Roman" w:cs="Times New Roman"/>
        </w:rPr>
        <w:t>当地政府应将</w:t>
      </w:r>
      <w:r>
        <w:rPr>
          <w:rFonts w:hint="eastAsia" w:ascii="Times New Roman" w:hAnsi="Times New Roman" w:cs="Times New Roman"/>
        </w:rPr>
        <w:t>水源生态控制区、水源生态保育区，以及水源生态涵养区内坡度大于25°的区域，全部进行退耕还林和退村还林，对于</w:t>
      </w:r>
      <w:r>
        <w:rPr>
          <w:rFonts w:hint="default" w:ascii="Times New Roman" w:hAnsi="Times New Roman" w:cs="Times New Roman"/>
        </w:rPr>
        <w:t>坡度</w:t>
      </w:r>
      <w:r>
        <w:rPr>
          <w:rFonts w:hint="eastAsia" w:ascii="Times New Roman" w:hAnsi="Times New Roman" w:cs="Times New Roman"/>
        </w:rPr>
        <w:t>小</w:t>
      </w:r>
      <w:r>
        <w:rPr>
          <w:rFonts w:hint="default" w:ascii="Times New Roman" w:hAnsi="Times New Roman" w:cs="Times New Roman"/>
        </w:rPr>
        <w:t>于</w:t>
      </w:r>
      <w:r>
        <w:rPr>
          <w:rFonts w:hint="eastAsia" w:ascii="Times New Roman" w:hAnsi="Times New Roman" w:cs="Times New Roman"/>
        </w:rPr>
        <w:t>25°的区域采取人工造林方式（对于有坡度易于水土流失的地区，可采用取坡改梯等工程）减小污染；</w:t>
      </w:r>
    </w:p>
    <w:p>
      <w:pPr>
        <w:spacing w:line="360" w:lineRule="auto"/>
        <w:ind w:firstLine="480" w:firstLineChars="200"/>
        <w:rPr>
          <w:rFonts w:hint="default" w:ascii="Times New Roman" w:hAnsi="Times New Roman" w:cs="Times New Roman"/>
        </w:rPr>
      </w:pPr>
      <w:r>
        <w:rPr>
          <w:rFonts w:hint="eastAsia" w:ascii="Times New Roman" w:hAnsi="Times New Roman" w:cs="Times New Roman"/>
        </w:rPr>
        <w:t>（</w:t>
      </w:r>
      <w:r>
        <w:rPr>
          <w:rFonts w:hint="eastAsia" w:cs="Times New Roman"/>
          <w:lang w:val="en-US" w:eastAsia="zh-CN"/>
        </w:rPr>
        <w:t>2</w:t>
      </w:r>
      <w:r>
        <w:rPr>
          <w:rFonts w:hint="eastAsia" w:ascii="Times New Roman" w:hAnsi="Times New Roman" w:cs="Times New Roman"/>
        </w:rPr>
        <w:t>）</w:t>
      </w:r>
      <w:r>
        <w:rPr>
          <w:rFonts w:hint="default" w:ascii="Times New Roman" w:hAnsi="Times New Roman" w:cs="Times New Roman"/>
        </w:rPr>
        <w:t>农村居民点修建旱厕，生活污水和粪便通过旱厕处理后，用于附近农田施肥；</w:t>
      </w:r>
    </w:p>
    <w:p>
      <w:pPr>
        <w:spacing w:line="360" w:lineRule="auto"/>
        <w:ind w:firstLine="480" w:firstLineChars="200"/>
        <w:rPr>
          <w:rFonts w:hint="default" w:ascii="Times New Roman" w:hAnsi="Times New Roman" w:cs="Times New Roman"/>
        </w:rPr>
      </w:pPr>
      <w:r>
        <w:rPr>
          <w:rFonts w:hint="eastAsia" w:ascii="Times New Roman" w:hAnsi="Times New Roman" w:cs="Times New Roman"/>
        </w:rPr>
        <w:t>（</w:t>
      </w:r>
      <w:r>
        <w:rPr>
          <w:rFonts w:hint="eastAsia" w:cs="Times New Roman"/>
          <w:lang w:val="en-US" w:eastAsia="zh-CN"/>
        </w:rPr>
        <w:t>3</w:t>
      </w:r>
      <w:r>
        <w:rPr>
          <w:rFonts w:hint="eastAsia" w:ascii="Times New Roman" w:hAnsi="Times New Roman" w:cs="Times New Roman"/>
        </w:rPr>
        <w:t>）</w:t>
      </w:r>
      <w:r>
        <w:rPr>
          <w:rFonts w:hint="default" w:ascii="Times New Roman" w:hAnsi="Times New Roman" w:cs="Times New Roman"/>
        </w:rPr>
        <w:t>在</w:t>
      </w:r>
      <w:r>
        <w:rPr>
          <w:rFonts w:hint="eastAsia" w:cs="Times New Roman"/>
          <w:lang w:eastAsia="zh-CN"/>
        </w:rPr>
        <w:t>永兴镇</w:t>
      </w:r>
      <w:r>
        <w:rPr>
          <w:rFonts w:hint="default" w:ascii="Times New Roman" w:hAnsi="Times New Roman" w:cs="Times New Roman"/>
        </w:rPr>
        <w:t>设置垃圾中转站，</w:t>
      </w:r>
      <w:bookmarkStart w:id="228" w:name="OLE_LINK35"/>
      <w:bookmarkStart w:id="229" w:name="OLE_LINK34"/>
      <w:r>
        <w:rPr>
          <w:rFonts w:hint="default" w:ascii="Times New Roman" w:hAnsi="Times New Roman" w:cs="Times New Roman"/>
        </w:rPr>
        <w:t>生活垃圾实现定点存放、统一收集、定时清运至县垃圾处理厂处理</w:t>
      </w:r>
      <w:bookmarkEnd w:id="228"/>
      <w:bookmarkEnd w:id="229"/>
      <w:r>
        <w:rPr>
          <w:rFonts w:hint="default" w:ascii="Times New Roman" w:hAnsi="Times New Roman" w:cs="Times New Roman"/>
        </w:rPr>
        <w:t>。</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eastAsia"/>
          <w:lang w:val="en-US" w:eastAsia="zh-CN"/>
        </w:rPr>
      </w:pPr>
      <w:r>
        <w:rPr>
          <w:rFonts w:hint="eastAsia" w:ascii="Times New Roman" w:hAnsi="Times New Roman" w:cs="Times New Roman"/>
          <w:color w:val="auto"/>
          <w:sz w:val="21"/>
          <w:lang w:val="en-US" w:eastAsia="zh-CN"/>
        </w:rPr>
        <w:t>6.3.3加强农业生产污染源防治</w:t>
      </w:r>
    </w:p>
    <w:p>
      <w:pPr>
        <w:spacing w:line="360" w:lineRule="auto"/>
        <w:ind w:firstLine="480" w:firstLineChars="200"/>
        <w:rPr>
          <w:rFonts w:hint="default" w:ascii="Times New Roman" w:hAnsi="Times New Roman" w:cs="Times New Roman"/>
        </w:rPr>
      </w:pPr>
      <w:r>
        <w:rPr>
          <w:rFonts w:hint="eastAsia" w:ascii="Times New Roman" w:hAnsi="Times New Roman" w:cs="Times New Roman"/>
        </w:rPr>
        <w:t>（1）</w:t>
      </w:r>
      <w:r>
        <w:rPr>
          <w:rFonts w:hint="default" w:ascii="Times New Roman" w:hAnsi="Times New Roman" w:cs="Times New Roman"/>
        </w:rPr>
        <w:t>规划范围内的耕地，应发展生态农业和有机农业，改造耕作、施肥制度和施肥方式，严格限制农药和化肥的使用量，推广低毒高效快速分解农药，大力提倡施用有机肥料</w:t>
      </w:r>
      <w:r>
        <w:rPr>
          <w:rFonts w:hint="eastAsia" w:ascii="Times New Roman" w:hAnsi="Times New Roman" w:cs="Times New Roman"/>
        </w:rPr>
        <w:t>；</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（2）</w:t>
      </w:r>
      <w:r>
        <w:rPr>
          <w:rFonts w:hint="default" w:ascii="Times New Roman" w:hAnsi="Times New Roman" w:cs="Times New Roman"/>
        </w:rPr>
        <w:t>对</w:t>
      </w:r>
      <w:r>
        <w:rPr>
          <w:rFonts w:hint="eastAsia" w:ascii="Times New Roman" w:hAnsi="Times New Roman" w:cs="Times New Roman"/>
        </w:rPr>
        <w:t>于</w:t>
      </w:r>
      <w:r>
        <w:rPr>
          <w:rFonts w:hint="default" w:ascii="Times New Roman" w:hAnsi="Times New Roman" w:cs="Times New Roman"/>
        </w:rPr>
        <w:t>规划范围内</w:t>
      </w:r>
      <w:r>
        <w:rPr>
          <w:rFonts w:hint="eastAsia" w:ascii="Times New Roman" w:hAnsi="Times New Roman" w:cs="Times New Roman"/>
        </w:rPr>
        <w:t>滨湖区</w:t>
      </w:r>
      <w:r>
        <w:rPr>
          <w:rFonts w:hint="default" w:ascii="Times New Roman" w:hAnsi="Times New Roman" w:cs="Times New Roman"/>
        </w:rPr>
        <w:t>及河道两侧所有规模化畜禽养殖企业应全部关闭或搬迁</w:t>
      </w:r>
      <w:r>
        <w:rPr>
          <w:rFonts w:hint="eastAsia" w:ascii="Times New Roman" w:hAnsi="Times New Roman" w:cs="Times New Roman"/>
        </w:rPr>
        <w:t>，并</w:t>
      </w:r>
      <w:r>
        <w:rPr>
          <w:rFonts w:hint="default" w:ascii="Times New Roman" w:hAnsi="Times New Roman" w:cs="Times New Roman"/>
        </w:rPr>
        <w:t>禁止农户在河道边散养畜禽。对规划范围</w:t>
      </w:r>
      <w:r>
        <w:rPr>
          <w:rFonts w:hint="eastAsia" w:ascii="Times New Roman" w:hAnsi="Times New Roman" w:cs="Times New Roman"/>
        </w:rPr>
        <w:t>内滨湖区</w:t>
      </w:r>
      <w:r>
        <w:rPr>
          <w:rFonts w:hint="default" w:ascii="Times New Roman" w:hAnsi="Times New Roman" w:cs="Times New Roman"/>
        </w:rPr>
        <w:t>以外的</w:t>
      </w:r>
      <w:r>
        <w:rPr>
          <w:rFonts w:hint="eastAsia" w:ascii="Times New Roman" w:hAnsi="Times New Roman" w:cs="Times New Roman"/>
        </w:rPr>
        <w:t>规模化</w:t>
      </w:r>
      <w:r>
        <w:rPr>
          <w:rFonts w:hint="default" w:ascii="Times New Roman" w:hAnsi="Times New Roman" w:cs="Times New Roman"/>
        </w:rPr>
        <w:t>畜禽养殖企业，必须设置化粪池和污水处理系统</w:t>
      </w:r>
      <w:r>
        <w:rPr>
          <w:rFonts w:hint="eastAsia" w:ascii="Times New Roman" w:hAnsi="Times New Roman" w:cs="Times New Roman"/>
        </w:rPr>
        <w:t>；</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6.3.4加强水域污染源治理措施</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（1）禁止在水源保护区垂钓；</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（2）定期对规划区尤其是湖滨区的垃圾进行清捡、清运；</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（3）禁止在</w:t>
      </w:r>
      <w:r>
        <w:rPr>
          <w:rFonts w:hint="eastAsia" w:cs="Times New Roman"/>
          <w:lang w:eastAsia="zh-CN"/>
        </w:rPr>
        <w:t>老河堰</w:t>
      </w:r>
      <w:r>
        <w:rPr>
          <w:rFonts w:hint="eastAsia" w:ascii="Times New Roman" w:hAnsi="Times New Roman" w:cs="Times New Roman"/>
        </w:rPr>
        <w:t>内网箱养鱼及投喂饲料；</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（4）在</w:t>
      </w:r>
      <w:r>
        <w:rPr>
          <w:rFonts w:hint="eastAsia" w:cs="Times New Roman"/>
          <w:lang w:eastAsia="zh-CN"/>
        </w:rPr>
        <w:t>老河堰</w:t>
      </w:r>
      <w:r>
        <w:rPr>
          <w:rFonts w:hint="eastAsia" w:ascii="Times New Roman" w:hAnsi="Times New Roman" w:cs="Times New Roman"/>
        </w:rPr>
        <w:t>周边道路旁设置垃圾收集点，定期清运至县城垃圾填埋场；</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（5）在沙坝场乡镇区、梅家乡镇区和县生活用水取水点建设三个水文监测站。</w:t>
      </w:r>
    </w:p>
    <w:p>
      <w:pPr>
        <w:pStyle w:val="4"/>
        <w:keepNext w:val="0"/>
        <w:keepLines w:val="0"/>
        <w:pageBreakBefore w:val="0"/>
        <w:widowControl/>
        <w:kinsoku/>
        <w:wordWrap/>
        <w:overflowPunct/>
        <w:topLinePunct w:val="0"/>
        <w:autoSpaceDE/>
        <w:autoSpaceDN/>
        <w:bidi w:val="0"/>
        <w:adjustRightInd/>
        <w:snapToGrid/>
        <w:spacing w:beforeAutospacing="0" w:afterAutospacing="0" w:line="360" w:lineRule="auto"/>
        <w:ind w:left="0" w:leftChars="0" w:right="0" w:rightChars="0" w:firstLine="0" w:firstLineChars="0"/>
        <w:jc w:val="left"/>
        <w:textAlignment w:val="auto"/>
        <w:outlineLvl w:val="2"/>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6.3.5加强水库淤泥治理措施</w:t>
      </w:r>
    </w:p>
    <w:p>
      <w:pPr>
        <w:spacing w:line="360" w:lineRule="auto"/>
        <w:ind w:firstLine="480" w:firstLineChars="200"/>
        <w:rPr>
          <w:rFonts w:hint="eastAsia" w:ascii="Times New Roman" w:hAnsi="Times New Roman" w:cs="Times New Roman"/>
        </w:rPr>
      </w:pPr>
      <w:r>
        <w:rPr>
          <w:rFonts w:hint="eastAsia" w:ascii="Times New Roman" w:hAnsi="Times New Roman" w:cs="Times New Roman"/>
        </w:rPr>
        <w:t>开江</w:t>
      </w:r>
      <w:r>
        <w:rPr>
          <w:rFonts w:hint="eastAsia" w:cs="Times New Roman"/>
          <w:lang w:eastAsia="zh-CN"/>
        </w:rPr>
        <w:t>老河堰</w:t>
      </w:r>
      <w:r>
        <w:rPr>
          <w:rFonts w:hint="eastAsia" w:ascii="Times New Roman" w:hAnsi="Times New Roman" w:cs="Times New Roman"/>
        </w:rPr>
        <w:t>水库管理处要制定水库丰水期泄洪规划，要科学合理地调度库区内的水资源，加大水库水体的交换量，提高水体的流速和流动性，以增强水体的自然净化力而改善</w:t>
      </w:r>
      <w:r>
        <w:rPr>
          <w:rFonts w:hint="eastAsia" w:cs="Times New Roman"/>
          <w:lang w:eastAsia="zh-CN"/>
        </w:rPr>
        <w:t>老河堰</w:t>
      </w:r>
      <w:r>
        <w:rPr>
          <w:rFonts w:hint="eastAsia" w:ascii="Times New Roman" w:hAnsi="Times New Roman" w:cs="Times New Roman"/>
        </w:rPr>
        <w:t>水库的水质。同时采取相关措施对水库进行清淤工作，县政府应将</w:t>
      </w:r>
      <w:r>
        <w:rPr>
          <w:rFonts w:hint="eastAsia" w:cs="Times New Roman"/>
          <w:lang w:eastAsia="zh-CN"/>
        </w:rPr>
        <w:t>老河堰</w:t>
      </w:r>
      <w:r>
        <w:rPr>
          <w:rFonts w:hint="eastAsia" w:ascii="Times New Roman" w:hAnsi="Times New Roman" w:cs="Times New Roman"/>
        </w:rPr>
        <w:t>水库底泥清淤工作经费纳入财政预算，要及时组建专门的清淤工作队伍，将库底含氮、磷浓度较高的底泥直接从水体取出，以减少水库内源污染物释放，降低水体营养物质浓度，达到改善水质和修复水生态的目的。</w:t>
      </w:r>
    </w:p>
    <w:p>
      <w:pPr>
        <w:spacing w:line="360" w:lineRule="auto"/>
        <w:ind w:firstLine="480" w:firstLineChars="200"/>
        <w:rPr>
          <w:rFonts w:hint="default" w:ascii="Times New Roman" w:hAnsi="Times New Roman" w:cs="Times New Roman"/>
        </w:rPr>
      </w:pPr>
      <w:r>
        <w:rPr>
          <w:rFonts w:hint="eastAsia" w:ascii="Times New Roman" w:hAnsi="Times New Roman" w:cs="Times New Roman"/>
        </w:rPr>
        <w:t>目前水库清淤方法有排沙、冲沙和疏浚。排沙和冲沙都是通过开启水库的底部泄沙涵闸门、用水力来冲排。疏浚是用机械清淤。</w:t>
      </w:r>
    </w:p>
    <w:p>
      <w:pPr>
        <w:pStyle w:val="3"/>
        <w:rPr>
          <w:rFonts w:hint="default" w:ascii="Times New Roman" w:hAnsi="Times New Roman" w:cs="Times New Roman"/>
          <w:color w:val="auto"/>
        </w:rPr>
      </w:pPr>
      <w:bookmarkStart w:id="230" w:name="_Toc6955"/>
      <w:r>
        <w:rPr>
          <w:rFonts w:hint="eastAsia" w:ascii="Times New Roman" w:hAnsi="Times New Roman" w:cs="Times New Roman"/>
          <w:color w:val="auto"/>
          <w:lang w:val="en-US" w:eastAsia="zh-CN"/>
        </w:rPr>
        <w:t>6.</w:t>
      </w:r>
      <w:r>
        <w:rPr>
          <w:rFonts w:hint="default" w:ascii="Times New Roman" w:hAnsi="Times New Roman" w:cs="Times New Roman"/>
          <w:color w:val="auto"/>
        </w:rPr>
        <w:t>4 制定水源地保护区污染防治管理办法</w:t>
      </w:r>
      <w:bookmarkEnd w:id="227"/>
      <w:bookmarkEnd w:id="230"/>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rPr>
      </w:pPr>
      <w:bookmarkStart w:id="231" w:name="_Toc18909"/>
      <w:r>
        <w:rPr>
          <w:rFonts w:hint="default" w:ascii="Times New Roman" w:hAnsi="Times New Roman" w:cs="Times New Roman"/>
        </w:rPr>
        <w:t>为保证饮用水源安全，保障人体健康，防止工农业生产、城市建设、居民生活对水源地造成污染和破坏，县环保部门应根据《中华人民共和国水污染防治法》，牵头制定《</w:t>
      </w:r>
      <w:r>
        <w:rPr>
          <w:rFonts w:hint="default" w:ascii="Times New Roman" w:hAnsi="Times New Roman" w:cs="Times New Roman"/>
          <w:lang w:eastAsia="zh-CN"/>
        </w:rPr>
        <w:t>开江县</w:t>
      </w:r>
      <w:r>
        <w:rPr>
          <w:rFonts w:hint="default" w:ascii="Times New Roman" w:hAnsi="Times New Roman" w:cs="Times New Roman"/>
        </w:rPr>
        <w:t xml:space="preserve">饮用水源保护区污染防治管理办法》，报请县政府审批后在全县所有乡镇推广实施。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水源地保护区内必须遵守下列规定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①禁止利用渗坑、渗井等排放污水和其他有害废弃物。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②禁止利用透水层孔隙、裂隙及废弃矿坑储存石油、天然气、放 射性物质、有毒有害化工原料、农药等。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③未经批准，禁止任何单位和个人在一级、二级水源保护区内打井开采地下水资源。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（2）一级保护区内禁止下列行为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①禁止修建与取水设施无关的建筑物。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②禁止从事牧业活动或集中式养殖业。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③禁止倾倒、堆放工业废渣及城市垃圾、粪便和其它有害废弃物。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④禁止输送污水的渠道、管道及输油管道通过本区。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⑤禁止修建油库。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⑥禁止建立墓地。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（3）二级保护区内禁止下列行为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①禁止修建化工、电镀、皮革、造纸、制浆、冶炼、放射性、印染、染料、炼焦、炼油及其它有严重污染的企业。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②禁止设立城市垃圾、粪便和易溶、有毒有害废弃物堆放场和转 运站。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③化工原料、矿物、油类及有毒有害矿产品的堆放场所必须有防 雨、防渗漏措施。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xml:space="preserve">④严禁石油勘探、钻探及开采。预防由于油井施工造成的原油对 水质的污染及由于油井施工过程中采取的止水措施不当，造成上下水 体互相串通，高矿化度水对可开采淡水资源的污染。 </w:t>
      </w:r>
    </w:p>
    <w:p>
      <w:pPr>
        <w:numPr>
          <w:ilvl w:val="0"/>
          <w:numId w:val="7"/>
        </w:numPr>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准</w:t>
      </w:r>
      <w:r>
        <w:rPr>
          <w:rFonts w:hint="default" w:ascii="Times New Roman" w:hAnsi="Times New Roman" w:cs="Times New Roman"/>
        </w:rPr>
        <w:t xml:space="preserve">保护区内禁止下列行为 </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①禁止新建、扩建对水体污染严重的建设项目；改建建设项目，不得增加排污量；</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②禁止向水体排放油类、酸液、碱液或者有毒废液；</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③禁止在水体清洗装贮过油类或者有毒污染物的车辆和容器；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④禁止向水体排放、倾倒废水、含病原体的污水、放射性固体废物；</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⑤禁止向水体排放、倾倒工业废渣、城镇垃圾和医疗垃圾等其他废弃物；</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⑥禁止将含有汞、镉、砷、铬、铅、氰化物、黄磷等的可溶性剧毒废渣向水体排放、倾倒或者直接埋入地下；</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7 \* GB3 \* MERGEFORMAT </w:instrText>
      </w:r>
      <w:r>
        <w:rPr>
          <w:rFonts w:hint="default" w:ascii="Times New Roman" w:hAnsi="Times New Roman" w:cs="Times New Roman"/>
        </w:rPr>
        <w:fldChar w:fldCharType="separate"/>
      </w:r>
      <w:r>
        <w:rPr>
          <w:rFonts w:hint="default" w:ascii="Times New Roman" w:hAnsi="Times New Roman" w:cs="Times New Roman"/>
        </w:rPr>
        <w:t>⑦</w:t>
      </w:r>
      <w:r>
        <w:rPr>
          <w:rFonts w:hint="default" w:ascii="Times New Roman" w:hAnsi="Times New Roman" w:cs="Times New Roman"/>
        </w:rPr>
        <w:fldChar w:fldCharType="end"/>
      </w:r>
      <w:r>
        <w:rPr>
          <w:rFonts w:hint="default" w:ascii="Times New Roman" w:hAnsi="Times New Roman" w:cs="Times New Roman"/>
        </w:rPr>
        <w:t>禁止船舶向水体倾倒垃圾或者排放含油污水、生活污水；</w:t>
      </w:r>
    </w:p>
    <w:p>
      <w:pPr>
        <w:spacing w:line="360" w:lineRule="auto"/>
        <w:ind w:firstLine="480" w:firstLineChars="200"/>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8 \* GB3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rPr>
        <w:t>⑧</w:t>
      </w:r>
      <w:r>
        <w:rPr>
          <w:rFonts w:hint="default" w:ascii="Times New Roman" w:hAnsi="Times New Roman" w:cs="Times New Roman"/>
          <w:lang w:val="en-US" w:eastAsia="zh-CN"/>
        </w:rPr>
        <w:fldChar w:fldCharType="end"/>
      </w:r>
      <w:r>
        <w:rPr>
          <w:rFonts w:hint="default" w:ascii="Times New Roman" w:hAnsi="Times New Roman" w:cs="Times New Roman"/>
        </w:rPr>
        <w:t>禁止设置化工原料、矿物油类及有毒有害矿产品的贮存场所，以及生活垃圾、工业固体废物和危险废物的堆放场所和转运站；</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 9 \* GB3 \* MERGEFORMAT </w:instrText>
      </w:r>
      <w:r>
        <w:rPr>
          <w:rFonts w:hint="default" w:ascii="Times New Roman" w:hAnsi="Times New Roman" w:cs="Times New Roman"/>
        </w:rPr>
        <w:fldChar w:fldCharType="separate"/>
      </w:r>
      <w:r>
        <w:rPr>
          <w:rFonts w:hint="default" w:ascii="Times New Roman" w:hAnsi="Times New Roman" w:cs="Times New Roman"/>
        </w:rPr>
        <w:t>⑨</w:t>
      </w:r>
      <w:r>
        <w:rPr>
          <w:rFonts w:hint="default" w:ascii="Times New Roman" w:hAnsi="Times New Roman" w:cs="Times New Roman"/>
        </w:rPr>
        <w:fldChar w:fldCharType="end"/>
      </w:r>
      <w:r>
        <w:rPr>
          <w:rFonts w:hint="default" w:ascii="Times New Roman" w:hAnsi="Times New Roman" w:cs="Times New Roman"/>
        </w:rPr>
        <w:t>禁止通行装载剧毒化学品或者危险废物的船舶、车辆。装载其他危险品的船舶、车辆确需驶入饮用水水源保护区内的，应当在驶入该区域的二十四小时前向当地海事管理机构或者公安机关交通管理部门报告，配备防止污染物散落、溢流、渗漏的设施设备，指定专人保障危险品运输安全；</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10 \* GB3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rPr>
        <w:t>⑩</w:t>
      </w:r>
      <w:r>
        <w:rPr>
          <w:rFonts w:hint="default" w:ascii="Times New Roman" w:hAnsi="Times New Roman" w:cs="Times New Roman"/>
          <w:lang w:val="en-US" w:eastAsia="zh-CN"/>
        </w:rPr>
        <w:fldChar w:fldCharType="end"/>
      </w:r>
      <w:r>
        <w:rPr>
          <w:rFonts w:hint="default" w:ascii="Times New Roman" w:hAnsi="Times New Roman" w:cs="Times New Roman"/>
        </w:rPr>
        <w:t>禁止进行可能严重影响饮用水水源水质的矿产勘查、开采等活动；</w:t>
      </w:r>
    </w:p>
    <w:p>
      <w:pPr>
        <w:spacing w:line="360" w:lineRule="auto"/>
        <w:ind w:firstLine="480" w:firstLineChars="200"/>
        <w:rPr>
          <w:rFonts w:hint="default" w:ascii="Times New Roman" w:hAnsi="Times New Roman" w:cs="Times New Roman"/>
          <w:lang w:eastAsia="zh-CN"/>
        </w:rPr>
      </w:pPr>
      <w:r>
        <w:rPr>
          <w:rFonts w:hint="default" w:ascii="Times New Roman" w:hAnsi="Times New Roman" w:cs="Times New Roman"/>
        </w:rPr>
        <w:t> </w:t>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11 \* GB2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rPr>
        <w:t>⑾</w:t>
      </w:r>
      <w:r>
        <w:rPr>
          <w:rFonts w:hint="default" w:ascii="Times New Roman" w:hAnsi="Times New Roman" w:cs="Times New Roman"/>
          <w:lang w:val="en-US" w:eastAsia="zh-CN"/>
        </w:rPr>
        <w:fldChar w:fldCharType="end"/>
      </w:r>
      <w:r>
        <w:rPr>
          <w:rFonts w:hint="default" w:ascii="Times New Roman" w:hAnsi="Times New Roman" w:cs="Times New Roman"/>
        </w:rPr>
        <w:t>禁止非更新性、非抚育性砍伐和破坏饮用水水源涵养林、护岸林和其他植被。</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32" w:name="_Toc8990"/>
      <w:r>
        <w:rPr>
          <w:rFonts w:hint="eastAsia" w:ascii="Times New Roman" w:hAnsi="Times New Roman" w:cs="Times New Roman"/>
          <w:color w:val="auto"/>
          <w:lang w:val="en-US" w:eastAsia="zh-CN"/>
        </w:rPr>
        <w:t>6.</w:t>
      </w:r>
      <w:r>
        <w:rPr>
          <w:rFonts w:hint="default" w:ascii="Times New Roman" w:hAnsi="Times New Roman" w:cs="Times New Roman"/>
          <w:color w:val="auto"/>
        </w:rPr>
        <w:t>5 建立水源地保护区监督管理机制</w:t>
      </w:r>
      <w:bookmarkEnd w:id="231"/>
      <w:bookmarkEnd w:id="232"/>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rPr>
        <w:t xml:space="preserve">由县政府牵头组织，成立一个由县环保局、水务局、卫生局、属地乡（镇）政府等，具有政府行为能力或相关监测资质的部门参加的监督管理机构。在水源保护区内水源地附近以及人们生产生活活动接近水源地的区域设置警示标志、公告牌，明确水源地各级保护区边界，公布监督危害水源行为的举报电话等。同时，在交通干线进出口设置运输有毒有害化学品车辆绕行标志，禁止装载有毒有害化学品的车辆通过各水源地一级保护区；在各水源地一级保护区内的所有道路、界碑上设置警示标牌，公布危险化学品等有毒有害物质泄漏的报警电话等。  </w:t>
      </w:r>
      <w:r>
        <w:rPr>
          <w:rFonts w:hint="default" w:ascii="Times New Roman" w:hAnsi="Times New Roman" w:cs="Times New Roman"/>
          <w:color w:val="auto"/>
        </w:rPr>
        <w:t xml:space="preserve"> </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33" w:name="_Toc2317"/>
      <w:bookmarkStart w:id="234" w:name="_Toc20688"/>
      <w:r>
        <w:rPr>
          <w:rFonts w:hint="eastAsia" w:ascii="Times New Roman" w:hAnsi="Times New Roman" w:cs="Times New Roman"/>
          <w:color w:val="auto"/>
          <w:lang w:val="en-US" w:eastAsia="zh-CN"/>
        </w:rPr>
        <w:t>6.</w:t>
      </w:r>
      <w:r>
        <w:rPr>
          <w:rFonts w:hint="default" w:ascii="Times New Roman" w:hAnsi="Times New Roman" w:cs="Times New Roman"/>
          <w:color w:val="auto"/>
        </w:rPr>
        <w:t>6 建立水源地监测预警系统</w:t>
      </w:r>
      <w:bookmarkEnd w:id="233"/>
      <w:bookmarkEnd w:id="234"/>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为了加强对水源地水质的监控，需要建立</w:t>
      </w:r>
      <w:r>
        <w:rPr>
          <w:rFonts w:hint="default" w:ascii="Times New Roman" w:hAnsi="Times New Roman" w:cs="Times New Roman"/>
          <w:color w:val="auto"/>
          <w:lang w:eastAsia="zh-CN"/>
        </w:rPr>
        <w:t>开江县</w:t>
      </w:r>
      <w:r>
        <w:rPr>
          <w:rFonts w:hint="default" w:ascii="Times New Roman" w:hAnsi="Times New Roman" w:cs="Times New Roman"/>
          <w:color w:val="auto"/>
        </w:rPr>
        <w:t>水源地监测预警系统。由县政府责成县水务局、环保局等相关部门应定期对保护区内的水质进行监测，及时发现水质变化情况，防患于未然。 对水源地的溶解氧、高锰酸盐指数、BOD</w:t>
      </w:r>
      <w:r>
        <w:rPr>
          <w:rFonts w:hint="default" w:ascii="Times New Roman" w:hAnsi="Times New Roman" w:cs="Times New Roman"/>
          <w:color w:val="auto"/>
          <w:vertAlign w:val="subscript"/>
        </w:rPr>
        <w:t>5</w:t>
      </w:r>
      <w:r>
        <w:rPr>
          <w:rFonts w:hint="default" w:ascii="Times New Roman" w:hAnsi="Times New Roman" w:cs="Times New Roman"/>
          <w:color w:val="auto"/>
        </w:rPr>
        <w:t>、氨氮等项目每月监测不少于一次，确保一级保护区水质达到《地表水环境质量标准》（GB3838-2002</w:t>
      </w:r>
      <w:r>
        <w:rPr>
          <w:rFonts w:hint="default" w:ascii="Times New Roman" w:hAnsi="Times New Roman" w:cs="Times New Roman"/>
          <w:color w:val="auto"/>
          <w:highlight w:val="none"/>
        </w:rPr>
        <w:t>）</w:t>
      </w:r>
      <w:r>
        <w:rPr>
          <w:rFonts w:hint="default" w:ascii="Times New Roman" w:hAnsi="Times New Roman" w:cs="Times New Roman"/>
          <w:color w:val="FF0000"/>
          <w:highlight w:val="none"/>
        </w:rPr>
        <w:t>Ⅱ</w:t>
      </w:r>
      <w:r>
        <w:rPr>
          <w:rFonts w:hint="default" w:ascii="Times New Roman" w:hAnsi="Times New Roman" w:cs="Times New Roman"/>
          <w:color w:val="auto"/>
          <w:highlight w:val="red"/>
        </w:rPr>
        <w:t>类标准</w:t>
      </w:r>
      <w:r>
        <w:rPr>
          <w:rFonts w:hint="default" w:ascii="Times New Roman" w:hAnsi="Times New Roman" w:cs="Times New Roman"/>
          <w:color w:val="auto"/>
        </w:rPr>
        <w:t xml:space="preserve">要求及《生活饮用水卫生标准》（GB5749-2006）关于生活饮用水水源水质卫生要求的规定。 </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35" w:name="_Toc793"/>
      <w:bookmarkStart w:id="236" w:name="_Toc22627"/>
      <w:r>
        <w:rPr>
          <w:rFonts w:hint="eastAsia" w:ascii="Times New Roman" w:hAnsi="Times New Roman" w:cs="Times New Roman"/>
          <w:color w:val="auto"/>
          <w:lang w:val="en-US" w:eastAsia="zh-CN"/>
        </w:rPr>
        <w:t>6.</w:t>
      </w:r>
      <w:r>
        <w:rPr>
          <w:rFonts w:hint="default" w:ascii="Times New Roman" w:hAnsi="Times New Roman" w:cs="Times New Roman"/>
          <w:color w:val="auto"/>
        </w:rPr>
        <w:t>7 建立健全水源地安全保障应急机制</w:t>
      </w:r>
      <w:bookmarkEnd w:id="235"/>
      <w:bookmarkEnd w:id="236"/>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县环保部门要制定和完善《水源地供水应急预案》，建立健全应急指挥系统，落实处置措施。认真执行水源地安全值班、报告制度和有效的预警、应急救助机制，一旦发生突发性污染事件，要及时启动应急监测、紧急处置、信息发布等各项程序，措施落实要到位。 </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37" w:name="_Toc25049"/>
      <w:bookmarkStart w:id="238" w:name="_Toc31378"/>
      <w:r>
        <w:rPr>
          <w:rFonts w:hint="eastAsia" w:ascii="Times New Roman" w:hAnsi="Times New Roman" w:cs="Times New Roman"/>
          <w:color w:val="auto"/>
          <w:lang w:val="en-US" w:eastAsia="zh-CN"/>
        </w:rPr>
        <w:t>6.</w:t>
      </w:r>
      <w:r>
        <w:rPr>
          <w:rFonts w:hint="default" w:ascii="Times New Roman" w:hAnsi="Times New Roman" w:cs="Times New Roman"/>
          <w:color w:val="auto"/>
        </w:rPr>
        <w:t>8 加强饮用水水源保护宣传与教育</w:t>
      </w:r>
      <w:bookmarkEnd w:id="237"/>
      <w:bookmarkEnd w:id="238"/>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新闻宣传部门和有关单位要积极配合供水部门，加强饮用水水源 保护的宣传与教育，提高人民群众环境保护意识，共同参与水源地保 护工作，为经济社会发展和人民群众健康生活提供保障。 </w:t>
      </w:r>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39" w:name="_Toc32448"/>
      <w:bookmarkStart w:id="240" w:name="_Toc11679"/>
      <w:r>
        <w:rPr>
          <w:rFonts w:hint="eastAsia" w:ascii="Times New Roman" w:hAnsi="Times New Roman" w:cs="Times New Roman"/>
          <w:color w:val="auto"/>
          <w:lang w:val="en-US" w:eastAsia="zh-CN"/>
        </w:rPr>
        <w:t>6.</w:t>
      </w:r>
      <w:r>
        <w:rPr>
          <w:rFonts w:hint="default" w:ascii="Times New Roman" w:hAnsi="Times New Roman" w:cs="Times New Roman"/>
          <w:color w:val="auto"/>
        </w:rPr>
        <w:t>9 应急保障措施</w:t>
      </w:r>
      <w:bookmarkEnd w:id="239"/>
      <w:bookmarkEnd w:id="240"/>
      <w:r>
        <w:rPr>
          <w:rFonts w:hint="default" w:ascii="Times New Roman" w:hAnsi="Times New Roman" w:cs="Times New Roman"/>
          <w:color w:val="auto"/>
        </w:rPr>
        <w:t xml:space="preserve"> </w:t>
      </w:r>
    </w:p>
    <w:p>
      <w:pPr>
        <w:spacing w:line="360" w:lineRule="auto"/>
        <w:ind w:firstLine="480" w:firstLineChars="200"/>
        <w:rPr>
          <w:rFonts w:hint="default" w:ascii="Times New Roman" w:hAnsi="Times New Roman" w:cs="Times New Roman"/>
          <w:color w:val="auto"/>
        </w:rPr>
      </w:pPr>
      <w:r>
        <w:rPr>
          <w:rFonts w:hint="default" w:ascii="Times New Roman" w:hAnsi="Times New Roman" w:cs="Times New Roman"/>
          <w:color w:val="auto"/>
        </w:rPr>
        <w:t xml:space="preserve">为保证在供水水源地发生意外事故或严重局部污染时，不影响正常供水，应启动备用水源供水系统。直接向群众输送达标的饮用水，以保证人民群众的正常生活。 </w:t>
      </w:r>
    </w:p>
    <w:p>
      <w:pPr>
        <w:spacing w:line="360" w:lineRule="auto"/>
        <w:ind w:firstLine="480" w:firstLineChars="200"/>
        <w:rPr>
          <w:rFonts w:hint="default" w:ascii="Times New Roman" w:hAnsi="Times New Roman"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32" w:charSpace="0"/>
        </w:sectPr>
      </w:pPr>
      <w:r>
        <w:rPr>
          <w:rFonts w:hint="default" w:ascii="Times New Roman" w:hAnsi="Times New Roman" w:cs="Times New Roman"/>
          <w:color w:val="auto"/>
        </w:rPr>
        <w:t>设立突发事件应急指挥部，总指挥由</w:t>
      </w:r>
      <w:r>
        <w:rPr>
          <w:rFonts w:hint="default" w:ascii="Times New Roman" w:hAnsi="Times New Roman" w:cs="Times New Roman"/>
          <w:color w:val="auto"/>
          <w:lang w:eastAsia="zh-CN"/>
        </w:rPr>
        <w:t>开江县</w:t>
      </w:r>
      <w:r>
        <w:rPr>
          <w:rFonts w:hint="default" w:ascii="Times New Roman" w:hAnsi="Times New Roman" w:cs="Times New Roman"/>
          <w:color w:val="auto"/>
        </w:rPr>
        <w:t xml:space="preserve">及乡镇政府有关领导担任，指挥部负责水源地段突发事件应急处置的统一指挥和组织协调；收集、分析、上报突发事故的危害程度和发展趋势，及时启动和停止应急预案；负责与上级主管部门及相关部门的协调工作；统一对外发布突发性事故所造成的危害信息；参与追究造成突发性环境污染事故的当事人的责任。 </w:t>
      </w:r>
    </w:p>
    <w:p>
      <w:pPr>
        <w:pStyle w:val="2"/>
        <w:jc w:val="center"/>
        <w:rPr>
          <w:rFonts w:hint="default" w:ascii="Times New Roman" w:hAnsi="Times New Roman" w:cs="Times New Roman"/>
          <w:color w:val="auto"/>
        </w:rPr>
      </w:pPr>
      <w:bookmarkStart w:id="241" w:name="_Toc24888"/>
      <w:bookmarkStart w:id="242" w:name="_Toc26160"/>
      <w:r>
        <w:rPr>
          <w:rFonts w:hint="eastAsia" w:cs="Times New Roman"/>
          <w:color w:val="auto"/>
          <w:lang w:val="en-US" w:eastAsia="zh-CN"/>
        </w:rPr>
        <w:t>7</w:t>
      </w:r>
      <w:r>
        <w:rPr>
          <w:rFonts w:hint="default" w:ascii="Times New Roman" w:hAnsi="Times New Roman" w:cs="Times New Roman"/>
          <w:color w:val="auto"/>
        </w:rPr>
        <w:t xml:space="preserve"> 结论与建议</w:t>
      </w:r>
      <w:bookmarkEnd w:id="241"/>
      <w:bookmarkEnd w:id="242"/>
    </w:p>
    <w:p>
      <w:pPr>
        <w:pStyle w:val="3"/>
        <w:rPr>
          <w:rFonts w:hint="default" w:ascii="Times New Roman" w:hAnsi="Times New Roman" w:cs="Times New Roman"/>
          <w:color w:val="auto"/>
        </w:rPr>
      </w:pPr>
      <w:bookmarkStart w:id="243" w:name="_Toc11779"/>
      <w:bookmarkStart w:id="244" w:name="_Toc11523"/>
      <w:r>
        <w:rPr>
          <w:rFonts w:hint="eastAsia" w:ascii="Times New Roman" w:hAnsi="Times New Roman" w:cs="Times New Roman"/>
          <w:color w:val="auto"/>
          <w:lang w:val="en-US" w:eastAsia="zh-CN"/>
        </w:rPr>
        <w:t>7</w:t>
      </w:r>
      <w:r>
        <w:rPr>
          <w:rFonts w:hint="default" w:ascii="Times New Roman" w:hAnsi="Times New Roman" w:cs="Times New Roman"/>
          <w:color w:val="auto"/>
        </w:rPr>
        <w:t>.1结论</w:t>
      </w:r>
      <w:bookmarkEnd w:id="243"/>
      <w:bookmarkEnd w:id="244"/>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bookmarkStart w:id="245" w:name="_Toc18995"/>
      <w:r>
        <w:rPr>
          <w:rFonts w:hint="default" w:ascii="Times New Roman" w:hAnsi="Times New Roman" w:cs="Times New Roman"/>
          <w:color w:val="000000"/>
          <w:kern w:val="0"/>
        </w:rPr>
        <w:t xml:space="preserve">1、根据监测和统计结果表明，拟划定的水源保护区的水质各指标均能达到Ⅱ类标准。因此本水源地水质量较好，符合饮用水源保护区的建立要求。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default" w:ascii="Times New Roman" w:hAnsi="Times New Roman" w:cs="Times New Roman"/>
          <w:color w:val="000000"/>
          <w:kern w:val="0"/>
        </w:rPr>
        <w:t>2、保护区现有污染源主要为少量</w:t>
      </w:r>
      <w:r>
        <w:rPr>
          <w:rFonts w:hint="eastAsia" w:cs="Times New Roman"/>
          <w:color w:val="000000"/>
          <w:kern w:val="0"/>
          <w:lang w:eastAsia="zh-CN"/>
        </w:rPr>
        <w:t>畜禽养殖、农业面源</w:t>
      </w:r>
      <w:r>
        <w:rPr>
          <w:rFonts w:hint="default" w:ascii="Times New Roman" w:hAnsi="Times New Roman" w:cs="Times New Roman"/>
          <w:color w:val="000000"/>
          <w:kern w:val="0"/>
        </w:rPr>
        <w:t xml:space="preserve">产生，总体而言，污染物产生量不大。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default" w:ascii="Times New Roman" w:hAnsi="Times New Roman" w:cs="Times New Roman"/>
          <w:color w:val="000000"/>
          <w:kern w:val="0"/>
        </w:rPr>
        <w:t xml:space="preserve">3、水源保护区区域划定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default" w:ascii="Times New Roman" w:hAnsi="Times New Roman" w:cs="Times New Roman"/>
          <w:color w:val="000000"/>
          <w:kern w:val="0"/>
        </w:rPr>
        <w:t xml:space="preserve">（1）水源保护区区域划定范围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default" w:ascii="Times New Roman" w:hAnsi="Times New Roman" w:cs="Times New Roman"/>
          <w:color w:val="000000"/>
          <w:kern w:val="0"/>
        </w:rPr>
        <w:t>根据饮用水水源保护区划分原则，结合影响环境水力特性等相关因素，综合经验法的划分成果，划定</w:t>
      </w:r>
      <w:r>
        <w:rPr>
          <w:rFonts w:hint="default" w:ascii="Times New Roman" w:hAnsi="Times New Roman" w:cs="Times New Roman"/>
          <w:color w:val="000000"/>
          <w:kern w:val="0"/>
          <w:lang w:eastAsia="zh-CN"/>
        </w:rPr>
        <w:t>开江县</w:t>
      </w:r>
      <w:r>
        <w:rPr>
          <w:rFonts w:hint="default" w:ascii="Times New Roman" w:hAnsi="Times New Roman" w:cs="Times New Roman"/>
          <w:color w:val="000000"/>
          <w:kern w:val="0"/>
        </w:rPr>
        <w:t>城集中式饮用水水源保护区。保护区分为</w:t>
      </w:r>
      <w:r>
        <w:rPr>
          <w:rFonts w:hint="default" w:ascii="Times New Roman" w:hAnsi="Times New Roman" w:cs="Times New Roman"/>
          <w:color w:val="000000"/>
          <w:kern w:val="0"/>
          <w:lang w:eastAsia="zh-CN"/>
        </w:rPr>
        <w:t>三</w:t>
      </w:r>
      <w:r>
        <w:rPr>
          <w:rFonts w:hint="default" w:ascii="Times New Roman" w:hAnsi="Times New Roman" w:cs="Times New Roman"/>
          <w:color w:val="000000"/>
          <w:kern w:val="0"/>
        </w:rPr>
        <w:t>级，即一级保护区、二级保护区</w:t>
      </w:r>
      <w:r>
        <w:rPr>
          <w:rFonts w:hint="default" w:ascii="Times New Roman" w:hAnsi="Times New Roman" w:cs="Times New Roman"/>
          <w:color w:val="000000"/>
          <w:kern w:val="0"/>
          <w:lang w:eastAsia="zh-CN"/>
        </w:rPr>
        <w:t>和准保护区</w:t>
      </w:r>
      <w:r>
        <w:rPr>
          <w:rFonts w:hint="default" w:ascii="Times New Roman" w:hAnsi="Times New Roman" w:cs="Times New Roman"/>
          <w:color w:val="000000"/>
          <w:kern w:val="0"/>
        </w:rPr>
        <w:t>，保护区面积见</w:t>
      </w:r>
      <w:r>
        <w:rPr>
          <w:rFonts w:hint="default" w:ascii="Times New Roman" w:hAnsi="Times New Roman" w:cs="Times New Roman"/>
          <w:color w:val="000000"/>
          <w:kern w:val="0"/>
          <w:lang w:val="en-US" w:eastAsia="zh-CN"/>
        </w:rPr>
        <w:t>6</w:t>
      </w:r>
      <w:r>
        <w:rPr>
          <w:rFonts w:hint="default" w:ascii="Times New Roman" w:hAnsi="Times New Roman" w:cs="Times New Roman"/>
          <w:color w:val="000000"/>
          <w:kern w:val="0"/>
        </w:rPr>
        <w:t xml:space="preserve">章节。 </w:t>
      </w:r>
    </w:p>
    <w:p>
      <w:pPr>
        <w:ind w:firstLine="480" w:firstLineChars="200"/>
        <w:rPr>
          <w:rFonts w:hint="default" w:ascii="Times New Roman" w:hAnsi="Times New Roman" w:cs="Times New Roman"/>
          <w:kern w:val="0"/>
        </w:rPr>
      </w:pPr>
      <w:r>
        <w:rPr>
          <w:rFonts w:hint="default" w:ascii="Times New Roman" w:hAnsi="Times New Roman" w:cs="Times New Roman"/>
          <w:kern w:val="0"/>
        </w:rPr>
        <w:t xml:space="preserve">（2）水源保护区区域位置关键点地理坐标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default" w:ascii="Times New Roman" w:hAnsi="Times New Roman" w:cs="Times New Roman"/>
          <w:color w:val="000000"/>
          <w:kern w:val="0"/>
          <w:lang w:eastAsia="zh-CN"/>
        </w:rPr>
        <w:t>开江县</w:t>
      </w:r>
      <w:r>
        <w:rPr>
          <w:rFonts w:hint="default" w:ascii="Times New Roman" w:hAnsi="Times New Roman" w:cs="Times New Roman"/>
          <w:color w:val="000000"/>
          <w:kern w:val="0"/>
        </w:rPr>
        <w:t xml:space="preserve">城集中式饮用水水源地各级保护区水域边界点详见“ 水源地保护区划图”。 </w:t>
      </w:r>
    </w:p>
    <w:p>
      <w:pPr>
        <w:autoSpaceDE w:val="0"/>
        <w:autoSpaceDN w:val="0"/>
        <w:adjustRightInd w:val="0"/>
        <w:spacing w:line="360" w:lineRule="auto"/>
        <w:ind w:firstLine="480" w:firstLineChars="200"/>
        <w:jc w:val="left"/>
        <w:rPr>
          <w:rFonts w:hint="eastAsia" w:ascii="Times New Roman" w:hAnsi="Times New Roman" w:cs="Times New Roman" w:eastAsiaTheme="minorEastAsia"/>
          <w:color w:val="000000"/>
          <w:kern w:val="0"/>
          <w:lang w:eastAsia="zh-CN"/>
        </w:rPr>
      </w:pPr>
      <w:r>
        <w:rPr>
          <w:rFonts w:hint="eastAsia" w:cs="Times New Roman"/>
          <w:color w:val="000000"/>
          <w:kern w:val="0"/>
          <w:lang w:val="en-US" w:eastAsia="zh-CN"/>
        </w:rPr>
        <w:t>4</w:t>
      </w:r>
      <w:r>
        <w:rPr>
          <w:rFonts w:hint="default" w:ascii="Times New Roman" w:hAnsi="Times New Roman" w:cs="Times New Roman"/>
          <w:color w:val="000000"/>
          <w:kern w:val="0"/>
        </w:rPr>
        <w:t>、</w:t>
      </w:r>
      <w:r>
        <w:rPr>
          <w:rFonts w:hint="eastAsia" w:cs="Times New Roman"/>
          <w:color w:val="000000"/>
          <w:kern w:val="0"/>
          <w:lang w:eastAsia="zh-CN"/>
        </w:rPr>
        <w:t>备用水源的合理性</w:t>
      </w:r>
    </w:p>
    <w:p>
      <w:pPr>
        <w:autoSpaceDE w:val="0"/>
        <w:autoSpaceDN w:val="0"/>
        <w:adjustRightInd w:val="0"/>
        <w:spacing w:line="360" w:lineRule="auto"/>
        <w:ind w:firstLine="480" w:firstLineChars="200"/>
        <w:jc w:val="left"/>
        <w:rPr>
          <w:rFonts w:hint="eastAsia" w:ascii="Times New Roman" w:hAnsi="Times New Roman" w:cs="Times New Roman" w:eastAsiaTheme="minorEastAsia"/>
          <w:color w:val="000000"/>
          <w:kern w:val="0"/>
          <w:lang w:eastAsia="zh-CN"/>
        </w:rPr>
      </w:pPr>
      <w:r>
        <w:rPr>
          <w:rFonts w:hint="eastAsia" w:cs="Times New Roman"/>
          <w:color w:val="000000"/>
          <w:kern w:val="0"/>
          <w:lang w:eastAsia="zh-CN"/>
        </w:rPr>
        <w:t>经过分析可知，老河堰水库有效容量较小，作为开江县县城备用水源地不太合理，建议重新选址。</w:t>
      </w:r>
    </w:p>
    <w:p>
      <w:pPr>
        <w:pStyle w:val="3"/>
        <w:spacing w:line="360" w:lineRule="auto"/>
        <w:rPr>
          <w:rFonts w:hint="default" w:ascii="Times New Roman" w:hAnsi="Times New Roman" w:cs="Times New Roman"/>
          <w:color w:val="auto"/>
        </w:rPr>
      </w:pPr>
      <w:bookmarkStart w:id="246" w:name="_Toc31334"/>
      <w:r>
        <w:rPr>
          <w:rFonts w:hint="eastAsia" w:ascii="Times New Roman" w:hAnsi="Times New Roman" w:cs="Times New Roman"/>
          <w:color w:val="auto"/>
          <w:lang w:val="en-US" w:eastAsia="zh-CN"/>
        </w:rPr>
        <w:t>7</w:t>
      </w:r>
      <w:r>
        <w:rPr>
          <w:rFonts w:hint="default" w:ascii="Times New Roman" w:hAnsi="Times New Roman" w:cs="Times New Roman"/>
          <w:color w:val="auto"/>
        </w:rPr>
        <w:t>.2 建议</w:t>
      </w:r>
      <w:bookmarkEnd w:id="245"/>
      <w:bookmarkEnd w:id="246"/>
      <w:r>
        <w:rPr>
          <w:rFonts w:hint="default" w:ascii="Times New Roman" w:hAnsi="Times New Roman" w:cs="Times New Roman"/>
          <w:color w:val="auto"/>
        </w:rPr>
        <w:t xml:space="preserve"> </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bookmarkStart w:id="247" w:name="_Toc28508"/>
      <w:r>
        <w:rPr>
          <w:rFonts w:hint="default" w:ascii="Times New Roman" w:hAnsi="Times New Roman" w:cs="Times New Roman"/>
          <w:color w:val="000000"/>
          <w:kern w:val="0"/>
          <w:lang w:eastAsia="zh-CN"/>
        </w:rPr>
        <w:t>开江县</w:t>
      </w:r>
      <w:r>
        <w:rPr>
          <w:rFonts w:hint="default" w:ascii="Times New Roman" w:hAnsi="Times New Roman" w:cs="Times New Roman"/>
          <w:color w:val="000000"/>
          <w:kern w:val="0"/>
        </w:rPr>
        <w:t>城集中式饮用水水源保护区建立后，为切实保护好各级保 护区内的水质，建议尽快完成以下工作：</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1</w:t>
      </w:r>
      <w:r>
        <w:rPr>
          <w:rFonts w:hint="default" w:ascii="Times New Roman" w:hAnsi="Times New Roman" w:cs="Times New Roman"/>
          <w:color w:val="000000"/>
          <w:kern w:val="0"/>
        </w:rPr>
        <w:t>、建议远期建立城镇污水处理厂，污水排放经净化处理，可以用于农作物及场镇绿地灌溉，提高废水的综合利用率，逐步达到废水资源化。</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2</w:t>
      </w:r>
      <w:r>
        <w:rPr>
          <w:rFonts w:hint="default" w:ascii="Times New Roman" w:hAnsi="Times New Roman" w:cs="Times New Roman"/>
          <w:color w:val="000000"/>
          <w:kern w:val="0"/>
        </w:rPr>
        <w:t>、禁止在取水点上游引进工矿企业，切实控制保护区的污染源。</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3</w:t>
      </w:r>
      <w:r>
        <w:rPr>
          <w:rFonts w:hint="default" w:ascii="Times New Roman" w:hAnsi="Times New Roman" w:cs="Times New Roman"/>
          <w:color w:val="000000"/>
          <w:kern w:val="0"/>
        </w:rPr>
        <w:t>、尽管水源地存在农业面源污染的风险较小，但仍建议保护区附近的农田使用生态肥料，并减少农药的使用量。</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4</w:t>
      </w:r>
      <w:r>
        <w:rPr>
          <w:rFonts w:hint="default" w:ascii="Times New Roman" w:hAnsi="Times New Roman" w:cs="Times New Roman"/>
          <w:color w:val="000000"/>
          <w:kern w:val="0"/>
        </w:rPr>
        <w:t>、管理能力建设，建立健全领导班子，组建领导小组，有关单位各负其责，各司其职。完善各项规章制度及岗位责任制，强化环保 意识，提高环境执法水平。</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5</w:t>
      </w:r>
      <w:r>
        <w:rPr>
          <w:rFonts w:hint="default" w:ascii="Times New Roman" w:hAnsi="Times New Roman" w:cs="Times New Roman"/>
          <w:color w:val="000000"/>
          <w:kern w:val="0"/>
        </w:rPr>
        <w:t>、建立一整套的抢救、处理、监测、治安管理体系及机制，由指挥中心负责全盘工作，具体由环境保护局、水务局、乡镇政府负责，会同各职能部门共同落实应急预案。</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6</w:t>
      </w:r>
      <w:r>
        <w:rPr>
          <w:rFonts w:hint="default" w:ascii="Times New Roman" w:hAnsi="Times New Roman" w:cs="Times New Roman"/>
          <w:color w:val="000000"/>
          <w:kern w:val="0"/>
        </w:rPr>
        <w:t>、建议远期建立饮用水水源地自动监测系统。</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7</w:t>
      </w:r>
      <w:r>
        <w:rPr>
          <w:rFonts w:hint="default" w:ascii="Times New Roman" w:hAnsi="Times New Roman" w:cs="Times New Roman"/>
          <w:color w:val="000000"/>
          <w:kern w:val="0"/>
        </w:rPr>
        <w:t>、根据《四川省饮用水水源保护管理条例（2012）》：地表水饮用水源二级保护区内禁止新建、改建、扩建排放污染物的建设项目；已建成的排放污染物的建设项目，由县级以上地方人民政府责令拆除或者关闭。如保护区内有农户，建议远期结合新农村、村镇建设规划等逐步迁出保护区外。</w:t>
      </w:r>
    </w:p>
    <w:p>
      <w:pPr>
        <w:autoSpaceDE w:val="0"/>
        <w:autoSpaceDN w:val="0"/>
        <w:adjustRightInd w:val="0"/>
        <w:spacing w:line="360" w:lineRule="auto"/>
        <w:ind w:firstLine="480" w:firstLineChars="200"/>
        <w:jc w:val="left"/>
        <w:rPr>
          <w:rFonts w:hint="default" w:ascii="Times New Roman" w:hAnsi="Times New Roman" w:cs="Times New Roman"/>
          <w:color w:val="000000"/>
          <w:kern w:val="0"/>
        </w:rPr>
      </w:pPr>
      <w:r>
        <w:rPr>
          <w:rFonts w:hint="eastAsia" w:cs="Times New Roman"/>
          <w:color w:val="000000"/>
          <w:kern w:val="0"/>
          <w:lang w:val="en-US" w:eastAsia="zh-CN"/>
        </w:rPr>
        <w:t>8</w:t>
      </w:r>
      <w:r>
        <w:rPr>
          <w:rFonts w:hint="default" w:ascii="Times New Roman" w:hAnsi="Times New Roman" w:cs="Times New Roman"/>
          <w:color w:val="000000"/>
          <w:kern w:val="0"/>
        </w:rPr>
        <w:t>、保护区范围内现状无污染源，未来应加大区域管理，严防新增污染源的产生，杜绝水源污染。</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26" w:charSpace="0"/>
        </w:sectPr>
      </w:pPr>
    </w:p>
    <w:p>
      <w:pPr>
        <w:pStyle w:val="2"/>
        <w:jc w:val="center"/>
        <w:rPr>
          <w:rFonts w:hint="default" w:ascii="Times New Roman" w:hAnsi="Times New Roman" w:cs="Times New Roman"/>
          <w:color w:val="auto"/>
        </w:rPr>
      </w:pPr>
      <w:bookmarkStart w:id="248" w:name="_Toc4693"/>
      <w:r>
        <w:rPr>
          <w:rFonts w:hint="eastAsia" w:cs="Times New Roman"/>
          <w:color w:val="auto"/>
          <w:lang w:val="en-US" w:eastAsia="zh-CN"/>
        </w:rPr>
        <w:t>8</w:t>
      </w:r>
      <w:r>
        <w:rPr>
          <w:rFonts w:hint="default" w:ascii="Times New Roman" w:hAnsi="Times New Roman" w:cs="Times New Roman"/>
          <w:color w:val="auto"/>
        </w:rPr>
        <w:t xml:space="preserve"> 附录</w:t>
      </w:r>
      <w:bookmarkEnd w:id="247"/>
      <w:bookmarkEnd w:id="248"/>
    </w:p>
    <w:p>
      <w:pPr>
        <w:pStyle w:val="3"/>
        <w:keepNext/>
        <w:keepLines/>
        <w:pageBreakBefore w:val="0"/>
        <w:widowControl w:val="0"/>
        <w:kinsoku/>
        <w:wordWrap/>
        <w:overflowPunct/>
        <w:topLinePunct w:val="0"/>
        <w:autoSpaceDE/>
        <w:autoSpaceDN/>
        <w:bidi w:val="0"/>
        <w:adjustRightInd/>
        <w:snapToGrid/>
        <w:spacing w:before="0" w:after="0" w:line="360" w:lineRule="auto"/>
        <w:ind w:left="0" w:leftChars="0" w:right="0" w:rightChars="0" w:firstLine="0" w:firstLineChars="0"/>
        <w:jc w:val="both"/>
        <w:textAlignment w:val="auto"/>
        <w:outlineLvl w:val="1"/>
        <w:rPr>
          <w:rFonts w:hint="default" w:ascii="Times New Roman" w:hAnsi="Times New Roman" w:cs="Times New Roman"/>
          <w:color w:val="auto"/>
        </w:rPr>
      </w:pPr>
      <w:bookmarkStart w:id="249" w:name="_Toc22836"/>
      <w:bookmarkStart w:id="250" w:name="_Toc20066"/>
      <w:r>
        <w:rPr>
          <w:rFonts w:hint="eastAsia" w:ascii="Times New Roman" w:hAnsi="Times New Roman" w:cs="Times New Roman"/>
          <w:color w:val="auto"/>
          <w:lang w:val="en-US" w:eastAsia="zh-CN"/>
        </w:rPr>
        <w:t>8</w:t>
      </w:r>
      <w:r>
        <w:rPr>
          <w:rFonts w:hint="default" w:ascii="Times New Roman" w:hAnsi="Times New Roman" w:cs="Times New Roman"/>
          <w:color w:val="auto"/>
        </w:rPr>
        <w:t>.1附表</w:t>
      </w:r>
      <w:bookmarkEnd w:id="249"/>
      <w:bookmarkEnd w:id="250"/>
      <w:bookmarkStart w:id="251" w:name="_Toc12126"/>
    </w:p>
    <w:p>
      <w:pPr>
        <w:jc w:val="center"/>
        <w:rPr>
          <w:rFonts w:hint="default" w:ascii="Times New Roman" w:hAnsi="Times New Roman" w:cs="Times New Roman"/>
          <w:color w:val="auto"/>
        </w:rPr>
      </w:pPr>
      <w:bookmarkStart w:id="252" w:name="_Toc492565844"/>
      <w:bookmarkStart w:id="253" w:name="_Toc492740627"/>
      <w:r>
        <w:rPr>
          <w:rFonts w:hint="default" w:ascii="Times New Roman" w:hAnsi="Times New Roman" w:cs="Times New Roman"/>
          <w:b/>
          <w:color w:val="auto"/>
          <w:kern w:val="0"/>
          <w:sz w:val="20"/>
          <w:szCs w:val="20"/>
          <w:lang w:val="zh-CN"/>
        </w:rPr>
        <w:t>附表1  开江县</w:t>
      </w:r>
      <w:r>
        <w:rPr>
          <w:rFonts w:hint="eastAsia" w:cs="Times New Roman"/>
          <w:b/>
          <w:color w:val="auto"/>
          <w:kern w:val="0"/>
          <w:sz w:val="20"/>
          <w:szCs w:val="20"/>
          <w:lang w:val="zh-CN"/>
        </w:rPr>
        <w:t>老河堰</w:t>
      </w:r>
      <w:r>
        <w:rPr>
          <w:rFonts w:hint="default" w:ascii="Times New Roman" w:hAnsi="Times New Roman" w:cs="Times New Roman"/>
          <w:b/>
          <w:color w:val="auto"/>
          <w:kern w:val="0"/>
          <w:sz w:val="20"/>
          <w:szCs w:val="20"/>
          <w:lang w:val="zh-CN"/>
        </w:rPr>
        <w:t>水库集中式地表水水源地水质评价结果</w:t>
      </w:r>
      <w:r>
        <w:rPr>
          <w:rFonts w:hint="default" w:ascii="Times New Roman" w:hAnsi="Times New Roman" w:cs="Times New Roman"/>
          <w:b/>
          <w:color w:val="auto"/>
          <w:kern w:val="0"/>
          <w:sz w:val="20"/>
          <w:szCs w:val="20"/>
          <w:lang w:val="en-US" w:eastAsia="zh-CN"/>
        </w:rPr>
        <w:t xml:space="preserve">  </w:t>
      </w:r>
      <w:r>
        <w:rPr>
          <w:rFonts w:hint="default" w:ascii="Times New Roman" w:hAnsi="Times New Roman" w:cs="Times New Roman"/>
          <w:b/>
          <w:color w:val="auto"/>
          <w:kern w:val="0"/>
          <w:sz w:val="20"/>
          <w:szCs w:val="20"/>
          <w:lang w:val="zh-CN"/>
        </w:rPr>
        <w:t>单位：mg/L</w:t>
      </w:r>
      <w:bookmarkEnd w:id="252"/>
      <w:bookmarkEnd w:id="253"/>
    </w:p>
    <w:tbl>
      <w:tblPr>
        <w:tblStyle w:val="16"/>
        <w:tblW w:w="8175" w:type="dxa"/>
        <w:tblInd w:w="158"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1197"/>
        <w:gridCol w:w="2367"/>
        <w:gridCol w:w="1633"/>
        <w:gridCol w:w="1684"/>
        <w:gridCol w:w="129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495" w:hRule="atLeast"/>
          <w:tblHeader/>
        </w:trPr>
        <w:tc>
          <w:tcPr>
            <w:tcW w:w="1197"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监测地点</w:t>
            </w:r>
          </w:p>
        </w:tc>
        <w:tc>
          <w:tcPr>
            <w:tcW w:w="2367"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监测项目</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单位</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监测结果</w:t>
            </w: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结果评价</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50" w:hRule="atLeast"/>
        </w:trPr>
        <w:tc>
          <w:tcPr>
            <w:tcW w:w="1197" w:type="dxa"/>
            <w:vMerge w:val="restart"/>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开江县</w:t>
            </w:r>
            <w:r>
              <w:rPr>
                <w:rFonts w:hint="eastAsia" w:eastAsia="宋体" w:cs="Times New Roman"/>
                <w:i w:val="0"/>
                <w:color w:val="000000"/>
                <w:kern w:val="0"/>
                <w:sz w:val="18"/>
                <w:szCs w:val="18"/>
                <w:u w:val="none"/>
                <w:lang w:val="en-US" w:eastAsia="zh-CN" w:bidi="ar"/>
              </w:rPr>
              <w:t>老河堰</w:t>
            </w:r>
            <w:r>
              <w:rPr>
                <w:rFonts w:hint="default" w:ascii="Times New Roman" w:hAnsi="Times New Roman" w:eastAsia="宋体" w:cs="Times New Roman"/>
                <w:i w:val="0"/>
                <w:color w:val="000000"/>
                <w:kern w:val="0"/>
                <w:sz w:val="18"/>
                <w:szCs w:val="18"/>
                <w:u w:val="none"/>
                <w:lang w:val="en-US" w:eastAsia="zh-CN" w:bidi="ar"/>
              </w:rPr>
              <w:t>水库水源地</w:t>
            </w: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水温</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pH</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无量纲</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溶解氧</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Ⅱ</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高锰酸盐指数</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化学需氧量</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五日生化需氧量</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氨氮</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总磷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总氮</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Ⅱ</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铜</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锌</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氟化物</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硒</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汞</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镉</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六价铬</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铅</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氰化物</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挥发酚</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石油类</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阴离子表面活性剂</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硫化物</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粪大肠菌群数</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个/L</w:t>
            </w:r>
          </w:p>
        </w:tc>
        <w:tc>
          <w:tcPr>
            <w:tcW w:w="168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Ⅰ</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硫酸盐</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氯化物</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82"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硝酸盐（以N</w:t>
            </w:r>
            <w:r>
              <w:rPr>
                <w:rStyle w:val="24"/>
                <w:rFonts w:hint="default" w:ascii="Times New Roman" w:hAnsi="Times New Roman" w:cs="Times New Roman"/>
                <w:lang w:val="en-US" w:eastAsia="zh-CN" w:bidi="ar"/>
              </w:rPr>
              <w:t>计）</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铁</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锰</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三氯甲烷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四氯化碳</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三溴甲烷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二氯甲烷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1,2-二氯乙烷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环氧氯丙烷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1,1-二氯乙烯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1,2二氯乙烯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三氯乙烯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四氯乙烯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氯丁二烯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六氯丁二烯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苯乙烯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甲醛</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乙醛</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丙烯醛</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三氯乙醛</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甲苯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乙苯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二甲苯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异丙苯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1,2-二氯苯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1,4-二氯苯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三氯苯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四氯苯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六氯苯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硝基苯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二硝基苯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2,4二硝基甲苯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2,4,6三硝基甲苯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硝基氯苯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2,4二硝基氯苯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val="en-US" w:eastAsia="zh-CN"/>
              </w:rPr>
            </w:pPr>
            <w:r>
              <w:rPr>
                <w:rFonts w:hint="default" w:ascii="Times New Roman" w:hAnsi="Times New Roman" w:eastAsia="宋体" w:cs="Times New Roman"/>
                <w:i w:val="0"/>
                <w:color w:val="000000"/>
                <w:kern w:val="0"/>
                <w:sz w:val="18"/>
                <w:szCs w:val="18"/>
                <w:u w:val="none"/>
                <w:lang w:val="en-US" w:eastAsia="zh-CN" w:bidi="ar"/>
              </w:rPr>
              <w:t>2,4二氯苯酚</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2,3,6三氯苯酚</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五氯酚</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苯胺</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联苯胺</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丙烯酰胺</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丙烯腈</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360"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邻苯二甲酸二丁酯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邻苯二甲酸二（2-乙基己基）酯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60"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水合肼</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四乙基铅</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吡啶</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松节油</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苦味酸</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丁基黄原酸</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活性氯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滴滴涕</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林丹</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环氧七氯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对硫磷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color w:val="auto"/>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甲基对硫磷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top"/>
          </w:tcPr>
          <w:p>
            <w:pPr>
              <w:keepNext w:val="0"/>
              <w:keepLines w:val="0"/>
              <w:widowControl/>
              <w:suppressLineNumbers w:val="0"/>
              <w:jc w:val="center"/>
              <w:textAlignment w:val="top"/>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马拉硫磷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乐果</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敌敌畏</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敌百虫</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内吸磷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百菌清</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甲萘威</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溴氰菊酯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阿特拉津</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苯并（</w:t>
            </w:r>
            <w:r>
              <w:rPr>
                <w:rStyle w:val="25"/>
                <w:rFonts w:hint="default" w:ascii="Times New Roman" w:hAnsi="Times New Roman" w:eastAsia="宋体" w:cs="Times New Roman"/>
                <w:lang w:val="en-US" w:eastAsia="zh-CN" w:bidi="ar"/>
              </w:rPr>
              <w:t>α</w:t>
            </w:r>
            <w:r>
              <w:rPr>
                <w:rStyle w:val="24"/>
                <w:rFonts w:hint="default" w:ascii="Times New Roman" w:hAnsi="Times New Roman" w:cs="Times New Roman"/>
                <w:lang w:val="en-US" w:eastAsia="zh-CN" w:bidi="ar"/>
              </w:rPr>
              <w:t>）花</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甲基汞</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多氯联苯</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微囊藻毒素-LR</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黄磷</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钼</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钴</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铍</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硼</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锑</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镍</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钡</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钒</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钛</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val="en-US"/>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Ex>
        <w:trPr>
          <w:trHeight w:val="285" w:hRule="atLeast"/>
        </w:trPr>
        <w:tc>
          <w:tcPr>
            <w:tcW w:w="1197" w:type="dxa"/>
            <w:vMerge w:val="continue"/>
            <w:vAlign w:val="center"/>
          </w:tcPr>
          <w:p>
            <w:pPr>
              <w:jc w:val="center"/>
              <w:rPr>
                <w:rFonts w:hint="default" w:ascii="Times New Roman" w:hAnsi="Times New Roman" w:cs="Times New Roman"/>
                <w:b/>
                <w:bCs/>
                <w:color w:val="auto"/>
                <w:kern w:val="0"/>
                <w:sz w:val="18"/>
                <w:szCs w:val="18"/>
              </w:rPr>
            </w:pPr>
          </w:p>
        </w:tc>
        <w:tc>
          <w:tcPr>
            <w:tcW w:w="236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18"/>
                <w:szCs w:val="18"/>
                <w:lang w:eastAsia="zh-CN"/>
              </w:rPr>
            </w:pPr>
            <w:r>
              <w:rPr>
                <w:rFonts w:hint="default" w:ascii="Times New Roman" w:hAnsi="Times New Roman" w:eastAsia="宋体" w:cs="Times New Roman"/>
                <w:i w:val="0"/>
                <w:color w:val="000000"/>
                <w:kern w:val="0"/>
                <w:sz w:val="18"/>
                <w:szCs w:val="18"/>
                <w:u w:val="none"/>
                <w:lang w:val="en-US" w:eastAsia="zh-CN" w:bidi="ar"/>
              </w:rPr>
              <w:t>铊</w:t>
            </w:r>
          </w:p>
        </w:tc>
        <w:tc>
          <w:tcPr>
            <w:tcW w:w="1633"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rPr>
            </w:pPr>
            <w:r>
              <w:rPr>
                <w:rFonts w:hint="default" w:ascii="Times New Roman" w:hAnsi="Times New Roman" w:eastAsia="宋体" w:cs="Times New Roman"/>
                <w:i w:val="0"/>
                <w:color w:val="000000"/>
                <w:kern w:val="0"/>
                <w:sz w:val="18"/>
                <w:szCs w:val="18"/>
                <w:u w:val="none"/>
                <w:lang w:val="en-US" w:eastAsia="zh-CN" w:bidi="ar"/>
              </w:rPr>
              <w:t>mg/L</w:t>
            </w:r>
          </w:p>
        </w:tc>
        <w:tc>
          <w:tcPr>
            <w:tcW w:w="1684"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18"/>
                <w:szCs w:val="18"/>
                <w:lang w:val="en-US"/>
              </w:rPr>
            </w:pPr>
          </w:p>
        </w:tc>
        <w:tc>
          <w:tcPr>
            <w:tcW w:w="1294" w:type="dxa"/>
            <w:vAlign w:val="center"/>
          </w:tcPr>
          <w:p>
            <w:pPr>
              <w:keepNext w:val="0"/>
              <w:keepLines w:val="0"/>
              <w:widowControl/>
              <w:suppressLineNumbers w:val="0"/>
              <w:jc w:val="center"/>
              <w:textAlignment w:val="center"/>
              <w:rPr>
                <w:rFonts w:hint="default" w:ascii="Times New Roman" w:hAnsi="Times New Roman" w:cs="Times New Roman"/>
                <w:b/>
                <w:bCs/>
                <w:color w:val="auto"/>
                <w:kern w:val="0"/>
                <w:sz w:val="18"/>
                <w:szCs w:val="18"/>
              </w:rPr>
            </w:pPr>
            <w:r>
              <w:rPr>
                <w:rFonts w:hint="default" w:ascii="Times New Roman" w:hAnsi="Times New Roman" w:eastAsia="宋体" w:cs="Times New Roman"/>
                <w:b/>
                <w:i w:val="0"/>
                <w:color w:val="000000"/>
                <w:kern w:val="0"/>
                <w:sz w:val="18"/>
                <w:szCs w:val="18"/>
                <w:u w:val="none"/>
                <w:lang w:val="en-US" w:eastAsia="zh-CN" w:bidi="ar"/>
              </w:rPr>
              <w:t>达标</w:t>
            </w:r>
          </w:p>
        </w:tc>
      </w:tr>
    </w:tbl>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pStyle w:val="3"/>
        <w:rPr>
          <w:rFonts w:hint="default" w:ascii="Times New Roman" w:hAnsi="Times New Roman" w:cs="Times New Roman"/>
          <w:color w:val="auto"/>
        </w:rPr>
      </w:pPr>
      <w:bookmarkStart w:id="254" w:name="_Toc27590"/>
      <w:r>
        <w:rPr>
          <w:rFonts w:hint="eastAsia" w:ascii="Times New Roman" w:hAnsi="Times New Roman" w:cs="Times New Roman"/>
          <w:color w:val="auto"/>
          <w:lang w:val="en-US" w:eastAsia="zh-CN"/>
        </w:rPr>
        <w:t>8</w:t>
      </w:r>
      <w:r>
        <w:rPr>
          <w:rFonts w:hint="default" w:ascii="Times New Roman" w:hAnsi="Times New Roman" w:cs="Times New Roman"/>
          <w:color w:val="auto"/>
        </w:rPr>
        <w:t>.2附件</w:t>
      </w:r>
      <w:bookmarkEnd w:id="251"/>
      <w:bookmarkEnd w:id="254"/>
    </w:p>
    <w:p>
      <w:pPr>
        <w:pStyle w:val="4"/>
        <w:rPr>
          <w:rFonts w:hint="default" w:ascii="Times New Roman" w:hAnsi="Times New Roman" w:cs="Times New Roman"/>
          <w:color w:val="auto"/>
        </w:rPr>
      </w:pPr>
      <w:bookmarkStart w:id="255" w:name="_Toc13993"/>
      <w:bookmarkStart w:id="256" w:name="_Toc4101"/>
      <w:bookmarkStart w:id="257" w:name="_Toc1267"/>
      <w:r>
        <w:rPr>
          <w:rFonts w:hint="eastAsia" w:ascii="Times New Roman" w:hAnsi="Times New Roman" w:cs="Times New Roman"/>
          <w:color w:val="auto"/>
          <w:lang w:val="en-US" w:eastAsia="zh-CN"/>
        </w:rPr>
        <w:t>8</w:t>
      </w:r>
      <w:r>
        <w:rPr>
          <w:rFonts w:hint="default" w:ascii="Times New Roman" w:hAnsi="Times New Roman" w:cs="Times New Roman"/>
          <w:color w:val="auto"/>
        </w:rPr>
        <w:t>.2.1关于进一步加强饮用水水源保护工作的通知</w:t>
      </w:r>
      <w:bookmarkEnd w:id="255"/>
      <w:bookmarkEnd w:id="256"/>
      <w:bookmarkEnd w:id="257"/>
    </w:p>
    <w:p>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133340" cy="7057390"/>
            <wp:effectExtent l="0" t="0" r="10160" b="10160"/>
            <wp:docPr id="16" name="图片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
                    <pic:cNvPicPr>
                      <a:picLocks noChangeAspect="1"/>
                    </pic:cNvPicPr>
                  </pic:nvPicPr>
                  <pic:blipFill>
                    <a:blip r:embed="rId32"/>
                    <a:stretch>
                      <a:fillRect/>
                    </a:stretch>
                  </pic:blipFill>
                  <pic:spPr>
                    <a:xfrm>
                      <a:off x="0" y="0"/>
                      <a:ext cx="5133340" cy="7057390"/>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5269865" cy="7254240"/>
            <wp:effectExtent l="0" t="0" r="6985" b="3810"/>
            <wp:docPr id="18" name="图片 1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2"/>
                    <pic:cNvPicPr>
                      <a:picLocks noChangeAspect="1"/>
                    </pic:cNvPicPr>
                  </pic:nvPicPr>
                  <pic:blipFill>
                    <a:blip r:embed="rId33"/>
                    <a:stretch>
                      <a:fillRect/>
                    </a:stretch>
                  </pic:blipFill>
                  <pic:spPr>
                    <a:xfrm>
                      <a:off x="0" y="0"/>
                      <a:ext cx="5269865" cy="7254240"/>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5066665" cy="7085965"/>
            <wp:effectExtent l="0" t="0" r="635" b="635"/>
            <wp:docPr id="17" name="图片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descr="3"/>
                    <pic:cNvPicPr>
                      <a:picLocks noChangeAspect="1"/>
                    </pic:cNvPicPr>
                  </pic:nvPicPr>
                  <pic:blipFill>
                    <a:blip r:embed="rId34"/>
                    <a:stretch>
                      <a:fillRect/>
                    </a:stretch>
                  </pic:blipFill>
                  <pic:spPr>
                    <a:xfrm>
                      <a:off x="0" y="0"/>
                      <a:ext cx="5066665" cy="7085965"/>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5273675" cy="7298690"/>
            <wp:effectExtent l="0" t="0" r="3175" b="16510"/>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35"/>
                    <a:stretch>
                      <a:fillRect/>
                    </a:stretch>
                  </pic:blipFill>
                  <pic:spPr>
                    <a:xfrm>
                      <a:off x="0" y="0"/>
                      <a:ext cx="5273675" cy="7298690"/>
                    </a:xfrm>
                    <a:prstGeom prst="rect">
                      <a:avLst/>
                    </a:prstGeom>
                    <a:noFill/>
                    <a:ln w="9525">
                      <a:noFill/>
                    </a:ln>
                  </pic:spPr>
                </pic:pic>
              </a:graphicData>
            </a:graphic>
          </wp:inline>
        </w:drawing>
      </w:r>
      <w:r>
        <w:rPr>
          <w:rFonts w:hint="default" w:ascii="Times New Roman" w:hAnsi="Times New Roman" w:cs="Times New Roman"/>
          <w:color w:val="auto"/>
        </w:rPr>
        <w:drawing>
          <wp:inline distT="0" distB="0" distL="114300" distR="114300">
            <wp:extent cx="5238115" cy="7514590"/>
            <wp:effectExtent l="0" t="0" r="635" b="10160"/>
            <wp:docPr id="20" name="图片 2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5"/>
                    <pic:cNvPicPr>
                      <a:picLocks noChangeAspect="1"/>
                    </pic:cNvPicPr>
                  </pic:nvPicPr>
                  <pic:blipFill>
                    <a:blip r:embed="rId36"/>
                    <a:stretch>
                      <a:fillRect/>
                    </a:stretch>
                  </pic:blipFill>
                  <pic:spPr>
                    <a:xfrm>
                      <a:off x="0" y="0"/>
                      <a:ext cx="5238115" cy="7514590"/>
                    </a:xfrm>
                    <a:prstGeom prst="rect">
                      <a:avLst/>
                    </a:prstGeom>
                    <a:noFill/>
                    <a:ln w="9525">
                      <a:noFill/>
                    </a:ln>
                  </pic:spPr>
                </pic:pic>
              </a:graphicData>
            </a:graphic>
          </wp:inline>
        </w:drawing>
      </w: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rPr>
      </w:pPr>
    </w:p>
    <w:p>
      <w:pPr>
        <w:jc w:val="left"/>
        <w:rPr>
          <w:rFonts w:hint="default" w:ascii="Times New Roman" w:hAnsi="Times New Roman" w:cs="Times New Roman"/>
          <w:color w:val="auto"/>
        </w:rPr>
      </w:pPr>
    </w:p>
    <w:p>
      <w:pPr>
        <w:jc w:val="left"/>
        <w:rPr>
          <w:rFonts w:hint="default" w:ascii="Times New Roman" w:hAnsi="Times New Roman" w:cs="Times New Roman"/>
          <w:color w:val="auto"/>
        </w:rPr>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32" w:charSpace="0"/>
        </w:sectPr>
      </w:pPr>
    </w:p>
    <w:p>
      <w:pPr>
        <w:pStyle w:val="4"/>
        <w:rPr>
          <w:rFonts w:hint="default" w:ascii="Times New Roman" w:hAnsi="Times New Roman" w:cs="Times New Roman"/>
          <w:color w:val="auto"/>
        </w:rPr>
      </w:pPr>
      <w:bookmarkStart w:id="258" w:name="_Toc19318"/>
      <w:bookmarkStart w:id="259" w:name="_Toc6220"/>
      <w:bookmarkStart w:id="260" w:name="_Toc29554"/>
      <w:r>
        <w:rPr>
          <w:rFonts w:hint="eastAsia" w:ascii="Times New Roman" w:hAnsi="Times New Roman" w:cs="Times New Roman"/>
          <w:color w:val="auto"/>
          <w:lang w:val="en-US" w:eastAsia="zh-CN"/>
        </w:rPr>
        <w:t>8</w:t>
      </w:r>
      <w:r>
        <w:rPr>
          <w:rFonts w:hint="default" w:ascii="Times New Roman" w:hAnsi="Times New Roman" w:cs="Times New Roman"/>
          <w:color w:val="auto"/>
        </w:rPr>
        <w:t>.2.</w:t>
      </w:r>
      <w:r>
        <w:rPr>
          <w:rFonts w:hint="default" w:ascii="Times New Roman" w:hAnsi="Times New Roman" w:cs="Times New Roman"/>
          <w:color w:val="auto"/>
          <w:lang w:val="en-US" w:eastAsia="zh-CN"/>
        </w:rPr>
        <w:t>2</w:t>
      </w:r>
      <w:r>
        <w:rPr>
          <w:rFonts w:hint="default" w:ascii="Times New Roman" w:hAnsi="Times New Roman" w:cs="Times New Roman"/>
          <w:color w:val="auto"/>
        </w:rPr>
        <w:t>水质监测报告</w:t>
      </w:r>
      <w:bookmarkEnd w:id="258"/>
      <w:bookmarkEnd w:id="259"/>
      <w:bookmarkEnd w:id="260"/>
    </w:p>
    <w:p>
      <w:pPr>
        <w:pStyle w:val="4"/>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2"/>
        <w:rPr>
          <w:rFonts w:hint="default" w:ascii="Times New Roman" w:hAnsi="Times New Roman" w:cs="Times New Roman"/>
          <w:color w:val="auto"/>
          <w:lang w:eastAsia="zh-CN"/>
        </w:rPr>
      </w:pPr>
      <w:bookmarkStart w:id="261" w:name="_Toc29152"/>
      <w:bookmarkStart w:id="262" w:name="_Toc13268"/>
      <w:bookmarkStart w:id="263" w:name="_Toc8996"/>
      <w:r>
        <w:rPr>
          <w:rFonts w:hint="eastAsia" w:ascii="Times New Roman" w:hAnsi="Times New Roman" w:cs="Times New Roman"/>
          <w:color w:val="auto"/>
          <w:lang w:val="en-US" w:eastAsia="zh-CN"/>
        </w:rPr>
        <w:t>8</w:t>
      </w:r>
      <w:r>
        <w:rPr>
          <w:rFonts w:hint="default" w:ascii="Times New Roman" w:hAnsi="Times New Roman" w:cs="Times New Roman"/>
          <w:color w:val="auto"/>
        </w:rPr>
        <w:t>.2.</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卫生防疫许可证明</w:t>
      </w:r>
      <w:bookmarkEnd w:id="261"/>
      <w:bookmarkEnd w:id="262"/>
    </w:p>
    <w:p>
      <w:pPr>
        <w:keepNext/>
        <w:keepLines/>
        <w:pageBreakBefore w:val="0"/>
        <w:widowControl w:val="0"/>
        <w:kinsoku/>
        <w:wordWrap/>
        <w:overflowPunct/>
        <w:topLinePunct w:val="0"/>
        <w:autoSpaceDE/>
        <w:autoSpaceDN/>
        <w:bidi w:val="0"/>
        <w:adjustRightInd/>
        <w:snapToGrid/>
        <w:spacing w:before="100" w:beforeAutospacing="1" w:after="100" w:afterAutospacing="1" w:line="416" w:lineRule="auto"/>
        <w:ind w:left="0" w:leftChars="0" w:right="0" w:rightChars="0" w:firstLine="0" w:firstLineChars="0"/>
        <w:jc w:val="both"/>
        <w:textAlignment w:val="auto"/>
        <w:outlineLvl w:val="9"/>
        <w:rPr>
          <w:rFonts w:hint="default" w:ascii="Times New Roman" w:hAnsi="Times New Roman" w:cs="Times New Roman"/>
          <w:color w:val="auto"/>
          <w:lang w:val="en-US" w:eastAsia="zh-CN"/>
        </w:rPr>
      </w:pPr>
    </w:p>
    <w:bookmarkEnd w:id="263"/>
    <w:p>
      <w:pPr>
        <w:keepNext/>
        <w:keepLines/>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0" w:firstLineChars="0"/>
        <w:jc w:val="both"/>
        <w:textAlignment w:val="auto"/>
        <w:outlineLvl w:val="9"/>
        <w:rPr>
          <w:rFonts w:hint="default" w:ascii="Times New Roman" w:hAnsi="Times New Roman" w:cs="Times New Roman"/>
          <w:color w:val="auto"/>
          <w:lang w:val="en-US" w:eastAsia="zh-CN"/>
        </w:rPr>
      </w:pPr>
      <w:bookmarkStart w:id="264" w:name="_GoBack"/>
      <w:bookmarkEnd w:id="264"/>
    </w:p>
    <w:sectPr>
      <w:pgSz w:w="11906" w:h="16838"/>
      <w:pgMar w:top="1440" w:right="1803" w:bottom="1440" w:left="1803" w:header="851" w:footer="992" w:gutter="0"/>
      <w:pgBorders>
        <w:top w:val="none" w:sz="0" w:space="0"/>
        <w:left w:val="none" w:sz="0" w:space="0"/>
        <w:bottom w:val="none" w:sz="0" w:space="0"/>
        <w:right w:val="none" w:sz="0" w:space="0"/>
      </w:pgBorders>
      <w:cols w:space="720" w:num="1"/>
      <w:rtlGutter w:val="0"/>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MS Mincho">
    <w:panose1 w:val="02020609040205080304"/>
    <w:charset w:val="80"/>
    <w:family w:val="modern"/>
    <w:pitch w:val="default"/>
    <w:sig w:usb0="E00002FF" w:usb1="6AC7FDFB" w:usb2="00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fldChar w:fldCharType="begin"/>
    </w:r>
    <w:r>
      <w:instrText xml:space="preserve">PAGE   \* MERGEFORMAT</w:instrText>
    </w:r>
    <w:r>
      <w:fldChar w:fldCharType="separate"/>
    </w:r>
    <w:r>
      <w:rPr>
        <w:lang w:val="zh-CN"/>
      </w:rPr>
      <w:t>27</w:t>
    </w:r>
    <w:r>
      <w:fldChar w:fldCharType="end"/>
    </w:r>
  </w:p>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b/>
        <w:sz w:val="20"/>
      </w:rPr>
    </w:pPr>
    <w:r>
      <w:rPr>
        <w:rFonts w:hint="eastAsia"/>
        <w:b/>
        <w:sz w:val="20"/>
        <w:lang w:eastAsia="zh-CN"/>
      </w:rPr>
      <w:t>开江县县城老河堰水库</w:t>
    </w:r>
    <w:r>
      <w:rPr>
        <w:rFonts w:hint="eastAsia"/>
        <w:b/>
        <w:sz w:val="20"/>
      </w:rPr>
      <w:t>集中式饮用水水源保护区划分</w:t>
    </w:r>
    <w:r>
      <w:rPr>
        <w:rFonts w:hint="eastAsia"/>
        <w:b/>
        <w:sz w:val="20"/>
        <w:lang w:eastAsia="zh-CN"/>
      </w:rPr>
      <w:t>调整</w:t>
    </w:r>
    <w:r>
      <w:rPr>
        <w:rFonts w:hint="eastAsia"/>
        <w:b/>
        <w:sz w:val="20"/>
      </w:rPr>
      <w:t>技术报告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A2C54"/>
    <w:multiLevelType w:val="multilevel"/>
    <w:tmpl w:val="238A2C54"/>
    <w:lvl w:ilvl="0" w:tentative="0">
      <w:start w:val="1"/>
      <w:numFmt w:val="bullet"/>
      <w:lvlText w:val=""/>
      <w:lvlJc w:val="left"/>
      <w:pPr>
        <w:ind w:left="846"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245C137A"/>
    <w:multiLevelType w:val="multilevel"/>
    <w:tmpl w:val="245C137A"/>
    <w:lvl w:ilvl="0" w:tentative="0">
      <w:start w:val="1"/>
      <w:numFmt w:val="bullet"/>
      <w:lvlText w:val=""/>
      <w:lvlJc w:val="left"/>
      <w:pPr>
        <w:ind w:left="961" w:hanging="420"/>
      </w:pPr>
      <w:rPr>
        <w:rFonts w:hint="default" w:ascii="Wingdings" w:hAnsi="Wingdings"/>
      </w:rPr>
    </w:lvl>
    <w:lvl w:ilvl="1" w:tentative="0">
      <w:start w:val="1"/>
      <w:numFmt w:val="bullet"/>
      <w:lvlText w:val=""/>
      <w:lvlJc w:val="left"/>
      <w:pPr>
        <w:ind w:left="1381" w:hanging="420"/>
      </w:pPr>
      <w:rPr>
        <w:rFonts w:hint="default" w:ascii="Wingdings" w:hAnsi="Wingdings"/>
      </w:rPr>
    </w:lvl>
    <w:lvl w:ilvl="2" w:tentative="0">
      <w:start w:val="1"/>
      <w:numFmt w:val="bullet"/>
      <w:lvlText w:val=""/>
      <w:lvlJc w:val="left"/>
      <w:pPr>
        <w:ind w:left="1801" w:hanging="420"/>
      </w:pPr>
      <w:rPr>
        <w:rFonts w:hint="default" w:ascii="Wingdings" w:hAnsi="Wingdings"/>
      </w:rPr>
    </w:lvl>
    <w:lvl w:ilvl="3" w:tentative="0">
      <w:start w:val="1"/>
      <w:numFmt w:val="bullet"/>
      <w:lvlText w:val=""/>
      <w:lvlJc w:val="left"/>
      <w:pPr>
        <w:ind w:left="2221" w:hanging="420"/>
      </w:pPr>
      <w:rPr>
        <w:rFonts w:hint="default" w:ascii="Wingdings" w:hAnsi="Wingdings"/>
      </w:rPr>
    </w:lvl>
    <w:lvl w:ilvl="4" w:tentative="0">
      <w:start w:val="1"/>
      <w:numFmt w:val="bullet"/>
      <w:lvlText w:val=""/>
      <w:lvlJc w:val="left"/>
      <w:pPr>
        <w:ind w:left="2641" w:hanging="420"/>
      </w:pPr>
      <w:rPr>
        <w:rFonts w:hint="default" w:ascii="Wingdings" w:hAnsi="Wingdings"/>
      </w:rPr>
    </w:lvl>
    <w:lvl w:ilvl="5" w:tentative="0">
      <w:start w:val="1"/>
      <w:numFmt w:val="bullet"/>
      <w:lvlText w:val=""/>
      <w:lvlJc w:val="left"/>
      <w:pPr>
        <w:ind w:left="3061" w:hanging="420"/>
      </w:pPr>
      <w:rPr>
        <w:rFonts w:hint="default" w:ascii="Wingdings" w:hAnsi="Wingdings"/>
      </w:rPr>
    </w:lvl>
    <w:lvl w:ilvl="6" w:tentative="0">
      <w:start w:val="1"/>
      <w:numFmt w:val="bullet"/>
      <w:lvlText w:val=""/>
      <w:lvlJc w:val="left"/>
      <w:pPr>
        <w:ind w:left="3481" w:hanging="420"/>
      </w:pPr>
      <w:rPr>
        <w:rFonts w:hint="default" w:ascii="Wingdings" w:hAnsi="Wingdings"/>
      </w:rPr>
    </w:lvl>
    <w:lvl w:ilvl="7" w:tentative="0">
      <w:start w:val="1"/>
      <w:numFmt w:val="bullet"/>
      <w:lvlText w:val=""/>
      <w:lvlJc w:val="left"/>
      <w:pPr>
        <w:ind w:left="3901" w:hanging="420"/>
      </w:pPr>
      <w:rPr>
        <w:rFonts w:hint="default" w:ascii="Wingdings" w:hAnsi="Wingdings"/>
      </w:rPr>
    </w:lvl>
    <w:lvl w:ilvl="8" w:tentative="0">
      <w:start w:val="1"/>
      <w:numFmt w:val="bullet"/>
      <w:lvlText w:val=""/>
      <w:lvlJc w:val="left"/>
      <w:pPr>
        <w:ind w:left="4321" w:hanging="420"/>
      </w:pPr>
      <w:rPr>
        <w:rFonts w:hint="default" w:ascii="Wingdings" w:hAnsi="Wingdings"/>
      </w:rPr>
    </w:lvl>
  </w:abstractNum>
  <w:abstractNum w:abstractNumId="2">
    <w:nsid w:val="32C164BE"/>
    <w:multiLevelType w:val="multilevel"/>
    <w:tmpl w:val="32C164BE"/>
    <w:lvl w:ilvl="0" w:tentative="0">
      <w:start w:val="1"/>
      <w:numFmt w:val="bullet"/>
      <w:lvlText w:val=""/>
      <w:lvlJc w:val="left"/>
      <w:pPr>
        <w:ind w:left="980" w:hanging="420"/>
      </w:pPr>
      <w:rPr>
        <w:rFonts w:hint="default" w:ascii="Wingdings" w:hAnsi="Wingdings"/>
        <w:color w:val="auto"/>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43414EBA"/>
    <w:multiLevelType w:val="multilevel"/>
    <w:tmpl w:val="43414EBA"/>
    <w:lvl w:ilvl="0" w:tentative="0">
      <w:start w:val="1"/>
      <w:numFmt w:val="bullet"/>
      <w:lvlText w:val=""/>
      <w:lvlJc w:val="left"/>
      <w:pPr>
        <w:ind w:left="980" w:hanging="420"/>
      </w:pPr>
      <w:rPr>
        <w:rFonts w:hint="default" w:ascii="Wingdings" w:hAnsi="Wingdings"/>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
    <w:nsid w:val="4F888C08"/>
    <w:multiLevelType w:val="singleLevel"/>
    <w:tmpl w:val="4F888C08"/>
    <w:lvl w:ilvl="0" w:tentative="0">
      <w:start w:val="1"/>
      <w:numFmt w:val="decimal"/>
      <w:lvlText w:val="表4-%1"/>
      <w:lvlJc w:val="left"/>
      <w:pPr>
        <w:tabs>
          <w:tab w:val="left" w:pos="420"/>
        </w:tabs>
        <w:ind w:left="425" w:leftChars="0" w:hanging="425" w:firstLineChars="0"/>
      </w:pPr>
      <w:rPr>
        <w:rFonts w:hint="default" w:ascii="宋体" w:hAnsi="宋体" w:eastAsia="宋体" w:cs="宋体"/>
      </w:rPr>
    </w:lvl>
  </w:abstractNum>
  <w:abstractNum w:abstractNumId="5">
    <w:nsid w:val="5A27E33E"/>
    <w:multiLevelType w:val="singleLevel"/>
    <w:tmpl w:val="5A27E33E"/>
    <w:lvl w:ilvl="0" w:tentative="0">
      <w:start w:val="3"/>
      <w:numFmt w:val="decimal"/>
      <w:suff w:val="nothing"/>
      <w:lvlText w:val="（%1）"/>
      <w:lvlJc w:val="left"/>
    </w:lvl>
  </w:abstractNum>
  <w:abstractNum w:abstractNumId="6">
    <w:nsid w:val="5E95DC30"/>
    <w:multiLevelType w:val="singleLevel"/>
    <w:tmpl w:val="5E95DC30"/>
    <w:lvl w:ilvl="0" w:tentative="0">
      <w:start w:val="1"/>
      <w:numFmt w:val="decimal"/>
      <w:suff w:val="nothing"/>
      <w:lvlText w:val="（%1）"/>
      <w:lvlJc w:val="left"/>
    </w:lvl>
  </w:abstractNum>
  <w:num w:numId="1">
    <w:abstractNumId w:val="6"/>
  </w:num>
  <w:num w:numId="2">
    <w:abstractNumId w:val="4"/>
  </w:num>
  <w:num w:numId="3">
    <w:abstractNumId w:val="1"/>
  </w:num>
  <w:num w:numId="4">
    <w:abstractNumId w:val="0"/>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337F27"/>
    <w:rsid w:val="019846E2"/>
    <w:rsid w:val="027C60D4"/>
    <w:rsid w:val="04753FDC"/>
    <w:rsid w:val="0CD0403A"/>
    <w:rsid w:val="13F847D5"/>
    <w:rsid w:val="14622E02"/>
    <w:rsid w:val="198A79DD"/>
    <w:rsid w:val="1EC076AB"/>
    <w:rsid w:val="1F2167EB"/>
    <w:rsid w:val="230A72A1"/>
    <w:rsid w:val="231B752F"/>
    <w:rsid w:val="274554FD"/>
    <w:rsid w:val="2B881B60"/>
    <w:rsid w:val="2C072515"/>
    <w:rsid w:val="2D905254"/>
    <w:rsid w:val="31533D83"/>
    <w:rsid w:val="35337F27"/>
    <w:rsid w:val="361D78C4"/>
    <w:rsid w:val="3BBF5809"/>
    <w:rsid w:val="3C791B7C"/>
    <w:rsid w:val="3E9603A4"/>
    <w:rsid w:val="3F672DE8"/>
    <w:rsid w:val="44D93682"/>
    <w:rsid w:val="543677BE"/>
    <w:rsid w:val="54C55CB6"/>
    <w:rsid w:val="5D24360B"/>
    <w:rsid w:val="5DB45A0C"/>
    <w:rsid w:val="608935A1"/>
    <w:rsid w:val="667E29CA"/>
    <w:rsid w:val="67B979EB"/>
    <w:rsid w:val="67CB2F24"/>
    <w:rsid w:val="6EFE54E9"/>
    <w:rsid w:val="75832C05"/>
    <w:rsid w:val="76824B70"/>
    <w:rsid w:val="7B74185D"/>
    <w:rsid w:val="7B7423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140" w:after="140" w:line="416" w:lineRule="auto"/>
      <w:outlineLvl w:val="1"/>
    </w:pPr>
    <w:rPr>
      <w:rFonts w:ascii="Cambria" w:hAnsi="Cambria"/>
      <w:b/>
      <w:bCs/>
      <w:sz w:val="28"/>
      <w:szCs w:val="32"/>
    </w:rPr>
  </w:style>
  <w:style w:type="paragraph" w:styleId="4">
    <w:name w:val="heading 3"/>
    <w:basedOn w:val="1"/>
    <w:next w:val="1"/>
    <w:semiHidden/>
    <w:unhideWhenUsed/>
    <w:qFormat/>
    <w:uiPriority w:val="0"/>
    <w:pPr>
      <w:widowControl/>
      <w:spacing w:beforeAutospacing="1" w:afterAutospacing="1"/>
      <w:jc w:val="left"/>
      <w:outlineLvl w:val="2"/>
    </w:pPr>
    <w:rPr>
      <w:rFonts w:ascii="宋体" w:hAnsi="宋体"/>
      <w:b/>
      <w:bCs/>
      <w:kern w:val="0"/>
      <w:szCs w:val="27"/>
    </w:rPr>
  </w:style>
  <w:style w:type="paragraph" w:styleId="5">
    <w:name w:val="heading 4"/>
    <w:basedOn w:val="1"/>
    <w:next w:val="1"/>
    <w:unhideWhenUsed/>
    <w:qFormat/>
    <w:uiPriority w:val="0"/>
    <w:pPr>
      <w:keepNext/>
      <w:keepLines/>
      <w:adjustRightInd w:val="0"/>
      <w:snapToGrid w:val="0"/>
      <w:ind w:firstLine="200" w:firstLineChars="200"/>
      <w:outlineLvl w:val="3"/>
    </w:pPr>
    <w:rPr>
      <w:rFonts w:ascii="Cambria" w:hAnsi="Cambria"/>
      <w:b/>
      <w:bCs/>
      <w:szCs w:val="28"/>
    </w:rPr>
  </w:style>
  <w:style w:type="character" w:default="1" w:styleId="12">
    <w:name w:val="Default Paragraph Font"/>
    <w:semiHidden/>
    <w:qFormat/>
    <w:uiPriority w:val="0"/>
  </w:style>
  <w:style w:type="table" w:default="1" w:styleId="16">
    <w:name w:val="Normal Table"/>
    <w:semiHidden/>
    <w:qFormat/>
    <w:uiPriority w:val="0"/>
    <w:tblPr>
      <w:tblLayout w:type="fixed"/>
      <w:tblCellMar>
        <w:top w:w="0" w:type="dxa"/>
        <w:left w:w="108" w:type="dxa"/>
        <w:bottom w:w="0" w:type="dxa"/>
        <w:right w:w="108" w:type="dxa"/>
      </w:tblCellMar>
    </w:tblPr>
  </w:style>
  <w:style w:type="paragraph" w:styleId="6">
    <w:name w:val="Body Text"/>
    <w:basedOn w:val="1"/>
    <w:qFormat/>
    <w:uiPriority w:val="0"/>
    <w:pPr>
      <w:spacing w:after="120" w:line="360" w:lineRule="auto"/>
      <w:ind w:firstLine="200" w:firstLineChars="200"/>
    </w:pPr>
  </w:style>
  <w:style w:type="paragraph" w:styleId="7">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9">
    <w:name w:val="toc 1"/>
    <w:basedOn w:val="1"/>
    <w:next w:val="1"/>
    <w:qFormat/>
    <w:uiPriority w:val="0"/>
  </w:style>
  <w:style w:type="paragraph" w:styleId="10">
    <w:name w:val="toc 2"/>
    <w:basedOn w:val="1"/>
    <w:next w:val="1"/>
    <w:qFormat/>
    <w:uiPriority w:val="0"/>
    <w:pPr>
      <w:widowControl/>
      <w:spacing w:after="100" w:line="276" w:lineRule="auto"/>
      <w:ind w:left="220"/>
      <w:jc w:val="left"/>
    </w:pPr>
    <w:rPr>
      <w:rFonts w:ascii="Calibri" w:hAnsi="Calibri" w:eastAsia="宋体" w:cs="Times New Roman"/>
      <w:kern w:val="0"/>
      <w:sz w:val="22"/>
      <w:szCs w:val="22"/>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FollowedHyperlink"/>
    <w:basedOn w:val="12"/>
    <w:qFormat/>
    <w:uiPriority w:val="0"/>
    <w:rPr>
      <w:rFonts w:hint="eastAsia" w:ascii="微软雅黑" w:hAnsi="微软雅黑" w:eastAsia="微软雅黑" w:cs="微软雅黑"/>
      <w:color w:val="3D3D3D"/>
      <w:u w:val="none"/>
    </w:rPr>
  </w:style>
  <w:style w:type="character" w:styleId="14">
    <w:name w:val="Hyperlink"/>
    <w:qFormat/>
    <w:uiPriority w:val="0"/>
    <w:rPr>
      <w:color w:val="0000FF"/>
      <w:u w:val="single"/>
    </w:rPr>
  </w:style>
  <w:style w:type="character" w:styleId="15">
    <w:name w:val="HTML Code"/>
    <w:basedOn w:val="12"/>
    <w:qFormat/>
    <w:uiPriority w:val="0"/>
    <w:rPr>
      <w:rFonts w:ascii="Courier New" w:hAnsi="Courier New"/>
      <w:sz w:val="20"/>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8">
    <w:name w:val="_Style 6"/>
    <w:basedOn w:val="2"/>
    <w:next w:val="1"/>
    <w:qFormat/>
    <w:uiPriority w:val="39"/>
    <w:pPr>
      <w:widowControl/>
      <w:spacing w:before="480" w:after="0" w:line="276" w:lineRule="auto"/>
      <w:jc w:val="left"/>
      <w:outlineLvl w:val="9"/>
    </w:pPr>
    <w:rPr>
      <w:rFonts w:ascii="Cambria" w:hAnsi="Cambria" w:eastAsia="宋体" w:cs="Times New Roman"/>
      <w:color w:val="365F91"/>
      <w:kern w:val="0"/>
      <w:sz w:val="28"/>
      <w:szCs w:val="28"/>
    </w:rPr>
  </w:style>
  <w:style w:type="paragraph" w:customStyle="1" w:styleId="1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20">
    <w:name w:val="正文文字1"/>
    <w:basedOn w:val="1"/>
    <w:qFormat/>
    <w:uiPriority w:val="0"/>
    <w:pPr>
      <w:snapToGrid w:val="0"/>
      <w:spacing w:line="324" w:lineRule="auto"/>
      <w:ind w:firstLine="480" w:firstLineChars="200"/>
    </w:pPr>
    <w:rPr>
      <w:rFonts w:eastAsia="华文中宋"/>
    </w:rPr>
  </w:style>
  <w:style w:type="paragraph" w:customStyle="1" w:styleId="21">
    <w:name w:val="样式4"/>
    <w:basedOn w:val="1"/>
    <w:qFormat/>
    <w:uiPriority w:val="0"/>
    <w:pPr>
      <w:ind w:firstLine="480" w:firstLineChars="200"/>
    </w:pPr>
    <w:rPr>
      <w:color w:val="000000"/>
      <w:kern w:val="0"/>
      <w:szCs w:val="20"/>
    </w:rPr>
  </w:style>
  <w:style w:type="paragraph" w:customStyle="1" w:styleId="22">
    <w:name w:val="表格文字"/>
    <w:basedOn w:val="1"/>
    <w:qFormat/>
    <w:uiPriority w:val="0"/>
    <w:pPr>
      <w:jc w:val="center"/>
    </w:pPr>
    <w:rPr>
      <w:rFonts w:eastAsia="仿宋" w:cs="黑体"/>
      <w:szCs w:val="18"/>
    </w:rPr>
  </w:style>
  <w:style w:type="character" w:customStyle="1" w:styleId="23">
    <w:name w:val="font41"/>
    <w:basedOn w:val="12"/>
    <w:qFormat/>
    <w:uiPriority w:val="0"/>
    <w:rPr>
      <w:rFonts w:hint="default" w:ascii="Times New Roman" w:hAnsi="Times New Roman" w:cs="Times New Roman"/>
      <w:color w:val="000000"/>
      <w:sz w:val="18"/>
      <w:szCs w:val="18"/>
      <w:u w:val="none"/>
    </w:rPr>
  </w:style>
  <w:style w:type="character" w:customStyle="1" w:styleId="24">
    <w:name w:val="font01"/>
    <w:basedOn w:val="12"/>
    <w:qFormat/>
    <w:uiPriority w:val="0"/>
    <w:rPr>
      <w:rFonts w:hint="eastAsia" w:ascii="宋体" w:hAnsi="宋体" w:eastAsia="宋体" w:cs="宋体"/>
      <w:color w:val="000000"/>
      <w:sz w:val="18"/>
      <w:szCs w:val="18"/>
      <w:u w:val="none"/>
    </w:rPr>
  </w:style>
  <w:style w:type="character" w:customStyle="1" w:styleId="25">
    <w:name w:val="font21"/>
    <w:basedOn w:val="12"/>
    <w:qFormat/>
    <w:uiPriority w:val="0"/>
    <w:rPr>
      <w:rFonts w:ascii="Arial" w:hAnsi="Arial" w:cs="Arial"/>
      <w:color w:val="000000"/>
      <w:sz w:val="18"/>
      <w:szCs w:val="18"/>
      <w:u w:val="none"/>
    </w:rPr>
  </w:style>
  <w:style w:type="character" w:customStyle="1" w:styleId="26">
    <w:name w:val="正文 Char Char Char Char Char Char"/>
    <w:link w:val="27"/>
    <w:qFormat/>
    <w:uiPriority w:val="0"/>
    <w:rPr>
      <w:rFonts w:ascii="宋体" w:cs="宋体" w:hAnsiTheme="minorHAnsi" w:eastAsiaTheme="minorEastAsia"/>
    </w:rPr>
  </w:style>
  <w:style w:type="paragraph" w:customStyle="1" w:styleId="27">
    <w:name w:val="正文 Char Char Char Char Char"/>
    <w:basedOn w:val="1"/>
    <w:link w:val="26"/>
    <w:qFormat/>
    <w:uiPriority w:val="0"/>
    <w:pPr>
      <w:ind w:firstLine="480" w:firstLineChars="200"/>
      <w:jc w:val="both"/>
    </w:pPr>
    <w:rPr>
      <w:rFonts w:ascii="宋体" w:cs="宋体" w:hAnsiTheme="minorHAnsi" w:eastAsiaTheme="minorEastAsia"/>
    </w:rPr>
  </w:style>
  <w:style w:type="character" w:customStyle="1" w:styleId="28">
    <w:name w:val="bsharetext"/>
    <w:basedOn w:val="12"/>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emf"/><Relationship Id="rId30" Type="http://schemas.openxmlformats.org/officeDocument/2006/relationships/image" Target="media/image20.emf"/><Relationship Id="rId3" Type="http://schemas.openxmlformats.org/officeDocument/2006/relationships/header" Target="header1.xml"/><Relationship Id="rId29" Type="http://schemas.openxmlformats.org/officeDocument/2006/relationships/image" Target="media/image19.emf"/><Relationship Id="rId28" Type="http://schemas.openxmlformats.org/officeDocument/2006/relationships/image" Target="media/image18.emf"/><Relationship Id="rId27" Type="http://schemas.openxmlformats.org/officeDocument/2006/relationships/image" Target="media/image17.emf"/><Relationship Id="rId26" Type="http://schemas.openxmlformats.org/officeDocument/2006/relationships/image" Target="media/image16.emf"/><Relationship Id="rId25" Type="http://schemas.openxmlformats.org/officeDocument/2006/relationships/image" Target="media/image15.emf"/><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9.wmf"/><Relationship Id="rId17" Type="http://schemas.openxmlformats.org/officeDocument/2006/relationships/oleObject" Target="embeddings/oleObject4.bin"/><Relationship Id="rId16" Type="http://schemas.openxmlformats.org/officeDocument/2006/relationships/image" Target="media/image8.wmf"/><Relationship Id="rId15" Type="http://schemas.openxmlformats.org/officeDocument/2006/relationships/oleObject" Target="embeddings/oleObject3.bin"/><Relationship Id="rId14" Type="http://schemas.openxmlformats.org/officeDocument/2006/relationships/image" Target="media/image7.wmf"/><Relationship Id="rId13" Type="http://schemas.openxmlformats.org/officeDocument/2006/relationships/oleObject" Target="embeddings/oleObject2.bin"/><Relationship Id="rId12" Type="http://schemas.openxmlformats.org/officeDocument/2006/relationships/image" Target="media/image6.wmf"/><Relationship Id="rId11" Type="http://schemas.openxmlformats.org/officeDocument/2006/relationships/oleObject" Target="embeddings/oleObject1.bin"/><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2018-03-19T06:28:00Z</dcterms:created>
  <dc:creator>勿忘心安</dc:creator>
  <cp:lastModifiedBy>nl</cp:lastModifiedBy>
  <dcterms:modified xsi:type="dcterms:W3CDTF">2018-05-24T09:03:15Z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