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270" w:lineRule="atLeast"/>
        <w:jc w:val="center"/>
        <w:rPr>
          <w:rFonts w:hint="eastAsia" w:ascii="Calibri" w:hAnsi="Calibri" w:eastAsia="宋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kern w:val="2"/>
          <w:sz w:val="44"/>
          <w:szCs w:val="44"/>
          <w:lang w:val="en-US" w:eastAsia="zh-CN" w:bidi="ar-SA"/>
        </w:rPr>
        <w:t>开江县民宗局2017年部门决算分析报告</w:t>
      </w:r>
    </w:p>
    <w:p>
      <w:pPr>
        <w:pStyle w:val="5"/>
        <w:widowControl/>
        <w:spacing w:beforeAutospacing="0" w:afterAutospacing="0" w:line="27" w:lineRule="atLeast"/>
        <w:ind w:firstLine="640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</w:p>
    <w:p>
      <w:pPr>
        <w:pStyle w:val="5"/>
        <w:widowControl/>
        <w:spacing w:beforeAutospacing="0" w:afterAutospacing="0" w:line="27" w:lineRule="atLeast"/>
        <w:ind w:firstLine="640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一、部门（单位）情况</w:t>
      </w:r>
    </w:p>
    <w:p>
      <w:pPr>
        <w:pStyle w:val="2"/>
        <w:widowControl/>
        <w:spacing w:beforeAutospacing="0" w:afterAutospacing="0" w:line="578" w:lineRule="exact"/>
        <w:ind w:firstLine="600" w:firstLineChars="200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开江县民宗局职能参照开江县人民政府批准的三定方案。属独立核算的行政全额拨款预算单位，编制数8人。201</w:t>
      </w:r>
      <w:r>
        <w:rPr>
          <w:rFonts w:hint="eastAsia" w:ascii="Calibri" w:hAnsi="Calibri" w:cs="Times New Roman"/>
          <w:b w:val="0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年年末在职在编职工</w:t>
      </w:r>
      <w:r>
        <w:rPr>
          <w:rFonts w:hint="eastAsia" w:ascii="Calibri" w:hAnsi="Calibri" w:cs="Times New Roman"/>
          <w:b w:val="0"/>
          <w:kern w:val="2"/>
          <w:sz w:val="30"/>
          <w:szCs w:val="30"/>
          <w:lang w:val="en-US" w:eastAsia="zh-CN" w:bidi="ar-SA"/>
        </w:rPr>
        <w:t>8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人.在县委、县政府的正确领导下，县民宗局全力推进“质量兴教、队伍强教、环境优教、改革活教”的教育工作和“自主创新、重点跨越、支撑发展、引领未来”的科技工作，全面实施素质教育，不断</w:t>
      </w:r>
      <w:bookmarkStart w:id="0" w:name="_GoBack"/>
      <w:bookmarkEnd w:id="0"/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 xml:space="preserve">深化科技服务，攻坚克难，实抓苦干，完成全年各项工作任务。 </w:t>
      </w:r>
    </w:p>
    <w:p>
      <w:pPr>
        <w:pStyle w:val="5"/>
        <w:widowControl/>
        <w:spacing w:beforeAutospacing="0" w:afterAutospacing="0" w:line="27" w:lineRule="atLeast"/>
        <w:ind w:firstLine="640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二、收入支出预算执行情况分析</w:t>
      </w:r>
    </w:p>
    <w:p>
      <w:pPr>
        <w:pStyle w:val="5"/>
        <w:widowControl/>
        <w:spacing w:beforeAutospacing="0" w:afterAutospacing="0" w:line="27" w:lineRule="atLeast"/>
        <w:ind w:firstLine="627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1、201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年决算收入数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88.58万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元，其中财政拨款数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88.58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元。201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年决算支出数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88.58万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元，其中基本支出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75.58万元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，占总支出数的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85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%；项目支出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13万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元，占总支出的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15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%.</w:t>
      </w:r>
    </w:p>
    <w:p>
      <w:pPr>
        <w:pStyle w:val="5"/>
        <w:widowControl/>
        <w:spacing w:beforeAutospacing="0" w:afterAutospacing="0" w:line="27" w:lineRule="atLeast"/>
        <w:ind w:firstLine="627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、201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年决算收入总数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88.58万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元较上年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108.82万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减少19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%，201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年决算支出总数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88.58万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元元较上年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108.82万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减少19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%。主要是项目支出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13万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元</w:t>
      </w: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较上年32万元减少了19万元。</w:t>
      </w:r>
    </w:p>
    <w:p>
      <w:pPr>
        <w:pStyle w:val="5"/>
        <w:widowControl/>
        <w:spacing w:beforeAutospacing="0" w:afterAutospacing="0" w:line="27" w:lineRule="atLeast"/>
        <w:ind w:firstLine="640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b w:val="0"/>
          <w:kern w:val="2"/>
          <w:sz w:val="30"/>
          <w:szCs w:val="30"/>
          <w:lang w:val="en-US" w:eastAsia="zh-CN" w:bidi="ar-SA"/>
        </w:rPr>
        <w:t>三</w:t>
      </w: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、本年度部门决算等财务工作开展情况</w:t>
      </w:r>
    </w:p>
    <w:p>
      <w:pPr>
        <w:pStyle w:val="5"/>
        <w:widowControl/>
        <w:spacing w:beforeAutospacing="0" w:afterAutospacing="0" w:line="27" w:lineRule="atLeast"/>
        <w:ind w:firstLine="640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本年度我局进一步完善财务管理体制和运行机制、建立科学化、精细化的预算管理机制、建立绩效评价制度、加快财务监管体系建设、提高经费使用效益、强化财务风险管理。提高预算编制的科学性、准确性，按照“量入为出，统筹兼顾、保证重点、收支平衡”的原则，科学合理编制预算，强化预算执行，提高预算执行效率，实行了预算、决算在政府网站公开。</w:t>
      </w:r>
    </w:p>
    <w:p>
      <w:pPr>
        <w:pStyle w:val="5"/>
        <w:widowControl/>
        <w:spacing w:beforeAutospacing="0" w:afterAutospacing="0" w:line="27" w:lineRule="atLeast"/>
        <w:ind w:firstLine="627"/>
        <w:jc w:val="both"/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30"/>
          <w:szCs w:val="30"/>
          <w:lang w:val="en-US" w:eastAsia="zh-CN" w:bidi="ar-S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612D06"/>
    <w:rsid w:val="00004F67"/>
    <w:rsid w:val="001E56DB"/>
    <w:rsid w:val="002058ED"/>
    <w:rsid w:val="002A4BCF"/>
    <w:rsid w:val="0032667D"/>
    <w:rsid w:val="00343FC7"/>
    <w:rsid w:val="00354DA9"/>
    <w:rsid w:val="00407703"/>
    <w:rsid w:val="004E0329"/>
    <w:rsid w:val="0051795C"/>
    <w:rsid w:val="0054166B"/>
    <w:rsid w:val="005A42CE"/>
    <w:rsid w:val="00606D0C"/>
    <w:rsid w:val="00612D06"/>
    <w:rsid w:val="00616D04"/>
    <w:rsid w:val="006F4CEF"/>
    <w:rsid w:val="007608F5"/>
    <w:rsid w:val="007A60B1"/>
    <w:rsid w:val="008A1AFF"/>
    <w:rsid w:val="009020AE"/>
    <w:rsid w:val="0090514F"/>
    <w:rsid w:val="009B5899"/>
    <w:rsid w:val="00AB5F02"/>
    <w:rsid w:val="00B37BAE"/>
    <w:rsid w:val="00BB3834"/>
    <w:rsid w:val="00C0500D"/>
    <w:rsid w:val="00C85997"/>
    <w:rsid w:val="00CC6020"/>
    <w:rsid w:val="00D027DC"/>
    <w:rsid w:val="00D171E1"/>
    <w:rsid w:val="00E0784E"/>
    <w:rsid w:val="00E33F9C"/>
    <w:rsid w:val="00FA145F"/>
    <w:rsid w:val="00FA2B2F"/>
    <w:rsid w:val="00FB3C96"/>
    <w:rsid w:val="173117C3"/>
    <w:rsid w:val="2E580371"/>
    <w:rsid w:val="36405713"/>
    <w:rsid w:val="47C02DA1"/>
    <w:rsid w:val="63A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Emphasis"/>
    <w:basedOn w:val="6"/>
    <w:qFormat/>
    <w:uiPriority w:val="99"/>
    <w:rPr>
      <w:rFonts w:cs="Times New Roman"/>
      <w:i/>
    </w:rPr>
  </w:style>
  <w:style w:type="character" w:customStyle="1" w:styleId="9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TotalTime>9</TotalTime>
  <ScaleCrop>false</ScaleCrop>
  <LinksUpToDate>false</LinksUpToDate>
  <CharactersWithSpaces>1050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2017-02-07T06:16:00Z</dcterms:created>
  <dc:creator>Administrator</dc:creator>
  <cp:lastModifiedBy>Administrator</cp:lastModifiedBy>
  <dcterms:modified xsi:type="dcterms:W3CDTF">2018-09-20T05:32:49Z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