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36"/>
          <w:lang w:val="en-US" w:eastAsia="zh-CN"/>
        </w:rPr>
      </w:pPr>
      <w:r>
        <w:rPr>
          <w:rFonts w:hint="eastAsia"/>
          <w:b/>
          <w:bCs/>
          <w:sz w:val="36"/>
          <w:szCs w:val="36"/>
          <w:lang w:val="en-US" w:eastAsia="zh-CN"/>
        </w:rPr>
        <w:t>开江县住房和城乡规划建设局“最多跑一次”和“全程网办”事项清单</w:t>
      </w:r>
      <w:bookmarkStart w:id="0" w:name="_GoBack"/>
      <w:bookmarkEnd w:id="0"/>
    </w:p>
    <w:p>
      <w:pPr>
        <w:jc w:val="left"/>
        <w:rPr>
          <w:rFonts w:hint="eastAsia"/>
          <w:b w:val="0"/>
          <w:bCs w:val="0"/>
          <w:sz w:val="30"/>
          <w:szCs w:val="30"/>
          <w:lang w:val="en-US" w:eastAsia="zh-CN"/>
        </w:rPr>
      </w:pPr>
      <w:r>
        <w:rPr>
          <w:rFonts w:hint="eastAsia"/>
          <w:b w:val="0"/>
          <w:bCs w:val="0"/>
          <w:sz w:val="30"/>
          <w:szCs w:val="30"/>
          <w:lang w:val="en-US" w:eastAsia="zh-CN"/>
        </w:rPr>
        <w:t>部门：开江县住房和城乡规划建设局</w:t>
      </w:r>
    </w:p>
    <w:tbl>
      <w:tblPr>
        <w:tblStyle w:val="4"/>
        <w:tblW w:w="143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1185"/>
        <w:gridCol w:w="1665"/>
        <w:gridCol w:w="750"/>
        <w:gridCol w:w="1425"/>
        <w:gridCol w:w="1665"/>
        <w:gridCol w:w="1335"/>
        <w:gridCol w:w="1365"/>
        <w:gridCol w:w="1485"/>
        <w:gridCol w:w="1035"/>
        <w:gridCol w:w="720"/>
        <w:gridCol w:w="900"/>
        <w:gridCol w:w="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atLeast"/>
        </w:trPr>
        <w:tc>
          <w:tcPr>
            <w:tcW w:w="802" w:type="dxa"/>
            <w:vMerge w:val="restart"/>
            <w:vAlign w:val="center"/>
          </w:tcPr>
          <w:p>
            <w:pPr>
              <w:jc w:val="center"/>
              <w:rPr>
                <w:rFonts w:hint="eastAsia"/>
                <w:b/>
                <w:bCs/>
                <w:sz w:val="21"/>
                <w:szCs w:val="21"/>
                <w:vertAlign w:val="baseline"/>
                <w:lang w:val="en-US" w:eastAsia="zh-CN"/>
              </w:rPr>
            </w:pPr>
            <w:r>
              <w:rPr>
                <w:rFonts w:hint="eastAsia"/>
                <w:b/>
                <w:bCs/>
                <w:sz w:val="21"/>
                <w:szCs w:val="21"/>
                <w:lang w:val="en-US" w:eastAsia="zh-CN"/>
              </w:rPr>
              <w:t>序号</w:t>
            </w:r>
          </w:p>
        </w:tc>
        <w:tc>
          <w:tcPr>
            <w:tcW w:w="1185" w:type="dxa"/>
            <w:vMerge w:val="restart"/>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事项类型</w:t>
            </w:r>
          </w:p>
        </w:tc>
        <w:tc>
          <w:tcPr>
            <w:tcW w:w="9690" w:type="dxa"/>
            <w:gridSpan w:val="7"/>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事项名称</w:t>
            </w:r>
          </w:p>
        </w:tc>
        <w:tc>
          <w:tcPr>
            <w:tcW w:w="1035" w:type="dxa"/>
            <w:vMerge w:val="restart"/>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最多跑一次</w:t>
            </w:r>
          </w:p>
        </w:tc>
        <w:tc>
          <w:tcPr>
            <w:tcW w:w="720" w:type="dxa"/>
            <w:vMerge w:val="restart"/>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全程网办</w:t>
            </w:r>
          </w:p>
        </w:tc>
        <w:tc>
          <w:tcPr>
            <w:tcW w:w="960" w:type="dxa"/>
            <w:gridSpan w:val="2"/>
            <w:vMerge w:val="restart"/>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8" w:hRule="atLeast"/>
        </w:trPr>
        <w:tc>
          <w:tcPr>
            <w:tcW w:w="802" w:type="dxa"/>
            <w:vMerge w:val="continue"/>
            <w:vAlign w:val="center"/>
          </w:tcPr>
          <w:p>
            <w:pPr>
              <w:jc w:val="center"/>
              <w:rPr>
                <w:rFonts w:hint="eastAsia"/>
                <w:b/>
                <w:bCs/>
                <w:sz w:val="21"/>
                <w:szCs w:val="21"/>
                <w:vertAlign w:val="baseline"/>
                <w:lang w:val="en-US" w:eastAsia="zh-CN"/>
              </w:rPr>
            </w:pPr>
          </w:p>
        </w:tc>
        <w:tc>
          <w:tcPr>
            <w:tcW w:w="1185" w:type="dxa"/>
            <w:vMerge w:val="continue"/>
            <w:vAlign w:val="center"/>
          </w:tcPr>
          <w:p>
            <w:pPr>
              <w:jc w:val="center"/>
              <w:rPr>
                <w:rFonts w:hint="eastAsia"/>
                <w:b/>
                <w:bCs/>
                <w:sz w:val="21"/>
                <w:szCs w:val="21"/>
                <w:vertAlign w:val="baseline"/>
                <w:lang w:val="en-US" w:eastAsia="zh-CN"/>
              </w:rPr>
            </w:pPr>
          </w:p>
        </w:tc>
        <w:tc>
          <w:tcPr>
            <w:tcW w:w="1665" w:type="dxa"/>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主项</w:t>
            </w:r>
          </w:p>
        </w:tc>
        <w:tc>
          <w:tcPr>
            <w:tcW w:w="750" w:type="dxa"/>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项号</w:t>
            </w:r>
          </w:p>
        </w:tc>
        <w:tc>
          <w:tcPr>
            <w:tcW w:w="1425" w:type="dxa"/>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子项</w:t>
            </w:r>
          </w:p>
        </w:tc>
        <w:tc>
          <w:tcPr>
            <w:tcW w:w="1665" w:type="dxa"/>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一级办理项</w:t>
            </w:r>
          </w:p>
        </w:tc>
        <w:tc>
          <w:tcPr>
            <w:tcW w:w="1335" w:type="dxa"/>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二级办理项</w:t>
            </w:r>
          </w:p>
        </w:tc>
        <w:tc>
          <w:tcPr>
            <w:tcW w:w="1365" w:type="dxa"/>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三级办理项</w:t>
            </w:r>
          </w:p>
        </w:tc>
        <w:tc>
          <w:tcPr>
            <w:tcW w:w="1485" w:type="dxa"/>
            <w:vAlign w:val="center"/>
          </w:tcPr>
          <w:p>
            <w:pPr>
              <w:jc w:val="center"/>
              <w:rPr>
                <w:rFonts w:hint="eastAsia"/>
                <w:b/>
                <w:bCs/>
                <w:sz w:val="21"/>
                <w:szCs w:val="21"/>
                <w:vertAlign w:val="baseline"/>
                <w:lang w:val="en-US" w:eastAsia="zh-CN"/>
              </w:rPr>
            </w:pPr>
            <w:r>
              <w:rPr>
                <w:rFonts w:hint="eastAsia"/>
                <w:b/>
                <w:bCs/>
                <w:sz w:val="21"/>
                <w:szCs w:val="21"/>
                <w:vertAlign w:val="baseline"/>
                <w:lang w:val="en-US" w:eastAsia="zh-CN"/>
              </w:rPr>
              <w:t>最末级办理项</w:t>
            </w:r>
          </w:p>
        </w:tc>
        <w:tc>
          <w:tcPr>
            <w:tcW w:w="1035" w:type="dxa"/>
            <w:vMerge w:val="continue"/>
            <w:vAlign w:val="center"/>
          </w:tcPr>
          <w:p>
            <w:pPr>
              <w:jc w:val="center"/>
              <w:rPr>
                <w:rFonts w:hint="eastAsia"/>
                <w:b w:val="0"/>
                <w:bCs w:val="0"/>
                <w:sz w:val="30"/>
                <w:szCs w:val="30"/>
                <w:vertAlign w:val="baseline"/>
                <w:lang w:val="en-US" w:eastAsia="zh-CN"/>
              </w:rPr>
            </w:pPr>
          </w:p>
        </w:tc>
        <w:tc>
          <w:tcPr>
            <w:tcW w:w="720" w:type="dxa"/>
            <w:vMerge w:val="continue"/>
            <w:vAlign w:val="center"/>
          </w:tcPr>
          <w:p>
            <w:pPr>
              <w:jc w:val="center"/>
              <w:rPr>
                <w:rFonts w:hint="eastAsia"/>
                <w:b w:val="0"/>
                <w:bCs w:val="0"/>
                <w:sz w:val="30"/>
                <w:szCs w:val="30"/>
                <w:vertAlign w:val="baseline"/>
                <w:lang w:val="en-US" w:eastAsia="zh-CN"/>
              </w:rPr>
            </w:pPr>
          </w:p>
        </w:tc>
        <w:tc>
          <w:tcPr>
            <w:tcW w:w="960" w:type="dxa"/>
            <w:gridSpan w:val="2"/>
            <w:vMerge w:val="continue"/>
            <w:vAlign w:val="center"/>
          </w:tcPr>
          <w:p>
            <w:pPr>
              <w:jc w:val="center"/>
              <w:rPr>
                <w:rFonts w:hint="eastAsia"/>
                <w:b w:val="0"/>
                <w:bCs w:val="0"/>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行政许可</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建设用地（含临时用地）规划许可证核发</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3</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行政许可</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建设工程规划类许可证核发</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4</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行政许可</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建设项目选址意见书核发</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6</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sz w:val="18"/>
                <w:szCs w:val="18"/>
              </w:rPr>
            </w:pPr>
          </w:p>
        </w:tc>
        <w:tc>
          <w:tcPr>
            <w:tcW w:w="1185" w:type="dxa"/>
            <w:vAlign w:val="center"/>
          </w:tcPr>
          <w:p>
            <w:pPr>
              <w:jc w:val="center"/>
              <w:rPr>
                <w:sz w:val="18"/>
                <w:szCs w:val="18"/>
              </w:rPr>
            </w:pPr>
            <w:r>
              <w:rPr>
                <w:rFonts w:hint="eastAsia"/>
                <w:sz w:val="18"/>
                <w:szCs w:val="18"/>
              </w:rPr>
              <w:t>行政许可</w:t>
            </w:r>
          </w:p>
        </w:tc>
        <w:tc>
          <w:tcPr>
            <w:tcW w:w="1665" w:type="dxa"/>
            <w:vAlign w:val="center"/>
          </w:tcPr>
          <w:p>
            <w:pPr>
              <w:jc w:val="center"/>
              <w:rPr>
                <w:sz w:val="18"/>
                <w:szCs w:val="18"/>
              </w:rPr>
            </w:pPr>
            <w:r>
              <w:rPr>
                <w:rFonts w:hint="eastAsia"/>
                <w:sz w:val="18"/>
                <w:szCs w:val="18"/>
              </w:rPr>
              <w:t>设置大型户外广告及在城市建筑物、设施上悬挂、张贴宣传品审批</w:t>
            </w:r>
          </w:p>
        </w:tc>
        <w:tc>
          <w:tcPr>
            <w:tcW w:w="750" w:type="dxa"/>
            <w:vAlign w:val="center"/>
          </w:tcPr>
          <w:p>
            <w:pPr>
              <w:jc w:val="center"/>
              <w:rPr>
                <w:sz w:val="18"/>
                <w:szCs w:val="18"/>
              </w:rPr>
            </w:pPr>
            <w:r>
              <w:rPr>
                <w:rFonts w:hint="eastAsia"/>
                <w:sz w:val="18"/>
                <w:szCs w:val="18"/>
              </w:rPr>
              <w:t>1</w:t>
            </w:r>
          </w:p>
        </w:tc>
        <w:tc>
          <w:tcPr>
            <w:tcW w:w="1425" w:type="dxa"/>
            <w:vAlign w:val="center"/>
          </w:tcPr>
          <w:p>
            <w:pPr>
              <w:jc w:val="center"/>
              <w:rPr>
                <w:sz w:val="18"/>
                <w:szCs w:val="18"/>
              </w:rPr>
            </w:pPr>
          </w:p>
        </w:tc>
        <w:tc>
          <w:tcPr>
            <w:tcW w:w="1665" w:type="dxa"/>
            <w:vAlign w:val="center"/>
          </w:tcPr>
          <w:p>
            <w:pPr>
              <w:jc w:val="center"/>
              <w:rPr>
                <w:sz w:val="18"/>
                <w:szCs w:val="18"/>
              </w:rPr>
            </w:pPr>
          </w:p>
        </w:tc>
        <w:tc>
          <w:tcPr>
            <w:tcW w:w="1335" w:type="dxa"/>
            <w:vAlign w:val="center"/>
          </w:tcPr>
          <w:p>
            <w:pPr>
              <w:jc w:val="center"/>
              <w:rPr>
                <w:sz w:val="18"/>
                <w:szCs w:val="18"/>
              </w:rPr>
            </w:pPr>
          </w:p>
        </w:tc>
        <w:tc>
          <w:tcPr>
            <w:tcW w:w="1365" w:type="dxa"/>
            <w:vAlign w:val="center"/>
          </w:tcPr>
          <w:p>
            <w:pPr>
              <w:jc w:val="center"/>
              <w:rPr>
                <w:sz w:val="18"/>
                <w:szCs w:val="18"/>
              </w:rPr>
            </w:pPr>
          </w:p>
        </w:tc>
        <w:tc>
          <w:tcPr>
            <w:tcW w:w="1485" w:type="dxa"/>
            <w:vAlign w:val="center"/>
          </w:tcPr>
          <w:p>
            <w:pPr>
              <w:jc w:val="center"/>
              <w:rPr>
                <w:sz w:val="18"/>
                <w:szCs w:val="18"/>
              </w:rPr>
            </w:pPr>
          </w:p>
        </w:tc>
        <w:tc>
          <w:tcPr>
            <w:tcW w:w="1035" w:type="dxa"/>
            <w:vAlign w:val="center"/>
          </w:tcPr>
          <w:p>
            <w:pPr>
              <w:jc w:val="center"/>
              <w:rPr>
                <w:sz w:val="18"/>
                <w:szCs w:val="18"/>
              </w:rPr>
            </w:pPr>
            <w:r>
              <w:rPr>
                <w:rFonts w:hint="eastAsia"/>
                <w:sz w:val="18"/>
                <w:szCs w:val="18"/>
              </w:rPr>
              <w:t>V</w:t>
            </w:r>
          </w:p>
        </w:tc>
        <w:tc>
          <w:tcPr>
            <w:tcW w:w="720" w:type="dxa"/>
            <w:vAlign w:val="center"/>
          </w:tcPr>
          <w:p>
            <w:pPr>
              <w:jc w:val="center"/>
              <w:rPr>
                <w:sz w:val="18"/>
                <w:szCs w:val="18"/>
              </w:rPr>
            </w:pPr>
            <w:r>
              <w:rPr>
                <w:rFonts w:hint="eastAsia"/>
                <w:sz w:val="18"/>
                <w:szCs w:val="18"/>
              </w:rPr>
              <w:t>V</w:t>
            </w:r>
          </w:p>
        </w:tc>
        <w:tc>
          <w:tcPr>
            <w:tcW w:w="960" w:type="dxa"/>
            <w:gridSpan w:val="2"/>
            <w:vAlign w:val="center"/>
          </w:tcPr>
          <w:p>
            <w:pPr>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sz w:val="18"/>
                <w:szCs w:val="18"/>
              </w:rPr>
            </w:pPr>
          </w:p>
        </w:tc>
        <w:tc>
          <w:tcPr>
            <w:tcW w:w="1185" w:type="dxa"/>
            <w:vAlign w:val="center"/>
          </w:tcPr>
          <w:p>
            <w:pPr>
              <w:jc w:val="center"/>
              <w:rPr>
                <w:sz w:val="18"/>
                <w:szCs w:val="18"/>
              </w:rPr>
            </w:pPr>
            <w:r>
              <w:rPr>
                <w:rFonts w:hint="eastAsia"/>
                <w:sz w:val="18"/>
                <w:szCs w:val="18"/>
              </w:rPr>
              <w:t>行政许可</w:t>
            </w:r>
          </w:p>
        </w:tc>
        <w:tc>
          <w:tcPr>
            <w:tcW w:w="1665" w:type="dxa"/>
            <w:vAlign w:val="center"/>
          </w:tcPr>
          <w:p>
            <w:pPr>
              <w:jc w:val="center"/>
              <w:rPr>
                <w:sz w:val="18"/>
                <w:szCs w:val="18"/>
              </w:rPr>
            </w:pPr>
            <w:r>
              <w:rPr>
                <w:rFonts w:hint="eastAsia"/>
                <w:sz w:val="18"/>
                <w:szCs w:val="18"/>
              </w:rPr>
              <w:t>临时性建筑物搭建、堆放物料、占道施工审批</w:t>
            </w:r>
          </w:p>
        </w:tc>
        <w:tc>
          <w:tcPr>
            <w:tcW w:w="750" w:type="dxa"/>
            <w:vAlign w:val="center"/>
          </w:tcPr>
          <w:p>
            <w:pPr>
              <w:jc w:val="center"/>
              <w:rPr>
                <w:sz w:val="18"/>
                <w:szCs w:val="18"/>
              </w:rPr>
            </w:pPr>
            <w:r>
              <w:rPr>
                <w:rFonts w:hint="eastAsia"/>
                <w:sz w:val="18"/>
                <w:szCs w:val="18"/>
              </w:rPr>
              <w:t>1</w:t>
            </w:r>
          </w:p>
        </w:tc>
        <w:tc>
          <w:tcPr>
            <w:tcW w:w="1425" w:type="dxa"/>
            <w:vAlign w:val="center"/>
          </w:tcPr>
          <w:p>
            <w:pPr>
              <w:jc w:val="center"/>
              <w:rPr>
                <w:sz w:val="18"/>
                <w:szCs w:val="18"/>
              </w:rPr>
            </w:pPr>
          </w:p>
        </w:tc>
        <w:tc>
          <w:tcPr>
            <w:tcW w:w="1665" w:type="dxa"/>
            <w:vAlign w:val="center"/>
          </w:tcPr>
          <w:p>
            <w:pPr>
              <w:jc w:val="center"/>
              <w:rPr>
                <w:sz w:val="18"/>
                <w:szCs w:val="18"/>
              </w:rPr>
            </w:pPr>
          </w:p>
        </w:tc>
        <w:tc>
          <w:tcPr>
            <w:tcW w:w="1335" w:type="dxa"/>
            <w:vAlign w:val="center"/>
          </w:tcPr>
          <w:p>
            <w:pPr>
              <w:jc w:val="center"/>
              <w:rPr>
                <w:sz w:val="18"/>
                <w:szCs w:val="18"/>
              </w:rPr>
            </w:pPr>
          </w:p>
        </w:tc>
        <w:tc>
          <w:tcPr>
            <w:tcW w:w="1365" w:type="dxa"/>
            <w:vAlign w:val="center"/>
          </w:tcPr>
          <w:p>
            <w:pPr>
              <w:jc w:val="center"/>
              <w:rPr>
                <w:sz w:val="18"/>
                <w:szCs w:val="18"/>
              </w:rPr>
            </w:pPr>
          </w:p>
        </w:tc>
        <w:tc>
          <w:tcPr>
            <w:tcW w:w="1485" w:type="dxa"/>
            <w:vAlign w:val="center"/>
          </w:tcPr>
          <w:p>
            <w:pPr>
              <w:jc w:val="center"/>
              <w:rPr>
                <w:sz w:val="18"/>
                <w:szCs w:val="18"/>
              </w:rPr>
            </w:pPr>
          </w:p>
        </w:tc>
        <w:tc>
          <w:tcPr>
            <w:tcW w:w="1035" w:type="dxa"/>
            <w:vAlign w:val="center"/>
          </w:tcPr>
          <w:p>
            <w:pPr>
              <w:jc w:val="center"/>
              <w:rPr>
                <w:sz w:val="18"/>
                <w:szCs w:val="18"/>
              </w:rPr>
            </w:pPr>
            <w:r>
              <w:rPr>
                <w:rFonts w:hint="eastAsia"/>
                <w:sz w:val="18"/>
                <w:szCs w:val="18"/>
              </w:rPr>
              <w:t>V</w:t>
            </w:r>
          </w:p>
        </w:tc>
        <w:tc>
          <w:tcPr>
            <w:tcW w:w="720" w:type="dxa"/>
            <w:vAlign w:val="center"/>
          </w:tcPr>
          <w:p>
            <w:pPr>
              <w:jc w:val="center"/>
              <w:rPr>
                <w:sz w:val="18"/>
                <w:szCs w:val="18"/>
              </w:rPr>
            </w:pPr>
            <w:r>
              <w:rPr>
                <w:rFonts w:hint="eastAsia"/>
                <w:sz w:val="18"/>
                <w:szCs w:val="18"/>
              </w:rPr>
              <w:t>V</w:t>
            </w:r>
          </w:p>
        </w:tc>
        <w:tc>
          <w:tcPr>
            <w:tcW w:w="960" w:type="dxa"/>
            <w:gridSpan w:val="2"/>
            <w:vAlign w:val="center"/>
          </w:tcPr>
          <w:p>
            <w:pPr>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60" w:type="dxa"/>
        </w:trPr>
        <w:tc>
          <w:tcPr>
            <w:tcW w:w="802" w:type="dxa"/>
            <w:vAlign w:val="center"/>
          </w:tcPr>
          <w:p>
            <w:pPr>
              <w:keepNext w:val="0"/>
              <w:keepLines w:val="0"/>
              <w:widowControl/>
              <w:numPr>
                <w:ilvl w:val="0"/>
                <w:numId w:val="1"/>
              </w:numPr>
              <w:suppressLineNumbers w:val="0"/>
              <w:ind w:left="425" w:leftChars="0" w:hanging="425" w:firstLineChars="0"/>
              <w:jc w:val="center"/>
              <w:textAlignment w:val="center"/>
              <w:rPr>
                <w:rFonts w:hint="eastAsia" w:ascii="宋体" w:hAnsi="宋体" w:eastAsia="宋体" w:cs="宋体"/>
                <w:i w:val="0"/>
                <w:color w:val="000000"/>
                <w:kern w:val="0"/>
                <w:sz w:val="18"/>
                <w:szCs w:val="18"/>
                <w:u w:val="none"/>
                <w:lang w:val="en-US" w:eastAsia="zh-CN" w:bidi="ar"/>
              </w:rPr>
            </w:pPr>
          </w:p>
        </w:tc>
        <w:tc>
          <w:tcPr>
            <w:tcW w:w="1185"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keepNext w:val="0"/>
              <w:keepLines w:val="0"/>
              <w:widowControl/>
              <w:suppressLineNumbers w:val="0"/>
              <w:jc w:val="left"/>
              <w:textAlignment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燃气经营许可证核发</w:t>
            </w:r>
          </w:p>
        </w:tc>
        <w:tc>
          <w:tcPr>
            <w:tcW w:w="750" w:type="dxa"/>
            <w:vAlign w:val="center"/>
          </w:tcPr>
          <w:p>
            <w:pPr>
              <w:jc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w:t>
            </w:r>
          </w:p>
        </w:tc>
        <w:tc>
          <w:tcPr>
            <w:tcW w:w="1425" w:type="dxa"/>
            <w:vAlign w:val="center"/>
          </w:tcPr>
          <w:p>
            <w:pPr>
              <w:jc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液化石油气</w:t>
            </w: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720" w:type="dxa"/>
            <w:vAlign w:val="center"/>
          </w:tcPr>
          <w:p>
            <w:pPr>
              <w:jc w:val="center"/>
              <w:rPr>
                <w:rFonts w:hint="eastAsia"/>
                <w:b w:val="0"/>
                <w:bCs w:val="0"/>
                <w:sz w:val="18"/>
                <w:szCs w:val="18"/>
                <w:vertAlign w:val="baseline"/>
                <w:lang w:val="en-US" w:eastAsia="zh-CN"/>
              </w:rPr>
            </w:pPr>
          </w:p>
        </w:tc>
        <w:tc>
          <w:tcPr>
            <w:tcW w:w="900" w:type="dxa"/>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60" w:type="dxa"/>
        </w:trPr>
        <w:tc>
          <w:tcPr>
            <w:tcW w:w="802" w:type="dxa"/>
            <w:vAlign w:val="center"/>
          </w:tcPr>
          <w:p>
            <w:pPr>
              <w:keepNext w:val="0"/>
              <w:keepLines w:val="0"/>
              <w:widowControl/>
              <w:numPr>
                <w:ilvl w:val="0"/>
                <w:numId w:val="1"/>
              </w:numPr>
              <w:suppressLineNumbers w:val="0"/>
              <w:ind w:left="425" w:leftChars="0" w:hanging="425" w:firstLineChars="0"/>
              <w:jc w:val="center"/>
              <w:textAlignment w:val="center"/>
              <w:rPr>
                <w:rFonts w:hint="eastAsia" w:ascii="宋体" w:hAnsi="宋体" w:eastAsia="宋体" w:cs="宋体"/>
                <w:i w:val="0"/>
                <w:color w:val="000000"/>
                <w:kern w:val="0"/>
                <w:sz w:val="18"/>
                <w:szCs w:val="18"/>
                <w:u w:val="none"/>
                <w:lang w:val="en-US" w:eastAsia="zh-CN" w:bidi="ar"/>
              </w:rPr>
            </w:pPr>
          </w:p>
        </w:tc>
        <w:tc>
          <w:tcPr>
            <w:tcW w:w="1185" w:type="dxa"/>
            <w:vAlign w:val="center"/>
          </w:tcPr>
          <w:p>
            <w:pPr>
              <w:jc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keepNext w:val="0"/>
              <w:keepLines w:val="0"/>
              <w:widowControl/>
              <w:suppressLineNumbers w:val="0"/>
              <w:jc w:val="left"/>
              <w:textAlignment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燃气经营者改动市政燃气设施审批</w:t>
            </w:r>
          </w:p>
        </w:tc>
        <w:tc>
          <w:tcPr>
            <w:tcW w:w="750" w:type="dxa"/>
            <w:vAlign w:val="center"/>
          </w:tcPr>
          <w:p>
            <w:pPr>
              <w:jc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2</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720" w:type="dxa"/>
            <w:vAlign w:val="center"/>
          </w:tcPr>
          <w:p>
            <w:pPr>
              <w:jc w:val="center"/>
              <w:rPr>
                <w:rFonts w:hint="eastAsia"/>
                <w:b w:val="0"/>
                <w:bCs w:val="0"/>
                <w:sz w:val="18"/>
                <w:szCs w:val="18"/>
                <w:vertAlign w:val="baseline"/>
                <w:lang w:val="en-US" w:eastAsia="zh-CN"/>
              </w:rPr>
            </w:pPr>
          </w:p>
        </w:tc>
        <w:tc>
          <w:tcPr>
            <w:tcW w:w="900" w:type="dxa"/>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60" w:type="dxa"/>
        </w:trPr>
        <w:tc>
          <w:tcPr>
            <w:tcW w:w="802" w:type="dxa"/>
            <w:vAlign w:val="center"/>
          </w:tcPr>
          <w:p>
            <w:pPr>
              <w:keepNext w:val="0"/>
              <w:keepLines w:val="0"/>
              <w:widowControl/>
              <w:numPr>
                <w:ilvl w:val="0"/>
                <w:numId w:val="1"/>
              </w:numPr>
              <w:suppressLineNumbers w:val="0"/>
              <w:ind w:left="425" w:leftChars="0" w:hanging="425" w:firstLineChars="0"/>
              <w:jc w:val="center"/>
              <w:textAlignment w:val="center"/>
              <w:rPr>
                <w:rFonts w:hint="eastAsia" w:ascii="宋体" w:hAnsi="宋体" w:eastAsia="宋体" w:cs="宋体"/>
                <w:i w:val="0"/>
                <w:color w:val="000000"/>
                <w:kern w:val="0"/>
                <w:sz w:val="18"/>
                <w:szCs w:val="18"/>
                <w:u w:val="none"/>
                <w:lang w:val="en-US" w:eastAsia="zh-CN" w:bidi="ar"/>
              </w:rPr>
            </w:pPr>
          </w:p>
        </w:tc>
        <w:tc>
          <w:tcPr>
            <w:tcW w:w="1185" w:type="dxa"/>
            <w:vAlign w:val="center"/>
          </w:tcPr>
          <w:p>
            <w:pPr>
              <w:jc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keepNext w:val="0"/>
              <w:keepLines w:val="0"/>
              <w:widowControl/>
              <w:suppressLineNumbers w:val="0"/>
              <w:jc w:val="left"/>
              <w:textAlignment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市政设施建设类审批</w:t>
            </w:r>
          </w:p>
        </w:tc>
        <w:tc>
          <w:tcPr>
            <w:tcW w:w="750" w:type="dxa"/>
            <w:vAlign w:val="center"/>
          </w:tcPr>
          <w:p>
            <w:pPr>
              <w:jc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3</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720" w:type="dxa"/>
            <w:vAlign w:val="center"/>
          </w:tcPr>
          <w:p>
            <w:pPr>
              <w:jc w:val="center"/>
              <w:rPr>
                <w:rFonts w:hint="eastAsia"/>
                <w:b w:val="0"/>
                <w:bCs w:val="0"/>
                <w:sz w:val="18"/>
                <w:szCs w:val="18"/>
                <w:vertAlign w:val="baseline"/>
                <w:lang w:val="en-US" w:eastAsia="zh-CN"/>
              </w:rPr>
            </w:pPr>
          </w:p>
        </w:tc>
        <w:tc>
          <w:tcPr>
            <w:tcW w:w="900" w:type="dxa"/>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60" w:type="dxa"/>
        </w:trPr>
        <w:tc>
          <w:tcPr>
            <w:tcW w:w="802" w:type="dxa"/>
            <w:vAlign w:val="center"/>
          </w:tcPr>
          <w:p>
            <w:pPr>
              <w:keepNext w:val="0"/>
              <w:keepLines w:val="0"/>
              <w:widowControl/>
              <w:numPr>
                <w:ilvl w:val="0"/>
                <w:numId w:val="1"/>
              </w:numPr>
              <w:suppressLineNumbers w:val="0"/>
              <w:ind w:left="425" w:leftChars="0" w:hanging="425" w:firstLineChars="0"/>
              <w:jc w:val="center"/>
              <w:textAlignment w:val="center"/>
              <w:rPr>
                <w:rFonts w:hint="eastAsia" w:ascii="宋体" w:hAnsi="宋体" w:eastAsia="宋体" w:cs="宋体"/>
                <w:i w:val="0"/>
                <w:color w:val="000000"/>
                <w:kern w:val="0"/>
                <w:sz w:val="18"/>
                <w:szCs w:val="18"/>
                <w:u w:val="none"/>
                <w:lang w:val="en-US" w:eastAsia="zh-CN" w:bidi="ar"/>
              </w:rPr>
            </w:pPr>
          </w:p>
        </w:tc>
        <w:tc>
          <w:tcPr>
            <w:tcW w:w="1185" w:type="dxa"/>
            <w:vAlign w:val="center"/>
          </w:tcPr>
          <w:p>
            <w:pPr>
              <w:jc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keepNext w:val="0"/>
              <w:keepLines w:val="0"/>
              <w:widowControl/>
              <w:suppressLineNumbers w:val="0"/>
              <w:jc w:val="left"/>
              <w:textAlignment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特殊车辆在城市道路上行驶（包括经过城市桥梁）审批</w:t>
            </w:r>
          </w:p>
        </w:tc>
        <w:tc>
          <w:tcPr>
            <w:tcW w:w="750" w:type="dxa"/>
            <w:vAlign w:val="center"/>
          </w:tcPr>
          <w:p>
            <w:pPr>
              <w:jc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4</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w:t>
            </w:r>
          </w:p>
        </w:tc>
        <w:tc>
          <w:tcPr>
            <w:tcW w:w="720" w:type="dxa"/>
            <w:vAlign w:val="center"/>
          </w:tcPr>
          <w:p>
            <w:pPr>
              <w:jc w:val="center"/>
              <w:rPr>
                <w:rFonts w:hint="eastAsia"/>
                <w:b w:val="0"/>
                <w:bCs w:val="0"/>
                <w:sz w:val="18"/>
                <w:szCs w:val="18"/>
                <w:vertAlign w:val="baseline"/>
                <w:lang w:val="en-US" w:eastAsia="zh-CN"/>
              </w:rPr>
            </w:pPr>
          </w:p>
        </w:tc>
        <w:tc>
          <w:tcPr>
            <w:tcW w:w="900" w:type="dxa"/>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行政许可</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工程建设涉及城市绿地、树木审批</w:t>
            </w: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行政许可</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改变绿化规划、绿化用地的使用性质审批</w:t>
            </w: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eastAsiaTheme="minor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keepNext w:val="0"/>
              <w:keepLines w:val="0"/>
              <w:widowControl/>
              <w:suppressLineNumbers w:val="0"/>
              <w:jc w:val="left"/>
              <w:textAlignment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从事生活垃圾（含粪便）经营性清扫、收集、运输、处理服务审批</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1</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asciiTheme="minorEastAsia" w:hAnsiTheme="minorEastAsia" w:eastAsiaTheme="minorEastAsia" w:cstheme="minorEastAsia"/>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rPr>
                <w:rFonts w:hint="eastAsia"/>
                <w:sz w:val="18"/>
                <w:szCs w:val="18"/>
                <w:lang w:val="en-US" w:eastAsia="zh-CN"/>
              </w:rPr>
            </w:pPr>
            <w:r>
              <w:rPr>
                <w:rFonts w:hint="eastAsia"/>
                <w:sz w:val="18"/>
                <w:szCs w:val="18"/>
                <w:lang w:val="en-US" w:eastAsia="zh-CN"/>
              </w:rPr>
              <w:t>建筑工程施工许可证核发</w:t>
            </w:r>
          </w:p>
          <w:p>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ascii="宋体" w:hAnsi="宋体" w:eastAsia="宋体" w:cs="宋体"/>
                <w:b w:val="0"/>
                <w:bCs w:val="0"/>
                <w:sz w:val="18"/>
                <w:szCs w:val="18"/>
                <w:vertAlign w:val="baseline"/>
                <w:lang w:val="en-US" w:eastAsia="zh-CN"/>
              </w:rPr>
            </w:pP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rPr>
                <w:rFonts w:hint="eastAsia" w:asciiTheme="minorEastAsia" w:hAnsiTheme="minorEastAsia" w:eastAsiaTheme="minorEastAsia" w:cstheme="minorEastAsia"/>
                <w:sz w:val="18"/>
                <w:szCs w:val="18"/>
                <w:lang w:val="en-US" w:eastAsia="zh-CN"/>
              </w:rPr>
            </w:pPr>
            <w:r>
              <w:rPr>
                <w:rFonts w:hint="eastAsia" w:asciiTheme="minorEastAsia" w:hAnsiTheme="minorEastAsia" w:eastAsiaTheme="minorEastAsia" w:cstheme="minorEastAsia"/>
                <w:sz w:val="18"/>
                <w:szCs w:val="18"/>
                <w:lang w:val="en-US" w:eastAsia="zh-CN"/>
              </w:rPr>
              <w:t>商品房预售许可</w:t>
            </w:r>
          </w:p>
          <w:p>
            <w:pPr>
              <w:keepNext w:val="0"/>
              <w:keepLines w:val="0"/>
              <w:widowControl/>
              <w:suppressLineNumbers w:val="0"/>
              <w:jc w:val="left"/>
              <w:textAlignment w:val="center"/>
              <w:rPr>
                <w:rFonts w:hint="eastAsia" w:ascii="宋体" w:hAnsi="宋体" w:eastAsia="宋体" w:cs="宋体"/>
                <w:i w:val="0"/>
                <w:color w:val="000000"/>
                <w:kern w:val="0"/>
                <w:sz w:val="18"/>
                <w:szCs w:val="18"/>
                <w:u w:val="none"/>
                <w:lang w:val="en-US" w:eastAsia="zh-CN" w:bidi="ar"/>
              </w:rPr>
            </w:pP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ascii="宋体" w:hAnsi="宋体" w:eastAsia="宋体" w:cs="宋体"/>
                <w:b w:val="0"/>
                <w:bCs w:val="0"/>
                <w:sz w:val="18"/>
                <w:szCs w:val="18"/>
                <w:vertAlign w:val="baseline"/>
                <w:lang w:val="en-US" w:eastAsia="zh-CN"/>
              </w:rPr>
            </w:pP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rPr>
                <w:rFonts w:hint="eastAsia" w:asciiTheme="minorEastAsia" w:hAnsiTheme="minorEastAsia" w:eastAsiaTheme="minorEastAsia" w:cstheme="minorEastAsia"/>
                <w:sz w:val="18"/>
                <w:szCs w:val="18"/>
                <w:lang w:val="en-US" w:eastAsia="zh-CN"/>
              </w:rPr>
            </w:pPr>
            <w:r>
              <w:rPr>
                <w:rFonts w:hint="eastAsia" w:asciiTheme="minorEastAsia" w:hAnsiTheme="minorEastAsia" w:eastAsiaTheme="minorEastAsia" w:cstheme="minorEastAsia"/>
                <w:sz w:val="18"/>
                <w:szCs w:val="18"/>
                <w:lang w:val="en-US" w:eastAsia="zh-CN"/>
              </w:rPr>
              <w:t>因工程建设需要拆除、改动、迁移供水、排水与污水处理设施审核</w:t>
            </w:r>
          </w:p>
          <w:p>
            <w:pPr>
              <w:keepNext w:val="0"/>
              <w:keepLines w:val="0"/>
              <w:widowControl/>
              <w:suppressLineNumbers w:val="0"/>
              <w:jc w:val="left"/>
              <w:textAlignment w:val="center"/>
              <w:rPr>
                <w:rFonts w:hint="eastAsia" w:ascii="宋体" w:hAnsi="宋体" w:eastAsia="宋体" w:cs="宋体"/>
                <w:i w:val="0"/>
                <w:color w:val="000000"/>
                <w:kern w:val="0"/>
                <w:sz w:val="18"/>
                <w:szCs w:val="18"/>
                <w:u w:val="none"/>
                <w:lang w:val="en-US" w:eastAsia="zh-CN" w:bidi="ar"/>
              </w:rPr>
            </w:pP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ascii="宋体" w:hAnsi="宋体" w:eastAsia="宋体" w:cs="宋体"/>
                <w:b w:val="0"/>
                <w:bCs w:val="0"/>
                <w:sz w:val="18"/>
                <w:szCs w:val="18"/>
                <w:vertAlign w:val="baseline"/>
                <w:lang w:val="en-US" w:eastAsia="zh-CN"/>
              </w:rPr>
            </w:pP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rPr>
                <w:rFonts w:hint="eastAsia" w:asciiTheme="minorEastAsia" w:hAnsiTheme="minorEastAsia" w:eastAsiaTheme="minorEastAsia" w:cstheme="minorEastAsia"/>
                <w:sz w:val="18"/>
                <w:szCs w:val="18"/>
                <w:lang w:val="en-US" w:eastAsia="zh-CN"/>
              </w:rPr>
            </w:pPr>
            <w:r>
              <w:rPr>
                <w:rFonts w:hint="eastAsia" w:asciiTheme="minorEastAsia" w:hAnsiTheme="minorEastAsia" w:eastAsiaTheme="minorEastAsia" w:cstheme="minorEastAsia"/>
                <w:sz w:val="18"/>
                <w:szCs w:val="18"/>
                <w:lang w:val="en-US" w:eastAsia="zh-CN"/>
              </w:rPr>
              <w:t>夜间建筑施工许可</w:t>
            </w:r>
          </w:p>
          <w:p>
            <w:pPr>
              <w:keepNext w:val="0"/>
              <w:keepLines w:val="0"/>
              <w:widowControl/>
              <w:suppressLineNumbers w:val="0"/>
              <w:jc w:val="left"/>
              <w:textAlignment w:val="center"/>
              <w:rPr>
                <w:rFonts w:hint="eastAsia" w:ascii="宋体" w:hAnsi="宋体" w:eastAsia="宋体" w:cs="宋体"/>
                <w:i w:val="0"/>
                <w:color w:val="000000"/>
                <w:kern w:val="0"/>
                <w:sz w:val="18"/>
                <w:szCs w:val="18"/>
                <w:u w:val="none"/>
                <w:lang w:val="en-US" w:eastAsia="zh-CN" w:bidi="ar"/>
              </w:rPr>
            </w:pP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ascii="宋体" w:hAnsi="宋体" w:eastAsia="宋体" w:cs="宋体"/>
                <w:b w:val="0"/>
                <w:bCs w:val="0"/>
                <w:sz w:val="18"/>
                <w:szCs w:val="18"/>
                <w:vertAlign w:val="baseline"/>
                <w:lang w:val="en-US" w:eastAsia="zh-CN"/>
              </w:rPr>
            </w:pP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rPr>
                <w:rFonts w:hint="eastAsia" w:asciiTheme="minorEastAsia" w:hAnsiTheme="minorEastAsia" w:eastAsiaTheme="minorEastAsia" w:cstheme="minorEastAsia"/>
                <w:sz w:val="18"/>
                <w:szCs w:val="18"/>
                <w:lang w:val="en-US" w:eastAsia="zh-CN"/>
              </w:rPr>
            </w:pPr>
            <w:r>
              <w:rPr>
                <w:rFonts w:hint="eastAsia" w:asciiTheme="minorEastAsia" w:hAnsiTheme="minorEastAsia" w:eastAsiaTheme="minorEastAsia" w:cstheme="minorEastAsia"/>
                <w:sz w:val="18"/>
                <w:szCs w:val="18"/>
                <w:lang w:val="en-US" w:eastAsia="zh-CN"/>
              </w:rPr>
              <w:t>由于工程施工、设备维修等原因确需停止供水的审批</w:t>
            </w:r>
          </w:p>
          <w:p>
            <w:pPr>
              <w:keepNext w:val="0"/>
              <w:keepLines w:val="0"/>
              <w:widowControl/>
              <w:suppressLineNumbers w:val="0"/>
              <w:jc w:val="left"/>
              <w:textAlignment w:val="center"/>
              <w:rPr>
                <w:rFonts w:hint="eastAsia" w:ascii="宋体" w:hAnsi="宋体" w:eastAsia="宋体" w:cs="宋体"/>
                <w:i w:val="0"/>
                <w:color w:val="000000"/>
                <w:kern w:val="0"/>
                <w:sz w:val="18"/>
                <w:szCs w:val="18"/>
                <w:u w:val="none"/>
                <w:lang w:val="en-US" w:eastAsia="zh-CN" w:bidi="ar"/>
              </w:rPr>
            </w:pP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ascii="宋体" w:hAnsi="宋体" w:eastAsia="宋体" w:cs="宋体"/>
                <w:b w:val="0"/>
                <w:bCs w:val="0"/>
                <w:sz w:val="18"/>
                <w:szCs w:val="18"/>
                <w:vertAlign w:val="baseline"/>
                <w:lang w:val="en-US" w:eastAsia="zh-CN"/>
              </w:rPr>
            </w:pP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rPr>
                <w:rFonts w:hint="eastAsia" w:asciiTheme="minorEastAsia" w:hAnsiTheme="minorEastAsia" w:eastAsiaTheme="minorEastAsia" w:cstheme="minorEastAsia"/>
                <w:sz w:val="18"/>
                <w:szCs w:val="18"/>
                <w:lang w:val="en-US" w:eastAsia="zh-CN"/>
              </w:rPr>
            </w:pPr>
            <w:r>
              <w:rPr>
                <w:rFonts w:hint="eastAsia" w:asciiTheme="minorEastAsia" w:hAnsiTheme="minorEastAsia" w:eastAsiaTheme="minorEastAsia" w:cstheme="minorEastAsia"/>
                <w:sz w:val="18"/>
                <w:szCs w:val="18"/>
                <w:lang w:val="en-US" w:eastAsia="zh-CN"/>
              </w:rPr>
              <w:t>关闭、闲置、拆除城市环卫设施许可</w:t>
            </w:r>
          </w:p>
          <w:p>
            <w:pPr>
              <w:keepNext w:val="0"/>
              <w:keepLines w:val="0"/>
              <w:widowControl/>
              <w:suppressLineNumbers w:val="0"/>
              <w:jc w:val="left"/>
              <w:textAlignment w:val="center"/>
              <w:rPr>
                <w:rFonts w:hint="eastAsia" w:ascii="宋体" w:hAnsi="宋体" w:eastAsia="宋体" w:cs="宋体"/>
                <w:i w:val="0"/>
                <w:color w:val="000000"/>
                <w:kern w:val="0"/>
                <w:sz w:val="18"/>
                <w:szCs w:val="18"/>
                <w:u w:val="none"/>
                <w:lang w:val="en-US" w:eastAsia="zh-CN" w:bidi="ar"/>
              </w:rPr>
            </w:pP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ascii="宋体" w:hAnsi="宋体" w:eastAsia="宋体" w:cs="宋体"/>
                <w:b w:val="0"/>
                <w:bCs w:val="0"/>
                <w:sz w:val="18"/>
                <w:szCs w:val="18"/>
                <w:vertAlign w:val="baseline"/>
                <w:lang w:val="en-US" w:eastAsia="zh-CN"/>
              </w:rPr>
            </w:pP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rPr>
                <w:rFonts w:hint="eastAsia" w:asciiTheme="minorEastAsia" w:hAnsiTheme="minorEastAsia" w:eastAsiaTheme="minorEastAsia" w:cstheme="minorEastAsia"/>
                <w:sz w:val="18"/>
                <w:szCs w:val="18"/>
                <w:lang w:val="en-US" w:eastAsia="zh-CN"/>
              </w:rPr>
            </w:pPr>
            <w:r>
              <w:rPr>
                <w:rFonts w:hint="eastAsia" w:asciiTheme="minorEastAsia" w:hAnsiTheme="minorEastAsia" w:eastAsiaTheme="minorEastAsia" w:cstheme="minorEastAsia"/>
                <w:sz w:val="18"/>
                <w:szCs w:val="18"/>
                <w:lang w:val="en-US" w:eastAsia="zh-CN"/>
              </w:rPr>
              <w:t>城市建筑垃圾处置核准</w:t>
            </w:r>
          </w:p>
          <w:p>
            <w:pPr>
              <w:keepNext w:val="0"/>
              <w:keepLines w:val="0"/>
              <w:widowControl/>
              <w:suppressLineNumbers w:val="0"/>
              <w:jc w:val="left"/>
              <w:textAlignment w:val="center"/>
              <w:rPr>
                <w:rFonts w:hint="eastAsia" w:ascii="宋体" w:hAnsi="宋体" w:eastAsia="宋体" w:cs="宋体"/>
                <w:i w:val="0"/>
                <w:color w:val="000000"/>
                <w:kern w:val="0"/>
                <w:sz w:val="18"/>
                <w:szCs w:val="18"/>
                <w:u w:val="none"/>
                <w:lang w:val="en-US" w:eastAsia="zh-CN" w:bidi="ar"/>
              </w:rPr>
            </w:pP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ascii="宋体" w:hAnsi="宋体" w:eastAsia="宋体" w:cs="宋体"/>
                <w:b w:val="0"/>
                <w:bCs w:val="0"/>
                <w:sz w:val="18"/>
                <w:szCs w:val="18"/>
                <w:vertAlign w:val="baseline"/>
                <w:lang w:val="en-US" w:eastAsia="zh-CN"/>
              </w:rPr>
            </w:pP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行政许可</w:t>
            </w:r>
          </w:p>
        </w:tc>
        <w:tc>
          <w:tcPr>
            <w:tcW w:w="1665" w:type="dxa"/>
            <w:vAlign w:val="center"/>
          </w:tcPr>
          <w:p>
            <w:pPr>
              <w:rPr>
                <w:rFonts w:hint="eastAsia" w:asciiTheme="minorEastAsia" w:hAnsiTheme="minorEastAsia" w:eastAsiaTheme="minorEastAsia" w:cstheme="minorEastAsia"/>
                <w:sz w:val="18"/>
                <w:szCs w:val="18"/>
                <w:lang w:val="en-US" w:eastAsia="zh-CN"/>
              </w:rPr>
            </w:pPr>
            <w:r>
              <w:rPr>
                <w:rFonts w:hint="eastAsia" w:asciiTheme="minorEastAsia" w:hAnsiTheme="minorEastAsia" w:eastAsiaTheme="minorEastAsia" w:cstheme="minorEastAsia"/>
                <w:sz w:val="18"/>
                <w:szCs w:val="18"/>
                <w:lang w:val="en-US" w:eastAsia="zh-CN"/>
              </w:rPr>
              <w:t>城镇污水排入排水管网许可</w:t>
            </w:r>
          </w:p>
          <w:p>
            <w:pPr>
              <w:keepNext w:val="0"/>
              <w:keepLines w:val="0"/>
              <w:widowControl/>
              <w:suppressLineNumbers w:val="0"/>
              <w:jc w:val="left"/>
              <w:textAlignment w:val="center"/>
              <w:rPr>
                <w:rFonts w:hint="eastAsia" w:ascii="宋体" w:hAnsi="宋体" w:eastAsia="宋体" w:cs="宋体"/>
                <w:i w:val="0"/>
                <w:color w:val="000000"/>
                <w:kern w:val="0"/>
                <w:sz w:val="18"/>
                <w:szCs w:val="18"/>
                <w:u w:val="none"/>
                <w:lang w:val="en-US" w:eastAsia="zh-CN" w:bidi="ar"/>
              </w:rPr>
            </w:pP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ascii="宋体" w:hAnsi="宋体" w:eastAsia="宋体" w:cs="宋体"/>
                <w:b w:val="0"/>
                <w:bCs w:val="0"/>
                <w:sz w:val="18"/>
                <w:szCs w:val="18"/>
                <w:vertAlign w:val="baseline"/>
                <w:lang w:val="en-US" w:eastAsia="zh-CN"/>
              </w:rPr>
            </w:pP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提出规划条件</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79</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建设项目验线规划管理者使用性质的批准</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81</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建设项目规划条件变更</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82</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建设工程设计方案审定</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83</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建设工程竣工规划条件核实</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85</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对历史建筑进行外部修缮装饰、添加设施以及改变历史建筑的结构或者使用性质的批准</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87</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sz w:val="18"/>
                <w:szCs w:val="18"/>
              </w:rPr>
            </w:pPr>
          </w:p>
        </w:tc>
        <w:tc>
          <w:tcPr>
            <w:tcW w:w="1185" w:type="dxa"/>
            <w:vAlign w:val="center"/>
          </w:tcPr>
          <w:p>
            <w:pPr>
              <w:jc w:val="center"/>
              <w:rPr>
                <w:sz w:val="18"/>
                <w:szCs w:val="18"/>
              </w:rPr>
            </w:pPr>
            <w:r>
              <w:rPr>
                <w:rFonts w:hint="eastAsia"/>
                <w:sz w:val="18"/>
                <w:szCs w:val="18"/>
              </w:rPr>
              <w:t>其他行政权力</w:t>
            </w:r>
          </w:p>
        </w:tc>
        <w:tc>
          <w:tcPr>
            <w:tcW w:w="1665" w:type="dxa"/>
            <w:vAlign w:val="center"/>
          </w:tcPr>
          <w:p>
            <w:pPr>
              <w:rPr>
                <w:sz w:val="18"/>
                <w:szCs w:val="18"/>
              </w:rPr>
            </w:pPr>
            <w:r>
              <w:rPr>
                <w:rFonts w:hint="eastAsia"/>
                <w:sz w:val="18"/>
                <w:szCs w:val="18"/>
              </w:rPr>
              <w:t>户外广告载体使用权出让</w:t>
            </w:r>
          </w:p>
        </w:tc>
        <w:tc>
          <w:tcPr>
            <w:tcW w:w="750" w:type="dxa"/>
            <w:vAlign w:val="center"/>
          </w:tcPr>
          <w:p>
            <w:pPr>
              <w:jc w:val="center"/>
              <w:rPr>
                <w:sz w:val="18"/>
                <w:szCs w:val="18"/>
              </w:rPr>
            </w:pPr>
            <w:r>
              <w:rPr>
                <w:rFonts w:hint="eastAsia"/>
                <w:sz w:val="18"/>
                <w:szCs w:val="18"/>
              </w:rPr>
              <w:t>1</w:t>
            </w:r>
          </w:p>
        </w:tc>
        <w:tc>
          <w:tcPr>
            <w:tcW w:w="1425" w:type="dxa"/>
            <w:vAlign w:val="center"/>
          </w:tcPr>
          <w:p>
            <w:pPr>
              <w:jc w:val="center"/>
              <w:rPr>
                <w:sz w:val="18"/>
                <w:szCs w:val="18"/>
              </w:rPr>
            </w:pPr>
          </w:p>
        </w:tc>
        <w:tc>
          <w:tcPr>
            <w:tcW w:w="1665" w:type="dxa"/>
            <w:vAlign w:val="center"/>
          </w:tcPr>
          <w:p>
            <w:pPr>
              <w:jc w:val="center"/>
              <w:rPr>
                <w:sz w:val="18"/>
                <w:szCs w:val="18"/>
              </w:rPr>
            </w:pPr>
          </w:p>
        </w:tc>
        <w:tc>
          <w:tcPr>
            <w:tcW w:w="1335" w:type="dxa"/>
            <w:vAlign w:val="center"/>
          </w:tcPr>
          <w:p>
            <w:pPr>
              <w:jc w:val="center"/>
              <w:rPr>
                <w:sz w:val="18"/>
                <w:szCs w:val="18"/>
              </w:rPr>
            </w:pPr>
          </w:p>
        </w:tc>
        <w:tc>
          <w:tcPr>
            <w:tcW w:w="1365" w:type="dxa"/>
            <w:vAlign w:val="center"/>
          </w:tcPr>
          <w:p>
            <w:pPr>
              <w:jc w:val="center"/>
              <w:rPr>
                <w:sz w:val="18"/>
                <w:szCs w:val="18"/>
              </w:rPr>
            </w:pPr>
          </w:p>
        </w:tc>
        <w:tc>
          <w:tcPr>
            <w:tcW w:w="1485" w:type="dxa"/>
            <w:vAlign w:val="center"/>
          </w:tcPr>
          <w:p>
            <w:pPr>
              <w:jc w:val="center"/>
              <w:rPr>
                <w:sz w:val="18"/>
                <w:szCs w:val="18"/>
              </w:rPr>
            </w:pPr>
          </w:p>
        </w:tc>
        <w:tc>
          <w:tcPr>
            <w:tcW w:w="1035" w:type="dxa"/>
            <w:vAlign w:val="center"/>
          </w:tcPr>
          <w:p>
            <w:pPr>
              <w:jc w:val="center"/>
              <w:rPr>
                <w:sz w:val="18"/>
                <w:szCs w:val="18"/>
              </w:rPr>
            </w:pPr>
            <w:r>
              <w:rPr>
                <w:rFonts w:hint="eastAsia"/>
                <w:sz w:val="18"/>
                <w:szCs w:val="18"/>
              </w:rPr>
              <w:t>V</w:t>
            </w:r>
          </w:p>
        </w:tc>
        <w:tc>
          <w:tcPr>
            <w:tcW w:w="720" w:type="dxa"/>
            <w:vAlign w:val="center"/>
          </w:tcPr>
          <w:p>
            <w:pPr>
              <w:jc w:val="center"/>
              <w:rPr>
                <w:sz w:val="18"/>
                <w:szCs w:val="18"/>
              </w:rPr>
            </w:pPr>
            <w:r>
              <w:rPr>
                <w:rFonts w:hint="eastAsia"/>
                <w:sz w:val="18"/>
                <w:szCs w:val="18"/>
              </w:rPr>
              <w:t>V</w:t>
            </w:r>
          </w:p>
        </w:tc>
        <w:tc>
          <w:tcPr>
            <w:tcW w:w="960" w:type="dxa"/>
            <w:gridSpan w:val="2"/>
            <w:vAlign w:val="center"/>
          </w:tcPr>
          <w:p>
            <w:pPr>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工程建设项目附属绿化工程涉及方案审查、审批</w:t>
            </w: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城市公共绿化工程竣工验收</w:t>
            </w:r>
          </w:p>
        </w:tc>
        <w:tc>
          <w:tcPr>
            <w:tcW w:w="750" w:type="dxa"/>
            <w:vAlign w:val="center"/>
          </w:tcPr>
          <w:p>
            <w:pPr>
              <w:jc w:val="center"/>
              <w:rPr>
                <w:rFonts w:hint="eastAsia"/>
                <w:b w:val="0"/>
                <w:bCs w:val="0"/>
                <w:sz w:val="18"/>
                <w:szCs w:val="18"/>
                <w:vertAlign w:val="baseline"/>
                <w:lang w:val="en-US" w:eastAsia="zh-CN"/>
              </w:rPr>
            </w:pP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建筑起重机械使用登记</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59</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建设工程质量监督备案</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60</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建设工程勘察文件及施工图设计文件审查备案</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53</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建设工程合同备案</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54</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工程竣工结算备案</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55</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安全施工措施备案</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68</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建设工程施工图复核</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84</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建设工程招标控制价备案</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93</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其他行政权力</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建设工程竣工验收备案</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62</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行政事项清单</w:t>
            </w:r>
          </w:p>
        </w:tc>
        <w:tc>
          <w:tcPr>
            <w:tcW w:w="1665"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建筑施工企业资质认定（总承包特级、一级及部分专业一级除外）</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1</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720" w:type="dxa"/>
            <w:vAlign w:val="center"/>
          </w:tcPr>
          <w:p>
            <w:pPr>
              <w:jc w:val="center"/>
              <w:rPr>
                <w:rFonts w:hint="eastAsia"/>
                <w:b w:val="0"/>
                <w:bCs w:val="0"/>
                <w:sz w:val="18"/>
                <w:szCs w:val="18"/>
                <w:vertAlign w:val="baseline"/>
                <w:lang w:val="en-US" w:eastAsia="zh-CN"/>
              </w:rPr>
            </w:pPr>
            <w:r>
              <w:rPr>
                <w:rFonts w:hint="eastAsia" w:asciiTheme="minorEastAsia" w:hAnsiTheme="minorEastAsia" w:eastAsiaTheme="minorEastAsia" w:cstheme="minorEastAsia"/>
                <w:b w:val="0"/>
                <w:bCs w:val="0"/>
                <w:sz w:val="18"/>
                <w:szCs w:val="18"/>
                <w:lang w:val="en-US" w:eastAsia="zh-CN"/>
              </w:rPr>
              <w:t>√</w:t>
            </w: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numPr>
                <w:ilvl w:val="0"/>
                <w:numId w:val="1"/>
              </w:numPr>
              <w:ind w:left="425" w:leftChars="0" w:hanging="425" w:firstLineChars="0"/>
              <w:jc w:val="center"/>
              <w:rPr>
                <w:rFonts w:hint="eastAsia"/>
                <w:b w:val="0"/>
                <w:bCs w:val="0"/>
                <w:sz w:val="18"/>
                <w:szCs w:val="18"/>
                <w:vertAlign w:val="baseline"/>
                <w:lang w:val="en-US" w:eastAsia="zh-CN"/>
              </w:rPr>
            </w:pPr>
          </w:p>
        </w:tc>
        <w:tc>
          <w:tcPr>
            <w:tcW w:w="1185" w:type="dxa"/>
            <w:vAlign w:val="center"/>
          </w:tcPr>
          <w:p>
            <w:pPr>
              <w:keepNext w:val="0"/>
              <w:keepLines w:val="0"/>
              <w:widowControl/>
              <w:suppressLineNumbers w:val="0"/>
              <w:jc w:val="center"/>
              <w:textAlignment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其他行政权力</w:t>
            </w:r>
          </w:p>
        </w:tc>
        <w:tc>
          <w:tcPr>
            <w:tcW w:w="1665" w:type="dxa"/>
            <w:vAlign w:val="center"/>
          </w:tcPr>
          <w:p>
            <w:pPr>
              <w:keepNext w:val="0"/>
              <w:keepLines w:val="0"/>
              <w:widowControl/>
              <w:suppressLineNumbers w:val="0"/>
              <w:jc w:val="left"/>
              <w:textAlignment w:val="center"/>
              <w:rPr>
                <w:rFonts w:hint="eastAsia"/>
                <w:b w:val="0"/>
                <w:bCs w:val="0"/>
                <w:sz w:val="18"/>
                <w:szCs w:val="18"/>
                <w:vertAlign w:val="baseline"/>
                <w:lang w:val="en-US" w:eastAsia="zh-CN"/>
              </w:rPr>
            </w:pPr>
            <w:r>
              <w:rPr>
                <w:rFonts w:hint="eastAsia" w:ascii="宋体" w:hAnsi="宋体" w:eastAsia="宋体" w:cs="宋体"/>
                <w:i w:val="0"/>
                <w:color w:val="000000"/>
                <w:kern w:val="0"/>
                <w:sz w:val="18"/>
                <w:szCs w:val="18"/>
                <w:u w:val="none"/>
                <w:lang w:val="en-US" w:eastAsia="zh-CN" w:bidi="ar"/>
              </w:rPr>
              <w:t>生活垃圾、餐厨垃圾、粪便（渣）、建筑垃圾和特种垃圾经营权出让方案审定</w:t>
            </w:r>
          </w:p>
        </w:tc>
        <w:tc>
          <w:tcPr>
            <w:tcW w:w="750" w:type="dxa"/>
            <w:vAlign w:val="center"/>
          </w:tcPr>
          <w:p>
            <w:pPr>
              <w:jc w:val="center"/>
              <w:rPr>
                <w:rFonts w:hint="eastAsia"/>
                <w:b w:val="0"/>
                <w:bCs w:val="0"/>
                <w:sz w:val="18"/>
                <w:szCs w:val="18"/>
                <w:vertAlign w:val="baseline"/>
                <w:lang w:val="en-US" w:eastAsia="zh-CN"/>
              </w:rPr>
            </w:pPr>
            <w:r>
              <w:rPr>
                <w:rFonts w:hint="eastAsia"/>
                <w:b w:val="0"/>
                <w:bCs w:val="0"/>
                <w:sz w:val="18"/>
                <w:szCs w:val="18"/>
                <w:vertAlign w:val="baseline"/>
                <w:lang w:val="en-US" w:eastAsia="zh-CN"/>
              </w:rPr>
              <w:t>1</w:t>
            </w:r>
          </w:p>
        </w:tc>
        <w:tc>
          <w:tcPr>
            <w:tcW w:w="1425" w:type="dxa"/>
            <w:vAlign w:val="center"/>
          </w:tcPr>
          <w:p>
            <w:pPr>
              <w:jc w:val="center"/>
              <w:rPr>
                <w:rFonts w:hint="eastAsia"/>
                <w:b w:val="0"/>
                <w:bCs w:val="0"/>
                <w:sz w:val="18"/>
                <w:szCs w:val="18"/>
                <w:vertAlign w:val="baseline"/>
                <w:lang w:val="en-US" w:eastAsia="zh-CN"/>
              </w:rPr>
            </w:pPr>
          </w:p>
        </w:tc>
        <w:tc>
          <w:tcPr>
            <w:tcW w:w="1665" w:type="dxa"/>
            <w:vAlign w:val="center"/>
          </w:tcPr>
          <w:p>
            <w:pPr>
              <w:jc w:val="center"/>
              <w:rPr>
                <w:rFonts w:hint="eastAsia"/>
                <w:b w:val="0"/>
                <w:bCs w:val="0"/>
                <w:sz w:val="18"/>
                <w:szCs w:val="18"/>
                <w:vertAlign w:val="baseline"/>
                <w:lang w:val="en-US" w:eastAsia="zh-CN"/>
              </w:rPr>
            </w:pPr>
          </w:p>
        </w:tc>
        <w:tc>
          <w:tcPr>
            <w:tcW w:w="1335" w:type="dxa"/>
            <w:vAlign w:val="center"/>
          </w:tcPr>
          <w:p>
            <w:pPr>
              <w:jc w:val="center"/>
              <w:rPr>
                <w:rFonts w:hint="eastAsia"/>
                <w:b w:val="0"/>
                <w:bCs w:val="0"/>
                <w:sz w:val="18"/>
                <w:szCs w:val="18"/>
                <w:vertAlign w:val="baseline"/>
                <w:lang w:val="en-US" w:eastAsia="zh-CN"/>
              </w:rPr>
            </w:pPr>
          </w:p>
        </w:tc>
        <w:tc>
          <w:tcPr>
            <w:tcW w:w="1365" w:type="dxa"/>
            <w:vAlign w:val="center"/>
          </w:tcPr>
          <w:p>
            <w:pPr>
              <w:jc w:val="center"/>
              <w:rPr>
                <w:rFonts w:hint="eastAsia"/>
                <w:b w:val="0"/>
                <w:bCs w:val="0"/>
                <w:sz w:val="18"/>
                <w:szCs w:val="18"/>
                <w:vertAlign w:val="baseline"/>
                <w:lang w:val="en-US" w:eastAsia="zh-CN"/>
              </w:rPr>
            </w:pPr>
          </w:p>
        </w:tc>
        <w:tc>
          <w:tcPr>
            <w:tcW w:w="1485" w:type="dxa"/>
            <w:vAlign w:val="center"/>
          </w:tcPr>
          <w:p>
            <w:pPr>
              <w:jc w:val="center"/>
              <w:rPr>
                <w:rFonts w:hint="eastAsia"/>
                <w:b w:val="0"/>
                <w:bCs w:val="0"/>
                <w:sz w:val="18"/>
                <w:szCs w:val="18"/>
                <w:vertAlign w:val="baseline"/>
                <w:lang w:val="en-US" w:eastAsia="zh-CN"/>
              </w:rPr>
            </w:pPr>
          </w:p>
        </w:tc>
        <w:tc>
          <w:tcPr>
            <w:tcW w:w="1035" w:type="dxa"/>
            <w:vAlign w:val="center"/>
          </w:tcPr>
          <w:p>
            <w:pPr>
              <w:jc w:val="center"/>
              <w:rPr>
                <w:rFonts w:hint="eastAsia"/>
                <w:b w:val="0"/>
                <w:bCs w:val="0"/>
                <w:sz w:val="18"/>
                <w:szCs w:val="18"/>
                <w:vertAlign w:val="baseline"/>
                <w:lang w:val="en-US" w:eastAsia="zh-CN"/>
              </w:rPr>
            </w:pPr>
            <w:r>
              <w:rPr>
                <w:rFonts w:hint="eastAsia" w:ascii="宋体" w:hAnsi="宋体" w:eastAsia="宋体" w:cs="宋体"/>
                <w:b w:val="0"/>
                <w:bCs w:val="0"/>
                <w:sz w:val="18"/>
                <w:szCs w:val="18"/>
                <w:vertAlign w:val="baseline"/>
                <w:lang w:val="en-US" w:eastAsia="zh-CN"/>
              </w:rPr>
              <w:t>√</w:t>
            </w:r>
          </w:p>
        </w:tc>
        <w:tc>
          <w:tcPr>
            <w:tcW w:w="720" w:type="dxa"/>
            <w:vAlign w:val="center"/>
          </w:tcPr>
          <w:p>
            <w:pPr>
              <w:jc w:val="center"/>
              <w:rPr>
                <w:rFonts w:hint="eastAsia"/>
                <w:b w:val="0"/>
                <w:bCs w:val="0"/>
                <w:sz w:val="18"/>
                <w:szCs w:val="18"/>
                <w:vertAlign w:val="baseline"/>
                <w:lang w:val="en-US" w:eastAsia="zh-CN"/>
              </w:rPr>
            </w:pPr>
          </w:p>
        </w:tc>
        <w:tc>
          <w:tcPr>
            <w:tcW w:w="960" w:type="dxa"/>
            <w:gridSpan w:val="2"/>
            <w:vAlign w:val="center"/>
          </w:tcPr>
          <w:p>
            <w:pPr>
              <w:jc w:val="center"/>
              <w:rPr>
                <w:rFonts w:hint="eastAsia"/>
                <w:b w:val="0"/>
                <w:bCs w:val="0"/>
                <w:sz w:val="18"/>
                <w:szCs w:val="18"/>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jc w:val="center"/>
              <w:rPr>
                <w:rFonts w:hint="eastAsia"/>
                <w:b w:val="0"/>
                <w:bCs w:val="0"/>
                <w:sz w:val="24"/>
                <w:szCs w:val="24"/>
                <w:vertAlign w:val="baseline"/>
                <w:lang w:val="en-US" w:eastAsia="zh-CN"/>
              </w:rPr>
            </w:pPr>
            <w:r>
              <w:rPr>
                <w:rFonts w:hint="eastAsia"/>
                <w:b w:val="0"/>
                <w:bCs w:val="0"/>
                <w:sz w:val="24"/>
                <w:szCs w:val="24"/>
                <w:vertAlign w:val="baseline"/>
                <w:lang w:val="en-US" w:eastAsia="zh-CN"/>
              </w:rPr>
              <w:t>占比</w:t>
            </w:r>
          </w:p>
        </w:tc>
        <w:tc>
          <w:tcPr>
            <w:tcW w:w="1185" w:type="dxa"/>
            <w:vAlign w:val="center"/>
          </w:tcPr>
          <w:p>
            <w:pPr>
              <w:jc w:val="center"/>
              <w:rPr>
                <w:rFonts w:hint="eastAsia"/>
                <w:b w:val="0"/>
                <w:bCs w:val="0"/>
                <w:sz w:val="30"/>
                <w:szCs w:val="30"/>
                <w:vertAlign w:val="baseline"/>
                <w:lang w:val="en-US" w:eastAsia="zh-CN"/>
              </w:rPr>
            </w:pPr>
          </w:p>
        </w:tc>
        <w:tc>
          <w:tcPr>
            <w:tcW w:w="1665" w:type="dxa"/>
            <w:vAlign w:val="center"/>
          </w:tcPr>
          <w:p>
            <w:pPr>
              <w:jc w:val="center"/>
              <w:rPr>
                <w:rFonts w:hint="eastAsia"/>
                <w:b w:val="0"/>
                <w:bCs w:val="0"/>
                <w:sz w:val="30"/>
                <w:szCs w:val="30"/>
                <w:vertAlign w:val="baseline"/>
                <w:lang w:val="en-US" w:eastAsia="zh-CN"/>
              </w:rPr>
            </w:pPr>
          </w:p>
        </w:tc>
        <w:tc>
          <w:tcPr>
            <w:tcW w:w="750" w:type="dxa"/>
            <w:vAlign w:val="center"/>
          </w:tcPr>
          <w:p>
            <w:pPr>
              <w:jc w:val="center"/>
              <w:rPr>
                <w:rFonts w:hint="eastAsia"/>
                <w:b w:val="0"/>
                <w:bCs w:val="0"/>
                <w:sz w:val="30"/>
                <w:szCs w:val="30"/>
                <w:vertAlign w:val="baseline"/>
                <w:lang w:val="en-US" w:eastAsia="zh-CN"/>
              </w:rPr>
            </w:pPr>
          </w:p>
        </w:tc>
        <w:tc>
          <w:tcPr>
            <w:tcW w:w="1425" w:type="dxa"/>
            <w:vAlign w:val="center"/>
          </w:tcPr>
          <w:p>
            <w:pPr>
              <w:jc w:val="center"/>
              <w:rPr>
                <w:rFonts w:hint="eastAsia"/>
                <w:b w:val="0"/>
                <w:bCs w:val="0"/>
                <w:sz w:val="30"/>
                <w:szCs w:val="30"/>
                <w:vertAlign w:val="baseline"/>
                <w:lang w:val="en-US" w:eastAsia="zh-CN"/>
              </w:rPr>
            </w:pPr>
          </w:p>
        </w:tc>
        <w:tc>
          <w:tcPr>
            <w:tcW w:w="1665" w:type="dxa"/>
            <w:vAlign w:val="center"/>
          </w:tcPr>
          <w:p>
            <w:pPr>
              <w:jc w:val="center"/>
              <w:rPr>
                <w:rFonts w:hint="eastAsia"/>
                <w:b w:val="0"/>
                <w:bCs w:val="0"/>
                <w:sz w:val="30"/>
                <w:szCs w:val="30"/>
                <w:vertAlign w:val="baseline"/>
                <w:lang w:val="en-US" w:eastAsia="zh-CN"/>
              </w:rPr>
            </w:pPr>
          </w:p>
        </w:tc>
        <w:tc>
          <w:tcPr>
            <w:tcW w:w="1335" w:type="dxa"/>
            <w:vAlign w:val="center"/>
          </w:tcPr>
          <w:p>
            <w:pPr>
              <w:jc w:val="center"/>
              <w:rPr>
                <w:rFonts w:hint="eastAsia"/>
                <w:b w:val="0"/>
                <w:bCs w:val="0"/>
                <w:sz w:val="30"/>
                <w:szCs w:val="30"/>
                <w:vertAlign w:val="baseline"/>
                <w:lang w:val="en-US" w:eastAsia="zh-CN"/>
              </w:rPr>
            </w:pPr>
          </w:p>
        </w:tc>
        <w:tc>
          <w:tcPr>
            <w:tcW w:w="1365" w:type="dxa"/>
            <w:vAlign w:val="center"/>
          </w:tcPr>
          <w:p>
            <w:pPr>
              <w:jc w:val="center"/>
              <w:rPr>
                <w:rFonts w:hint="eastAsia"/>
                <w:b w:val="0"/>
                <w:bCs w:val="0"/>
                <w:sz w:val="30"/>
                <w:szCs w:val="30"/>
                <w:vertAlign w:val="baseline"/>
                <w:lang w:val="en-US" w:eastAsia="zh-CN"/>
              </w:rPr>
            </w:pPr>
          </w:p>
        </w:tc>
        <w:tc>
          <w:tcPr>
            <w:tcW w:w="1485" w:type="dxa"/>
            <w:vAlign w:val="center"/>
          </w:tcPr>
          <w:p>
            <w:pPr>
              <w:jc w:val="center"/>
              <w:rPr>
                <w:rFonts w:hint="eastAsia"/>
                <w:b w:val="0"/>
                <w:bCs w:val="0"/>
                <w:sz w:val="30"/>
                <w:szCs w:val="30"/>
                <w:vertAlign w:val="baseline"/>
                <w:lang w:val="en-US" w:eastAsia="zh-CN"/>
              </w:rPr>
            </w:pPr>
          </w:p>
        </w:tc>
        <w:tc>
          <w:tcPr>
            <w:tcW w:w="1035" w:type="dxa"/>
            <w:vAlign w:val="center"/>
          </w:tcPr>
          <w:p>
            <w:pPr>
              <w:jc w:val="center"/>
              <w:rPr>
                <w:rFonts w:hint="eastAsia"/>
                <w:b w:val="0"/>
                <w:bCs w:val="0"/>
                <w:sz w:val="30"/>
                <w:szCs w:val="30"/>
                <w:vertAlign w:val="baseline"/>
                <w:lang w:val="en-US" w:eastAsia="zh-CN"/>
              </w:rPr>
            </w:pPr>
          </w:p>
        </w:tc>
        <w:tc>
          <w:tcPr>
            <w:tcW w:w="720" w:type="dxa"/>
            <w:vAlign w:val="center"/>
          </w:tcPr>
          <w:p>
            <w:pPr>
              <w:jc w:val="center"/>
              <w:rPr>
                <w:rFonts w:hint="eastAsia"/>
                <w:b w:val="0"/>
                <w:bCs w:val="0"/>
                <w:sz w:val="30"/>
                <w:szCs w:val="30"/>
                <w:vertAlign w:val="baseline"/>
                <w:lang w:val="en-US" w:eastAsia="zh-CN"/>
              </w:rPr>
            </w:pPr>
          </w:p>
        </w:tc>
        <w:tc>
          <w:tcPr>
            <w:tcW w:w="960" w:type="dxa"/>
            <w:gridSpan w:val="2"/>
            <w:vAlign w:val="center"/>
          </w:tcPr>
          <w:p>
            <w:pPr>
              <w:jc w:val="center"/>
              <w:rPr>
                <w:rFonts w:hint="eastAsia"/>
                <w:b w:val="0"/>
                <w:bCs w:val="0"/>
                <w:sz w:val="30"/>
                <w:szCs w:val="30"/>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2" w:type="dxa"/>
            <w:vAlign w:val="center"/>
          </w:tcPr>
          <w:p>
            <w:pPr>
              <w:jc w:val="center"/>
              <w:rPr>
                <w:rFonts w:hint="eastAsia"/>
                <w:b w:val="0"/>
                <w:bCs w:val="0"/>
                <w:sz w:val="24"/>
                <w:szCs w:val="24"/>
                <w:vertAlign w:val="baseline"/>
                <w:lang w:val="en-US" w:eastAsia="zh-CN"/>
              </w:rPr>
            </w:pPr>
            <w:r>
              <w:rPr>
                <w:rFonts w:hint="eastAsia"/>
                <w:b w:val="0"/>
                <w:bCs w:val="0"/>
                <w:sz w:val="24"/>
                <w:szCs w:val="24"/>
                <w:vertAlign w:val="baseline"/>
                <w:lang w:val="en-US" w:eastAsia="zh-CN"/>
              </w:rPr>
              <w:t>小计</w:t>
            </w:r>
          </w:p>
        </w:tc>
        <w:tc>
          <w:tcPr>
            <w:tcW w:w="1185" w:type="dxa"/>
            <w:vAlign w:val="center"/>
          </w:tcPr>
          <w:p>
            <w:pPr>
              <w:jc w:val="center"/>
              <w:rPr>
                <w:rFonts w:hint="eastAsia"/>
                <w:b w:val="0"/>
                <w:bCs w:val="0"/>
                <w:sz w:val="30"/>
                <w:szCs w:val="30"/>
                <w:vertAlign w:val="baseline"/>
                <w:lang w:val="en-US" w:eastAsia="zh-CN"/>
              </w:rPr>
            </w:pPr>
          </w:p>
        </w:tc>
        <w:tc>
          <w:tcPr>
            <w:tcW w:w="1665" w:type="dxa"/>
            <w:vAlign w:val="center"/>
          </w:tcPr>
          <w:p>
            <w:pPr>
              <w:jc w:val="center"/>
              <w:rPr>
                <w:rFonts w:hint="eastAsia"/>
                <w:b w:val="0"/>
                <w:bCs w:val="0"/>
                <w:sz w:val="30"/>
                <w:szCs w:val="30"/>
                <w:vertAlign w:val="baseline"/>
                <w:lang w:val="en-US" w:eastAsia="zh-CN"/>
              </w:rPr>
            </w:pPr>
          </w:p>
        </w:tc>
        <w:tc>
          <w:tcPr>
            <w:tcW w:w="750" w:type="dxa"/>
            <w:vAlign w:val="center"/>
          </w:tcPr>
          <w:p>
            <w:pPr>
              <w:jc w:val="center"/>
              <w:rPr>
                <w:rFonts w:hint="eastAsia"/>
                <w:b w:val="0"/>
                <w:bCs w:val="0"/>
                <w:sz w:val="30"/>
                <w:szCs w:val="30"/>
                <w:vertAlign w:val="baseline"/>
                <w:lang w:val="en-US" w:eastAsia="zh-CN"/>
              </w:rPr>
            </w:pPr>
          </w:p>
        </w:tc>
        <w:tc>
          <w:tcPr>
            <w:tcW w:w="1425" w:type="dxa"/>
            <w:vAlign w:val="center"/>
          </w:tcPr>
          <w:p>
            <w:pPr>
              <w:jc w:val="center"/>
              <w:rPr>
                <w:rFonts w:hint="eastAsia"/>
                <w:b w:val="0"/>
                <w:bCs w:val="0"/>
                <w:sz w:val="30"/>
                <w:szCs w:val="30"/>
                <w:vertAlign w:val="baseline"/>
                <w:lang w:val="en-US" w:eastAsia="zh-CN"/>
              </w:rPr>
            </w:pPr>
          </w:p>
        </w:tc>
        <w:tc>
          <w:tcPr>
            <w:tcW w:w="1665" w:type="dxa"/>
            <w:vAlign w:val="center"/>
          </w:tcPr>
          <w:p>
            <w:pPr>
              <w:jc w:val="center"/>
              <w:rPr>
                <w:rFonts w:hint="eastAsia"/>
                <w:b w:val="0"/>
                <w:bCs w:val="0"/>
                <w:sz w:val="30"/>
                <w:szCs w:val="30"/>
                <w:vertAlign w:val="baseline"/>
                <w:lang w:val="en-US" w:eastAsia="zh-CN"/>
              </w:rPr>
            </w:pPr>
          </w:p>
        </w:tc>
        <w:tc>
          <w:tcPr>
            <w:tcW w:w="1335" w:type="dxa"/>
            <w:vAlign w:val="center"/>
          </w:tcPr>
          <w:p>
            <w:pPr>
              <w:jc w:val="center"/>
              <w:rPr>
                <w:rFonts w:hint="eastAsia"/>
                <w:b w:val="0"/>
                <w:bCs w:val="0"/>
                <w:sz w:val="30"/>
                <w:szCs w:val="30"/>
                <w:vertAlign w:val="baseline"/>
                <w:lang w:val="en-US" w:eastAsia="zh-CN"/>
              </w:rPr>
            </w:pPr>
          </w:p>
        </w:tc>
        <w:tc>
          <w:tcPr>
            <w:tcW w:w="1365" w:type="dxa"/>
            <w:vAlign w:val="center"/>
          </w:tcPr>
          <w:p>
            <w:pPr>
              <w:jc w:val="center"/>
              <w:rPr>
                <w:rFonts w:hint="eastAsia"/>
                <w:b w:val="0"/>
                <w:bCs w:val="0"/>
                <w:sz w:val="30"/>
                <w:szCs w:val="30"/>
                <w:vertAlign w:val="baseline"/>
                <w:lang w:val="en-US" w:eastAsia="zh-CN"/>
              </w:rPr>
            </w:pPr>
          </w:p>
        </w:tc>
        <w:tc>
          <w:tcPr>
            <w:tcW w:w="1485" w:type="dxa"/>
            <w:vAlign w:val="center"/>
          </w:tcPr>
          <w:p>
            <w:pPr>
              <w:jc w:val="center"/>
              <w:rPr>
                <w:rFonts w:hint="eastAsia"/>
                <w:b w:val="0"/>
                <w:bCs w:val="0"/>
                <w:sz w:val="30"/>
                <w:szCs w:val="30"/>
                <w:vertAlign w:val="baseline"/>
                <w:lang w:val="en-US" w:eastAsia="zh-CN"/>
              </w:rPr>
            </w:pPr>
          </w:p>
        </w:tc>
        <w:tc>
          <w:tcPr>
            <w:tcW w:w="1035" w:type="dxa"/>
            <w:vAlign w:val="center"/>
          </w:tcPr>
          <w:p>
            <w:pPr>
              <w:jc w:val="center"/>
              <w:rPr>
                <w:rFonts w:hint="eastAsia"/>
                <w:b w:val="0"/>
                <w:bCs w:val="0"/>
                <w:sz w:val="30"/>
                <w:szCs w:val="30"/>
                <w:vertAlign w:val="baseline"/>
                <w:lang w:val="en-US" w:eastAsia="zh-CN"/>
              </w:rPr>
            </w:pPr>
          </w:p>
        </w:tc>
        <w:tc>
          <w:tcPr>
            <w:tcW w:w="720" w:type="dxa"/>
            <w:vAlign w:val="center"/>
          </w:tcPr>
          <w:p>
            <w:pPr>
              <w:jc w:val="center"/>
              <w:rPr>
                <w:rFonts w:hint="eastAsia"/>
                <w:b w:val="0"/>
                <w:bCs w:val="0"/>
                <w:sz w:val="30"/>
                <w:szCs w:val="30"/>
                <w:vertAlign w:val="baseline"/>
                <w:lang w:val="en-US" w:eastAsia="zh-CN"/>
              </w:rPr>
            </w:pPr>
          </w:p>
        </w:tc>
        <w:tc>
          <w:tcPr>
            <w:tcW w:w="960" w:type="dxa"/>
            <w:gridSpan w:val="2"/>
            <w:vAlign w:val="center"/>
          </w:tcPr>
          <w:p>
            <w:pPr>
              <w:jc w:val="center"/>
              <w:rPr>
                <w:rFonts w:hint="eastAsia"/>
                <w:b w:val="0"/>
                <w:bCs w:val="0"/>
                <w:sz w:val="30"/>
                <w:szCs w:val="30"/>
                <w:vertAlign w:val="baseline"/>
                <w:lang w:val="en-US" w:eastAsia="zh-CN"/>
              </w:rPr>
            </w:pPr>
          </w:p>
        </w:tc>
      </w:tr>
    </w:tbl>
    <w:p>
      <w:pPr>
        <w:jc w:val="left"/>
        <w:rPr>
          <w:rFonts w:hint="eastAsia" w:ascii="仿宋" w:hAnsi="仿宋" w:eastAsia="仿宋" w:cs="仿宋"/>
          <w:b w:val="0"/>
          <w:bCs w:val="0"/>
          <w:sz w:val="21"/>
          <w:szCs w:val="21"/>
          <w:lang w:val="en-US" w:eastAsia="zh-CN"/>
        </w:rPr>
      </w:pPr>
      <w:r>
        <w:rPr>
          <w:rFonts w:hint="eastAsia"/>
          <w:b w:val="0"/>
          <w:bCs w:val="0"/>
          <w:sz w:val="30"/>
          <w:szCs w:val="30"/>
          <w:lang w:val="en-US" w:eastAsia="zh-CN"/>
        </w:rPr>
        <w:t xml:space="preserve"> </w:t>
      </w:r>
      <w:r>
        <w:rPr>
          <w:rFonts w:hint="eastAsia" w:ascii="仿宋" w:hAnsi="仿宋" w:eastAsia="仿宋" w:cs="仿宋"/>
          <w:b w:val="0"/>
          <w:bCs w:val="0"/>
          <w:sz w:val="30"/>
          <w:szCs w:val="30"/>
          <w:lang w:val="en-US" w:eastAsia="zh-CN"/>
        </w:rPr>
        <w:t xml:space="preserve">  </w:t>
      </w:r>
      <w:r>
        <w:rPr>
          <w:rFonts w:hint="eastAsia" w:asciiTheme="minorEastAsia" w:hAnsiTheme="minorEastAsia" w:eastAsiaTheme="minorEastAsia" w:cstheme="minorEastAsia"/>
          <w:b w:val="0"/>
          <w:bCs w:val="0"/>
          <w:sz w:val="21"/>
          <w:szCs w:val="21"/>
          <w:lang w:val="en-US" w:eastAsia="zh-CN"/>
        </w:rPr>
        <w:t>注：1.事项以《</w:t>
      </w:r>
      <w:r>
        <w:rPr>
          <w:rFonts w:hint="eastAsia" w:asciiTheme="minorEastAsia" w:hAnsiTheme="minorEastAsia" w:cstheme="minorEastAsia"/>
          <w:b w:val="0"/>
          <w:bCs w:val="0"/>
          <w:sz w:val="21"/>
          <w:szCs w:val="21"/>
          <w:lang w:val="en-US" w:eastAsia="zh-CN"/>
        </w:rPr>
        <w:t>开江县</w:t>
      </w:r>
      <w:r>
        <w:rPr>
          <w:rFonts w:hint="eastAsia" w:asciiTheme="minorEastAsia" w:hAnsiTheme="minorEastAsia" w:eastAsiaTheme="minorEastAsia" w:cstheme="minorEastAsia"/>
          <w:b w:val="0"/>
          <w:bCs w:val="0"/>
          <w:sz w:val="21"/>
          <w:szCs w:val="21"/>
          <w:lang w:val="en-US" w:eastAsia="zh-CN"/>
        </w:rPr>
        <w:t>行政许可事项清单（2018年本）》《</w:t>
      </w:r>
      <w:r>
        <w:rPr>
          <w:rFonts w:hint="eastAsia" w:asciiTheme="minorEastAsia" w:hAnsiTheme="minorEastAsia" w:cstheme="minorEastAsia"/>
          <w:b w:val="0"/>
          <w:bCs w:val="0"/>
          <w:sz w:val="21"/>
          <w:szCs w:val="21"/>
          <w:lang w:val="en-US" w:eastAsia="zh-CN"/>
        </w:rPr>
        <w:t>开江县</w:t>
      </w:r>
      <w:r>
        <w:rPr>
          <w:rFonts w:hint="eastAsia" w:asciiTheme="minorEastAsia" w:hAnsiTheme="minorEastAsia" w:eastAsiaTheme="minorEastAsia" w:cstheme="minorEastAsia"/>
          <w:b w:val="0"/>
          <w:bCs w:val="0"/>
          <w:sz w:val="21"/>
          <w:szCs w:val="21"/>
          <w:lang w:val="en-US" w:eastAsia="zh-CN"/>
        </w:rPr>
        <w:t>公共服务事项目录（2018年版）》《四川省人民政府办公厅关于印发四川省清理规范投资项目报建审批事项实施方案的通知》（川办发[2017]10号）文件</w:t>
      </w:r>
      <w:r>
        <w:rPr>
          <w:rFonts w:hint="eastAsia" w:asciiTheme="minorEastAsia" w:hAnsiTheme="minorEastAsia" w:cstheme="minorEastAsia"/>
          <w:b w:val="0"/>
          <w:bCs w:val="0"/>
          <w:sz w:val="21"/>
          <w:szCs w:val="21"/>
          <w:lang w:val="en-US" w:eastAsia="zh-CN"/>
        </w:rPr>
        <w:t>《四川省行政权力目录2018本--行政确认和其他行政权力》</w:t>
      </w:r>
      <w:r>
        <w:rPr>
          <w:rFonts w:hint="eastAsia" w:asciiTheme="minorEastAsia" w:hAnsiTheme="minorEastAsia" w:eastAsiaTheme="minorEastAsia" w:cstheme="minorEastAsia"/>
          <w:b w:val="0"/>
          <w:bCs w:val="0"/>
          <w:sz w:val="21"/>
          <w:szCs w:val="21"/>
          <w:lang w:val="en-US" w:eastAsia="zh-CN"/>
        </w:rPr>
        <w:t>为准，法律法规调整涉及事项调整的，在备注中说明。能实现“</w:t>
      </w:r>
      <w:r>
        <w:rPr>
          <w:rFonts w:hint="eastAsia" w:asciiTheme="minorEastAsia" w:hAnsiTheme="minorEastAsia" w:cstheme="minorEastAsia"/>
          <w:b w:val="0"/>
          <w:bCs w:val="0"/>
          <w:sz w:val="21"/>
          <w:szCs w:val="21"/>
          <w:lang w:val="en-US" w:eastAsia="zh-CN"/>
        </w:rPr>
        <w:t>最</w:t>
      </w:r>
      <w:r>
        <w:rPr>
          <w:rFonts w:hint="eastAsia" w:asciiTheme="minorEastAsia" w:hAnsiTheme="minorEastAsia" w:eastAsiaTheme="minorEastAsia" w:cstheme="minorEastAsia"/>
          <w:b w:val="0"/>
          <w:bCs w:val="0"/>
          <w:sz w:val="21"/>
          <w:szCs w:val="21"/>
          <w:lang w:val="en-US" w:eastAsia="zh-CN"/>
        </w:rPr>
        <w:t>多跑一次”、“全程网办”的，在对应层级上划√。2.事项类型：行政许可、行政确认、其他行政权力和公共服务事项。3.其他行政权力只包括带审批性质的事项。4.“最多跑一次”认定方式：所有最末级办理项都达到“最多跑一次”，该主项计为“最多跑一次”。5.占比：只核算“最多跑一次”占比，以主项作为基数进行核算。</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96B0FCE"/>
    <w:multiLevelType w:val="singleLevel"/>
    <w:tmpl w:val="C96B0FCE"/>
    <w:lvl w:ilvl="0" w:tentative="0">
      <w:start w:val="1"/>
      <w:numFmt w:val="decimal"/>
      <w:lvlText w:val="%1."/>
      <w:lvlJc w:val="left"/>
      <w:pPr>
        <w:ind w:left="42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9E04254"/>
    <w:rsid w:val="09473A45"/>
    <w:rsid w:val="0C5F227F"/>
    <w:rsid w:val="19E04254"/>
    <w:rsid w:val="4601708D"/>
    <w:rsid w:val="488E1C49"/>
    <w:rsid w:val="5A2827E1"/>
    <w:rsid w:val="5E9774A5"/>
    <w:rsid w:val="6B333A48"/>
    <w:rsid w:val="6C9940F5"/>
    <w:rsid w:val="6D535020"/>
    <w:rsid w:val="7EA45C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jzwzx\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2018-07-24T02:58:00Z</dcterms:created>
  <dc:creator>山之峰</dc:creator>
  <cp:lastModifiedBy>走之鹤</cp:lastModifiedBy>
  <cp:lastPrinted>2018-07-26T09:06:00Z</cp:lastPrinted>
  <dcterms:modified xsi:type="dcterms:W3CDTF">2018-11-13T02:19:23Z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