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both"/>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附件</w:t>
      </w:r>
    </w:p>
    <w:p>
      <w:pPr>
        <w:jc w:val="both"/>
        <w:rPr>
          <w:rFonts w:hint="eastAsia" w:ascii="仿宋_GB2312" w:eastAsia="仿宋_GB2312"/>
          <w:sz w:val="32"/>
          <w:szCs w:val="32"/>
          <w:lang w:val="en-US" w:eastAsia="zh-CN"/>
        </w:rPr>
      </w:pPr>
    </w:p>
    <w:tbl>
      <w:tblPr>
        <w:tblStyle w:val="2"/>
        <w:tblpPr w:leftFromText="180" w:rightFromText="180" w:vertAnchor="text" w:horzAnchor="page" w:tblpX="1943" w:tblpY="1248"/>
        <w:tblOverlap w:val="never"/>
        <w:tblW w:w="8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00"/>
        <w:gridCol w:w="3636"/>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000" w:type="dxa"/>
            <w:shd w:val="clear" w:color="auto" w:fill="auto"/>
            <w:vAlign w:val="center"/>
          </w:tcPr>
          <w:p>
            <w:pPr>
              <w:rPr>
                <w:rFonts w:hint="eastAsia" w:ascii="宋体" w:hAnsi="宋体" w:eastAsia="宋体" w:cs="宋体"/>
                <w:i w:val="0"/>
                <w:color w:val="000000"/>
                <w:sz w:val="22"/>
                <w:szCs w:val="22"/>
                <w:u w:val="none"/>
              </w:rPr>
            </w:pPr>
          </w:p>
        </w:tc>
        <w:tc>
          <w:tcPr>
            <w:tcW w:w="3636" w:type="dxa"/>
            <w:shd w:val="clear" w:color="auto" w:fill="auto"/>
            <w:vAlign w:val="center"/>
          </w:tcPr>
          <w:p>
            <w:pPr>
              <w:rPr>
                <w:rFonts w:hint="eastAsia" w:ascii="宋体" w:hAnsi="宋体" w:eastAsia="宋体" w:cs="宋体"/>
                <w:i w:val="0"/>
                <w:color w:val="000000"/>
                <w:sz w:val="22"/>
                <w:szCs w:val="22"/>
                <w:u w:val="none"/>
              </w:rPr>
            </w:pPr>
          </w:p>
        </w:tc>
        <w:tc>
          <w:tcPr>
            <w:tcW w:w="165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补助金额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开江县</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ind w:firstLine="1280" w:firstLineChars="4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2019年城镇污水城乡垃圾处理设施建设三年推进方案项目专项资金分配表</w:t>
      </w:r>
    </w:p>
    <w:p>
      <w:pPr>
        <w:ind w:firstLine="1280" w:firstLineChars="400"/>
        <w:jc w:val="both"/>
        <w:rPr>
          <w:rFonts w:hint="eastAsia" w:ascii="仿宋_GB2312" w:eastAsia="仿宋_GB2312"/>
          <w:sz w:val="32"/>
          <w:szCs w:val="32"/>
          <w:lang w:val="en-US" w:eastAsia="zh-CN"/>
        </w:rPr>
      </w:pPr>
    </w:p>
    <w:p>
      <w:bookmarkStart w:id="0" w:name="_GoBack"/>
      <w:bookmarkEnd w:id="0"/>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64422"/>
    <w:rsid w:val="4DB6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2019-04-17T03:16:00Z</dcterms:created>
  <dc:creator>江河海</dc:creator>
  <cp:lastModifiedBy>江河海</cp:lastModifiedBy>
  <dcterms:modified xsi:type="dcterms:W3CDTF">2019-04-17T03:16:27Z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