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FF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42"/>
          <w:szCs w:val="42"/>
        </w:rPr>
        <w:t>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42"/>
          <w:szCs w:val="42"/>
          <w:lang w:eastAsia="zh-CN"/>
        </w:rPr>
        <w:t>志办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42"/>
          <w:szCs w:val="42"/>
        </w:rPr>
        <w:t>2019年部门预算绩效目标公开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为加强预算绩效管理，不断提高财政资金配置和使用效益，根据《开江县预算绩效目标管理暂行办法》（开委办发〔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〕1号）文件的要求，现将我单位2019年部门预算绩效目标进行公开。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附件：1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县志办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2019年部门预算整体支出绩效目标批复表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县志办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shd w:val="clear" w:fill="FFFFFF"/>
        </w:rPr>
        <w:t>2019年部门预算项目支出绩效目标批复表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568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1DF8"/>
    <w:rsid w:val="05EB46EE"/>
    <w:rsid w:val="27753E5F"/>
    <w:rsid w:val="2BA624D2"/>
    <w:rsid w:val="43D43AFE"/>
    <w:rsid w:val="498049BC"/>
    <w:rsid w:val="6AA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2019-05-28T01:57:00Z</dcterms:created>
  <dc:creator>Administrator</dc:creator>
  <cp:lastModifiedBy>Administrator</cp:lastModifiedBy>
  <dcterms:modified xsi:type="dcterms:W3CDTF">2019-05-28T02:56:37Z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