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77425"/>
      <w:bookmarkStart w:id="4" w:name="_Toc15396597"/>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8442"/>
      <w:bookmarkStart w:id="8" w:name="_Toc15377426"/>
      <w:bookmarkStart w:id="9" w:name="_Toc15396598"/>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开江县教育科技知识产权局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月2</w:t>
      </w:r>
      <w:r>
        <w:rPr>
          <w:rFonts w:hint="eastAsia"/>
          <w:lang w:val="en-US" w:eastAsia="zh-CN"/>
        </w:rPr>
        <w:t>0</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320" w:firstLineChars="10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p>
    <w:p>
      <w:pPr>
        <w:pStyle w:val="5"/>
        <w:adjustRightInd w:val="0"/>
        <w:snapToGrid w:val="0"/>
        <w:spacing w:line="600" w:lineRule="exact"/>
        <w:ind w:firstLine="640" w:firstLineChars="200"/>
        <w:rPr>
          <w:rFonts w:hint="eastAsia" w:eastAsia="仿宋_GB2312"/>
          <w:bCs/>
          <w:color w:val="000000"/>
          <w:sz w:val="32"/>
          <w:szCs w:val="32"/>
          <w:lang w:eastAsia="zh-CN"/>
        </w:rPr>
      </w:pPr>
      <w:r>
        <w:rPr>
          <w:rFonts w:hint="eastAsia"/>
          <w:bCs/>
          <w:color w:val="000000"/>
          <w:sz w:val="32"/>
          <w:szCs w:val="32"/>
          <w:lang w:eastAsia="zh-CN"/>
        </w:rPr>
        <w:t>开江县教育科技知识产局系开江县人民政府下属部门。其主要职责是：负责全县教育、科技、知识产权行政管理；制定全县教育、教学、科技、知识产权发展的政策措施；指导和协调全县教育、科技、知识产权；加快推进全县公共教育和科技服务建设。</w:t>
      </w:r>
    </w:p>
    <w:bookmarkEnd w:id="16"/>
    <w:bookmarkEnd w:id="17"/>
    <w:p>
      <w:pPr>
        <w:pStyle w:val="5"/>
        <w:adjustRightInd w:val="0"/>
        <w:snapToGrid w:val="0"/>
        <w:spacing w:line="600" w:lineRule="exact"/>
        <w:ind w:firstLine="640" w:firstLineChars="200"/>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Style w:val="5"/>
        <w:adjustRightInd w:val="0"/>
        <w:snapToGrid w:val="0"/>
        <w:spacing w:line="600" w:lineRule="exact"/>
        <w:ind w:firstLine="640" w:firstLineChars="200"/>
        <w:rPr>
          <w:rFonts w:hint="eastAsia"/>
          <w:bCs/>
          <w:color w:val="000000"/>
          <w:sz w:val="32"/>
          <w:szCs w:val="32"/>
        </w:rPr>
      </w:pPr>
      <w:r>
        <w:rPr>
          <w:rFonts w:hint="eastAsia"/>
          <w:bCs/>
          <w:color w:val="000000"/>
          <w:sz w:val="32"/>
          <w:szCs w:val="32"/>
          <w:lang w:eastAsia="zh-CN"/>
        </w:rPr>
        <w:t>按照县委县政府</w:t>
      </w:r>
      <w:r>
        <w:rPr>
          <w:rFonts w:hint="eastAsia"/>
          <w:bCs/>
          <w:color w:val="000000"/>
          <w:sz w:val="32"/>
          <w:szCs w:val="32"/>
          <w:lang w:val="en-US" w:eastAsia="zh-CN"/>
        </w:rPr>
        <w:t>2018年工作部署，高质量、高标准落实完成目标任务。</w:t>
      </w: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开江县教育科技知识产局系开江县人民政府下属部门。具有独立编制和独立核算的行政单位，单位设置办公室、计财股、人事股、法规安全股、职成幼教股、规划建设股、基础教育股、科技项目股、知识产权股、监察室、党建办、青少年活动中心。直属事业单位</w:t>
      </w:r>
      <w:r>
        <w:rPr>
          <w:rFonts w:hint="eastAsia" w:ascii="仿宋" w:hAnsi="仿宋" w:eastAsia="仿宋"/>
          <w:sz w:val="32"/>
          <w:szCs w:val="32"/>
          <w:lang w:val="en-US" w:eastAsia="zh-CN"/>
        </w:rPr>
        <w:t>5</w:t>
      </w:r>
      <w:r>
        <w:rPr>
          <w:rFonts w:hint="eastAsia" w:ascii="仿宋" w:hAnsi="仿宋" w:eastAsia="仿宋"/>
          <w:sz w:val="32"/>
          <w:szCs w:val="32"/>
          <w:lang w:eastAsia="zh-CN"/>
        </w:rPr>
        <w:t>个，分别是学生资助中心、电教馆、技装所、招办、教研室。管理中小学校</w:t>
      </w:r>
      <w:r>
        <w:rPr>
          <w:rFonts w:hint="eastAsia" w:ascii="仿宋" w:hAnsi="仿宋" w:eastAsia="仿宋"/>
          <w:sz w:val="32"/>
          <w:szCs w:val="32"/>
          <w:lang w:val="en-US" w:eastAsia="zh-CN"/>
        </w:rPr>
        <w:t>56</w:t>
      </w:r>
      <w:r>
        <w:rPr>
          <w:rFonts w:hint="eastAsia" w:ascii="仿宋" w:hAnsi="仿宋" w:eastAsia="仿宋"/>
          <w:sz w:val="32"/>
          <w:szCs w:val="32"/>
          <w:lang w:eastAsia="zh-CN"/>
        </w:rPr>
        <w:t>个。</w:t>
      </w:r>
    </w:p>
    <w:p>
      <w:pPr>
        <w:pStyle w:val="5"/>
        <w:adjustRightInd w:val="0"/>
        <w:snapToGrid w:val="0"/>
        <w:spacing w:before="93" w:line="600" w:lineRule="exact"/>
        <w:ind w:firstLine="672" w:firstLineChars="210"/>
        <w:rPr>
          <w:rFonts w:ascii="仿宋" w:hAnsi="仿宋" w:eastAsia="仿宋"/>
          <w:color w:val="000000"/>
          <w:sz w:val="32"/>
          <w:szCs w:val="32"/>
        </w:rPr>
      </w:pP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center"/>
        <w:rPr>
          <w:rStyle w:val="24"/>
          <w:rFonts w:ascii="黑体" w:hAnsi="黑体" w:eastAsia="黑体"/>
          <w:b w:val="0"/>
          <w:bCs w:val="0"/>
        </w:rPr>
      </w:pPr>
      <w:bookmarkStart w:id="22" w:name="_Toc15377204"/>
      <w:bookmarkStart w:id="23" w:name="_Toc15396602"/>
      <w:r>
        <w:rPr>
          <w:rFonts w:hint="eastAsia" w:ascii="黑体" w:hAnsi="黑体" w:eastAsia="黑体"/>
          <w:b w:val="0"/>
          <w:color w:val="000000"/>
          <w:lang w:val="en-US" w:eastAsia="zh-CN"/>
        </w:rPr>
        <w:t xml:space="preserve"> </w:t>
      </w: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numId w:val="0"/>
        </w:numPr>
        <w:spacing w:line="600" w:lineRule="exact"/>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lang w:eastAsia="zh-CN"/>
        </w:rPr>
        <w:t>一、</w:t>
      </w:r>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2018年度收</w:t>
      </w:r>
      <w:r>
        <w:rPr>
          <w:rFonts w:hint="eastAsia" w:ascii="仿宋" w:hAnsi="仿宋" w:eastAsia="仿宋"/>
          <w:color w:val="000000"/>
          <w:sz w:val="32"/>
          <w:szCs w:val="32"/>
          <w:lang w:eastAsia="zh-CN"/>
        </w:rPr>
        <w:t>入1316.74万元</w:t>
      </w:r>
      <w:r>
        <w:rPr>
          <w:rFonts w:hint="eastAsia" w:ascii="仿宋" w:hAnsi="仿宋" w:eastAsia="仿宋"/>
          <w:color w:val="000000"/>
          <w:sz w:val="32"/>
          <w:szCs w:val="32"/>
        </w:rPr>
        <w:t>、支总计1153.05万元。与2017年相比，收</w:t>
      </w:r>
      <w:r>
        <w:rPr>
          <w:rFonts w:hint="eastAsia" w:ascii="仿宋" w:hAnsi="仿宋" w:eastAsia="仿宋"/>
          <w:color w:val="000000"/>
          <w:sz w:val="32"/>
          <w:szCs w:val="32"/>
          <w:lang w:eastAsia="zh-CN"/>
        </w:rPr>
        <w:t>入增加</w:t>
      </w:r>
      <w:r>
        <w:rPr>
          <w:rFonts w:hint="eastAsia" w:ascii="仿宋" w:hAnsi="仿宋" w:eastAsia="仿宋"/>
          <w:color w:val="000000"/>
          <w:sz w:val="32"/>
          <w:szCs w:val="32"/>
          <w:lang w:val="en-US" w:eastAsia="zh-CN"/>
        </w:rPr>
        <w:t>409.75万元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45.18%，</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总增加</w:t>
      </w:r>
      <w:r>
        <w:rPr>
          <w:rFonts w:hint="eastAsia" w:ascii="仿宋" w:hAnsi="仿宋" w:eastAsia="仿宋"/>
          <w:color w:val="000000"/>
          <w:sz w:val="32"/>
          <w:szCs w:val="32"/>
          <w:lang w:val="en-US" w:eastAsia="zh-CN"/>
        </w:rPr>
        <w:t>504.25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77.72</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是科技项目资金投入增大，人员增加工资增资等投入加大。</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420" w:firstLineChars="200"/>
        <w:jc w:val="left"/>
        <w:rPr>
          <w:rFonts w:hint="eastAsia" w:ascii="仿宋_GB2312" w:eastAsia="仿宋_GB2312"/>
          <w:color w:val="000000"/>
          <w:sz w:val="32"/>
          <w:szCs w:val="32"/>
          <w:lang w:eastAsia="zh-CN"/>
        </w:rPr>
      </w:pPr>
      <w:r>
        <w:drawing>
          <wp:anchor distT="0" distB="0" distL="114300" distR="114300" simplePos="0" relativeHeight="251715584" behindDoc="1" locked="0" layoutInCell="1" allowOverlap="1">
            <wp:simplePos x="0" y="0"/>
            <wp:positionH relativeFrom="column">
              <wp:posOffset>337820</wp:posOffset>
            </wp:positionH>
            <wp:positionV relativeFrom="paragraph">
              <wp:posOffset>137795</wp:posOffset>
            </wp:positionV>
            <wp:extent cx="4572000" cy="2743200"/>
            <wp:effectExtent l="4445" t="4445" r="14605" b="14605"/>
            <wp:wrapThrough wrapText="bothSides">
              <wp:wrapPolygon>
                <wp:start x="-21" y="-35"/>
                <wp:lineTo x="-21" y="21565"/>
                <wp:lineTo x="21579" y="21565"/>
                <wp:lineTo x="21579" y="-35"/>
                <wp:lineTo x="-21" y="-35"/>
              </wp:wrapPolygon>
            </wp:wrapThrough>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420" w:firstLineChars="200"/>
        <w:jc w:val="left"/>
      </w:pPr>
    </w:p>
    <w:p>
      <w:pPr>
        <w:spacing w:line="600" w:lineRule="exact"/>
        <w:ind w:firstLine="420" w:firstLineChars="200"/>
        <w:jc w:val="left"/>
      </w:pPr>
    </w:p>
    <w:p>
      <w:pPr>
        <w:spacing w:line="600" w:lineRule="exact"/>
        <w:jc w:val="left"/>
        <w:rPr>
          <w:rFonts w:ascii="仿宋_GB2312" w:eastAsia="仿宋_GB2312"/>
          <w:color w:val="000000"/>
          <w:sz w:val="32"/>
          <w:szCs w:val="32"/>
        </w:rPr>
      </w:pPr>
    </w:p>
    <w:p>
      <w:pPr>
        <w:pStyle w:val="23"/>
        <w:numPr>
          <w:ilvl w:val="0"/>
          <w:numId w:val="0"/>
        </w:numPr>
        <w:spacing w:line="600" w:lineRule="exact"/>
        <w:ind w:left="640" w:leftChars="0"/>
        <w:outlineLvl w:val="1"/>
        <w:rPr>
          <w:rFonts w:hint="eastAsia" w:ascii="黑体" w:hAnsi="黑体" w:eastAsia="黑体"/>
          <w:color w:val="000000"/>
          <w:sz w:val="32"/>
          <w:szCs w:val="32"/>
        </w:rPr>
      </w:pPr>
      <w:bookmarkStart w:id="26" w:name="_Toc15396604"/>
      <w:bookmarkStart w:id="27" w:name="_Toc15377206"/>
    </w:p>
    <w:p>
      <w:pPr>
        <w:pStyle w:val="23"/>
        <w:numPr>
          <w:ilvl w:val="0"/>
          <w:numId w:val="0"/>
        </w:numPr>
        <w:spacing w:line="600" w:lineRule="exact"/>
        <w:outlineLvl w:val="1"/>
        <w:rPr>
          <w:rStyle w:val="25"/>
          <w:rFonts w:ascii="黑体" w:hAnsi="黑体" w:eastAsia="黑体"/>
          <w:b w:val="0"/>
        </w:rPr>
      </w:pPr>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eastAsia="zh-CN"/>
        </w:rPr>
        <w:t>1316.74</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eastAsia="zh-CN"/>
        </w:rPr>
        <w:t>1316.74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420" w:firstLineChars="200"/>
        <w:rPr>
          <w:rFonts w:ascii="仿宋_GB2312" w:eastAsia="仿宋_GB2312"/>
          <w:color w:val="FF0000"/>
          <w:sz w:val="32"/>
          <w:szCs w:val="32"/>
        </w:rPr>
      </w:pPr>
      <w:r>
        <w:drawing>
          <wp:anchor distT="0" distB="0" distL="114300" distR="114300" simplePos="0" relativeHeight="251716608" behindDoc="0" locked="0" layoutInCell="1" allowOverlap="1">
            <wp:simplePos x="0" y="0"/>
            <wp:positionH relativeFrom="column">
              <wp:posOffset>147320</wp:posOffset>
            </wp:positionH>
            <wp:positionV relativeFrom="paragraph">
              <wp:posOffset>61595</wp:posOffset>
            </wp:positionV>
            <wp:extent cx="4572000" cy="2743200"/>
            <wp:effectExtent l="4445" t="4445" r="14605" b="14605"/>
            <wp:wrapNone/>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color w:val="FF0000"/>
          <w:sz w:val="32"/>
          <w:szCs w:val="32"/>
        </w:rPr>
      </w:pPr>
    </w:p>
    <w:p>
      <w:pPr>
        <w:pStyle w:val="23"/>
        <w:numPr>
          <w:ilvl w:val="0"/>
          <w:numId w:val="0"/>
        </w:numPr>
        <w:spacing w:line="600" w:lineRule="exact"/>
        <w:outlineLvl w:val="1"/>
        <w:rPr>
          <w:rFonts w:hint="eastAsia" w:ascii="黑体" w:hAnsi="黑体" w:eastAsia="黑体"/>
          <w:color w:val="000000"/>
          <w:sz w:val="32"/>
          <w:szCs w:val="32"/>
          <w:lang w:eastAsia="zh-CN"/>
        </w:rPr>
      </w:pPr>
      <w:bookmarkStart w:id="28" w:name="_Toc15377207"/>
      <w:bookmarkStart w:id="29" w:name="_Toc15396605"/>
    </w:p>
    <w:p>
      <w:pPr>
        <w:pStyle w:val="23"/>
        <w:numPr>
          <w:ilvl w:val="0"/>
          <w:numId w:val="0"/>
        </w:numPr>
        <w:spacing w:line="600" w:lineRule="exact"/>
        <w:outlineLvl w:val="1"/>
        <w:rPr>
          <w:rStyle w:val="25"/>
          <w:rFonts w:ascii="黑体" w:hAnsi="黑体" w:eastAsia="黑体"/>
          <w:b w:val="0"/>
        </w:rPr>
      </w:pPr>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8年本年支出合计1153.05万元，其中：基本支出561.16万元，占</w:t>
      </w:r>
      <w:r>
        <w:rPr>
          <w:rFonts w:hint="eastAsia" w:ascii="仿宋" w:hAnsi="仿宋" w:eastAsia="仿宋"/>
          <w:color w:val="000000"/>
          <w:sz w:val="32"/>
          <w:szCs w:val="32"/>
          <w:lang w:val="en-US" w:eastAsia="zh-CN"/>
        </w:rPr>
        <w:t>48.67</w:t>
      </w:r>
      <w:r>
        <w:rPr>
          <w:rFonts w:ascii="仿宋" w:hAnsi="仿宋" w:eastAsia="仿宋"/>
          <w:color w:val="000000"/>
          <w:sz w:val="32"/>
          <w:szCs w:val="32"/>
        </w:rPr>
        <w:t>%</w:t>
      </w:r>
      <w:r>
        <w:rPr>
          <w:rFonts w:hint="eastAsia" w:ascii="仿宋" w:hAnsi="仿宋" w:eastAsia="仿宋"/>
          <w:color w:val="000000"/>
          <w:sz w:val="32"/>
          <w:szCs w:val="32"/>
        </w:rPr>
        <w:t>；项目支出591.89万元，占</w:t>
      </w:r>
      <w:r>
        <w:rPr>
          <w:rFonts w:hint="eastAsia" w:ascii="仿宋" w:hAnsi="仿宋" w:eastAsia="仿宋"/>
          <w:color w:val="000000"/>
          <w:sz w:val="32"/>
          <w:szCs w:val="32"/>
          <w:lang w:val="en-US" w:eastAsia="zh-CN"/>
        </w:rPr>
        <w:t>51.33</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420" w:firstLineChars="200"/>
        <w:rPr>
          <w:rFonts w:ascii="仿宋_GB2312" w:eastAsia="仿宋_GB2312"/>
          <w:color w:val="FF0000"/>
          <w:sz w:val="32"/>
          <w:szCs w:val="32"/>
        </w:rPr>
      </w:pPr>
      <w:r>
        <w:drawing>
          <wp:anchor distT="0" distB="0" distL="114300" distR="114300" simplePos="0" relativeHeight="251717632" behindDoc="0" locked="0" layoutInCell="1" allowOverlap="1">
            <wp:simplePos x="0" y="0"/>
            <wp:positionH relativeFrom="column">
              <wp:posOffset>242570</wp:posOffset>
            </wp:positionH>
            <wp:positionV relativeFrom="paragraph">
              <wp:posOffset>33020</wp:posOffset>
            </wp:positionV>
            <wp:extent cx="4572000" cy="3390265"/>
            <wp:effectExtent l="4445" t="4445" r="14605" b="15240"/>
            <wp:wrapNone/>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Fonts w:hint="eastAsia" w:ascii="黑体" w:hAnsi="黑体" w:eastAsia="黑体"/>
          <w:color w:val="000000"/>
          <w:sz w:val="32"/>
          <w:szCs w:val="32"/>
        </w:rPr>
      </w:pPr>
      <w:bookmarkStart w:id="30" w:name="_Toc15377208"/>
      <w:bookmarkStart w:id="31" w:name="_Toc15396606"/>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320" w:firstLineChars="1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960" w:firstLineChars="300"/>
        <w:rPr>
          <w:rFonts w:hint="eastAsia" w:ascii="仿宋" w:hAnsi="仿宋" w:eastAsia="仿宋"/>
          <w:color w:val="000000"/>
          <w:sz w:val="32"/>
          <w:szCs w:val="32"/>
          <w:lang w:eastAsia="zh-CN"/>
        </w:rPr>
      </w:pPr>
      <w:r>
        <w:rPr>
          <w:rFonts w:hint="eastAsia" w:ascii="仿宋" w:hAnsi="仿宋" w:eastAsia="仿宋"/>
          <w:color w:val="000000"/>
          <w:sz w:val="32"/>
          <w:szCs w:val="32"/>
        </w:rPr>
        <w:t>2018年财政拨款收</w:t>
      </w:r>
      <w:r>
        <w:rPr>
          <w:rFonts w:hint="eastAsia" w:ascii="仿宋" w:hAnsi="仿宋" w:eastAsia="仿宋"/>
          <w:color w:val="000000"/>
          <w:sz w:val="32"/>
          <w:szCs w:val="32"/>
          <w:lang w:eastAsia="zh-CN"/>
        </w:rPr>
        <w:t>入1316.74万元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总计1153.05万元。与2017年相比，收</w:t>
      </w:r>
      <w:r>
        <w:rPr>
          <w:rFonts w:hint="eastAsia" w:ascii="仿宋" w:hAnsi="仿宋" w:eastAsia="仿宋"/>
          <w:color w:val="000000"/>
          <w:sz w:val="32"/>
          <w:szCs w:val="32"/>
          <w:lang w:eastAsia="zh-CN"/>
        </w:rPr>
        <w:t>入增加</w:t>
      </w:r>
      <w:r>
        <w:rPr>
          <w:rFonts w:hint="eastAsia" w:ascii="仿宋" w:hAnsi="仿宋" w:eastAsia="仿宋"/>
          <w:color w:val="000000"/>
          <w:sz w:val="32"/>
          <w:szCs w:val="32"/>
          <w:lang w:val="en-US" w:eastAsia="zh-CN"/>
        </w:rPr>
        <w:t>409.75万元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45.18%，</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总增加</w:t>
      </w:r>
      <w:r>
        <w:rPr>
          <w:rFonts w:hint="eastAsia" w:ascii="仿宋" w:hAnsi="仿宋" w:eastAsia="仿宋"/>
          <w:color w:val="000000"/>
          <w:sz w:val="32"/>
          <w:szCs w:val="32"/>
          <w:lang w:val="en-US" w:eastAsia="zh-CN"/>
        </w:rPr>
        <w:t>504.25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77.72</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是科技项目资金投入增大，人员增加工资增资等投入加大。</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420" w:firstLineChars="200"/>
        <w:outlineLvl w:val="1"/>
        <w:rPr>
          <w:rFonts w:hint="eastAsia" w:ascii="黑体" w:hAnsi="黑体" w:eastAsia="黑体"/>
          <w:color w:val="000000"/>
          <w:sz w:val="32"/>
          <w:szCs w:val="32"/>
        </w:rPr>
      </w:pPr>
      <w:bookmarkStart w:id="32" w:name="_Toc15377209"/>
      <w:bookmarkStart w:id="33" w:name="_Toc15396607"/>
      <w:r>
        <w:drawing>
          <wp:anchor distT="0" distB="0" distL="114300" distR="114300" simplePos="0" relativeHeight="251776000" behindDoc="1" locked="0" layoutInCell="1" allowOverlap="1">
            <wp:simplePos x="0" y="0"/>
            <wp:positionH relativeFrom="column">
              <wp:posOffset>233045</wp:posOffset>
            </wp:positionH>
            <wp:positionV relativeFrom="paragraph">
              <wp:posOffset>213995</wp:posOffset>
            </wp:positionV>
            <wp:extent cx="4572000" cy="2743200"/>
            <wp:effectExtent l="4445" t="4445" r="14605" b="14605"/>
            <wp:wrapThrough wrapText="bothSides">
              <wp:wrapPolygon>
                <wp:start x="-21" y="-35"/>
                <wp:lineTo x="-21" y="21565"/>
                <wp:lineTo x="21579" y="21565"/>
                <wp:lineTo x="21579" y="-35"/>
                <wp:lineTo x="-21" y="-35"/>
              </wp:wrapPolygon>
            </wp:wrapThrough>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8年一般公共预算财政拨款支出1153.05万元，占本年支出合计的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504.25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77.72</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是科技项目资金投入增大，人员增加工资增资等投入加大。</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420" w:firstLineChars="200"/>
        <w:outlineLvl w:val="2"/>
        <w:rPr>
          <w:rFonts w:hint="eastAsia" w:ascii="仿宋" w:hAnsi="仿宋" w:eastAsia="仿宋"/>
          <w:b/>
          <w:color w:val="000000"/>
          <w:sz w:val="32"/>
          <w:szCs w:val="32"/>
        </w:rPr>
      </w:pPr>
      <w:bookmarkStart w:id="35" w:name="_Toc15377211"/>
      <w:r>
        <w:drawing>
          <wp:anchor distT="0" distB="0" distL="114300" distR="114300" simplePos="0" relativeHeight="251777024" behindDoc="0" locked="0" layoutInCell="1" allowOverlap="1">
            <wp:simplePos x="0" y="0"/>
            <wp:positionH relativeFrom="column">
              <wp:posOffset>252095</wp:posOffset>
            </wp:positionH>
            <wp:positionV relativeFrom="paragraph">
              <wp:posOffset>99695</wp:posOffset>
            </wp:positionV>
            <wp:extent cx="4572000" cy="2743200"/>
            <wp:effectExtent l="4445" t="4445" r="14605" b="14605"/>
            <wp:wrapNone/>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321" w:firstLineChars="100"/>
        <w:outlineLvl w:val="2"/>
        <w:rPr>
          <w:rFonts w:hint="eastAsia" w:ascii="仿宋" w:hAnsi="仿宋" w:eastAsia="仿宋"/>
          <w:b/>
          <w:color w:val="000000"/>
          <w:sz w:val="32"/>
          <w:szCs w:val="32"/>
        </w:rPr>
      </w:pPr>
    </w:p>
    <w:p>
      <w:pPr>
        <w:spacing w:line="600" w:lineRule="exact"/>
        <w:ind w:firstLine="321" w:firstLineChars="100"/>
        <w:outlineLvl w:val="2"/>
        <w:rPr>
          <w:rFonts w:hint="eastAsia" w:ascii="仿宋" w:hAnsi="仿宋" w:eastAsia="仿宋"/>
          <w:b/>
          <w:color w:val="000000"/>
          <w:sz w:val="32"/>
          <w:szCs w:val="32"/>
        </w:rPr>
      </w:pPr>
    </w:p>
    <w:p>
      <w:pPr>
        <w:spacing w:line="600" w:lineRule="exact"/>
        <w:ind w:firstLine="321" w:firstLineChars="100"/>
        <w:outlineLvl w:val="2"/>
        <w:rPr>
          <w:rFonts w:ascii="仿宋" w:hAnsi="仿宋" w:eastAsia="仿宋"/>
          <w:b/>
          <w:color w:val="000000"/>
          <w:sz w:val="32"/>
          <w:szCs w:val="32"/>
        </w:rPr>
      </w:pPr>
      <w:bookmarkStart w:id="73" w:name="_GoBack"/>
      <w:bookmarkEnd w:id="73"/>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2018年一般公共预算财政拨款支出1153.05万元，主要用于以下方面:一般公共服务（类）支出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%；教育支出（类）773.3万元，占</w:t>
      </w:r>
      <w:r>
        <w:rPr>
          <w:rFonts w:hint="eastAsia" w:ascii="仿宋" w:hAnsi="仿宋" w:eastAsia="仿宋"/>
          <w:color w:val="000000"/>
          <w:sz w:val="32"/>
          <w:szCs w:val="32"/>
          <w:lang w:val="en-US" w:eastAsia="zh-CN"/>
        </w:rPr>
        <w:t>67.06</w:t>
      </w:r>
      <w:r>
        <w:rPr>
          <w:rFonts w:hint="eastAsia" w:ascii="仿宋" w:hAnsi="仿宋" w:eastAsia="仿宋"/>
          <w:color w:val="000000"/>
          <w:sz w:val="32"/>
          <w:szCs w:val="32"/>
        </w:rPr>
        <w:t>%；科学技术（类）支出201.03万元，占</w:t>
      </w:r>
      <w:r>
        <w:rPr>
          <w:rFonts w:hint="eastAsia" w:ascii="仿宋" w:hAnsi="仿宋" w:eastAsia="仿宋"/>
          <w:color w:val="000000"/>
          <w:sz w:val="32"/>
          <w:szCs w:val="32"/>
          <w:lang w:val="en-US" w:eastAsia="zh-CN"/>
        </w:rPr>
        <w:t>17.43</w:t>
      </w:r>
      <w:r>
        <w:rPr>
          <w:rFonts w:hint="eastAsia" w:ascii="仿宋" w:hAnsi="仿宋" w:eastAsia="仿宋"/>
          <w:color w:val="000000"/>
          <w:sz w:val="32"/>
          <w:szCs w:val="32"/>
        </w:rPr>
        <w:t>%；社会保障和就业（类）支出105.41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9.14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；医疗卫生支出37.68万元，占</w:t>
      </w:r>
      <w:r>
        <w:rPr>
          <w:rFonts w:hint="eastAsia" w:ascii="仿宋" w:hAnsi="仿宋" w:eastAsia="仿宋"/>
          <w:color w:val="000000" w:themeColor="text1"/>
          <w:sz w:val="32"/>
          <w:szCs w:val="32"/>
          <w:lang w:val="en-US" w:eastAsia="zh-CN"/>
          <w14:textFill>
            <w14:solidFill>
              <w14:schemeClr w14:val="tx1"/>
            </w14:solidFill>
          </w14:textFill>
        </w:rPr>
        <w:t>3.27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；住房保障支出35.62万元，占</w:t>
      </w:r>
      <w:r>
        <w:rPr>
          <w:rFonts w:hint="eastAsia" w:ascii="仿宋" w:hAnsi="仿宋" w:eastAsia="仿宋"/>
          <w:color w:val="000000" w:themeColor="text1"/>
          <w:sz w:val="32"/>
          <w:szCs w:val="32"/>
          <w:lang w:val="en-US" w:eastAsia="zh-CN"/>
          <w14:textFill>
            <w14:solidFill>
              <w14:schemeClr w14:val="tx1"/>
            </w14:solidFill>
          </w14:textFill>
        </w:rPr>
        <w:t>3.09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420" w:firstLineChars="200"/>
        <w:rPr>
          <w:rFonts w:ascii="仿宋" w:hAnsi="仿宋" w:eastAsia="仿宋"/>
          <w:color w:val="000000"/>
          <w:sz w:val="32"/>
          <w:szCs w:val="32"/>
        </w:rPr>
      </w:pPr>
      <w:r>
        <w:drawing>
          <wp:anchor distT="0" distB="0" distL="114300" distR="114300" simplePos="0" relativeHeight="251778048" behindDoc="0" locked="0" layoutInCell="1" allowOverlap="1">
            <wp:simplePos x="0" y="0"/>
            <wp:positionH relativeFrom="column">
              <wp:posOffset>204470</wp:posOffset>
            </wp:positionH>
            <wp:positionV relativeFrom="paragraph">
              <wp:posOffset>366395</wp:posOffset>
            </wp:positionV>
            <wp:extent cx="4572000" cy="2743200"/>
            <wp:effectExtent l="4445" t="4445" r="14605" b="14605"/>
            <wp:wrapNone/>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hint="eastAsia" w:ascii="仿宋" w:hAnsi="仿宋" w:eastAsia="仿宋"/>
          <w:b/>
          <w:color w:val="000000"/>
          <w:sz w:val="32"/>
          <w:szCs w:val="32"/>
        </w:rPr>
      </w:pPr>
      <w:bookmarkStart w:id="36" w:name="_Toc15377212"/>
    </w:p>
    <w:p>
      <w:pPr>
        <w:spacing w:line="600" w:lineRule="exact"/>
        <w:ind w:firstLine="643" w:firstLineChars="200"/>
        <w:outlineLvl w:val="2"/>
        <w:rPr>
          <w:rFonts w:hint="eastAsia" w:ascii="仿宋" w:hAnsi="仿宋" w:eastAsia="仿宋"/>
          <w:b/>
          <w:color w:val="000000"/>
          <w:sz w:val="32"/>
          <w:szCs w:val="32"/>
        </w:rPr>
      </w:pPr>
    </w:p>
    <w:p>
      <w:pPr>
        <w:spacing w:line="600" w:lineRule="exact"/>
        <w:outlineLvl w:val="2"/>
        <w:rPr>
          <w:rFonts w:hint="eastAsia" w:ascii="仿宋" w:hAnsi="仿宋" w:eastAsia="仿宋"/>
          <w:b/>
          <w:color w:val="000000"/>
          <w:sz w:val="32"/>
          <w:szCs w:val="32"/>
        </w:rPr>
      </w:pPr>
    </w:p>
    <w:p>
      <w:pPr>
        <w:spacing w:line="600" w:lineRule="exact"/>
        <w:ind w:firstLine="321" w:firstLineChars="1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color w:val="000000"/>
          <w:sz w:val="32"/>
          <w:szCs w:val="32"/>
        </w:rPr>
        <w:t>1153.05万元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left="638" w:leftChars="304" w:firstLine="0" w:firstLineChars="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w:t>
      </w:r>
      <w:r>
        <w:rPr>
          <w:rStyle w:val="14"/>
          <w:rFonts w:hint="eastAsia" w:ascii="仿宋" w:hAnsi="仿宋" w:eastAsia="仿宋"/>
          <w:bCs/>
          <w:color w:val="000000"/>
          <w:sz w:val="32"/>
          <w:szCs w:val="32"/>
          <w:lang w:eastAsia="zh-CN"/>
        </w:rPr>
        <w:t>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sz w:val="32"/>
          <w:szCs w:val="32"/>
        </w:rPr>
        <w:t>773.3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Style w:val="14"/>
          <w:rFonts w:hint="eastAsia" w:ascii="仿宋" w:hAnsi="仿宋" w:eastAsia="仿宋"/>
          <w:bCs/>
          <w:color w:val="000000"/>
          <w:sz w:val="32"/>
          <w:szCs w:val="32"/>
          <w:lang w:val="en-US" w:eastAsia="zh-CN"/>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科学技术</w:t>
      </w:r>
      <w:r>
        <w:rPr>
          <w:rStyle w:val="14"/>
          <w:rFonts w:hint="eastAsia" w:ascii="仿宋" w:hAnsi="仿宋" w:eastAsia="仿宋"/>
          <w:bCs/>
          <w:color w:val="000000"/>
          <w:sz w:val="32"/>
          <w:szCs w:val="32"/>
          <w:lang w:eastAsia="zh-CN"/>
        </w:rPr>
        <w:t>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sz w:val="32"/>
          <w:szCs w:val="32"/>
        </w:rPr>
        <w:t>201.03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住房保障支出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35.62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eastAsia="zh-CN"/>
        </w:rPr>
        <w:t>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sz w:val="32"/>
          <w:szCs w:val="32"/>
        </w:rPr>
        <w:t>105.41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w:t>
      </w:r>
      <w:r>
        <w:rPr>
          <w:rStyle w:val="14"/>
          <w:rFonts w:hint="eastAsia" w:ascii="仿宋" w:hAnsi="仿宋" w:eastAsia="仿宋"/>
          <w:bCs/>
          <w:color w:val="000000"/>
          <w:sz w:val="32"/>
          <w:szCs w:val="32"/>
          <w:lang w:eastAsia="zh-CN"/>
        </w:rPr>
        <w:t>支出</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37.68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tabs>
          <w:tab w:val="right" w:pos="8306"/>
        </w:tabs>
        <w:spacing w:line="600" w:lineRule="exact"/>
        <w:ind w:firstLine="640" w:firstLineChars="20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8年一般公共预算财政拨款基本支出1153.06万元，其中：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918.82</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234.24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firstLineChars="20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5.63</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0.63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r>
        <w:rPr>
          <w:rFonts w:ascii="仿宋" w:hAnsi="仿宋" w:eastAsia="仿宋"/>
          <w:color w:val="000000"/>
          <w:sz w:val="32"/>
          <w:szCs w:val="32"/>
        </w:rPr>
        <w:pict>
          <v:shape id="_x0000_s1034" o:spid="_x0000_s1034" o:spt="75" type="#_x0000_t75" style="position:absolute;left:0pt;margin-left:6.75pt;margin-top:3.9pt;height:270.25pt;width:431.8pt;z-index:251714560;mso-width-relative:page;mso-height-relative:page;" o:ole="t" filled="f" o:preferrelative="t" stroked="f" coordsize="21600,21600">
            <v:path/>
            <v:fill on="f" focussize="0,0"/>
            <v:stroke on="f"/>
            <v:imagedata r:id="rId13" o:title=""/>
            <o:lock v:ext="edit" aspectratio="t"/>
          </v:shape>
          <o:OLEObject Type="Embed" ProgID="Excel.Sheet.8" ShapeID="_x0000_s1034" DrawAspect="Content" ObjectID="_1468075725" r:id="rId12">
            <o:LockedField>false</o:LockedField>
          </o:OLEObject>
        </w:pict>
      </w: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numPr>
          <w:ilvl w:val="0"/>
          <w:numId w:val="1"/>
        </w:numPr>
        <w:spacing w:line="600" w:lineRule="exact"/>
        <w:ind w:firstLine="321" w:firstLineChars="100"/>
        <w:rPr>
          <w:rFonts w:hint="eastAsia" w:ascii="仿宋_GB2312" w:eastAsia="仿宋_GB2312"/>
          <w:color w:val="000000"/>
          <w:sz w:val="32"/>
          <w:szCs w:val="32"/>
        </w:rPr>
      </w:pP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0.63</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1.59</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71.62</w:t>
      </w:r>
      <w:r>
        <w:rPr>
          <w:rFonts w:ascii="仿宋_GB2312" w:eastAsia="仿宋_GB2312"/>
          <w:color w:val="000000"/>
          <w:sz w:val="32"/>
          <w:szCs w:val="32"/>
        </w:rPr>
        <w:t>%</w:t>
      </w:r>
      <w:r>
        <w:rPr>
          <w:rFonts w:hint="eastAsia" w:ascii="仿宋_GB2312" w:eastAsia="仿宋_GB2312"/>
          <w:color w:val="000000"/>
          <w:sz w:val="32"/>
          <w:szCs w:val="32"/>
        </w:rPr>
        <w:t>。主要原因是贯彻执行中央八项规定。</w:t>
      </w:r>
    </w:p>
    <w:p>
      <w:pPr>
        <w:numPr>
          <w:ilvl w:val="0"/>
          <w:numId w:val="1"/>
        </w:numPr>
        <w:spacing w:line="600" w:lineRule="exact"/>
        <w:ind w:firstLine="321" w:firstLineChars="100"/>
        <w:rPr>
          <w:rFonts w:hint="eastAsia" w:ascii="仿宋_GB2312" w:eastAsia="仿宋_GB2312"/>
          <w:color w:val="000000"/>
          <w:sz w:val="32"/>
          <w:szCs w:val="32"/>
        </w:rPr>
      </w:pPr>
      <w:r>
        <w:rPr>
          <w:rFonts w:hint="eastAsia" w:ascii="仿宋_GB2312" w:eastAsia="仿宋_GB2312"/>
          <w:b/>
          <w:color w:val="000000"/>
          <w:sz w:val="32"/>
          <w:szCs w:val="32"/>
          <w:lang w:eastAsia="zh-CN"/>
        </w:rPr>
        <w:t>公务用车支出</w:t>
      </w:r>
      <w:r>
        <w:rPr>
          <w:rFonts w:hint="eastAsia" w:ascii="仿宋_GB2312" w:eastAsia="仿宋_GB2312"/>
          <w:color w:val="000000"/>
          <w:sz w:val="32"/>
          <w:szCs w:val="32"/>
          <w:lang w:val="en-US" w:eastAsia="zh-CN"/>
        </w:rPr>
        <w:t>5万元，完成预算100%。</w:t>
      </w:r>
      <w:r>
        <w:rPr>
          <w:rFonts w:hint="eastAsia" w:ascii="仿宋_GB2312" w:eastAsia="仿宋_GB2312"/>
          <w:color w:val="000000"/>
          <w:sz w:val="32"/>
          <w:szCs w:val="32"/>
        </w:rPr>
        <w:t>公务</w:t>
      </w:r>
      <w:r>
        <w:rPr>
          <w:rFonts w:hint="eastAsia" w:ascii="仿宋_GB2312" w:eastAsia="仿宋_GB2312"/>
          <w:color w:val="000000"/>
          <w:sz w:val="32"/>
          <w:szCs w:val="32"/>
          <w:lang w:eastAsia="zh-CN"/>
        </w:rPr>
        <w:t>用车</w:t>
      </w:r>
      <w:r>
        <w:rPr>
          <w:rFonts w:hint="eastAsia" w:ascii="仿宋_GB2312" w:eastAsia="仿宋_GB2312"/>
          <w:color w:val="000000"/>
          <w:sz w:val="32"/>
          <w:szCs w:val="32"/>
        </w:rPr>
        <w:t>费支出决算比</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66.67</w:t>
      </w:r>
      <w:r>
        <w:rPr>
          <w:rFonts w:ascii="仿宋_GB2312" w:eastAsia="仿宋_GB2312"/>
          <w:color w:val="000000"/>
          <w:sz w:val="32"/>
          <w:szCs w:val="32"/>
        </w:rPr>
        <w:t>%</w:t>
      </w:r>
      <w:r>
        <w:rPr>
          <w:rFonts w:hint="eastAsia" w:ascii="仿宋_GB2312" w:eastAsia="仿宋_GB2312"/>
          <w:color w:val="000000"/>
          <w:sz w:val="32"/>
          <w:szCs w:val="32"/>
        </w:rPr>
        <w:t>。主要原因</w:t>
      </w:r>
      <w:r>
        <w:rPr>
          <w:rFonts w:hint="eastAsia" w:ascii="仿宋_GB2312" w:eastAsia="仿宋_GB2312"/>
          <w:color w:val="000000"/>
          <w:sz w:val="32"/>
          <w:szCs w:val="32"/>
          <w:lang w:eastAsia="zh-CN"/>
        </w:rPr>
        <w:t>是化解以前公务用车欠款</w:t>
      </w:r>
      <w:r>
        <w:rPr>
          <w:rFonts w:hint="eastAsia" w:ascii="仿宋_GB2312" w:eastAsia="仿宋_GB2312"/>
          <w:color w:val="000000"/>
          <w:sz w:val="32"/>
          <w:szCs w:val="32"/>
        </w:rPr>
        <w:t>。</w:t>
      </w:r>
    </w:p>
    <w:p>
      <w:pPr>
        <w:numPr>
          <w:ilvl w:val="0"/>
          <w:numId w:val="0"/>
        </w:numPr>
        <w:spacing w:line="60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主要用于执行公务、开展业务活动开支的交通费、住宿费、用餐费</w:t>
      </w:r>
      <w:r>
        <w:rPr>
          <w:rFonts w:hint="eastAsia" w:ascii="仿宋_GB2312" w:eastAsia="仿宋_GB2312"/>
          <w:color w:val="000000"/>
          <w:sz w:val="32"/>
          <w:szCs w:val="32"/>
          <w:lang w:eastAsia="zh-CN"/>
        </w:rPr>
        <w:t>、化解原来公务用车未付款</w:t>
      </w:r>
      <w:r>
        <w:rPr>
          <w:rFonts w:hint="eastAsia" w:ascii="仿宋_GB2312" w:eastAsia="仿宋_GB2312"/>
          <w:color w:val="000000"/>
          <w:sz w:val="32"/>
          <w:szCs w:val="32"/>
        </w:rPr>
        <w:t>等。国内公务接待</w:t>
      </w:r>
      <w:r>
        <w:rPr>
          <w:rFonts w:hint="eastAsia" w:ascii="仿宋_GB2312" w:eastAsia="仿宋_GB2312"/>
          <w:color w:val="000000"/>
          <w:sz w:val="32"/>
          <w:szCs w:val="32"/>
          <w:lang w:val="en-US" w:eastAsia="zh-CN"/>
        </w:rPr>
        <w:t>36</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126</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0.63</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，上</w:t>
      </w:r>
      <w:r>
        <w:rPr>
          <w:rFonts w:hint="eastAsia" w:ascii="仿宋_GB2312" w:eastAsia="仿宋_GB2312"/>
          <w:color w:val="000000"/>
          <w:sz w:val="32"/>
          <w:szCs w:val="32"/>
        </w:rPr>
        <w:t>级来</w:t>
      </w:r>
      <w:r>
        <w:rPr>
          <w:rFonts w:hint="eastAsia" w:ascii="仿宋_GB2312" w:eastAsia="仿宋_GB2312"/>
          <w:color w:val="000000"/>
          <w:sz w:val="32"/>
          <w:szCs w:val="32"/>
          <w:lang w:eastAsia="zh-CN"/>
        </w:rPr>
        <w:t>部门</w:t>
      </w:r>
      <w:r>
        <w:rPr>
          <w:rFonts w:hint="eastAsia" w:ascii="仿宋_GB2312" w:eastAsia="仿宋_GB2312"/>
          <w:color w:val="000000"/>
          <w:sz w:val="32"/>
          <w:szCs w:val="32"/>
        </w:rPr>
        <w:t>指导工作、开展业务活动等工作餐支出0.</w:t>
      </w:r>
      <w:r>
        <w:rPr>
          <w:rFonts w:hint="eastAsia" w:ascii="仿宋_GB2312" w:eastAsia="仿宋_GB2312"/>
          <w:color w:val="000000"/>
          <w:sz w:val="32"/>
          <w:szCs w:val="32"/>
          <w:lang w:val="en-US" w:eastAsia="zh-CN"/>
        </w:rPr>
        <w:t>63</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公务用车支出</w:t>
      </w:r>
      <w:r>
        <w:rPr>
          <w:rFonts w:hint="eastAsia" w:ascii="仿宋_GB2312" w:eastAsia="仿宋_GB2312"/>
          <w:color w:val="000000"/>
          <w:sz w:val="32"/>
          <w:szCs w:val="32"/>
          <w:lang w:val="en-US" w:eastAsia="zh-CN"/>
        </w:rPr>
        <w:t>5万元。</w:t>
      </w:r>
    </w:p>
    <w:p>
      <w:pPr>
        <w:spacing w:line="600" w:lineRule="exact"/>
        <w:ind w:firstLine="640" w:firstLineChars="200"/>
        <w:outlineLvl w:val="1"/>
        <w:rPr>
          <w:rStyle w:val="25"/>
          <w:rFonts w:ascii="黑体" w:hAnsi="黑体" w:eastAsia="黑体"/>
        </w:rPr>
      </w:pPr>
      <w:bookmarkStart w:id="46" w:name="_Toc15377218"/>
      <w:bookmarkStart w:id="47"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0"/>
        </w:numPr>
        <w:spacing w:line="600" w:lineRule="exact"/>
        <w:ind w:firstLine="640" w:firstLineChars="20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lang w:eastAsia="zh-CN"/>
        </w:rPr>
        <w:t>九、</w:t>
      </w:r>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3"/>
        <w:numPr>
          <w:ilvl w:val="0"/>
          <w:numId w:val="2"/>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3"/>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根据预算绩效管理要求，本部门按要求对2018年部门整体支出开展绩效自评，从评价情况来看全面完成了预算执行，达到了预期效果。</w:t>
      </w:r>
      <w:r>
        <w:rPr>
          <w:rFonts w:ascii="仿宋_GB2312" w:hAnsi="仿宋_GB2312" w:eastAsia="仿宋_GB2312" w:cs="仿宋_GB2312"/>
          <w:sz w:val="32"/>
          <w:szCs w:val="32"/>
        </w:rPr>
        <w:t xml:space="preserve"> </w:t>
      </w:r>
    </w:p>
    <w:p>
      <w:pPr>
        <w:numPr>
          <w:ilvl w:val="0"/>
          <w:numId w:val="3"/>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本单位2018年度无项目执行情况。</w:t>
      </w:r>
    </w:p>
    <w:p>
      <w:pPr>
        <w:numPr>
          <w:ilvl w:val="0"/>
          <w:numId w:val="3"/>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本部门按要求对2018年部门整体支出绩效评价情况开展自评，《开江县</w:t>
      </w:r>
      <w:r>
        <w:rPr>
          <w:rFonts w:hint="eastAsia" w:ascii="仿宋_GB2312" w:hAnsi="仿宋_GB2312" w:eastAsia="仿宋_GB2312" w:cs="仿宋_GB2312"/>
          <w:sz w:val="32"/>
          <w:szCs w:val="32"/>
          <w:lang w:eastAsia="zh-CN"/>
        </w:rPr>
        <w:t>教育科技知识产权局</w:t>
      </w:r>
      <w:r>
        <w:rPr>
          <w:rFonts w:hint="eastAsia" w:ascii="仿宋_GB2312" w:hAnsi="仿宋_GB2312" w:eastAsia="仿宋_GB2312" w:cs="仿宋_GB2312"/>
          <w:sz w:val="32"/>
          <w:szCs w:val="32"/>
        </w:rPr>
        <w:t>2018年部门整体支出绩效评价报告》见附件。</w:t>
      </w:r>
    </w:p>
    <w:p>
      <w:pPr>
        <w:spacing w:line="600" w:lineRule="exact"/>
        <w:ind w:firstLine="640" w:firstLineChars="20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教科局</w:t>
      </w:r>
      <w:r>
        <w:rPr>
          <w:rFonts w:hint="eastAsia" w:ascii="仿宋_GB2312" w:eastAsia="仿宋_GB2312"/>
          <w:color w:val="000000"/>
          <w:sz w:val="32"/>
          <w:szCs w:val="32"/>
        </w:rPr>
        <w:t>机关运行经费支出</w:t>
      </w:r>
      <w:r>
        <w:rPr>
          <w:rFonts w:hint="eastAsia" w:ascii="仿宋" w:hAnsi="仿宋" w:eastAsia="仿宋"/>
          <w:color w:val="000000"/>
          <w:sz w:val="32"/>
          <w:szCs w:val="32"/>
        </w:rPr>
        <w:t>234.24</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eastAsia="zh-CN"/>
        </w:rPr>
        <w:t>持平。</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教科局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教科局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w:t>
      </w:r>
      <w:r>
        <w:rPr>
          <w:rFonts w:hint="eastAsia" w:ascii="仿宋_GB2312" w:eastAsia="仿宋_GB2312"/>
          <w:color w:val="000000" w:themeColor="text1"/>
          <w:sz w:val="32"/>
          <w:szCs w:val="32"/>
          <w:lang w:eastAsia="zh-CN"/>
          <w14:textFill>
            <w14:solidFill>
              <w14:schemeClr w14:val="tx1"/>
            </w14:solidFill>
          </w14:textFill>
        </w:rPr>
        <w:t>对学校工作的检查及业务指导等。</w:t>
      </w:r>
    </w:p>
    <w:p>
      <w:pPr>
        <w:numPr>
          <w:ilvl w:val="0"/>
          <w:numId w:val="4"/>
        </w:numPr>
        <w:spacing w:line="600" w:lineRule="exact"/>
        <w:ind w:firstLine="663" w:firstLineChars="150"/>
        <w:jc w:val="both"/>
        <w:outlineLvl w:val="0"/>
        <w:rPr>
          <w:rStyle w:val="24"/>
          <w:rFonts w:ascii="黑体" w:hAnsi="黑体" w:eastAsia="黑体"/>
          <w:b w:val="0"/>
        </w:rPr>
      </w:pPr>
      <w:r>
        <w:rPr>
          <w:rFonts w:hint="eastAsia" w:ascii="黑体" w:hAnsi="黑体" w:eastAsia="黑体"/>
          <w:b/>
          <w:color w:val="000000"/>
          <w:sz w:val="44"/>
          <w:szCs w:val="44"/>
          <w:lang w:val="en-US" w:eastAsia="zh-CN"/>
        </w:rPr>
        <w:t xml:space="preserve">        </w:t>
      </w:r>
      <w:r>
        <w:rPr>
          <w:rFonts w:hint="eastAsia" w:ascii="黑体" w:hAnsi="黑体" w:eastAsia="黑体"/>
          <w:b/>
          <w:color w:val="000000"/>
          <w:sz w:val="44"/>
          <w:szCs w:val="44"/>
        </w:rPr>
        <w:t>名</w:t>
      </w:r>
      <w:r>
        <w:rPr>
          <w:rStyle w:val="24"/>
          <w:rFonts w:hint="eastAsia" w:ascii="黑体" w:hAnsi="黑体" w:eastAsia="黑体"/>
          <w:b w:val="0"/>
        </w:rPr>
        <w:t>词解释</w:t>
      </w:r>
    </w:p>
    <w:p>
      <w:pPr>
        <w:spacing w:line="600" w:lineRule="atLeast"/>
        <w:ind w:firstLine="643" w:firstLineChars="200"/>
        <w:rPr>
          <w:rFonts w:hint="eastAsia" w:ascii="仿宋_GB2312" w:eastAsia="仿宋_GB2312"/>
          <w:b/>
          <w:color w:val="000000"/>
          <w:sz w:val="32"/>
          <w:szCs w:val="32"/>
          <w:lang w:eastAsia="zh-CN"/>
        </w:rPr>
      </w:pPr>
    </w:p>
    <w:p>
      <w:pPr>
        <w:widowControl/>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5" w:name="_Toc15377226"/>
      <w:r>
        <w:rPr>
          <w:rFonts w:ascii="宋体"/>
          <w:b/>
          <w:color w:val="000000"/>
          <w:sz w:val="44"/>
          <w:szCs w:val="44"/>
        </w:rPr>
        <w:br w:type="page"/>
      </w:r>
      <w:bookmarkStart w:id="56"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6"/>
    </w:p>
    <w:p>
      <w:pPr>
        <w:spacing w:line="600" w:lineRule="exact"/>
        <w:jc w:val="center"/>
        <w:outlineLvl w:val="0"/>
        <w:rPr>
          <w:rStyle w:val="24"/>
        </w:rPr>
      </w:pPr>
    </w:p>
    <w:p>
      <w:pPr>
        <w:pStyle w:val="3"/>
        <w:rPr>
          <w:rStyle w:val="24"/>
          <w:rFonts w:ascii="仿宋" w:hAnsi="仿宋" w:eastAsia="仿宋"/>
          <w:b w:val="0"/>
          <w:bCs w:val="0"/>
          <w:sz w:val="32"/>
          <w:szCs w:val="32"/>
        </w:rPr>
      </w:pPr>
      <w:bookmarkStart w:id="57" w:name="_Toc15396615"/>
      <w:r>
        <w:rPr>
          <w:rStyle w:val="24"/>
          <w:rFonts w:hint="eastAsia" w:ascii="仿宋" w:hAnsi="仿宋" w:eastAsia="仿宋"/>
          <w:b w:val="0"/>
          <w:bCs w:val="0"/>
          <w:sz w:val="32"/>
          <w:szCs w:val="32"/>
        </w:rPr>
        <w:t>附件1</w:t>
      </w:r>
      <w:bookmarkEnd w:id="57"/>
    </w:p>
    <w:p>
      <w:pPr>
        <w:spacing w:line="600" w:lineRule="exact"/>
        <w:jc w:val="center"/>
        <w:outlineLvl w:val="0"/>
        <w:rPr>
          <w:rFonts w:ascii="黑体" w:hAnsi="黑体" w:eastAsia="黑体" w:cs="方正小标宋简体"/>
          <w:sz w:val="36"/>
          <w:szCs w:val="36"/>
        </w:rPr>
      </w:pPr>
      <w:bookmarkStart w:id="58" w:name="_Toc15396616"/>
      <w:r>
        <w:rPr>
          <w:rFonts w:hint="eastAsia" w:ascii="黑体" w:hAnsi="黑体" w:eastAsia="黑体" w:cs="方正小标宋简体"/>
          <w:sz w:val="36"/>
          <w:szCs w:val="36"/>
          <w:lang w:eastAsia="zh-CN"/>
        </w:rPr>
        <w:t>开江县教育科技知识产权局</w:t>
      </w:r>
      <w:r>
        <w:rPr>
          <w:rFonts w:hint="eastAsia" w:ascii="黑体" w:hAnsi="黑体" w:eastAsia="黑体" w:cs="方正小标宋简体"/>
          <w:sz w:val="36"/>
          <w:szCs w:val="36"/>
        </w:rPr>
        <w:t>2018年部门整体支出绩效评价报告</w:t>
      </w:r>
      <w:bookmarkEnd w:id="58"/>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ind w:firstLine="800" w:firstLineChars="250"/>
        <w:rPr>
          <w:rFonts w:hint="eastAsia" w:ascii="仿宋" w:hAnsi="仿宋" w:eastAsia="仿宋"/>
          <w:sz w:val="32"/>
          <w:szCs w:val="32"/>
          <w:lang w:val="en-US" w:eastAsia="zh-CN"/>
        </w:rPr>
      </w:pPr>
      <w:r>
        <w:rPr>
          <w:rFonts w:ascii="仿宋" w:hAnsi="仿宋" w:eastAsia="仿宋" w:cs="仿宋_GB2312"/>
          <w:sz w:val="32"/>
          <w:szCs w:val="32"/>
        </w:rPr>
        <w:t>（一）机构组成。</w:t>
      </w:r>
      <w:r>
        <w:rPr>
          <w:rFonts w:hint="eastAsia" w:ascii="仿宋" w:hAnsi="仿宋" w:eastAsia="仿宋"/>
          <w:sz w:val="32"/>
          <w:szCs w:val="32"/>
          <w:lang w:eastAsia="zh-CN"/>
        </w:rPr>
        <w:t>开江县教育科技知识产局系开江县人民政府下属部门。具有独立编制和独立核算的行政单位，单位设置办公室、计财股、人事股、法规安全股、职成幼教股、规划建设股、基础教育股、科技项目股、知识产权股、监察室、党建办、青少年活动中心。直属事业单位</w:t>
      </w:r>
      <w:r>
        <w:rPr>
          <w:rFonts w:hint="eastAsia" w:ascii="仿宋" w:hAnsi="仿宋" w:eastAsia="仿宋"/>
          <w:sz w:val="32"/>
          <w:szCs w:val="32"/>
          <w:lang w:val="en-US" w:eastAsia="zh-CN"/>
        </w:rPr>
        <w:t>5</w:t>
      </w:r>
      <w:r>
        <w:rPr>
          <w:rFonts w:hint="eastAsia" w:ascii="仿宋" w:hAnsi="仿宋" w:eastAsia="仿宋"/>
          <w:sz w:val="32"/>
          <w:szCs w:val="32"/>
          <w:lang w:eastAsia="zh-CN"/>
        </w:rPr>
        <w:t>个，分别是学生资助中心、电教馆、技装所、招办、教研室。管理中小学校</w:t>
      </w:r>
      <w:r>
        <w:rPr>
          <w:rFonts w:hint="eastAsia" w:ascii="仿宋" w:hAnsi="仿宋" w:eastAsia="仿宋"/>
          <w:sz w:val="32"/>
          <w:szCs w:val="32"/>
          <w:lang w:val="en-US" w:eastAsia="zh-CN"/>
        </w:rPr>
        <w:t>56</w:t>
      </w:r>
      <w:r>
        <w:rPr>
          <w:rFonts w:hint="eastAsia" w:ascii="仿宋" w:hAnsi="仿宋" w:eastAsia="仿宋"/>
          <w:sz w:val="32"/>
          <w:szCs w:val="32"/>
          <w:lang w:eastAsia="zh-CN"/>
        </w:rPr>
        <w:t>个。</w:t>
      </w:r>
    </w:p>
    <w:p>
      <w:pPr>
        <w:ind w:firstLine="800" w:firstLineChars="250"/>
        <w:rPr>
          <w:rFonts w:hint="eastAsia" w:eastAsia="仿宋_GB2312"/>
          <w:bCs/>
          <w:color w:val="000000"/>
          <w:sz w:val="32"/>
          <w:szCs w:val="32"/>
          <w:lang w:eastAsia="zh-CN"/>
        </w:rPr>
      </w:pPr>
      <w:r>
        <w:rPr>
          <w:rFonts w:ascii="仿宋" w:hAnsi="仿宋" w:eastAsia="仿宋" w:cs="仿宋_GB2312"/>
          <w:sz w:val="32"/>
          <w:szCs w:val="32"/>
        </w:rPr>
        <w:t>（二）机构职能。</w:t>
      </w:r>
      <w:r>
        <w:rPr>
          <w:rFonts w:hint="eastAsia" w:ascii="仿宋" w:hAnsi="仿宋" w:eastAsia="仿宋"/>
          <w:sz w:val="32"/>
          <w:szCs w:val="32"/>
          <w:lang w:eastAsia="zh-CN"/>
        </w:rPr>
        <w:t>其主要职责是：负责全县教育、科技、知识产权行政管理；制定全县教育、教学、科技、知识产权发展的政策措施；指导和协调全县教育、科技、知识产权文化艺术、；加快推进全县公共文化服务建设。</w:t>
      </w:r>
    </w:p>
    <w:p>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（三）人员概况。</w:t>
      </w:r>
      <w:r>
        <w:rPr>
          <w:rFonts w:hint="eastAsia" w:ascii="仿宋" w:hAnsi="仿宋" w:eastAsia="仿宋" w:cs="仿宋_GB2312"/>
          <w:sz w:val="32"/>
          <w:szCs w:val="32"/>
          <w:lang w:val="en-US" w:eastAsia="zh-CN"/>
        </w:rPr>
        <w:t>2018年末单位总人员42人，其中公务员19人，机关工勤2人，事业编制人员21人。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s="仿宋_GB2312"/>
          <w:sz w:val="32"/>
          <w:szCs w:val="32"/>
          <w:lang w:eastAsia="zh-CN"/>
        </w:rPr>
        <w:t>我单位</w:t>
      </w:r>
      <w:r>
        <w:rPr>
          <w:rFonts w:hint="eastAsia" w:ascii="仿宋" w:hAnsi="仿宋" w:eastAsia="仿宋"/>
          <w:color w:val="000000"/>
          <w:sz w:val="32"/>
          <w:szCs w:val="32"/>
        </w:rPr>
        <w:t>2018年度</w:t>
      </w:r>
      <w:r>
        <w:rPr>
          <w:rFonts w:hint="eastAsia" w:ascii="仿宋" w:hAnsi="仿宋" w:eastAsia="仿宋"/>
          <w:color w:val="000000"/>
          <w:sz w:val="32"/>
          <w:szCs w:val="32"/>
          <w:lang w:eastAsia="zh-CN"/>
        </w:rPr>
        <w:t>总</w:t>
      </w:r>
      <w:r>
        <w:rPr>
          <w:rFonts w:hint="eastAsia" w:ascii="仿宋" w:hAnsi="仿宋" w:eastAsia="仿宋"/>
          <w:color w:val="000000"/>
          <w:sz w:val="32"/>
          <w:szCs w:val="32"/>
        </w:rPr>
        <w:t>收</w:t>
      </w:r>
      <w:r>
        <w:rPr>
          <w:rFonts w:hint="eastAsia" w:ascii="仿宋" w:hAnsi="仿宋" w:eastAsia="仿宋"/>
          <w:color w:val="000000"/>
          <w:sz w:val="32"/>
          <w:szCs w:val="32"/>
          <w:lang w:eastAsia="zh-CN"/>
        </w:rPr>
        <w:t>入1316.74万元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总</w:t>
      </w:r>
      <w:r>
        <w:rPr>
          <w:rFonts w:hint="eastAsia" w:ascii="仿宋" w:hAnsi="仿宋" w:eastAsia="仿宋"/>
          <w:color w:val="000000"/>
          <w:sz w:val="32"/>
          <w:szCs w:val="32"/>
        </w:rPr>
        <w:t>支总计1153.05万元。与2017年相比，收</w:t>
      </w:r>
      <w:r>
        <w:rPr>
          <w:rFonts w:hint="eastAsia" w:ascii="仿宋" w:hAnsi="仿宋" w:eastAsia="仿宋"/>
          <w:color w:val="000000"/>
          <w:sz w:val="32"/>
          <w:szCs w:val="32"/>
          <w:lang w:eastAsia="zh-CN"/>
        </w:rPr>
        <w:t>入增加</w:t>
      </w:r>
      <w:r>
        <w:rPr>
          <w:rFonts w:hint="eastAsia" w:ascii="仿宋" w:hAnsi="仿宋" w:eastAsia="仿宋"/>
          <w:color w:val="000000"/>
          <w:sz w:val="32"/>
          <w:szCs w:val="32"/>
          <w:lang w:val="en-US" w:eastAsia="zh-CN"/>
        </w:rPr>
        <w:t>409.75万元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45.18%，</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总增加</w:t>
      </w:r>
      <w:r>
        <w:rPr>
          <w:rFonts w:hint="eastAsia" w:ascii="仿宋" w:hAnsi="仿宋" w:eastAsia="仿宋"/>
          <w:color w:val="000000"/>
          <w:sz w:val="32"/>
          <w:szCs w:val="32"/>
          <w:lang w:val="en-US" w:eastAsia="zh-CN"/>
        </w:rPr>
        <w:t>504.25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77.72</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是科技项目资金投入增大，人员增加工资增资等投入加大。</w:t>
      </w:r>
    </w:p>
    <w:p>
      <w:pPr>
        <w:numPr>
          <w:ilvl w:val="0"/>
          <w:numId w:val="5"/>
        </w:numPr>
        <w:spacing w:line="600" w:lineRule="exact"/>
        <w:ind w:firstLine="640"/>
        <w:rPr>
          <w:rFonts w:ascii="仿宋" w:hAnsi="仿宋" w:eastAsia="仿宋"/>
          <w:color w:val="000000"/>
          <w:sz w:val="32"/>
          <w:szCs w:val="32"/>
          <w:shd w:val="pct10" w:color="auto" w:fill="FFFFFF"/>
        </w:rPr>
      </w:pPr>
      <w:r>
        <w:rPr>
          <w:rFonts w:ascii="仿宋" w:hAnsi="仿宋" w:eastAsia="仿宋" w:cs="仿宋_GB2312"/>
          <w:sz w:val="32"/>
          <w:szCs w:val="32"/>
        </w:rPr>
        <w:t>部门财政资金支出情况。</w:t>
      </w:r>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_GB2312"/>
          <w:sz w:val="32"/>
          <w:szCs w:val="32"/>
          <w:lang w:eastAsia="zh-CN"/>
        </w:rPr>
        <w:t>我单位</w:t>
      </w:r>
      <w:r>
        <w:rPr>
          <w:rFonts w:ascii="仿宋" w:hAnsi="仿宋" w:eastAsia="仿宋"/>
          <w:color w:val="000000"/>
          <w:sz w:val="32"/>
          <w:szCs w:val="32"/>
        </w:rPr>
        <w:t>201</w:t>
      </w:r>
      <w:r>
        <w:rPr>
          <w:rFonts w:hint="eastAsia" w:ascii="仿宋" w:hAnsi="仿宋" w:eastAsia="仿宋"/>
          <w:color w:val="000000"/>
          <w:sz w:val="32"/>
          <w:szCs w:val="32"/>
        </w:rPr>
        <w:t>8年本年支出合计1153.05万元，主要用于以下方面:一般公共服务（类）支出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%；教育支出（类）773.3万元，占</w:t>
      </w:r>
      <w:r>
        <w:rPr>
          <w:rFonts w:hint="eastAsia" w:ascii="仿宋" w:hAnsi="仿宋" w:eastAsia="仿宋"/>
          <w:color w:val="000000"/>
          <w:sz w:val="32"/>
          <w:szCs w:val="32"/>
          <w:lang w:val="en-US" w:eastAsia="zh-CN"/>
        </w:rPr>
        <w:t>67.06</w:t>
      </w:r>
      <w:r>
        <w:rPr>
          <w:rFonts w:hint="eastAsia" w:ascii="仿宋" w:hAnsi="仿宋" w:eastAsia="仿宋"/>
          <w:color w:val="000000"/>
          <w:sz w:val="32"/>
          <w:szCs w:val="32"/>
        </w:rPr>
        <w:t>%；科学技术（类）支出201.03万元，占</w:t>
      </w:r>
      <w:r>
        <w:rPr>
          <w:rFonts w:hint="eastAsia" w:ascii="仿宋" w:hAnsi="仿宋" w:eastAsia="仿宋"/>
          <w:color w:val="000000"/>
          <w:sz w:val="32"/>
          <w:szCs w:val="32"/>
          <w:lang w:val="en-US" w:eastAsia="zh-CN"/>
        </w:rPr>
        <w:t>17.43</w:t>
      </w:r>
      <w:r>
        <w:rPr>
          <w:rFonts w:hint="eastAsia" w:ascii="仿宋" w:hAnsi="仿宋" w:eastAsia="仿宋"/>
          <w:color w:val="000000"/>
          <w:sz w:val="32"/>
          <w:szCs w:val="32"/>
        </w:rPr>
        <w:t>%；社会保障和就业（类）支出105.41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9.14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；医疗卫生支出37.68万元，占</w:t>
      </w:r>
      <w:r>
        <w:rPr>
          <w:rFonts w:hint="eastAsia" w:ascii="仿宋" w:hAnsi="仿宋" w:eastAsia="仿宋"/>
          <w:color w:val="000000" w:themeColor="text1"/>
          <w:sz w:val="32"/>
          <w:szCs w:val="32"/>
          <w:lang w:val="en-US" w:eastAsia="zh-CN"/>
          <w14:textFill>
            <w14:solidFill>
              <w14:schemeClr w14:val="tx1"/>
            </w14:solidFill>
          </w14:textFill>
        </w:rPr>
        <w:t>3.27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；住房保障支出35.62万元，占</w:t>
      </w:r>
      <w:r>
        <w:rPr>
          <w:rFonts w:hint="eastAsia" w:ascii="仿宋" w:hAnsi="仿宋" w:eastAsia="仿宋"/>
          <w:color w:val="000000" w:themeColor="text1"/>
          <w:sz w:val="32"/>
          <w:szCs w:val="32"/>
          <w:lang w:val="en-US" w:eastAsia="zh-CN"/>
          <w14:textFill>
            <w14:solidFill>
              <w14:schemeClr w14:val="tx1"/>
            </w14:solidFill>
          </w14:textFill>
        </w:rPr>
        <w:t>3.09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根据预算绩效管理要求，</w:t>
      </w:r>
      <w:r>
        <w:rPr>
          <w:rFonts w:hint="eastAsia" w:ascii="仿宋" w:hAnsi="仿宋" w:eastAsia="仿宋" w:cs="仿宋_GB2312"/>
          <w:sz w:val="32"/>
          <w:szCs w:val="32"/>
          <w:lang w:eastAsia="zh-CN"/>
        </w:rPr>
        <w:t>开江县教育科技知识产权局</w:t>
      </w:r>
      <w:r>
        <w:rPr>
          <w:rFonts w:hint="eastAsia" w:ascii="仿宋" w:hAnsi="仿宋" w:eastAsia="仿宋" w:cs="仿宋_GB2312"/>
          <w:sz w:val="32"/>
          <w:szCs w:val="32"/>
        </w:rPr>
        <w:t>以“部门职责—工作</w:t>
      </w:r>
      <w:r>
        <w:rPr>
          <w:rFonts w:hint="eastAsia" w:ascii="仿宋" w:hAnsi="仿宋" w:eastAsia="仿宋" w:cs="仿宋_GB2312"/>
          <w:sz w:val="32"/>
          <w:szCs w:val="32"/>
          <w:lang w:eastAsia="zh-CN"/>
        </w:rPr>
        <w:t>方案</w:t>
      </w:r>
      <w:r>
        <w:rPr>
          <w:rFonts w:hint="eastAsia" w:ascii="仿宋" w:hAnsi="仿宋" w:eastAsia="仿宋" w:cs="仿宋_GB2312"/>
          <w:sz w:val="32"/>
          <w:szCs w:val="32"/>
        </w:rPr>
        <w:t>”为依据，确定部门预算项目和预算额度，清晰描述预算项目开支范围和内容，确定预算项目的绩效目标、绩效指标和评价标准，为预算绩效控制、绩效分析、绩效评价打下好的基础。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960" w:firstLineChars="300"/>
        <w:rPr>
          <w:rFonts w:hint="eastAsia"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按规定要求履行了立项手续，可行性研究报告、概算批复文件、专家论证等相关附件资料齐全，项目预算资金科学合理。</w:t>
      </w:r>
    </w:p>
    <w:p>
      <w:pPr>
        <w:spacing w:line="580" w:lineRule="exact"/>
        <w:ind w:firstLine="960" w:firstLineChars="300"/>
        <w:rPr>
          <w:rFonts w:hint="eastAsia" w:ascii="仿宋" w:hAnsi="仿宋" w:eastAsia="仿宋" w:cs="仿宋_GB2312"/>
          <w:sz w:val="32"/>
          <w:szCs w:val="32"/>
        </w:rPr>
      </w:pPr>
      <w:r>
        <w:rPr>
          <w:rFonts w:hint="eastAsia" w:ascii="仿宋" w:hAnsi="仿宋" w:eastAsia="仿宋" w:cs="仿宋_GB2312"/>
          <w:sz w:val="32"/>
          <w:szCs w:val="32"/>
        </w:rPr>
        <w:t>2、财政资金拨付到位及时。</w:t>
      </w:r>
    </w:p>
    <w:p>
      <w:pPr>
        <w:spacing w:line="580" w:lineRule="exact"/>
        <w:ind w:firstLine="960" w:firstLineChars="300"/>
        <w:rPr>
          <w:rFonts w:hint="eastAsia" w:ascii="仿宋" w:hAnsi="仿宋" w:eastAsia="仿宋" w:cs="仿宋_GB2312"/>
          <w:sz w:val="32"/>
          <w:szCs w:val="32"/>
        </w:rPr>
      </w:pPr>
      <w:r>
        <w:rPr>
          <w:rFonts w:hint="eastAsia" w:ascii="仿宋" w:hAnsi="仿宋" w:eastAsia="仿宋" w:cs="仿宋_GB2312"/>
          <w:sz w:val="32"/>
          <w:szCs w:val="32"/>
        </w:rPr>
        <w:t>3、已建立项目管理制度并按照项目管理制度要求执行。</w:t>
      </w:r>
    </w:p>
    <w:p>
      <w:pPr>
        <w:spacing w:line="580" w:lineRule="exact"/>
        <w:ind w:firstLine="960" w:firstLineChars="300"/>
        <w:rPr>
          <w:rFonts w:hint="eastAsia" w:ascii="仿宋" w:hAnsi="仿宋" w:eastAsia="仿宋" w:cs="仿宋_GB2312"/>
          <w:sz w:val="32"/>
          <w:szCs w:val="32"/>
        </w:rPr>
      </w:pPr>
      <w:r>
        <w:rPr>
          <w:rFonts w:hint="eastAsia" w:ascii="仿宋" w:hAnsi="仿宋" w:eastAsia="仿宋" w:cs="仿宋_GB2312"/>
          <w:sz w:val="32"/>
          <w:szCs w:val="32"/>
        </w:rPr>
        <w:t>4、按期保质保量完成建设。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通过绩效评价，我们认为，2018年度部门预算具有明确的用途和目标，制定了详细的执行计划，资金到位及时并严格按照财政有关规定使用。预算决策、管理、执行等日益规范，能较好地满足工作需要，取得了良好经济效益和社会效益</w:t>
      </w:r>
      <w:r>
        <w:rPr>
          <w:rFonts w:hint="eastAsia" w:ascii="仿宋" w:hAnsi="仿宋" w:eastAsia="仿宋" w:cs="仿宋_GB2312"/>
          <w:sz w:val="32"/>
          <w:szCs w:val="32"/>
          <w:lang w:eastAsia="zh-CN"/>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_GB2312"/>
          <w:sz w:val="32"/>
          <w:szCs w:val="32"/>
          <w:lang w:eastAsia="zh-CN"/>
        </w:rPr>
        <w:t>单位</w:t>
      </w:r>
      <w:r>
        <w:rPr>
          <w:rFonts w:hint="eastAsia" w:ascii="仿宋" w:hAnsi="仿宋" w:eastAsia="仿宋" w:cs="仿宋_GB2312"/>
          <w:sz w:val="32"/>
          <w:szCs w:val="32"/>
        </w:rPr>
        <w:t>的固定资产管理还有待加强，下年度将按照标准逐步完善。</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2、更加科学合理的编制预算。本年度预算完成率分值被扣4分，下一会计年度努力学习预算制度，更加合理地编制预算，使预算、决算差异更小。</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3、部分绩效指标及目标值有待进一步细化和量化。</w:t>
      </w:r>
      <w:r>
        <w:rPr>
          <w:rFonts w:ascii="仿宋_GB2312" w:hAnsi="仿宋_GB2312" w:eastAsia="仿宋_GB2312" w:cs="仿宋_GB2312"/>
          <w:sz w:val="32"/>
          <w:szCs w:val="32"/>
          <w:lang w:val="en"/>
        </w:rPr>
        <w:t>  </w:t>
      </w:r>
    </w:p>
    <w:p>
      <w:pPr>
        <w:spacing w:line="58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rPr>
        <w:t>4、部门整体预算执行率未达到</w:t>
      </w:r>
      <w:r>
        <w:rPr>
          <w:rFonts w:ascii="仿宋_GB2312" w:hAnsi="仿宋_GB2312" w:eastAsia="仿宋_GB2312" w:cs="仿宋_GB2312"/>
          <w:sz w:val="32"/>
          <w:szCs w:val="32"/>
          <w:lang w:val="en"/>
        </w:rPr>
        <w:t>95%</w:t>
      </w:r>
      <w:r>
        <w:rPr>
          <w:rFonts w:hint="eastAsia" w:ascii="仿宋_GB2312" w:hAnsi="仿宋_GB2312" w:eastAsia="仿宋_GB2312" w:cs="仿宋_GB2312"/>
          <w:sz w:val="32"/>
          <w:szCs w:val="32"/>
          <w:lang w:val="en"/>
        </w:rPr>
        <w:t>，预算执行有待提升。</w:t>
      </w:r>
      <w:r>
        <w:rPr>
          <w:rFonts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rPr>
        <w:t>5、尚未针对绩效考评制定比较明确的实施细则，有待进</w:t>
      </w:r>
      <w:r>
        <w:rPr>
          <w:rFonts w:hint="eastAsia" w:ascii="仿宋_GB2312" w:hAnsi="仿宋_GB2312" w:eastAsia="仿宋_GB2312" w:cs="仿宋_GB2312"/>
          <w:sz w:val="32"/>
          <w:szCs w:val="32"/>
          <w:lang w:val="en" w:eastAsia="zh-CN"/>
        </w:rPr>
        <w:t>。</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5"/>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Fonts w:ascii="仿宋" w:hAnsi="仿宋" w:eastAsia="仿宋"/>
          <w:color w:val="00000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4"/>
    </w:p>
    <w:p>
      <w:pPr>
        <w:pStyle w:val="3"/>
        <w:rPr>
          <w:rFonts w:ascii="仿宋" w:hAnsi="仿宋" w:eastAsia="仿宋"/>
          <w:color w:val="000000"/>
        </w:rPr>
      </w:pPr>
      <w:bookmarkStart w:id="65"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A5C67"/>
    <w:multiLevelType w:val="singleLevel"/>
    <w:tmpl w:val="918A5C67"/>
    <w:lvl w:ilvl="0" w:tentative="0">
      <w:start w:val="1"/>
      <w:numFmt w:val="decimal"/>
      <w:lvlText w:val="%1."/>
      <w:lvlJc w:val="left"/>
      <w:pPr>
        <w:tabs>
          <w:tab w:val="left" w:pos="312"/>
        </w:tabs>
      </w:p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1B3B75CE"/>
    <w:multiLevelType w:val="singleLevel"/>
    <w:tmpl w:val="1B3B75CE"/>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3D4695"/>
    <w:rsid w:val="10C055FF"/>
    <w:rsid w:val="12D37F4B"/>
    <w:rsid w:val="16BB723D"/>
    <w:rsid w:val="1BE33E30"/>
    <w:rsid w:val="240371BF"/>
    <w:rsid w:val="294F1CC9"/>
    <w:rsid w:val="29FD04D3"/>
    <w:rsid w:val="319F7F4E"/>
    <w:rsid w:val="36AC7D80"/>
    <w:rsid w:val="37C312A2"/>
    <w:rsid w:val="39826D49"/>
    <w:rsid w:val="45117608"/>
    <w:rsid w:val="46A13436"/>
    <w:rsid w:val="4B2E75FE"/>
    <w:rsid w:val="4EB97A34"/>
    <w:rsid w:val="503D3D51"/>
    <w:rsid w:val="56D921AE"/>
    <w:rsid w:val="5F456B51"/>
    <w:rsid w:val="6BF252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[工作簿1]Sheet1!$E$6:$E$9</c:f>
              <c:strCache>
                <c:ptCount val="4"/>
                <c:pt idx="0">
                  <c:v>2017年收入</c:v>
                </c:pt>
                <c:pt idx="1">
                  <c:v>2018年收入</c:v>
                </c:pt>
                <c:pt idx="2">
                  <c:v>2017年支出</c:v>
                </c:pt>
                <c:pt idx="3">
                  <c:v>2018年支出</c:v>
                </c:pt>
              </c:strCache>
            </c:strRef>
          </c:cat>
          <c:val>
            <c:numRef>
              <c:f>[工作簿1]Sheet1!$F$6:$F$9</c:f>
              <c:numCache>
                <c:formatCode>General</c:formatCode>
                <c:ptCount val="4"/>
                <c:pt idx="0">
                  <c:v>907.49</c:v>
                </c:pt>
                <c:pt idx="1">
                  <c:v>1316.74</c:v>
                </c:pt>
                <c:pt idx="2">
                  <c:v>648.8</c:v>
                </c:pt>
                <c:pt idx="3">
                  <c:v>1153.05</c:v>
                </c:pt>
              </c:numCache>
            </c:numRef>
          </c:val>
        </c:ser>
        <c:dLbls>
          <c:showLegendKey val="0"/>
          <c:showVal val="0"/>
          <c:showCatName val="0"/>
          <c:showSerName val="0"/>
          <c:showPercent val="0"/>
          <c:showBubbleSize val="0"/>
        </c:dLbls>
        <c:gapWidth val="219"/>
        <c:overlap val="-27"/>
        <c:axId val="135878269"/>
        <c:axId val="499683935"/>
      </c:barChart>
      <c:catAx>
        <c:axId val="1358782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9683935"/>
        <c:crosses val="autoZero"/>
        <c:auto val="1"/>
        <c:lblAlgn val="ctr"/>
        <c:lblOffset val="100"/>
        <c:noMultiLvlLbl val="0"/>
      </c:catAx>
      <c:valAx>
        <c:axId val="499683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587826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c:explosion val="0"/>
          <c:dPt>
            <c:idx val="0"/>
            <c:bubble3D val="0"/>
            <c:spPr>
              <a:gradFill>
                <a:gsLst>
                  <a:gs pos="100000">
                    <a:schemeClr val="accent3">
                      <a:tint val="53333"/>
                      <a:lumMod val="60000"/>
                      <a:lumOff val="40000"/>
                    </a:schemeClr>
                  </a:gs>
                  <a:gs pos="0">
                    <a:schemeClr val="accent3">
                      <a:tint val="53333"/>
                    </a:schemeClr>
                  </a:gs>
                </a:gsLst>
                <a:lin ang="5400000" scaled="0"/>
              </a:gradFill>
              <a:ln w="19050">
                <a:solidFill>
                  <a:schemeClr val="lt1"/>
                </a:solidFill>
              </a:ln>
              <a:effectLst/>
            </c:spPr>
          </c:dPt>
          <c:dPt>
            <c:idx val="1"/>
            <c:bubble3D val="0"/>
            <c:spPr>
              <a:gradFill>
                <a:gsLst>
                  <a:gs pos="100000">
                    <a:schemeClr val="accent3">
                      <a:tint val="76667"/>
                      <a:lumMod val="60000"/>
                      <a:lumOff val="40000"/>
                    </a:schemeClr>
                  </a:gs>
                  <a:gs pos="0">
                    <a:schemeClr val="accent3">
                      <a:tint val="76667"/>
                    </a:schemeClr>
                  </a:gs>
                </a:gsLst>
                <a:lin ang="5400000" scaled="0"/>
              </a:gradFill>
              <a:ln w="19050">
                <a:solidFill>
                  <a:schemeClr val="lt1"/>
                </a:solidFill>
              </a:ln>
              <a:effectLst/>
            </c:spPr>
          </c:dPt>
          <c:dPt>
            <c:idx val="2"/>
            <c:bubble3D val="0"/>
            <c:spPr>
              <a:gradFill>
                <a:gsLst>
                  <a:gs pos="100000">
                    <a:schemeClr val="accent3">
                      <a:shade val="86000"/>
                      <a:lumMod val="60000"/>
                      <a:lumOff val="40000"/>
                    </a:schemeClr>
                  </a:gs>
                  <a:gs pos="0">
                    <a:schemeClr val="accent3">
                      <a:shade val="86000"/>
                    </a:schemeClr>
                  </a:gs>
                </a:gsLst>
                <a:lin ang="5400000" scaled="0"/>
              </a:gradFill>
              <a:ln w="19050">
                <a:solidFill>
                  <a:schemeClr val="lt1"/>
                </a:solidFill>
              </a:ln>
              <a:effectLst/>
            </c:spPr>
          </c:dPt>
          <c:dPt>
            <c:idx val="3"/>
            <c:bubble3D val="0"/>
            <c:spPr>
              <a:gradFill>
                <a:gsLst>
                  <a:gs pos="100000">
                    <a:schemeClr val="accent3">
                      <a:shade val="76667"/>
                      <a:lumMod val="60000"/>
                      <a:lumOff val="40000"/>
                    </a:schemeClr>
                  </a:gs>
                  <a:gs pos="0">
                    <a:schemeClr val="accent3">
                      <a:shade val="76667"/>
                    </a:schemeClr>
                  </a:gs>
                </a:gsLst>
                <a:lin ang="5400000" scaled="0"/>
              </a:gradFill>
              <a:ln w="19050">
                <a:solidFill>
                  <a:schemeClr val="lt1"/>
                </a:solidFill>
              </a:ln>
              <a:effectLst/>
            </c:spPr>
          </c:dPt>
          <c:dPt>
            <c:idx val="4"/>
            <c:bubble3D val="0"/>
            <c:spPr>
              <a:gradFill>
                <a:gsLst>
                  <a:gs pos="100000">
                    <a:schemeClr val="accent3">
                      <a:shade val="82500"/>
                      <a:lumMod val="60000"/>
                      <a:lumOff val="40000"/>
                    </a:schemeClr>
                  </a:gs>
                  <a:gs pos="0">
                    <a:schemeClr val="accent3">
                      <a:shade val="82500"/>
                    </a:schemeClr>
                  </a:gs>
                </a:gsLst>
                <a:lin ang="5400000" scaled="0"/>
              </a:gradFill>
              <a:ln w="19050">
                <a:solidFill>
                  <a:schemeClr val="lt1"/>
                </a:solidFill>
              </a:ln>
              <a:effectLst/>
            </c:spPr>
          </c:dPt>
          <c:dPt>
            <c:idx val="5"/>
            <c:bubble3D val="0"/>
            <c:spPr>
              <a:gradFill>
                <a:gsLst>
                  <a:gs pos="100000">
                    <a:schemeClr val="accent3">
                      <a:shade val="65000"/>
                      <a:lumMod val="60000"/>
                      <a:lumOff val="40000"/>
                    </a:schemeClr>
                  </a:gs>
                  <a:gs pos="0">
                    <a:schemeClr val="accent3">
                      <a:shade val="65000"/>
                    </a:schemeClr>
                  </a:gs>
                </a:gsLst>
                <a:lin ang="5400000" scaled="0"/>
              </a:gradFill>
              <a:ln w="19050">
                <a:solidFill>
                  <a:schemeClr val="lt1"/>
                </a:solidFill>
              </a:ln>
              <a:effectLst/>
            </c:spPr>
          </c:dPt>
          <c:dPt>
            <c:idx val="6"/>
            <c:bubble3D val="0"/>
            <c:spPr>
              <a:gradFill>
                <a:gsLst>
                  <a:gs pos="100000">
                    <a:schemeClr val="accent3">
                      <a:shade val="47500"/>
                      <a:lumMod val="60000"/>
                      <a:lumOff val="40000"/>
                    </a:schemeClr>
                  </a:gs>
                  <a:gs pos="0">
                    <a:schemeClr val="accent3">
                      <a:shade val="47500"/>
                    </a:schemeClr>
                  </a:gs>
                </a:gsLst>
                <a:lin ang="5400000" scaled="0"/>
              </a:gradFill>
              <a:ln w="19050">
                <a:solidFill>
                  <a:schemeClr val="lt1"/>
                </a:solidFill>
              </a:ln>
              <a:effectLst/>
            </c:spPr>
          </c:dPt>
          <c:dLbls>
            <c:dLbl>
              <c:idx val="1"/>
              <c:layout>
                <c:manualLayout>
                  <c:x val="-0.0958333333333333"/>
                  <c:y val="-0.020833333333333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112499101395042"/>
                  <c:y val="0.09741759259521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168750980386347"/>
                  <c:y val="0.044500925928389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108332352946986"/>
                  <c:y val="0.11047314815061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81944444444444"/>
                      <c:h val="0.0231481481481481"/>
                    </c:manualLayout>
                  </c15:layout>
                </c:ext>
              </c:extLst>
            </c:dLbl>
            <c:dLbl>
              <c:idx val="5"/>
              <c:layout>
                <c:manualLayout>
                  <c:x val="-0.158334281425635"/>
                  <c:y val="0.1695009259283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102082352946986"/>
                  <c:y val="-0.070082407404943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[工作簿1]Sheet2!$B$3:$B$9</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[工作簿1]Sheet2!$C$3:$C$9</c:f>
              <c:numCache>
                <c:formatCode>General</c:formatCode>
                <c:ptCount val="7"/>
                <c:pt idx="0">
                  <c:v>1316.74</c:v>
                </c:pt>
                <c:pt idx="1">
                  <c:v>0</c:v>
                </c:pt>
                <c:pt idx="2">
                  <c:v>0</c:v>
                </c:pt>
                <c:pt idx="3">
                  <c:v>0</c:v>
                </c:pt>
                <c:pt idx="4">
                  <c:v>0</c:v>
                </c:pt>
                <c:pt idx="5">
                  <c:v>0</c:v>
                </c:pt>
                <c:pt idx="6">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0" vertOverflow="ellipsis" vert="horz" wrap="square" anchor="ctr" anchorCtr="1" forceAA="0"/>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2"/>
              <c:layout>
                <c:manualLayout>
                  <c:x val="0"/>
                  <c:y val="-0.034722222222222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209721507340231"/>
                  <c:y val="0.0079699074094311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10417624416286"/>
                  <c:y val="0.046041589570478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[工作簿1]Sheet2!$B$17:$B$21</c:f>
              <c:strCache>
                <c:ptCount val="5"/>
                <c:pt idx="0">
                  <c:v>基本支出</c:v>
                </c:pt>
                <c:pt idx="1">
                  <c:v>项目支出</c:v>
                </c:pt>
                <c:pt idx="2">
                  <c:v>上缴上级支出</c:v>
                </c:pt>
                <c:pt idx="3">
                  <c:v>经营支出</c:v>
                </c:pt>
                <c:pt idx="4">
                  <c:v>对附属单位补助支出</c:v>
                </c:pt>
              </c:strCache>
            </c:strRef>
          </c:cat>
          <c:val>
            <c:numRef>
              <c:f>[工作簿1]Sheet2!$C$17:$C$21</c:f>
              <c:numCache>
                <c:formatCode>General</c:formatCode>
                <c:ptCount val="5"/>
                <c:pt idx="0">
                  <c:v>561.16</c:v>
                </c:pt>
                <c:pt idx="1">
                  <c:v>591.89</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[工作簿1]Sheet1!$E$6:$E$9</c:f>
              <c:strCache>
                <c:ptCount val="4"/>
                <c:pt idx="0">
                  <c:v>2017年收入</c:v>
                </c:pt>
                <c:pt idx="1">
                  <c:v>2018年收入</c:v>
                </c:pt>
                <c:pt idx="2">
                  <c:v>2017年支出</c:v>
                </c:pt>
                <c:pt idx="3">
                  <c:v>2018年支出</c:v>
                </c:pt>
              </c:strCache>
            </c:strRef>
          </c:cat>
          <c:val>
            <c:numRef>
              <c:f>[工作簿1]Sheet1!$F$6:$F$9</c:f>
              <c:numCache>
                <c:formatCode>General</c:formatCode>
                <c:ptCount val="4"/>
                <c:pt idx="0">
                  <c:v>907.49</c:v>
                </c:pt>
                <c:pt idx="1">
                  <c:v>1316.74</c:v>
                </c:pt>
                <c:pt idx="2">
                  <c:v>648.8</c:v>
                </c:pt>
                <c:pt idx="3">
                  <c:v>1153.05</c:v>
                </c:pt>
              </c:numCache>
            </c:numRef>
          </c:val>
        </c:ser>
        <c:dLbls>
          <c:showLegendKey val="0"/>
          <c:showVal val="0"/>
          <c:showCatName val="0"/>
          <c:showSerName val="0"/>
          <c:showPercent val="0"/>
          <c:showBubbleSize val="0"/>
        </c:dLbls>
        <c:gapWidth val="219"/>
        <c:overlap val="-27"/>
        <c:axId val="135878269"/>
        <c:axId val="499683935"/>
      </c:barChart>
      <c:catAx>
        <c:axId val="1358782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9683935"/>
        <c:crosses val="autoZero"/>
        <c:auto val="1"/>
        <c:lblAlgn val="ctr"/>
        <c:lblOffset val="100"/>
        <c:noMultiLvlLbl val="0"/>
      </c:catAx>
      <c:valAx>
        <c:axId val="499683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587826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5972222222222"/>
          <c:y val="0.0243055555555556"/>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866111111111111"/>
          <c:y val="0.22037037037037"/>
          <c:w val="0.878666666666667"/>
          <c:h val="0.709351851851852"/>
        </c:manualLayout>
      </c:layout>
      <c:barChart>
        <c:barDir val="col"/>
        <c:grouping val="stacked"/>
        <c:varyColors val="0"/>
        <c:ser>
          <c:idx val="0"/>
          <c:order val="0"/>
          <c:tx>
            <c:strRef>
              <c:f>[工作簿1]Sheet2!$D$23</c:f>
              <c:strCache>
                <c:ptCount val="1"/>
                <c:pt idx="0">
                  <c:v>一般公共预算财政拨款支出决算变动情况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[工作簿1]Sheet2!$C$24:$C$25</c:f>
              <c:numCache>
                <c:formatCode>General</c:formatCode>
                <c:ptCount val="2"/>
                <c:pt idx="0">
                  <c:v>2018</c:v>
                </c:pt>
                <c:pt idx="1">
                  <c:v>2017</c:v>
                </c:pt>
              </c:numCache>
            </c:numRef>
          </c:cat>
          <c:val>
            <c:numRef>
              <c:f>[工作簿1]Sheet2!$D$24:$D$25</c:f>
              <c:numCache>
                <c:formatCode>General</c:formatCode>
                <c:ptCount val="2"/>
                <c:pt idx="0">
                  <c:v>1153.05</c:v>
                </c:pt>
                <c:pt idx="1">
                  <c:v>648.8</c:v>
                </c:pt>
              </c:numCache>
            </c:numRef>
          </c:val>
        </c:ser>
        <c:dLbls>
          <c:showLegendKey val="0"/>
          <c:showVal val="1"/>
          <c:showCatName val="0"/>
          <c:showSerName val="0"/>
          <c:showPercent val="0"/>
          <c:showBubbleSize val="0"/>
        </c:dLbls>
        <c:gapWidth val="150"/>
        <c:overlap val="100"/>
        <c:axId val="412749184"/>
        <c:axId val="354167960"/>
      </c:barChart>
      <c:catAx>
        <c:axId val="4127491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4167960"/>
        <c:crosses val="autoZero"/>
        <c:auto val="1"/>
        <c:lblAlgn val="ctr"/>
        <c:lblOffset val="100"/>
        <c:noMultiLvlLbl val="0"/>
      </c:catAx>
      <c:valAx>
        <c:axId val="354167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749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6544444444444"/>
          <c:y val="0.0245925925925925"/>
          <c:w val="0.385244444444445"/>
          <c:h val="0.642074074074074"/>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4"/>
              <c:layout>
                <c:manualLayout>
                  <c:x val="-0.0183553851661645"/>
                  <c:y val="0.0050102546606052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125053881802518"/>
                  <c:y val="-0.012248463605697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[工作簿1]Sheet2!$D$31:$D$36</c:f>
              <c:strCache>
                <c:ptCount val="6"/>
                <c:pt idx="0">
                  <c:v>一般公共预算财政拨款支出决算结构</c:v>
                </c:pt>
                <c:pt idx="1">
                  <c:v>教育支出（类）</c:v>
                </c:pt>
                <c:pt idx="2">
                  <c:v>科学技术（类）</c:v>
                </c:pt>
                <c:pt idx="3">
                  <c:v>社会保障和就业（类）</c:v>
                </c:pt>
                <c:pt idx="4">
                  <c:v>医疗卫生支出</c:v>
                </c:pt>
                <c:pt idx="5">
                  <c:v>住房保障支出</c:v>
                </c:pt>
              </c:strCache>
            </c:strRef>
          </c:cat>
          <c:val>
            <c:numRef>
              <c:f>[工作簿1]Sheet2!$E$31:$E$36</c:f>
              <c:numCache>
                <c:formatCode>General</c:formatCode>
                <c:ptCount val="6"/>
                <c:pt idx="1">
                  <c:v>773.3</c:v>
                </c:pt>
                <c:pt idx="2">
                  <c:v>201.03</c:v>
                </c:pt>
                <c:pt idx="3">
                  <c:v>105.41</c:v>
                </c:pt>
                <c:pt idx="4">
                  <c:v>37.68</c:v>
                </c:pt>
                <c:pt idx="5">
                  <c:v>35.62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3">
  <a:schemeClr val="accent3"/>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基本">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3</TotalTime>
  <ScaleCrop>false</ScaleCrop>
  <LinksUpToDate>false</LinksUpToDate>
  <CharactersWithSpaces>9641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寻觅你</cp:lastModifiedBy>
  <cp:lastPrinted>2019-08-01T00:48:00Z</cp:lastPrinted>
  <dcterms:modified xsi:type="dcterms:W3CDTF">2019-09-23T01:52:43Z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