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7425"/>
      <w:bookmarkStart w:id="4" w:name="_Toc15378441"/>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598"/>
      <w:bookmarkStart w:id="7" w:name="_Toc15396476"/>
      <w:bookmarkStart w:id="8" w:name="_Toc15377426"/>
      <w:bookmarkStart w:id="9" w:name="_Toc15377194"/>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达州市开江县</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地方志编纂委员会办公室</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公开时间：2019年9月2</w:t>
      </w:r>
      <w:r>
        <w:rPr>
          <w:rFonts w:hint="eastAsia"/>
          <w:lang w:val="en-US" w:eastAsia="zh-CN"/>
        </w:rPr>
        <w:t>1</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bookmarkEnd w:id="12"/>
    <w:bookmarkEnd w:id="13"/>
    <w:p>
      <w:pPr>
        <w:spacing w:line="600" w:lineRule="exact"/>
        <w:jc w:val="center"/>
        <w:rPr>
          <w:rFonts w:hint="eastAsia" w:ascii="黑体" w:hAnsi="黑体" w:eastAsia="黑体" w:cs="黑体"/>
          <w:b/>
          <w:bCs/>
          <w:color w:val="000000" w:themeColor="text1"/>
          <w:sz w:val="52"/>
          <w:szCs w:val="52"/>
          <w:lang w:val="en-US"/>
          <w14:textFill>
            <w14:solidFill>
              <w14:schemeClr w14:val="tx1"/>
            </w14:solidFill>
          </w14:textFill>
        </w:rPr>
      </w:pPr>
      <w:r>
        <w:rPr>
          <w:rFonts w:hint="eastAsia" w:ascii="黑体" w:hAnsi="黑体" w:eastAsia="黑体" w:cs="黑体"/>
          <w:b/>
          <w:bCs/>
          <w:color w:val="000000" w:themeColor="text1"/>
          <w:sz w:val="52"/>
          <w:szCs w:val="52"/>
          <w:lang w:eastAsia="zh-CN"/>
          <w14:textFill>
            <w14:solidFill>
              <w14:schemeClr w14:val="tx1"/>
            </w14:solidFill>
          </w14:textFill>
        </w:rPr>
        <w:t>开江县</w:t>
      </w:r>
      <w:r>
        <w:rPr>
          <w:rFonts w:hint="eastAsia" w:ascii="黑体" w:hAnsi="黑体" w:eastAsia="黑体" w:cs="黑体"/>
          <w:b/>
          <w:bCs/>
          <w:color w:val="000000" w:themeColor="text1"/>
          <w:sz w:val="52"/>
          <w:szCs w:val="52"/>
          <w:lang w:val="en-US" w:eastAsia="zh-CN"/>
          <w14:textFill>
            <w14:solidFill>
              <w14:schemeClr w14:val="tx1"/>
            </w14:solidFill>
          </w14:textFill>
        </w:rPr>
        <w:t>地方志编纂委员会办公室</w:t>
      </w:r>
    </w:p>
    <w:p>
      <w:pPr>
        <w:spacing w:line="600" w:lineRule="exact"/>
        <w:jc w:val="center"/>
        <w:rPr>
          <w:rFonts w:hint="eastAsia" w:ascii="黑体" w:hAnsi="黑体" w:eastAsia="黑体" w:cs="黑体"/>
          <w:b/>
          <w:bCs/>
          <w:color w:val="000000" w:themeColor="text1"/>
          <w:sz w:val="52"/>
          <w:szCs w:val="52"/>
          <w14:textFill>
            <w14:solidFill>
              <w14:schemeClr w14:val="tx1"/>
            </w14:solidFill>
          </w14:textFill>
        </w:rPr>
      </w:pPr>
      <w:r>
        <w:rPr>
          <w:rFonts w:hint="eastAsia" w:ascii="黑体" w:hAnsi="黑体" w:eastAsia="黑体" w:cs="黑体"/>
          <w:b/>
          <w:bCs/>
          <w:color w:val="000000" w:themeColor="text1"/>
          <w:sz w:val="52"/>
          <w:szCs w:val="52"/>
          <w14:textFill>
            <w14:solidFill>
              <w14:schemeClr w14:val="tx1"/>
            </w14:solidFill>
          </w14:textFill>
        </w:rPr>
        <w:t>201</w:t>
      </w:r>
      <w:r>
        <w:rPr>
          <w:rFonts w:hint="eastAsia" w:ascii="黑体" w:hAnsi="黑体" w:eastAsia="黑体" w:cs="黑体"/>
          <w:b/>
          <w:bCs/>
          <w:color w:val="000000" w:themeColor="text1"/>
          <w:sz w:val="52"/>
          <w:szCs w:val="52"/>
          <w:lang w:val="en-US" w:eastAsia="zh-CN"/>
          <w14:textFill>
            <w14:solidFill>
              <w14:schemeClr w14:val="tx1"/>
            </w14:solidFill>
          </w14:textFill>
        </w:rPr>
        <w:t>8</w:t>
      </w:r>
      <w:r>
        <w:rPr>
          <w:rFonts w:hint="eastAsia" w:ascii="黑体" w:hAnsi="黑体" w:eastAsia="黑体" w:cs="黑体"/>
          <w:b/>
          <w:bCs/>
          <w:color w:val="000000" w:themeColor="text1"/>
          <w:sz w:val="52"/>
          <w:szCs w:val="52"/>
          <w14:textFill>
            <w14:solidFill>
              <w14:schemeClr w14:val="tx1"/>
            </w14:solidFill>
          </w14:textFill>
        </w:rPr>
        <w:t>年部门决算编制说明</w:t>
      </w:r>
    </w:p>
    <w:p>
      <w:pPr>
        <w:pStyle w:val="2"/>
        <w:jc w:val="center"/>
        <w:rPr>
          <w:rFonts w:hint="eastAsia" w:ascii="宋体" w:hAnsi="宋体"/>
          <w:b/>
          <w:color w:val="000000"/>
          <w:sz w:val="44"/>
          <w:szCs w:val="44"/>
        </w:rPr>
      </w:pPr>
      <w:r>
        <w:rPr>
          <w:rFonts w:hint="eastAsia" w:ascii="黑体" w:hAnsi="黑体" w:eastAsia="黑体"/>
          <w:b w:val="0"/>
        </w:rPr>
        <w:t xml:space="preserve">第一部分 </w:t>
      </w:r>
      <w:r>
        <w:rPr>
          <w:rStyle w:val="25"/>
          <w:rFonts w:hint="eastAsia" w:ascii="黑体" w:hAnsi="黑体" w:eastAsia="黑体"/>
          <w:b w:val="0"/>
          <w:bCs w:val="0"/>
        </w:rPr>
        <w:t>部门概况</w:t>
      </w:r>
    </w:p>
    <w:p>
      <w:pPr>
        <w:spacing w:line="600" w:lineRule="exact"/>
        <w:ind w:firstLine="640" w:firstLineChars="200"/>
        <w:rPr>
          <w:rFonts w:hint="eastAsia" w:ascii="黑体" w:eastAsia="黑体"/>
          <w:color w:val="000000"/>
          <w:sz w:val="32"/>
          <w:szCs w:val="32"/>
        </w:rPr>
      </w:pPr>
      <w:r>
        <w:rPr>
          <w:rFonts w:hint="eastAsia" w:ascii="黑体" w:eastAsia="黑体"/>
          <w:color w:val="000000"/>
          <w:sz w:val="32"/>
          <w:szCs w:val="32"/>
        </w:rPr>
        <w:t>一、基本职能及主要工作</w:t>
      </w:r>
    </w:p>
    <w:p>
      <w:pPr>
        <w:numPr>
          <w:ilvl w:val="0"/>
          <w:numId w:val="0"/>
        </w:numPr>
        <w:ind w:firstLine="640" w:firstLineChars="200"/>
        <w:rPr>
          <w:rFonts w:hint="eastAsia" w:ascii="方正仿宋简体" w:hAnsi="方正仿宋简体" w:eastAsia="仿宋" w:cs="方正仿宋简体"/>
          <w:sz w:val="32"/>
          <w:szCs w:val="32"/>
        </w:rPr>
      </w:pPr>
      <w:r>
        <w:rPr>
          <w:rFonts w:hint="eastAsia" w:eastAsia="仿宋"/>
          <w:bCs/>
          <w:color w:val="000000"/>
          <w:sz w:val="32"/>
          <w:szCs w:val="32"/>
        </w:rPr>
        <w:t>（一）主要职能。</w:t>
      </w:r>
      <w:r>
        <w:rPr>
          <w:rFonts w:hint="eastAsia" w:ascii="方正仿宋简体" w:hAnsi="方正仿宋简体" w:eastAsia="仿宋" w:cs="方正仿宋简体"/>
          <w:sz w:val="32"/>
          <w:szCs w:val="32"/>
          <w:lang w:val="en-US" w:eastAsia="zh-CN"/>
        </w:rPr>
        <w:t>1、</w:t>
      </w:r>
      <w:r>
        <w:rPr>
          <w:rFonts w:hint="eastAsia" w:ascii="方正仿宋简体" w:hAnsi="方正仿宋简体" w:eastAsia="仿宋" w:cs="方正仿宋简体"/>
          <w:sz w:val="32"/>
          <w:szCs w:val="32"/>
        </w:rPr>
        <w:t>负责执行有关地方志工作的方针、政策和法律、法规、规章，并监督实施。</w:t>
      </w:r>
      <w:r>
        <w:rPr>
          <w:rFonts w:hint="eastAsia" w:ascii="方正仿宋简体" w:hAnsi="方正仿宋简体" w:eastAsia="仿宋" w:cs="方正仿宋简体"/>
          <w:sz w:val="32"/>
          <w:szCs w:val="32"/>
          <w:lang w:val="en-US" w:eastAsia="zh-CN"/>
        </w:rPr>
        <w:t>2、</w:t>
      </w:r>
      <w:r>
        <w:rPr>
          <w:rFonts w:hint="eastAsia" w:ascii="方正仿宋简体" w:hAnsi="方正仿宋简体" w:eastAsia="仿宋" w:cs="方正仿宋简体"/>
          <w:sz w:val="32"/>
          <w:szCs w:val="32"/>
        </w:rPr>
        <w:t>根据国民经济和社会发展总体要求，拟定开江县地方志工作的中长期规划和制定年度计划，并组织实施。</w:t>
      </w:r>
      <w:r>
        <w:rPr>
          <w:rFonts w:hint="eastAsia" w:ascii="方正仿宋简体" w:hAnsi="方正仿宋简体" w:eastAsia="仿宋" w:cs="方正仿宋简体"/>
          <w:sz w:val="32"/>
          <w:szCs w:val="32"/>
          <w:lang w:val="en-US" w:eastAsia="zh-CN"/>
        </w:rPr>
        <w:t>3、</w:t>
      </w:r>
      <w:r>
        <w:rPr>
          <w:rFonts w:hint="eastAsia" w:ascii="方正仿宋简体" w:hAnsi="方正仿宋简体" w:eastAsia="仿宋" w:cs="方正仿宋简体"/>
          <w:sz w:val="32"/>
          <w:szCs w:val="32"/>
        </w:rPr>
        <w:t>组织、指导受县政府委托管理开江县地方志书、史书、地方综合年鉴等编纂工作；拟定《开江县志》编纂方案，组织《开江县志》的编修工作。</w:t>
      </w:r>
      <w:r>
        <w:rPr>
          <w:rFonts w:hint="eastAsia" w:ascii="方正仿宋简体" w:hAnsi="方正仿宋简体" w:eastAsia="仿宋" w:cs="方正仿宋简体"/>
          <w:sz w:val="32"/>
          <w:szCs w:val="32"/>
          <w:lang w:val="en-US" w:eastAsia="zh-CN"/>
        </w:rPr>
        <w:t>4、</w:t>
      </w:r>
      <w:r>
        <w:rPr>
          <w:rFonts w:hint="eastAsia" w:ascii="方正仿宋简体" w:hAnsi="方正仿宋简体" w:eastAsia="仿宋" w:cs="方正仿宋简体"/>
          <w:sz w:val="32"/>
          <w:szCs w:val="32"/>
        </w:rPr>
        <w:t>组织、指导受县政府委托管理开江县各乡镇、部门地方综合年鉴、专业年鉴工作；组织《开江年鉴》编纂工作。</w:t>
      </w:r>
      <w:r>
        <w:rPr>
          <w:rFonts w:hint="eastAsia" w:ascii="方正仿宋简体" w:hAnsi="方正仿宋简体" w:eastAsia="仿宋" w:cs="方正仿宋简体"/>
          <w:sz w:val="32"/>
          <w:szCs w:val="32"/>
          <w:lang w:val="en-US" w:eastAsia="zh-CN"/>
        </w:rPr>
        <w:t>5、</w:t>
      </w:r>
      <w:r>
        <w:rPr>
          <w:rFonts w:hint="eastAsia" w:ascii="方正仿宋简体" w:hAnsi="方正仿宋简体" w:eastAsia="仿宋" w:cs="方正仿宋简体"/>
          <w:sz w:val="32"/>
          <w:szCs w:val="32"/>
        </w:rPr>
        <w:t>组织对县志、乡镇、部门（行业）志及乡镇、部门专业年鉴审查验收及出版印刷许可。</w:t>
      </w:r>
      <w:r>
        <w:rPr>
          <w:rFonts w:hint="eastAsia" w:ascii="方正仿宋简体" w:hAnsi="方正仿宋简体" w:eastAsia="仿宋" w:cs="方正仿宋简体"/>
          <w:sz w:val="32"/>
          <w:szCs w:val="32"/>
          <w:lang w:val="en-US" w:eastAsia="zh-CN"/>
        </w:rPr>
        <w:t>6、</w:t>
      </w:r>
      <w:r>
        <w:rPr>
          <w:rFonts w:hint="eastAsia" w:ascii="方正仿宋简体" w:hAnsi="方正仿宋简体" w:eastAsia="仿宋" w:cs="方正仿宋简体"/>
          <w:sz w:val="32"/>
          <w:szCs w:val="32"/>
        </w:rPr>
        <w:t>组织地方志法规宣传工作；编辑地方志期刊。</w:t>
      </w:r>
      <w:r>
        <w:rPr>
          <w:rFonts w:hint="eastAsia" w:ascii="方正仿宋简体" w:hAnsi="方正仿宋简体" w:eastAsia="仿宋" w:cs="方正仿宋简体"/>
          <w:sz w:val="32"/>
          <w:szCs w:val="32"/>
          <w:lang w:val="en-US" w:eastAsia="zh-CN"/>
        </w:rPr>
        <w:t>7、</w:t>
      </w:r>
      <w:r>
        <w:rPr>
          <w:rFonts w:hint="eastAsia" w:ascii="方正仿宋简体" w:hAnsi="方正仿宋简体" w:eastAsia="仿宋" w:cs="方正仿宋简体"/>
          <w:sz w:val="32"/>
          <w:szCs w:val="32"/>
        </w:rPr>
        <w:t>搜集、整理、保存地方志文献和资料，组织开发利用地方志资源。</w:t>
      </w:r>
      <w:r>
        <w:rPr>
          <w:rFonts w:hint="eastAsia" w:ascii="方正仿宋简体" w:hAnsi="方正仿宋简体" w:eastAsia="仿宋" w:cs="方正仿宋简体"/>
          <w:sz w:val="32"/>
          <w:szCs w:val="32"/>
          <w:lang w:val="en-US" w:eastAsia="zh-CN"/>
        </w:rPr>
        <w:t>8、</w:t>
      </w:r>
      <w:r>
        <w:rPr>
          <w:rFonts w:hint="eastAsia" w:ascii="方正仿宋简体" w:hAnsi="方正仿宋简体" w:eastAsia="仿宋" w:cs="方正仿宋简体"/>
          <w:sz w:val="32"/>
          <w:szCs w:val="32"/>
        </w:rPr>
        <w:t>组织整理旧志，推动方志理论研究。</w:t>
      </w:r>
      <w:r>
        <w:rPr>
          <w:rFonts w:hint="eastAsia" w:ascii="方正仿宋简体" w:hAnsi="方正仿宋简体" w:eastAsia="仿宋" w:cs="方正仿宋简体"/>
          <w:sz w:val="32"/>
          <w:szCs w:val="32"/>
          <w:lang w:val="en-US" w:eastAsia="zh-CN"/>
        </w:rPr>
        <w:t>9、</w:t>
      </w:r>
      <w:r>
        <w:rPr>
          <w:rFonts w:hint="eastAsia" w:ascii="方正仿宋简体" w:hAnsi="方正仿宋简体" w:eastAsia="仿宋" w:cs="方正仿宋简体"/>
          <w:sz w:val="32"/>
          <w:szCs w:val="32"/>
        </w:rPr>
        <w:t>承办县委、县政府及主管部门交办的其他事项。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 w:hAnsi="仿宋" w:eastAsia="仿宋" w:cs="仿宋"/>
          <w:sz w:val="32"/>
          <w:szCs w:val="32"/>
          <w:lang w:eastAsia="zh-CN"/>
        </w:rPr>
      </w:pPr>
      <w:r>
        <w:rPr>
          <w:rFonts w:hint="eastAsia" w:eastAsia="仿宋"/>
          <w:bCs/>
          <w:color w:val="000000"/>
          <w:sz w:val="32"/>
          <w:szCs w:val="32"/>
        </w:rPr>
        <w:t>（二）201</w:t>
      </w:r>
      <w:r>
        <w:rPr>
          <w:rFonts w:hint="eastAsia" w:eastAsia="仿宋"/>
          <w:bCs/>
          <w:color w:val="000000"/>
          <w:sz w:val="32"/>
          <w:szCs w:val="32"/>
          <w:lang w:val="en-US" w:eastAsia="zh-CN"/>
        </w:rPr>
        <w:t>8</w:t>
      </w:r>
      <w:r>
        <w:rPr>
          <w:rFonts w:hint="eastAsia" w:eastAsia="仿宋"/>
          <w:bCs/>
          <w:color w:val="000000"/>
          <w:sz w:val="32"/>
          <w:szCs w:val="32"/>
        </w:rPr>
        <w:t>年重点工作完成情况。</w:t>
      </w:r>
      <w:r>
        <w:rPr>
          <w:rFonts w:hint="eastAsia" w:ascii="仿宋" w:hAnsi="仿宋" w:eastAsia="仿宋" w:cs="仿宋"/>
          <w:b w:val="0"/>
          <w:bCs w:val="0"/>
          <w:color w:val="333333"/>
          <w:sz w:val="32"/>
          <w:szCs w:val="32"/>
          <w:lang w:val="en-US" w:eastAsia="zh-CN"/>
        </w:rPr>
        <w:t>出版《</w:t>
      </w:r>
      <w:r>
        <w:rPr>
          <w:rFonts w:hint="eastAsia" w:ascii="仿宋" w:hAnsi="仿宋" w:eastAsia="仿宋" w:cs="仿宋"/>
          <w:b w:val="0"/>
          <w:bCs w:val="0"/>
          <w:color w:val="333333"/>
          <w:sz w:val="32"/>
          <w:szCs w:val="32"/>
          <w:lang w:eastAsia="zh-CN"/>
        </w:rPr>
        <w:t>开江年鉴（</w:t>
      </w:r>
      <w:r>
        <w:rPr>
          <w:rFonts w:hint="eastAsia" w:ascii="仿宋" w:hAnsi="仿宋" w:eastAsia="仿宋" w:cs="仿宋"/>
          <w:b w:val="0"/>
          <w:bCs w:val="0"/>
          <w:color w:val="333333"/>
          <w:sz w:val="32"/>
          <w:szCs w:val="32"/>
          <w:lang w:val="en-US" w:eastAsia="zh-CN"/>
        </w:rPr>
        <w:t>2017</w:t>
      </w:r>
      <w:r>
        <w:rPr>
          <w:rFonts w:hint="eastAsia" w:ascii="仿宋" w:hAnsi="仿宋" w:eastAsia="仿宋" w:cs="仿宋"/>
          <w:b w:val="0"/>
          <w:bCs w:val="0"/>
          <w:color w:val="333333"/>
          <w:sz w:val="32"/>
          <w:szCs w:val="32"/>
          <w:lang w:eastAsia="zh-CN"/>
        </w:rPr>
        <w:t>）》；</w:t>
      </w:r>
      <w:r>
        <w:rPr>
          <w:rFonts w:hint="eastAsia" w:ascii="仿宋" w:hAnsi="仿宋" w:eastAsia="仿宋" w:cs="仿宋"/>
          <w:b w:val="0"/>
          <w:bCs w:val="0"/>
          <w:sz w:val="32"/>
          <w:szCs w:val="32"/>
          <w:lang w:val="en-US" w:eastAsia="zh-CN"/>
        </w:rPr>
        <w:t>编纂</w:t>
      </w:r>
      <w:r>
        <w:rPr>
          <w:rFonts w:hint="eastAsia" w:ascii="仿宋" w:hAnsi="仿宋" w:eastAsia="仿宋" w:cs="仿宋"/>
          <w:b w:val="0"/>
          <w:bCs w:val="0"/>
          <w:sz w:val="32"/>
          <w:szCs w:val="32"/>
        </w:rPr>
        <w:t>《开江年鉴（201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协助县政府网管办将《开江记忆》一书电子版上传至开江县人民政府门户网站，大大方便了人们的阅读；配合中央电视台、县委宣传部、县电视台完成大型纪录片《中国影像志·开江篇》前期策划、撰稿和历史佐证资料的提供，并陪同记者到部分乡镇实地拍摄；报送</w:t>
      </w:r>
      <w:r>
        <w:rPr>
          <w:rFonts w:hint="eastAsia" w:ascii="仿宋" w:hAnsi="仿宋" w:eastAsia="仿宋" w:cs="仿宋"/>
          <w:sz w:val="32"/>
          <w:szCs w:val="32"/>
        </w:rPr>
        <w:t>《四川年鉴·开江概况》</w:t>
      </w:r>
      <w:r>
        <w:rPr>
          <w:rFonts w:hint="eastAsia" w:ascii="仿宋" w:hAnsi="仿宋" w:eastAsia="仿宋" w:cs="仿宋"/>
          <w:sz w:val="32"/>
          <w:szCs w:val="32"/>
          <w:lang w:eastAsia="zh-CN"/>
        </w:rPr>
        <w:t>资料；</w:t>
      </w:r>
      <w:r>
        <w:rPr>
          <w:rFonts w:hint="eastAsia" w:ascii="仿宋" w:hAnsi="仿宋" w:eastAsia="仿宋" w:cs="仿宋"/>
          <w:sz w:val="32"/>
          <w:szCs w:val="32"/>
          <w:lang w:val="en-US" w:eastAsia="zh-CN"/>
        </w:rPr>
        <w:t>报送</w:t>
      </w:r>
      <w:r>
        <w:rPr>
          <w:rFonts w:hint="eastAsia" w:ascii="仿宋" w:hAnsi="仿宋" w:eastAsia="仿宋" w:cs="仿宋"/>
          <w:sz w:val="32"/>
          <w:szCs w:val="32"/>
        </w:rPr>
        <w:t>《达州年鉴·开江</w:t>
      </w:r>
      <w:r>
        <w:rPr>
          <w:rFonts w:hint="eastAsia" w:ascii="仿宋" w:hAnsi="仿宋" w:eastAsia="仿宋" w:cs="仿宋"/>
          <w:sz w:val="32"/>
          <w:szCs w:val="32"/>
          <w:lang w:eastAsia="zh-CN"/>
        </w:rPr>
        <w:t>卷</w:t>
      </w:r>
      <w:r>
        <w:rPr>
          <w:rFonts w:hint="eastAsia" w:ascii="仿宋" w:hAnsi="仿宋" w:eastAsia="仿宋" w:cs="仿宋"/>
          <w:sz w:val="32"/>
          <w:szCs w:val="32"/>
        </w:rPr>
        <w:t>》</w:t>
      </w:r>
      <w:r>
        <w:rPr>
          <w:rFonts w:hint="eastAsia" w:ascii="仿宋" w:hAnsi="仿宋" w:eastAsia="仿宋" w:cs="仿宋"/>
          <w:sz w:val="32"/>
          <w:szCs w:val="32"/>
          <w:lang w:eastAsia="zh-CN"/>
        </w:rPr>
        <w:t>资料；</w:t>
      </w:r>
      <w:r>
        <w:rPr>
          <w:rFonts w:hint="eastAsia" w:ascii="仿宋" w:hAnsi="仿宋" w:eastAsia="仿宋" w:cs="仿宋"/>
          <w:sz w:val="32"/>
          <w:szCs w:val="32"/>
          <w:lang w:val="en-US" w:eastAsia="zh-CN"/>
        </w:rPr>
        <w:t>完成省志办“深入挖掘地情资源服务经济社会发展”组稿工作，撰写了质量较高的综合地情文献《川东小平原--开江》；</w:t>
      </w:r>
      <w:r>
        <w:rPr>
          <w:rFonts w:hint="eastAsia" w:ascii="仿宋" w:hAnsi="仿宋" w:eastAsia="仿宋" w:cs="仿宋"/>
          <w:sz w:val="32"/>
          <w:szCs w:val="32"/>
          <w:lang w:eastAsia="zh-CN"/>
        </w:rPr>
        <w:t>完成</w:t>
      </w:r>
      <w:r>
        <w:rPr>
          <w:rFonts w:hint="eastAsia" w:ascii="仿宋" w:hAnsi="仿宋" w:eastAsia="仿宋" w:cs="仿宋"/>
          <w:b w:val="0"/>
          <w:bCs w:val="0"/>
          <w:sz w:val="32"/>
          <w:szCs w:val="32"/>
        </w:rPr>
        <w:t>《开江古县志集全》</w:t>
      </w:r>
      <w:r>
        <w:rPr>
          <w:rFonts w:hint="eastAsia" w:ascii="仿宋" w:hAnsi="仿宋" w:eastAsia="仿宋" w:cs="仿宋"/>
          <w:sz w:val="32"/>
          <w:szCs w:val="32"/>
          <w:lang w:eastAsia="zh-CN"/>
        </w:rPr>
        <w:t>旧志影印前期工作；</w:t>
      </w:r>
      <w:r>
        <w:rPr>
          <w:rFonts w:hint="eastAsia" w:ascii="仿宋" w:hAnsi="仿宋" w:eastAsia="仿宋" w:cs="仿宋"/>
          <w:sz w:val="32"/>
          <w:szCs w:val="32"/>
        </w:rPr>
        <w:t>督促、指导部门志、乡镇志</w:t>
      </w:r>
      <w:r>
        <w:rPr>
          <w:rFonts w:hint="eastAsia" w:ascii="仿宋" w:hAnsi="仿宋" w:eastAsia="仿宋" w:cs="仿宋"/>
          <w:sz w:val="32"/>
          <w:szCs w:val="32"/>
          <w:lang w:eastAsia="zh-CN"/>
        </w:rPr>
        <w:t>的</w:t>
      </w:r>
      <w:r>
        <w:rPr>
          <w:rFonts w:hint="eastAsia" w:ascii="仿宋" w:hAnsi="仿宋" w:eastAsia="仿宋" w:cs="仿宋"/>
          <w:sz w:val="32"/>
          <w:szCs w:val="32"/>
        </w:rPr>
        <w:t>编纂</w:t>
      </w:r>
      <w:r>
        <w:rPr>
          <w:rFonts w:hint="eastAsia" w:ascii="仿宋" w:hAnsi="仿宋" w:eastAsia="仿宋" w:cs="仿宋"/>
          <w:sz w:val="32"/>
          <w:szCs w:val="32"/>
          <w:lang w:eastAsia="zh-CN"/>
        </w:rPr>
        <w:t>；协助县农业局、稻法自然公司做好“大闸蟹”“小龙虾”等开江特色水产的宣传工作，并将其写入年鉴，以利该公司申报国家地理标志产品。</w:t>
      </w:r>
      <w:r>
        <w:rPr>
          <w:rFonts w:hint="eastAsia" w:ascii="仿宋" w:hAnsi="仿宋" w:eastAsia="仿宋" w:cs="仿宋"/>
          <w:sz w:val="32"/>
          <w:szCs w:val="32"/>
          <w:lang w:val="en-US" w:eastAsia="zh-CN"/>
        </w:rPr>
        <w:t>同时，落实专人</w:t>
      </w:r>
      <w:r>
        <w:rPr>
          <w:rFonts w:hint="eastAsia" w:ascii="仿宋" w:hAnsi="仿宋" w:eastAsia="仿宋" w:cs="仿宋"/>
          <w:sz w:val="32"/>
          <w:szCs w:val="32"/>
          <w:lang w:eastAsia="zh-CN"/>
        </w:rPr>
        <w:t>按时完成每月</w:t>
      </w:r>
      <w:r>
        <w:rPr>
          <w:rFonts w:hint="eastAsia" w:ascii="仿宋" w:hAnsi="仿宋" w:eastAsia="仿宋" w:cs="仿宋"/>
          <w:sz w:val="32"/>
          <w:szCs w:val="32"/>
          <w:lang w:val="en-US" w:eastAsia="zh-CN"/>
        </w:rPr>
        <w:t>开江县大事记的收集、编辑，并及时上传至县人民政府门户网站。</w:t>
      </w:r>
    </w:p>
    <w:p>
      <w:pPr>
        <w:spacing w:line="600" w:lineRule="exact"/>
        <w:ind w:firstLine="640" w:firstLineChars="200"/>
        <w:rPr>
          <w:rFonts w:hint="eastAsia" w:ascii="黑体" w:eastAsia="黑体"/>
          <w:color w:val="000000"/>
          <w:sz w:val="32"/>
          <w:szCs w:val="32"/>
        </w:rPr>
      </w:pPr>
      <w:r>
        <w:rPr>
          <w:rFonts w:hint="eastAsia" w:ascii="黑体" w:eastAsia="黑体"/>
          <w:color w:val="000000"/>
          <w:sz w:val="32"/>
          <w:szCs w:val="32"/>
        </w:rPr>
        <w:t>二、部门概况</w:t>
      </w:r>
    </w:p>
    <w:p>
      <w:pPr>
        <w:widowControl/>
        <w:shd w:val="clear" w:color="auto" w:fill="FFFFFF"/>
        <w:spacing w:line="560" w:lineRule="exact"/>
        <w:ind w:firstLine="640" w:firstLineChars="200"/>
        <w:jc w:val="left"/>
        <w:rPr>
          <w:rFonts w:hint="eastAsia" w:ascii="方正仿宋简体" w:hAnsi="方正仿宋简体" w:eastAsia="仿宋" w:cs="方正仿宋简体"/>
          <w:b w:val="0"/>
          <w:bCs w:val="0"/>
          <w:sz w:val="32"/>
          <w:szCs w:val="32"/>
        </w:rPr>
      </w:pPr>
      <w:r>
        <w:rPr>
          <w:rFonts w:hint="eastAsia" w:ascii="方正仿宋简体" w:hAnsi="方正仿宋简体" w:eastAsia="仿宋" w:cs="方正仿宋简体"/>
          <w:b w:val="0"/>
          <w:bCs w:val="0"/>
          <w:sz w:val="32"/>
          <w:szCs w:val="32"/>
        </w:rPr>
        <w:t>县</w:t>
      </w:r>
      <w:r>
        <w:rPr>
          <w:rFonts w:hint="eastAsia" w:ascii="方正仿宋简体" w:hAnsi="方正仿宋简体" w:eastAsia="仿宋" w:cs="方正仿宋简体"/>
          <w:b w:val="0"/>
          <w:bCs w:val="0"/>
          <w:sz w:val="32"/>
          <w:szCs w:val="32"/>
          <w:lang w:eastAsia="zh-CN"/>
        </w:rPr>
        <w:t>志办</w:t>
      </w:r>
      <w:r>
        <w:rPr>
          <w:rFonts w:hint="eastAsia" w:ascii="方正仿宋简体" w:hAnsi="方正仿宋简体" w:eastAsia="仿宋" w:cs="方正仿宋简体"/>
          <w:b w:val="0"/>
          <w:bCs w:val="0"/>
          <w:sz w:val="32"/>
          <w:szCs w:val="32"/>
        </w:rPr>
        <w:t>是属独立核算的</w:t>
      </w:r>
      <w:r>
        <w:rPr>
          <w:rFonts w:hint="eastAsia" w:ascii="方正仿宋简体" w:hAnsi="方正仿宋简体" w:eastAsia="仿宋" w:cs="方正仿宋简体"/>
          <w:b w:val="0"/>
          <w:bCs w:val="0"/>
          <w:sz w:val="32"/>
          <w:szCs w:val="32"/>
          <w:lang w:eastAsia="zh-CN"/>
        </w:rPr>
        <w:t>参照公务员法管理的事业</w:t>
      </w:r>
      <w:r>
        <w:rPr>
          <w:rFonts w:hint="eastAsia" w:ascii="方正仿宋简体" w:hAnsi="方正仿宋简体" w:eastAsia="仿宋" w:cs="方正仿宋简体"/>
          <w:b w:val="0"/>
          <w:bCs w:val="0"/>
          <w:sz w:val="32"/>
          <w:szCs w:val="32"/>
        </w:rPr>
        <w:t>单位</w:t>
      </w:r>
      <w:r>
        <w:rPr>
          <w:rFonts w:hint="eastAsia" w:ascii="方正仿宋简体" w:hAnsi="方正仿宋简体" w:eastAsia="仿宋" w:cs="方正仿宋简体"/>
          <w:b w:val="0"/>
          <w:bCs w:val="0"/>
          <w:sz w:val="32"/>
          <w:szCs w:val="32"/>
          <w:lang w:val="en-US" w:eastAsia="zh-CN"/>
        </w:rPr>
        <w:t>1个</w:t>
      </w:r>
      <w:r>
        <w:rPr>
          <w:rFonts w:hint="eastAsia" w:ascii="方正仿宋简体" w:hAnsi="方正仿宋简体" w:eastAsia="仿宋" w:cs="方正仿宋简体"/>
          <w:b w:val="0"/>
          <w:bCs w:val="0"/>
          <w:sz w:val="32"/>
          <w:szCs w:val="32"/>
        </w:rPr>
        <w:t>。</w:t>
      </w:r>
    </w:p>
    <w:p>
      <w:pPr>
        <w:pStyle w:val="2"/>
        <w:ind w:right="440"/>
        <w:jc w:val="right"/>
        <w:rPr>
          <w:rStyle w:val="25"/>
          <w:rFonts w:ascii="黑体" w:hAnsi="黑体" w:eastAsia="黑体"/>
          <w:b w:val="0"/>
          <w:bCs w:val="0"/>
        </w:rPr>
      </w:pPr>
      <w:bookmarkStart w:id="14" w:name="_Toc15396602"/>
      <w:bookmarkStart w:id="15"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14"/>
      <w:bookmarkEnd w:id="15"/>
    </w:p>
    <w:p>
      <w:pPr>
        <w:pStyle w:val="24"/>
        <w:numPr>
          <w:ilvl w:val="0"/>
          <w:numId w:val="1"/>
        </w:numPr>
        <w:spacing w:line="600" w:lineRule="exact"/>
        <w:ind w:firstLineChars="0"/>
        <w:outlineLvl w:val="1"/>
        <w:rPr>
          <w:rStyle w:val="26"/>
          <w:rFonts w:ascii="黑体" w:hAnsi="黑体" w:eastAsia="黑体"/>
          <w:b w:val="0"/>
        </w:rPr>
      </w:pPr>
      <w:bookmarkStart w:id="16" w:name="_Toc15396603"/>
      <w:bookmarkStart w:id="17"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16"/>
      <w:bookmarkEnd w:id="1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118.16</w:t>
      </w:r>
      <w:r>
        <w:rPr>
          <w:rFonts w:hint="eastAsia" w:ascii="仿宋" w:hAnsi="仿宋" w:eastAsia="仿宋"/>
          <w:color w:val="000000"/>
          <w:sz w:val="32"/>
          <w:szCs w:val="32"/>
        </w:rPr>
        <w:t>万元。与2017年相比，收、支总计各增加</w:t>
      </w:r>
      <w:r>
        <w:rPr>
          <w:rFonts w:hint="eastAsia" w:ascii="仿宋" w:hAnsi="仿宋" w:eastAsia="仿宋"/>
          <w:color w:val="000000"/>
          <w:sz w:val="32"/>
          <w:szCs w:val="32"/>
          <w:lang w:val="en-US" w:eastAsia="zh-CN"/>
        </w:rPr>
        <w:t>33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38.75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jc w:val="left"/>
        <w:rPr>
          <w:rFonts w:hint="eastAsia" w:ascii="仿宋_GB2312" w:eastAsia="仿宋_GB2312"/>
          <w:color w:val="000000"/>
          <w:sz w:val="32"/>
          <w:szCs w:val="32"/>
          <w:lang w:eastAsia="zh-CN"/>
        </w:rPr>
      </w:pPr>
    </w:p>
    <w:p>
      <w:pPr>
        <w:pStyle w:val="24"/>
        <w:numPr>
          <w:ilvl w:val="0"/>
          <w:numId w:val="0"/>
        </w:numPr>
        <w:spacing w:line="600" w:lineRule="exact"/>
        <w:ind w:left="640" w:leftChars="0"/>
        <w:outlineLvl w:val="1"/>
        <w:rPr>
          <w:rStyle w:val="26"/>
          <w:rFonts w:ascii="黑体" w:hAnsi="黑体" w:eastAsia="黑体"/>
          <w:b w:val="0"/>
        </w:rPr>
      </w:pPr>
      <w:bookmarkStart w:id="18" w:name="_Toc15377206"/>
      <w:bookmarkStart w:id="19" w:name="_Toc15396604"/>
    </w:p>
    <w:p>
      <w:pPr>
        <w:pStyle w:val="24"/>
        <w:numPr>
          <w:ilvl w:val="0"/>
          <w:numId w:val="0"/>
        </w:numPr>
        <w:spacing w:line="600" w:lineRule="exact"/>
        <w:ind w:left="640" w:leftChars="0"/>
        <w:outlineLvl w:val="1"/>
        <w:rPr>
          <w:rStyle w:val="26"/>
          <w:rFonts w:ascii="黑体" w:hAnsi="黑体" w:eastAsia="黑体"/>
          <w:b w:val="0"/>
        </w:rPr>
      </w:pPr>
    </w:p>
    <w:p>
      <w:pPr>
        <w:pStyle w:val="24"/>
        <w:numPr>
          <w:ilvl w:val="0"/>
          <w:numId w:val="0"/>
        </w:numPr>
        <w:spacing w:line="600" w:lineRule="exact"/>
        <w:ind w:left="640" w:leftChars="0"/>
        <w:outlineLvl w:val="1"/>
        <w:rPr>
          <w:rStyle w:val="26"/>
          <w:rFonts w:ascii="黑体" w:hAnsi="黑体" w:eastAsia="黑体"/>
          <w:b w:val="0"/>
        </w:rPr>
      </w:pPr>
      <w:r>
        <w:rPr>
          <w:rFonts w:hint="eastAsia" w:ascii="仿宋_GB2312" w:eastAsia="仿宋_GB2312"/>
          <w:color w:val="000000"/>
          <w:sz w:val="32"/>
          <w:szCs w:val="32"/>
          <w:lang w:eastAsia="zh-CN"/>
        </w:rPr>
        <w:drawing>
          <wp:anchor distT="0" distB="0" distL="114300" distR="114300" simplePos="0" relativeHeight="251658240" behindDoc="0" locked="0" layoutInCell="1" allowOverlap="1">
            <wp:simplePos x="0" y="0"/>
            <wp:positionH relativeFrom="column">
              <wp:posOffset>89535</wp:posOffset>
            </wp:positionH>
            <wp:positionV relativeFrom="paragraph">
              <wp:posOffset>179070</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0"/>
        </w:numPr>
        <w:spacing w:line="600" w:lineRule="exact"/>
        <w:ind w:left="640" w:leftChars="0"/>
        <w:outlineLvl w:val="1"/>
        <w:rPr>
          <w:rStyle w:val="26"/>
          <w:rFonts w:ascii="黑体" w:hAnsi="黑体" w:eastAsia="黑体"/>
          <w:b w:val="0"/>
        </w:rPr>
      </w:pPr>
    </w:p>
    <w:p>
      <w:pPr>
        <w:pStyle w:val="24"/>
        <w:numPr>
          <w:ilvl w:val="0"/>
          <w:numId w:val="0"/>
        </w:numPr>
        <w:spacing w:line="600" w:lineRule="exact"/>
        <w:ind w:left="640" w:leftChars="0"/>
        <w:outlineLvl w:val="1"/>
        <w:rPr>
          <w:rStyle w:val="26"/>
          <w:rFonts w:ascii="黑体" w:hAnsi="黑体" w:eastAsia="黑体"/>
          <w:b w:val="0"/>
        </w:rPr>
      </w:pPr>
    </w:p>
    <w:p>
      <w:pPr>
        <w:pStyle w:val="24"/>
        <w:numPr>
          <w:ilvl w:val="0"/>
          <w:numId w:val="0"/>
        </w:numPr>
        <w:spacing w:line="600" w:lineRule="exact"/>
        <w:ind w:left="640" w:leftChars="0"/>
        <w:outlineLvl w:val="1"/>
        <w:rPr>
          <w:rStyle w:val="26"/>
          <w:rFonts w:ascii="黑体" w:hAnsi="黑体" w:eastAsia="黑体"/>
          <w:b w:val="0"/>
        </w:rPr>
      </w:pPr>
    </w:p>
    <w:p>
      <w:pPr>
        <w:pStyle w:val="24"/>
        <w:numPr>
          <w:ilvl w:val="0"/>
          <w:numId w:val="0"/>
        </w:numPr>
        <w:spacing w:line="600" w:lineRule="exact"/>
        <w:ind w:left="640" w:leftChars="0"/>
        <w:outlineLvl w:val="1"/>
        <w:rPr>
          <w:rStyle w:val="26"/>
          <w:rFonts w:ascii="黑体" w:hAnsi="黑体" w:eastAsia="黑体"/>
          <w:b w:val="0"/>
        </w:rPr>
      </w:pPr>
    </w:p>
    <w:p>
      <w:pPr>
        <w:pStyle w:val="24"/>
        <w:numPr>
          <w:ilvl w:val="0"/>
          <w:numId w:val="1"/>
        </w:numPr>
        <w:spacing w:line="600" w:lineRule="exact"/>
        <w:ind w:firstLineChars="0"/>
        <w:outlineLvl w:val="1"/>
        <w:rPr>
          <w:rStyle w:val="26"/>
          <w:rFonts w:ascii="黑体" w:hAnsi="黑体" w:eastAsia="黑体"/>
          <w:b w:val="0"/>
        </w:rPr>
      </w:pPr>
      <w:r>
        <w:rPr>
          <w:rFonts w:hint="eastAsia" w:ascii="黑体" w:hAnsi="黑体" w:eastAsia="黑体"/>
          <w:color w:val="000000"/>
          <w:sz w:val="32"/>
          <w:szCs w:val="32"/>
        </w:rPr>
        <w:t>收</w:t>
      </w:r>
      <w:r>
        <w:rPr>
          <w:rStyle w:val="26"/>
          <w:rFonts w:hint="eastAsia" w:ascii="黑体" w:hAnsi="黑体" w:eastAsia="黑体"/>
          <w:b w:val="0"/>
        </w:rPr>
        <w:t>入决算情况说</w:t>
      </w:r>
      <w:bookmarkEnd w:id="18"/>
      <w:bookmarkEnd w:id="19"/>
    </w:p>
    <w:p>
      <w:pPr>
        <w:spacing w:line="600" w:lineRule="exact"/>
        <w:ind w:firstLine="640"/>
        <w:rPr>
          <w:rFonts w:hint="eastAsia" w:ascii="FangSong_GB2312" w:eastAsia="FangSong_GB2312"/>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118.16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118.16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FangSong_GB2312" w:eastAsia="FangSong_GB2312"/>
          <w:color w:val="000000"/>
          <w:sz w:val="32"/>
          <w:szCs w:val="32"/>
        </w:rPr>
        <w:t>事业收入</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万元，占</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%；经营收入</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万元，占</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%；附属单位上缴收入</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万元，占</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%；其他收入</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w:t>
      </w:r>
    </w:p>
    <w:p>
      <w:pPr>
        <w:spacing w:line="600" w:lineRule="exac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FangSong_GB2312" w:eastAsia="FangSong_GB2312"/>
          <w:color w:val="000000"/>
          <w:sz w:val="32"/>
          <w:szCs w:val="32"/>
          <w:lang w:eastAsia="zh-CN"/>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136525</wp:posOffset>
            </wp:positionV>
            <wp:extent cx="5080000" cy="3810000"/>
            <wp:effectExtent l="4445" t="4445" r="2095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0" w:name="_Toc15396605"/>
      <w:bookmarkStart w:id="21"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0"/>
      <w:bookmarkEnd w:id="21"/>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118.16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78.16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66.15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33.85</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FangSong_GB2312" w:eastAsia="FangSong_GB2312"/>
          <w:color w:val="000000"/>
          <w:sz w:val="32"/>
          <w:szCs w:val="32"/>
          <w:highlight w:val="yellow"/>
          <w:lang w:eastAsia="zh-CN"/>
        </w:rPr>
        <w:drawing>
          <wp:anchor distT="0" distB="0" distL="114300" distR="114300" simplePos="0" relativeHeight="251661312" behindDoc="0" locked="0" layoutInCell="1" allowOverlap="1">
            <wp:simplePos x="0" y="0"/>
            <wp:positionH relativeFrom="column">
              <wp:posOffset>197485</wp:posOffset>
            </wp:positionH>
            <wp:positionV relativeFrom="paragraph">
              <wp:posOffset>388620</wp:posOffset>
            </wp:positionV>
            <wp:extent cx="5080000" cy="3810000"/>
            <wp:effectExtent l="4445" t="4445" r="20955"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22" w:name="_Toc15377208"/>
      <w:bookmarkStart w:id="23" w:name="_Toc15396606"/>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2"/>
      <w:bookmarkEnd w:id="23"/>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118.16</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hint="eastAsia" w:ascii="仿宋" w:hAnsi="仿宋" w:eastAsia="仿宋"/>
          <w:color w:val="000000"/>
          <w:sz w:val="32"/>
          <w:szCs w:val="32"/>
          <w:lang w:val="en-US" w:eastAsia="zh-CN"/>
        </w:rPr>
        <w:t>33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38.75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lang w:eastAsia="zh-CN"/>
        </w:rPr>
        <w:drawing>
          <wp:anchor distT="0" distB="0" distL="114300" distR="114300" simplePos="0" relativeHeight="251662336" behindDoc="0" locked="0" layoutInCell="1" allowOverlap="1">
            <wp:simplePos x="0" y="0"/>
            <wp:positionH relativeFrom="column">
              <wp:posOffset>86360</wp:posOffset>
            </wp:positionH>
            <wp:positionV relativeFrom="paragraph">
              <wp:posOffset>128905</wp:posOffset>
            </wp:positionV>
            <wp:extent cx="5080000" cy="3810000"/>
            <wp:effectExtent l="4445" t="4445" r="20955" b="1460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outlineLvl w:val="1"/>
        <w:rPr>
          <w:rStyle w:val="26"/>
          <w:rFonts w:ascii="黑体" w:hAnsi="黑体" w:eastAsia="黑体"/>
          <w:b w:val="0"/>
        </w:rPr>
      </w:pPr>
      <w:bookmarkStart w:id="24" w:name="_Toc15396607"/>
      <w:bookmarkStart w:id="25"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4"/>
      <w:bookmarkEnd w:id="25"/>
    </w:p>
    <w:p>
      <w:pPr>
        <w:spacing w:line="600" w:lineRule="exact"/>
        <w:ind w:firstLine="643" w:firstLineChars="200"/>
        <w:outlineLvl w:val="2"/>
        <w:rPr>
          <w:rFonts w:ascii="仿宋" w:hAnsi="仿宋" w:eastAsia="仿宋"/>
          <w:b/>
          <w:color w:val="000000"/>
          <w:sz w:val="32"/>
          <w:szCs w:val="32"/>
        </w:rPr>
      </w:pPr>
      <w:bookmarkStart w:id="26" w:name="_Toc15377210"/>
      <w:r>
        <w:rPr>
          <w:rFonts w:hint="eastAsia" w:ascii="仿宋" w:hAnsi="仿宋" w:eastAsia="仿宋"/>
          <w:b/>
          <w:color w:val="000000"/>
          <w:sz w:val="32"/>
          <w:szCs w:val="32"/>
        </w:rPr>
        <w:t>（一）一般公共预算财政拨款支出决算总体情况</w:t>
      </w:r>
      <w:bookmarkEnd w:id="26"/>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118.16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33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38.75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3"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lang w:eastAsia="zh-CN"/>
        </w:rPr>
        <w:drawing>
          <wp:anchor distT="0" distB="0" distL="114300" distR="114300" simplePos="0" relativeHeight="251663360" behindDoc="0" locked="0" layoutInCell="1" allowOverlap="1">
            <wp:simplePos x="0" y="0"/>
            <wp:positionH relativeFrom="column">
              <wp:posOffset>311785</wp:posOffset>
            </wp:positionH>
            <wp:positionV relativeFrom="paragraph">
              <wp:posOffset>289560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27" w:name="_Toc15377211"/>
      <w:r>
        <w:rPr>
          <w:rFonts w:hint="eastAsia" w:ascii="仿宋" w:hAnsi="仿宋" w:eastAsia="仿宋"/>
          <w:b/>
          <w:color w:val="000000"/>
          <w:sz w:val="32"/>
          <w:szCs w:val="32"/>
        </w:rPr>
        <w:t>（二）一般公共预算财政拨款支出决算结构情况</w:t>
      </w:r>
      <w:bookmarkEnd w:id="27"/>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118.16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99.30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84.04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8.97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7.59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4.51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5.38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hint="eastAsia" w:ascii="仿宋" w:hAnsi="仿宋" w:eastAsia="仿宋"/>
          <w:color w:val="000000"/>
          <w:sz w:val="32"/>
          <w:szCs w:val="32"/>
          <w:lang w:eastAsia="zh-CN"/>
        </w:rPr>
      </w:pPr>
    </w:p>
    <w:p>
      <w:pPr>
        <w:spacing w:line="600" w:lineRule="exact"/>
        <w:rPr>
          <w:rFonts w:hint="eastAsia" w:ascii="仿宋" w:hAnsi="仿宋" w:eastAsia="仿宋"/>
          <w:color w:val="000000"/>
          <w:sz w:val="32"/>
          <w:szCs w:val="32"/>
        </w:rPr>
      </w:pPr>
      <w:r>
        <w:rPr>
          <w:rFonts w:hint="eastAsia" w:ascii="FangSong_GB2312" w:eastAsia="FangSong_GB2312"/>
          <w:color w:val="000000"/>
          <w:sz w:val="32"/>
          <w:szCs w:val="32"/>
          <w:highlight w:val="yellow"/>
          <w:lang w:eastAsia="zh-CN"/>
        </w:rPr>
        <w:drawing>
          <wp:anchor distT="0" distB="0" distL="114300" distR="114300" simplePos="0" relativeHeight="251670528" behindDoc="0" locked="0" layoutInCell="1" allowOverlap="1">
            <wp:simplePos x="0" y="0"/>
            <wp:positionH relativeFrom="column">
              <wp:posOffset>172720</wp:posOffset>
            </wp:positionH>
            <wp:positionV relativeFrom="paragraph">
              <wp:posOffset>327660</wp:posOffset>
            </wp:positionV>
            <wp:extent cx="5080000" cy="3810000"/>
            <wp:effectExtent l="4445" t="4445" r="20955" b="1460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67" w:name="_GoBack"/>
      <w:bookmarkEnd w:id="67"/>
      <w:bookmarkStart w:id="28" w:name="_Toc15377212"/>
      <w:r>
        <w:rPr>
          <w:rFonts w:hint="eastAsia" w:ascii="仿宋" w:hAnsi="仿宋" w:eastAsia="仿宋"/>
          <w:b/>
          <w:color w:val="000000"/>
          <w:sz w:val="32"/>
          <w:szCs w:val="32"/>
        </w:rPr>
        <w:t>（三）一般公共预算财政拨款支出决算具体情况</w:t>
      </w:r>
      <w:bookmarkEnd w:id="28"/>
    </w:p>
    <w:p>
      <w:pPr>
        <w:spacing w:line="600" w:lineRule="exact"/>
        <w:ind w:firstLine="640" w:firstLineChars="200"/>
        <w:outlineLvl w:val="2"/>
        <w:rPr>
          <w:rFonts w:ascii="仿宋" w:hAnsi="仿宋" w:eastAsia="仿宋"/>
          <w:b w:val="0"/>
          <w:bCs/>
          <w:color w:val="FF0000"/>
          <w:sz w:val="32"/>
          <w:szCs w:val="32"/>
        </w:rPr>
      </w:pPr>
      <w:bookmarkStart w:id="29" w:name="_Toc15377213"/>
      <w:bookmarkStart w:id="30" w:name="_Toc15377444"/>
      <w:bookmarkStart w:id="31" w:name="_Toc15378460"/>
      <w:r>
        <w:rPr>
          <w:rFonts w:hint="eastAsia" w:ascii="仿宋" w:hAnsi="仿宋" w:eastAsia="仿宋"/>
          <w:b w:val="0"/>
          <w:bCs/>
          <w:color w:val="000000" w:themeColor="text1"/>
          <w:sz w:val="32"/>
          <w:szCs w:val="32"/>
          <w14:textFill>
            <w14:solidFill>
              <w14:schemeClr w14:val="tx1"/>
            </w14:solidFill>
          </w14:textFill>
        </w:rPr>
        <w:t>2018年般公共预算支出决算数为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118.16</w:t>
      </w:r>
      <w:r>
        <w:rPr>
          <w:rFonts w:hint="eastAsia" w:ascii="仿宋" w:hAnsi="仿宋" w:eastAsia="仿宋"/>
          <w:b w:val="0"/>
          <w:bCs/>
          <w:color w:val="000000" w:themeColor="text1"/>
          <w:sz w:val="32"/>
          <w:szCs w:val="32"/>
          <w14:textFill>
            <w14:solidFill>
              <w14:schemeClr w14:val="tx1"/>
            </w14:solidFill>
          </w14:textFill>
        </w:rPr>
        <w:t>，</w:t>
      </w:r>
      <w:r>
        <w:rPr>
          <w:rStyle w:val="15"/>
          <w:rFonts w:hint="eastAsia" w:ascii="仿宋" w:hAnsi="仿宋" w:eastAsia="仿宋"/>
          <w:b w:val="0"/>
          <w:bCs/>
          <w:color w:val="000000" w:themeColor="text1"/>
          <w:sz w:val="32"/>
          <w:szCs w:val="32"/>
          <w14:textFill>
            <w14:solidFill>
              <w14:schemeClr w14:val="tx1"/>
            </w14:solidFill>
          </w14:textFill>
        </w:rPr>
        <w:t>完成</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。其中：</w:t>
      </w:r>
      <w:bookmarkEnd w:id="29"/>
      <w:bookmarkEnd w:id="30"/>
      <w:bookmarkEnd w:id="31"/>
    </w:p>
    <w:p>
      <w:pPr>
        <w:numPr>
          <w:ilvl w:val="0"/>
          <w:numId w:val="2"/>
        </w:numPr>
        <w:spacing w:line="600" w:lineRule="exact"/>
        <w:ind w:firstLine="643" w:firstLineChars="200"/>
        <w:rPr>
          <w:rStyle w:val="15"/>
          <w:rFonts w:hint="eastAsia" w:ascii="FangSong_GB2312" w:eastAsia="FangSong_GB2312"/>
          <w:b w:val="0"/>
          <w:color w:val="000000"/>
          <w:sz w:val="32"/>
          <w:szCs w:val="32"/>
        </w:rPr>
      </w:pPr>
      <w:r>
        <w:rPr>
          <w:rStyle w:val="15"/>
          <w:rFonts w:hint="eastAsia" w:ascii="FangSong_GB2312" w:eastAsia="FangSong_GB2312"/>
          <w:color w:val="000000"/>
          <w:sz w:val="32"/>
          <w:szCs w:val="32"/>
        </w:rPr>
        <w:t>科学技术（类）</w:t>
      </w:r>
      <w:r>
        <w:rPr>
          <w:rStyle w:val="15"/>
          <w:rFonts w:hint="eastAsia" w:ascii="FangSong_GB2312" w:eastAsia="FangSong_GB2312"/>
          <w:color w:val="000000"/>
          <w:sz w:val="32"/>
          <w:szCs w:val="32"/>
          <w:lang w:val="en-US" w:eastAsia="zh-CN"/>
        </w:rPr>
        <w:t>20601</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01</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 xml:space="preserve"> 支出决算为</w:t>
      </w:r>
      <w:r>
        <w:rPr>
          <w:rStyle w:val="15"/>
          <w:rFonts w:hint="eastAsia" w:ascii="FangSong_GB2312" w:eastAsia="FangSong_GB2312"/>
          <w:b w:val="0"/>
          <w:color w:val="000000"/>
          <w:sz w:val="32"/>
          <w:szCs w:val="32"/>
          <w:lang w:val="en-US" w:eastAsia="zh-CN"/>
        </w:rPr>
        <w:t>58.97</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numPr>
          <w:ilvl w:val="0"/>
          <w:numId w:val="2"/>
        </w:numPr>
        <w:spacing w:line="600" w:lineRule="exact"/>
        <w:ind w:firstLine="643" w:firstLineChars="200"/>
        <w:rPr>
          <w:rStyle w:val="15"/>
          <w:rFonts w:hint="eastAsia" w:ascii="FangSong_GB2312" w:eastAsia="FangSong_GB2312"/>
          <w:b w:val="0"/>
          <w:color w:val="000000"/>
          <w:sz w:val="32"/>
          <w:szCs w:val="32"/>
        </w:rPr>
      </w:pPr>
      <w:r>
        <w:rPr>
          <w:rStyle w:val="15"/>
          <w:rFonts w:hint="eastAsia" w:ascii="FangSong_GB2312" w:eastAsia="FangSong_GB2312"/>
          <w:color w:val="000000"/>
          <w:sz w:val="32"/>
          <w:szCs w:val="32"/>
        </w:rPr>
        <w:t>科学技术（类）</w:t>
      </w:r>
      <w:r>
        <w:rPr>
          <w:rStyle w:val="15"/>
          <w:rFonts w:hint="eastAsia" w:ascii="FangSong_GB2312" w:eastAsia="FangSong_GB2312"/>
          <w:color w:val="000000"/>
          <w:sz w:val="32"/>
          <w:szCs w:val="32"/>
          <w:lang w:val="en-US" w:eastAsia="zh-CN"/>
        </w:rPr>
        <w:t>20601</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02</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 xml:space="preserve"> 支出决算为</w:t>
      </w:r>
      <w:r>
        <w:rPr>
          <w:rStyle w:val="15"/>
          <w:rFonts w:hint="eastAsia" w:ascii="FangSong_GB2312" w:eastAsia="FangSong_GB2312"/>
          <w:b w:val="0"/>
          <w:color w:val="000000"/>
          <w:sz w:val="32"/>
          <w:szCs w:val="32"/>
          <w:lang w:val="en-US" w:eastAsia="zh-CN"/>
        </w:rPr>
        <w:t>10</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numPr>
          <w:numId w:val="0"/>
        </w:numPr>
        <w:spacing w:line="600" w:lineRule="exact"/>
        <w:ind w:firstLine="640" w:firstLineChars="200"/>
        <w:rPr>
          <w:rStyle w:val="15"/>
          <w:rFonts w:hint="eastAsia" w:ascii="FangSong_GB2312" w:eastAsia="FangSong_GB2312"/>
          <w:b w:val="0"/>
          <w:color w:val="000000"/>
          <w:sz w:val="32"/>
          <w:szCs w:val="32"/>
        </w:rPr>
      </w:pPr>
      <w:r>
        <w:rPr>
          <w:rStyle w:val="15"/>
          <w:rFonts w:hint="eastAsia" w:ascii="仿宋" w:hAnsi="仿宋" w:eastAsia="仿宋" w:cs="仿宋"/>
          <w:b w:val="0"/>
          <w:bCs/>
          <w:color w:val="000000"/>
          <w:sz w:val="32"/>
          <w:szCs w:val="32"/>
          <w:lang w:val="en-US" w:eastAsia="zh-CN"/>
        </w:rPr>
        <w:t>3.</w:t>
      </w:r>
      <w:r>
        <w:rPr>
          <w:rStyle w:val="15"/>
          <w:rFonts w:hint="eastAsia" w:ascii="FangSong_GB2312" w:eastAsia="FangSong_GB2312"/>
          <w:color w:val="000000"/>
          <w:sz w:val="32"/>
          <w:szCs w:val="32"/>
        </w:rPr>
        <w:t>科学技术（类）</w:t>
      </w:r>
      <w:r>
        <w:rPr>
          <w:rStyle w:val="15"/>
          <w:rFonts w:hint="eastAsia" w:ascii="FangSong_GB2312" w:eastAsia="FangSong_GB2312"/>
          <w:color w:val="000000"/>
          <w:sz w:val="32"/>
          <w:szCs w:val="32"/>
          <w:lang w:val="en-US" w:eastAsia="zh-CN"/>
        </w:rPr>
        <w:t>20601</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99</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 xml:space="preserve"> 支出决算为</w:t>
      </w:r>
      <w:r>
        <w:rPr>
          <w:rStyle w:val="15"/>
          <w:rFonts w:hint="eastAsia" w:ascii="FangSong_GB2312" w:eastAsia="FangSong_GB2312"/>
          <w:b w:val="0"/>
          <w:color w:val="000000"/>
          <w:sz w:val="32"/>
          <w:szCs w:val="32"/>
          <w:lang w:val="en-US" w:eastAsia="zh-CN"/>
        </w:rPr>
        <w:t>0.33</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numPr>
          <w:ilvl w:val="0"/>
          <w:numId w:val="0"/>
        </w:numPr>
        <w:spacing w:line="600" w:lineRule="exact"/>
        <w:ind w:firstLine="640" w:firstLineChars="200"/>
        <w:rPr>
          <w:rStyle w:val="15"/>
          <w:rFonts w:hint="eastAsia" w:ascii="FangSong_GB2312" w:eastAsia="FangSong_GB2312"/>
          <w:b w:val="0"/>
          <w:color w:val="000000"/>
          <w:sz w:val="32"/>
          <w:szCs w:val="32"/>
        </w:rPr>
      </w:pPr>
      <w:r>
        <w:rPr>
          <w:rStyle w:val="15"/>
          <w:rFonts w:hint="eastAsia" w:ascii="FangSong_GB2312" w:eastAsia="FangSong_GB2312"/>
          <w:b w:val="0"/>
          <w:bCs/>
          <w:color w:val="000000"/>
          <w:sz w:val="32"/>
          <w:szCs w:val="32"/>
          <w:lang w:val="en-US" w:eastAsia="zh-CN"/>
        </w:rPr>
        <w:t>4.</w:t>
      </w:r>
      <w:r>
        <w:rPr>
          <w:rStyle w:val="15"/>
          <w:rFonts w:hint="eastAsia" w:ascii="FangSong_GB2312" w:eastAsia="FangSong_GB2312"/>
          <w:color w:val="000000"/>
          <w:sz w:val="32"/>
          <w:szCs w:val="32"/>
        </w:rPr>
        <w:t>科学技术（类）</w:t>
      </w:r>
      <w:r>
        <w:rPr>
          <w:rStyle w:val="15"/>
          <w:rFonts w:hint="eastAsia" w:ascii="FangSong_GB2312" w:eastAsia="FangSong_GB2312"/>
          <w:color w:val="000000"/>
          <w:sz w:val="32"/>
          <w:szCs w:val="32"/>
          <w:lang w:val="en-US" w:eastAsia="zh-CN"/>
        </w:rPr>
        <w:t>20606</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99</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 xml:space="preserve"> 支出决算为</w:t>
      </w:r>
      <w:r>
        <w:rPr>
          <w:rStyle w:val="15"/>
          <w:rFonts w:hint="eastAsia" w:ascii="FangSong_GB2312" w:eastAsia="FangSong_GB2312"/>
          <w:b w:val="0"/>
          <w:color w:val="000000"/>
          <w:sz w:val="32"/>
          <w:szCs w:val="32"/>
          <w:lang w:val="en-US" w:eastAsia="zh-CN"/>
        </w:rPr>
        <w:t>30</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spacing w:line="600" w:lineRule="exact"/>
        <w:ind w:firstLine="640" w:firstLineChars="200"/>
        <w:rPr>
          <w:rFonts w:hint="eastAsia" w:ascii="FangSong_GB2312" w:eastAsia="FangSong_GB2312"/>
          <w:b/>
          <w:color w:val="000000"/>
          <w:sz w:val="32"/>
          <w:szCs w:val="32"/>
        </w:rPr>
      </w:pPr>
      <w:r>
        <w:rPr>
          <w:rStyle w:val="15"/>
          <w:rFonts w:hint="eastAsia" w:ascii="FangSong_GB2312" w:eastAsia="FangSong_GB2312"/>
          <w:b w:val="0"/>
          <w:bCs/>
          <w:color w:val="000000"/>
          <w:sz w:val="32"/>
          <w:szCs w:val="32"/>
          <w:lang w:val="en-US" w:eastAsia="zh-CN"/>
        </w:rPr>
        <w:t>5.</w:t>
      </w:r>
      <w:r>
        <w:rPr>
          <w:rStyle w:val="15"/>
          <w:rFonts w:hint="eastAsia" w:ascii="FangSong_GB2312" w:eastAsia="FangSong_GB2312"/>
          <w:color w:val="000000"/>
          <w:sz w:val="32"/>
          <w:szCs w:val="32"/>
        </w:rPr>
        <w:t>社会保障和就业（类）</w:t>
      </w:r>
      <w:r>
        <w:rPr>
          <w:rStyle w:val="15"/>
          <w:rFonts w:hint="eastAsia" w:ascii="FangSong_GB2312" w:eastAsia="FangSong_GB2312"/>
          <w:color w:val="000000"/>
          <w:sz w:val="32"/>
          <w:szCs w:val="32"/>
          <w:lang w:val="en-US" w:eastAsia="zh-CN"/>
        </w:rPr>
        <w:t>20805</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05</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 xml:space="preserve"> 支出决算为</w:t>
      </w:r>
      <w:r>
        <w:rPr>
          <w:rStyle w:val="15"/>
          <w:rFonts w:hint="eastAsia" w:ascii="FangSong_GB2312" w:eastAsia="FangSong_GB2312"/>
          <w:b w:val="0"/>
          <w:color w:val="000000"/>
          <w:sz w:val="32"/>
          <w:szCs w:val="32"/>
          <w:lang w:val="en-US" w:eastAsia="zh-CN"/>
        </w:rPr>
        <w:t>8.97</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spacing w:line="600" w:lineRule="exact"/>
        <w:ind w:firstLine="640" w:firstLineChars="200"/>
        <w:rPr>
          <w:rStyle w:val="15"/>
          <w:rFonts w:hint="eastAsia" w:ascii="FangSong_GB2312" w:eastAsia="FangSong_GB2312"/>
          <w:b w:val="0"/>
          <w:color w:val="000000"/>
          <w:sz w:val="32"/>
          <w:szCs w:val="32"/>
        </w:rPr>
      </w:pPr>
      <w:r>
        <w:rPr>
          <w:rStyle w:val="15"/>
          <w:rFonts w:hint="eastAsia" w:ascii="FangSong_GB2312" w:eastAsia="FangSong_GB2312"/>
          <w:b w:val="0"/>
          <w:bCs/>
          <w:color w:val="000000"/>
          <w:sz w:val="32"/>
          <w:szCs w:val="32"/>
          <w:lang w:val="en-US" w:eastAsia="zh-CN"/>
        </w:rPr>
        <w:t>6</w:t>
      </w:r>
      <w:r>
        <w:rPr>
          <w:rStyle w:val="15"/>
          <w:rFonts w:hint="eastAsia" w:ascii="FangSong_GB2312" w:eastAsia="FangSong_GB2312"/>
          <w:b w:val="0"/>
          <w:bCs/>
          <w:color w:val="000000"/>
          <w:sz w:val="32"/>
          <w:szCs w:val="32"/>
        </w:rPr>
        <w:t>.</w:t>
      </w:r>
      <w:r>
        <w:rPr>
          <w:rStyle w:val="15"/>
          <w:rFonts w:hint="eastAsia" w:ascii="FangSong_GB2312" w:eastAsia="FangSong_GB2312"/>
          <w:color w:val="000000"/>
          <w:sz w:val="32"/>
          <w:szCs w:val="32"/>
        </w:rPr>
        <w:t>医疗卫生与计划生育（类）</w:t>
      </w:r>
      <w:r>
        <w:rPr>
          <w:rStyle w:val="15"/>
          <w:rFonts w:hint="eastAsia" w:ascii="FangSong_GB2312" w:eastAsia="FangSong_GB2312"/>
          <w:color w:val="000000"/>
          <w:sz w:val="32"/>
          <w:szCs w:val="32"/>
          <w:lang w:val="en-US" w:eastAsia="zh-CN"/>
        </w:rPr>
        <w:t>21011</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01</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支出决算为</w:t>
      </w:r>
      <w:r>
        <w:rPr>
          <w:rStyle w:val="15"/>
          <w:rFonts w:hint="eastAsia" w:ascii="FangSong_GB2312" w:eastAsia="FangSong_GB2312"/>
          <w:b w:val="0"/>
          <w:color w:val="000000"/>
          <w:sz w:val="32"/>
          <w:szCs w:val="32"/>
          <w:lang w:val="en-US" w:eastAsia="zh-CN"/>
        </w:rPr>
        <w:t>2.91</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spacing w:line="600" w:lineRule="exact"/>
        <w:ind w:firstLine="640" w:firstLineChars="200"/>
        <w:rPr>
          <w:rFonts w:hint="eastAsia" w:ascii="FangSong_GB2312" w:eastAsia="FangSong_GB2312"/>
          <w:b/>
          <w:color w:val="000000"/>
          <w:sz w:val="32"/>
          <w:szCs w:val="32"/>
        </w:rPr>
      </w:pPr>
      <w:r>
        <w:rPr>
          <w:rStyle w:val="15"/>
          <w:rFonts w:hint="eastAsia" w:ascii="FangSong_GB2312" w:eastAsia="FangSong_GB2312"/>
          <w:b w:val="0"/>
          <w:bCs/>
          <w:color w:val="000000"/>
          <w:sz w:val="32"/>
          <w:szCs w:val="32"/>
          <w:lang w:val="en-US" w:eastAsia="zh-CN"/>
        </w:rPr>
        <w:t>7</w:t>
      </w:r>
      <w:r>
        <w:rPr>
          <w:rStyle w:val="15"/>
          <w:rFonts w:hint="eastAsia" w:ascii="FangSong_GB2312" w:eastAsia="FangSong_GB2312"/>
          <w:b w:val="0"/>
          <w:bCs/>
          <w:color w:val="000000"/>
          <w:sz w:val="32"/>
          <w:szCs w:val="32"/>
        </w:rPr>
        <w:t>.</w:t>
      </w:r>
      <w:r>
        <w:rPr>
          <w:rStyle w:val="15"/>
          <w:rFonts w:hint="eastAsia" w:ascii="FangSong_GB2312" w:eastAsia="FangSong_GB2312"/>
          <w:color w:val="000000"/>
          <w:sz w:val="32"/>
          <w:szCs w:val="32"/>
        </w:rPr>
        <w:t>医疗卫生与计划生育（类）</w:t>
      </w:r>
      <w:r>
        <w:rPr>
          <w:rStyle w:val="15"/>
          <w:rFonts w:hint="eastAsia" w:ascii="FangSong_GB2312" w:eastAsia="FangSong_GB2312"/>
          <w:color w:val="000000"/>
          <w:sz w:val="32"/>
          <w:szCs w:val="32"/>
          <w:lang w:val="en-US" w:eastAsia="zh-CN"/>
        </w:rPr>
        <w:t>21011</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03</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支出决算为</w:t>
      </w:r>
      <w:r>
        <w:rPr>
          <w:rStyle w:val="15"/>
          <w:rFonts w:hint="eastAsia" w:ascii="FangSong_GB2312" w:eastAsia="FangSong_GB2312"/>
          <w:b w:val="0"/>
          <w:color w:val="000000"/>
          <w:sz w:val="32"/>
          <w:szCs w:val="32"/>
          <w:lang w:val="en-US" w:eastAsia="zh-CN"/>
        </w:rPr>
        <w:t>1.60</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spacing w:line="600" w:lineRule="exact"/>
        <w:ind w:firstLine="640" w:firstLineChars="200"/>
        <w:rPr>
          <w:rFonts w:hint="eastAsia" w:ascii="FangSong_GB2312" w:eastAsia="FangSong_GB2312"/>
          <w:color w:val="000000"/>
          <w:sz w:val="32"/>
          <w:szCs w:val="32"/>
        </w:rPr>
      </w:pPr>
      <w:r>
        <w:rPr>
          <w:rStyle w:val="15"/>
          <w:rFonts w:hint="eastAsia" w:ascii="FangSong_GB2312" w:eastAsia="FangSong_GB2312"/>
          <w:b w:val="0"/>
          <w:bCs/>
          <w:color w:val="000000"/>
          <w:sz w:val="32"/>
          <w:szCs w:val="32"/>
          <w:lang w:val="en-US" w:eastAsia="zh-CN"/>
        </w:rPr>
        <w:t>8</w:t>
      </w:r>
      <w:r>
        <w:rPr>
          <w:rStyle w:val="15"/>
          <w:rFonts w:hint="eastAsia" w:ascii="FangSong_GB2312" w:eastAsia="FangSong_GB2312"/>
          <w:b w:val="0"/>
          <w:bCs/>
          <w:color w:val="000000"/>
          <w:sz w:val="32"/>
          <w:szCs w:val="32"/>
        </w:rPr>
        <w:t>.</w:t>
      </w:r>
      <w:r>
        <w:rPr>
          <w:rStyle w:val="15"/>
          <w:rFonts w:hint="eastAsia" w:ascii="FangSong_GB2312" w:eastAsia="FangSong_GB2312"/>
          <w:color w:val="000000"/>
          <w:sz w:val="32"/>
          <w:szCs w:val="32"/>
          <w:lang w:val="en-US" w:eastAsia="zh-CN"/>
        </w:rPr>
        <w:t>住房保障</w:t>
      </w:r>
      <w:r>
        <w:rPr>
          <w:rStyle w:val="15"/>
          <w:rFonts w:hint="eastAsia" w:ascii="FangSong_GB2312" w:eastAsia="FangSong_GB2312"/>
          <w:color w:val="000000"/>
          <w:sz w:val="32"/>
          <w:szCs w:val="32"/>
        </w:rPr>
        <w:t>（类）</w:t>
      </w:r>
      <w:r>
        <w:rPr>
          <w:rStyle w:val="15"/>
          <w:rFonts w:hint="eastAsia" w:ascii="FangSong_GB2312" w:eastAsia="FangSong_GB2312"/>
          <w:color w:val="000000"/>
          <w:sz w:val="32"/>
          <w:szCs w:val="32"/>
          <w:lang w:val="en-US" w:eastAsia="zh-CN"/>
        </w:rPr>
        <w:t>22102</w:t>
      </w:r>
      <w:r>
        <w:rPr>
          <w:rStyle w:val="15"/>
          <w:rFonts w:hint="eastAsia" w:ascii="FangSong_GB2312" w:eastAsia="FangSong_GB2312"/>
          <w:color w:val="000000"/>
          <w:sz w:val="32"/>
          <w:szCs w:val="32"/>
        </w:rPr>
        <w:t>（款）</w:t>
      </w:r>
      <w:r>
        <w:rPr>
          <w:rStyle w:val="15"/>
          <w:rFonts w:hint="eastAsia" w:ascii="FangSong_GB2312" w:eastAsia="FangSong_GB2312"/>
          <w:color w:val="000000"/>
          <w:sz w:val="32"/>
          <w:szCs w:val="32"/>
          <w:lang w:val="en-US" w:eastAsia="zh-CN"/>
        </w:rPr>
        <w:t>01</w:t>
      </w:r>
      <w:r>
        <w:rPr>
          <w:rStyle w:val="15"/>
          <w:rFonts w:hint="eastAsia" w:ascii="FangSong_GB2312" w:eastAsia="FangSong_GB2312"/>
          <w:color w:val="000000"/>
          <w:sz w:val="32"/>
          <w:szCs w:val="32"/>
        </w:rPr>
        <w:t>（项）:</w:t>
      </w:r>
      <w:r>
        <w:rPr>
          <w:rStyle w:val="15"/>
          <w:rFonts w:hint="eastAsia" w:ascii="FangSong_GB2312" w:eastAsia="FangSong_GB2312"/>
          <w:b w:val="0"/>
          <w:color w:val="000000"/>
          <w:sz w:val="32"/>
          <w:szCs w:val="32"/>
        </w:rPr>
        <w:t>支出决算为</w:t>
      </w:r>
      <w:r>
        <w:rPr>
          <w:rStyle w:val="15"/>
          <w:rFonts w:hint="eastAsia" w:ascii="FangSong_GB2312" w:eastAsia="FangSong_GB2312"/>
          <w:b w:val="0"/>
          <w:color w:val="000000"/>
          <w:sz w:val="32"/>
          <w:szCs w:val="32"/>
          <w:lang w:val="en-US" w:eastAsia="zh-CN"/>
        </w:rPr>
        <w:t>5.38</w:t>
      </w:r>
      <w:r>
        <w:rPr>
          <w:rStyle w:val="15"/>
          <w:rFonts w:hint="eastAsia" w:ascii="FangSong_GB2312" w:eastAsia="FangSong_GB2312"/>
          <w:b w:val="0"/>
          <w:color w:val="000000"/>
          <w:sz w:val="32"/>
          <w:szCs w:val="32"/>
        </w:rPr>
        <w:t>万元，完成预算</w:t>
      </w:r>
      <w:r>
        <w:rPr>
          <w:rStyle w:val="15"/>
          <w:rFonts w:hint="eastAsia" w:ascii="FangSong_GB2312" w:eastAsia="FangSong_GB2312"/>
          <w:b w:val="0"/>
          <w:color w:val="000000"/>
          <w:sz w:val="32"/>
          <w:szCs w:val="32"/>
          <w:lang w:val="en-US" w:eastAsia="zh-CN"/>
        </w:rPr>
        <w:t>100</w:t>
      </w:r>
      <w:r>
        <w:rPr>
          <w:rStyle w:val="15"/>
          <w:rFonts w:hint="eastAsia" w:ascii="FangSong_GB2312" w:eastAsia="FangSong_GB2312"/>
          <w:b w:val="0"/>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32" w:name="_Toc15377214"/>
      <w:bookmarkStart w:id="33"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2"/>
      <w:bookmarkEnd w:id="33"/>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118.16</w:t>
      </w:r>
      <w:r>
        <w:rPr>
          <w:rFonts w:hint="eastAsia" w:ascii="仿宋" w:hAnsi="仿宋" w:eastAsia="仿宋"/>
          <w:color w:val="000000"/>
          <w:sz w:val="32"/>
          <w:szCs w:val="32"/>
        </w:rPr>
        <w:t>万元，其中：</w:t>
      </w:r>
    </w:p>
    <w:p>
      <w:pPr>
        <w:spacing w:line="600" w:lineRule="exact"/>
        <w:ind w:firstLine="645"/>
        <w:rPr>
          <w:rFonts w:hint="eastAsia" w:ascii="FangSong_GB2312" w:eastAsia="FangSong_GB2312"/>
          <w:b/>
          <w:color w:val="000000"/>
          <w:sz w:val="32"/>
          <w:szCs w:val="32"/>
        </w:rPr>
      </w:pPr>
      <w:r>
        <w:rPr>
          <w:rFonts w:hint="eastAsia" w:ascii="FangSong_GB2312" w:eastAsia="FangSong_GB2312"/>
          <w:color w:val="000000"/>
          <w:sz w:val="32"/>
          <w:szCs w:val="32"/>
        </w:rPr>
        <w:t>人员经费</w:t>
      </w:r>
      <w:r>
        <w:rPr>
          <w:rFonts w:hint="eastAsia" w:ascii="FangSong_GB2312" w:eastAsia="FangSong_GB2312"/>
          <w:color w:val="000000"/>
          <w:sz w:val="32"/>
          <w:szCs w:val="32"/>
          <w:lang w:val="en-US" w:eastAsia="zh-CN"/>
        </w:rPr>
        <w:t>71.50</w:t>
      </w:r>
      <w:r>
        <w:rPr>
          <w:rFonts w:hint="eastAsia" w:ascii="FangSong_GB2312" w:eastAsia="FangSong_GB2312"/>
          <w:color w:val="000000"/>
          <w:sz w:val="32"/>
          <w:szCs w:val="32"/>
        </w:rPr>
        <w:t>万元，主要包括：基本工资、津贴补贴、奖金、绩效工资、机关事业单位基本养老保险缴费、其他社会保障缴费、其他工资福利支出、医疗费、奖励金、住房公积金、其他对个人和家庭的补助支出等。</w:t>
      </w:r>
      <w:r>
        <w:rPr>
          <w:rFonts w:hint="eastAsia" w:ascii="FangSong_GB2312" w:eastAsia="FangSong_GB2312"/>
          <w:color w:val="000000"/>
          <w:sz w:val="32"/>
          <w:szCs w:val="32"/>
        </w:rPr>
        <w:br w:type="textWrapping"/>
      </w:r>
      <w:r>
        <w:rPr>
          <w:rFonts w:hint="eastAsia" w:ascii="FangSong_GB2312" w:eastAsia="FangSong_GB2312"/>
          <w:color w:val="000000"/>
          <w:sz w:val="32"/>
          <w:szCs w:val="32"/>
        </w:rPr>
        <w:t>　　公用经费</w:t>
      </w:r>
      <w:r>
        <w:rPr>
          <w:rFonts w:hint="eastAsia" w:ascii="FangSong_GB2312" w:eastAsia="FangSong_GB2312"/>
          <w:color w:val="000000"/>
          <w:sz w:val="32"/>
          <w:szCs w:val="32"/>
          <w:lang w:val="en-US" w:eastAsia="zh-CN"/>
        </w:rPr>
        <w:t>6.66</w:t>
      </w:r>
      <w:r>
        <w:rPr>
          <w:rFonts w:hint="eastAsia" w:ascii="FangSong_GB2312" w:eastAsia="FangSong_GB2312"/>
          <w:color w:val="000000"/>
          <w:sz w:val="32"/>
          <w:szCs w:val="32"/>
        </w:rPr>
        <w:t>万元，主要包括：办公费、印刷费、咨询费、水费、电费、邮电费、差旅费、维修（护）费、会议费、培训费、公务接待费、劳务费、工会经费、福利费、其他交通费、其他商品和服务支出、办公设备购置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6"/>
          <w:rFonts w:ascii="黑体" w:hAnsi="黑体" w:eastAsia="黑体"/>
          <w:b w:val="0"/>
        </w:rPr>
      </w:pPr>
      <w:bookmarkStart w:id="34" w:name="_Toc15396609"/>
      <w:bookmarkStart w:id="35"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4"/>
      <w:bookmarkEnd w:id="35"/>
    </w:p>
    <w:p>
      <w:pPr>
        <w:spacing w:line="600" w:lineRule="exact"/>
        <w:ind w:firstLine="640"/>
        <w:outlineLvl w:val="2"/>
        <w:rPr>
          <w:rFonts w:ascii="仿宋" w:hAnsi="仿宋" w:eastAsia="仿宋"/>
          <w:b/>
          <w:color w:val="000000"/>
          <w:sz w:val="32"/>
          <w:szCs w:val="32"/>
        </w:rPr>
      </w:pPr>
      <w:bookmarkStart w:id="36" w:name="_Toc15377216"/>
      <w:r>
        <w:rPr>
          <w:rFonts w:hint="eastAsia" w:ascii="仿宋" w:hAnsi="仿宋" w:eastAsia="仿宋"/>
          <w:b/>
          <w:color w:val="000000"/>
          <w:sz w:val="32"/>
          <w:szCs w:val="32"/>
        </w:rPr>
        <w:t>（一）“三公”经费财政拨款支出决算总体情况说明</w:t>
      </w:r>
      <w:bookmarkEnd w:id="3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0.12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37" w:name="_Toc15377217"/>
      <w:r>
        <w:rPr>
          <w:rFonts w:hint="eastAsia" w:ascii="仿宋" w:hAnsi="仿宋" w:eastAsia="仿宋"/>
          <w:b/>
          <w:color w:val="000000"/>
          <w:sz w:val="32"/>
          <w:szCs w:val="32"/>
        </w:rPr>
        <w:t>（二）“三公”经费财政拨款支出决算具体情况说明</w:t>
      </w:r>
      <w:bookmarkEnd w:id="3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0.12</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0.02</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14.29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FangSong_GB2312" w:eastAsia="FangSong_GB2312"/>
          <w:color w:val="000000"/>
          <w:sz w:val="32"/>
          <w:szCs w:val="32"/>
          <w:lang w:val="en-US" w:eastAsia="zh-CN"/>
        </w:rPr>
        <w:t>按中央八项规定厉行节约</w:t>
      </w:r>
      <w:r>
        <w:rPr>
          <w:rFonts w:hint="eastAsia" w:ascii="仿宋_GB2312" w:eastAsia="仿宋_GB2312"/>
          <w:color w:val="000000"/>
          <w:sz w:val="32"/>
          <w:szCs w:val="32"/>
        </w:rPr>
        <w:t>。</w:t>
      </w:r>
    </w:p>
    <w:p>
      <w:pPr>
        <w:pStyle w:val="12"/>
        <w:shd w:val="clear" w:color="auto" w:fill="FFFFFF"/>
        <w:spacing w:beforeAutospacing="0" w:afterAutospacing="0" w:line="560" w:lineRule="exact"/>
        <w:ind w:firstLine="640" w:firstLineChars="200"/>
        <w:rPr>
          <w:rFonts w:hint="eastAsia" w:ascii="FangSong_GB2312" w:eastAsia="FangSong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0.12</w:t>
      </w:r>
      <w:r>
        <w:rPr>
          <w:rFonts w:hint="eastAsia" w:ascii="仿宋_GB2312" w:eastAsia="仿宋_GB2312"/>
          <w:color w:val="000000"/>
          <w:sz w:val="32"/>
          <w:szCs w:val="32"/>
        </w:rPr>
        <w:t>万元，</w:t>
      </w:r>
      <w:r>
        <w:rPr>
          <w:rFonts w:hint="eastAsia" w:ascii="仿宋_GB2312" w:hAnsi="仿宋" w:eastAsia="仿宋_GB2312"/>
          <w:color w:val="000000"/>
          <w:kern w:val="2"/>
          <w:sz w:val="32"/>
          <w:szCs w:val="32"/>
        </w:rPr>
        <w:t>用于执行公务、开展业务活动开支用餐费等</w:t>
      </w:r>
      <w:r>
        <w:rPr>
          <w:rFonts w:hint="eastAsia" w:ascii="FangSong_GB2312" w:eastAsia="FangSong_GB2312"/>
          <w:color w:val="000000"/>
          <w:sz w:val="32"/>
          <w:szCs w:val="32"/>
        </w:rPr>
        <w:t>。</w:t>
      </w:r>
      <w:r>
        <w:rPr>
          <w:rFonts w:hint="eastAsia" w:ascii="FangSong_GB2312" w:eastAsia="FangSong_GB2312"/>
          <w:color w:val="000000"/>
          <w:sz w:val="32"/>
          <w:szCs w:val="32"/>
          <w:lang w:val="en-US" w:eastAsia="zh-CN"/>
        </w:rPr>
        <w:t>无</w:t>
      </w:r>
      <w:r>
        <w:rPr>
          <w:rFonts w:hint="eastAsia" w:ascii="FangSong_GB2312" w:eastAsia="FangSong_GB2312"/>
          <w:color w:val="000000"/>
          <w:sz w:val="32"/>
          <w:szCs w:val="32"/>
        </w:rPr>
        <w:t>外事接待。</w:t>
      </w:r>
    </w:p>
    <w:p>
      <w:pPr>
        <w:spacing w:line="600" w:lineRule="exact"/>
        <w:ind w:firstLine="640"/>
        <w:outlineLvl w:val="1"/>
        <w:rPr>
          <w:rFonts w:hint="eastAsia" w:ascii="黑体" w:eastAsia="黑体"/>
          <w:color w:val="000000"/>
          <w:sz w:val="32"/>
          <w:szCs w:val="32"/>
        </w:rPr>
      </w:pPr>
      <w:bookmarkStart w:id="38" w:name="_Toc15377218"/>
      <w:bookmarkStart w:id="39"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38"/>
      <w:bookmarkEnd w:id="3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6"/>
          <w:rFonts w:ascii="黑体" w:hAnsi="黑体" w:eastAsia="黑体"/>
          <w:b w:val="0"/>
        </w:rPr>
      </w:pPr>
      <w:bookmarkStart w:id="40" w:name="_Toc15396611"/>
      <w:bookmarkStart w:id="41" w:name="_Toc15377219"/>
      <w:r>
        <w:rPr>
          <w:rStyle w:val="26"/>
          <w:rFonts w:hint="eastAsia" w:ascii="黑体" w:hAnsi="黑体" w:eastAsia="黑体"/>
          <w:b w:val="0"/>
        </w:rPr>
        <w:t>国有资本经营预算支出决算情况说明</w:t>
      </w:r>
      <w:bookmarkEnd w:id="40"/>
      <w:bookmarkEnd w:id="4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4"/>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pStyle w:val="24"/>
        <w:numPr>
          <w:ilvl w:val="0"/>
          <w:numId w:val="0"/>
        </w:numPr>
        <w:spacing w:line="580" w:lineRule="exact"/>
        <w:ind w:left="709" w:leftChars="0"/>
        <w:rPr>
          <w:rStyle w:val="26"/>
          <w:rFonts w:hint="default" w:ascii="黑体" w:hAnsi="黑体" w:eastAsia="黑体"/>
          <w:b w:val="0"/>
          <w:lang w:val="en-US" w:eastAsia="zh-CN"/>
        </w:rPr>
      </w:pPr>
      <w:r>
        <w:rPr>
          <w:rStyle w:val="26"/>
          <w:rFonts w:hint="eastAsia" w:ascii="仿宋" w:hAnsi="仿宋" w:eastAsia="仿宋" w:cs="仿宋"/>
          <w:b w:val="0"/>
          <w:lang w:val="en-US" w:eastAsia="zh-CN"/>
        </w:rPr>
        <w:t>2018年度本单位未开展预算绩效管理</w:t>
      </w:r>
    </w:p>
    <w:p>
      <w:pPr>
        <w:spacing w:line="580" w:lineRule="exact"/>
        <w:jc w:val="both"/>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spacing w:line="600" w:lineRule="exact"/>
        <w:ind w:firstLine="800" w:firstLineChars="250"/>
        <w:outlineLvl w:val="1"/>
        <w:rPr>
          <w:rStyle w:val="26"/>
          <w:rFonts w:ascii="黑体" w:hAnsi="黑体" w:eastAsia="黑体"/>
        </w:rPr>
      </w:pPr>
      <w:bookmarkStart w:id="42" w:name="_Toc15377221"/>
      <w:bookmarkStart w:id="43"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2"/>
      <w:bookmarkEnd w:id="43"/>
    </w:p>
    <w:p>
      <w:pPr>
        <w:spacing w:line="600" w:lineRule="exact"/>
        <w:ind w:firstLine="643" w:firstLineChars="200"/>
        <w:outlineLvl w:val="2"/>
        <w:rPr>
          <w:rFonts w:ascii="仿宋" w:hAnsi="仿宋" w:eastAsia="仿宋"/>
          <w:color w:val="000000"/>
          <w:sz w:val="32"/>
          <w:szCs w:val="32"/>
        </w:rPr>
      </w:pPr>
      <w:bookmarkStart w:id="44" w:name="_Toc15377222"/>
      <w:r>
        <w:rPr>
          <w:rFonts w:hint="eastAsia" w:ascii="仿宋" w:hAnsi="仿宋" w:eastAsia="仿宋"/>
          <w:b/>
          <w:color w:val="000000"/>
          <w:sz w:val="32"/>
          <w:szCs w:val="32"/>
        </w:rPr>
        <w:t>（一）机关运行经费支出情况</w:t>
      </w:r>
      <w:bookmarkEnd w:id="44"/>
    </w:p>
    <w:p>
      <w:pPr>
        <w:spacing w:line="60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县志办</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58.97</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5.8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10.91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w:t>
      </w:r>
      <w:r>
        <w:rPr>
          <w:rFonts w:hint="eastAsia" w:ascii="仿宋_GB2312" w:eastAsia="仿宋_GB2312"/>
          <w:color w:val="000000" w:themeColor="text1"/>
          <w:sz w:val="32"/>
          <w:szCs w:val="32"/>
          <w:lang w:eastAsia="zh-CN"/>
          <w14:textFill>
            <w14:solidFill>
              <w14:schemeClr w14:val="tx1"/>
            </w14:solidFill>
          </w14:textFill>
        </w:rPr>
        <w:t>是人员经费增加。</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5" w:name="_Toc15377223"/>
      <w:r>
        <w:rPr>
          <w:rFonts w:hint="eastAsia" w:ascii="仿宋" w:hAnsi="仿宋" w:eastAsia="仿宋"/>
          <w:b/>
          <w:color w:val="000000"/>
          <w:sz w:val="32"/>
          <w:szCs w:val="32"/>
        </w:rPr>
        <w:t>（二）政府采购支出情况</w:t>
      </w:r>
      <w:bookmarkEnd w:id="45"/>
    </w:p>
    <w:p>
      <w:pPr>
        <w:spacing w:line="600" w:lineRule="exact"/>
        <w:ind w:firstLine="640" w:firstLineChars="200"/>
        <w:rPr>
          <w:rFonts w:hint="eastAsia" w:ascii="仿宋_GB2312" w:eastAsia="仿宋_GB2312"/>
          <w:color w:val="595959" w:themeColor="text1" w:themeTint="A6"/>
          <w:sz w:val="32"/>
          <w:szCs w:val="32"/>
          <w:lang w:eastAsia="zh-CN"/>
          <w14:shadow w14:blurRad="63500" w14:dist="50800" w14:dir="13500000" w14:sx="0" w14:sy="0" w14:kx="0" w14:ky="0" w14:algn="none">
            <w14:srgbClr w14:val="000000">
              <w14:alpha w14:val="50000"/>
            </w14:srgbClr>
          </w14:shadow>
          <w14:textFill>
            <w14:solidFill>
              <w14:schemeClr w14:val="tx1">
                <w14:lumMod w14:val="65000"/>
                <w14:lumOff w14:val="35000"/>
              </w14:schemeClr>
            </w14:solidFill>
          </w14:textFill>
          <w14:props3d w14:extrusionH="0" w14:contourW="0" w14:prstMaterial="clear"/>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县志办</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6" w:name="_Toc15377224"/>
      <w:r>
        <w:rPr>
          <w:rFonts w:hint="eastAsia" w:ascii="仿宋" w:hAnsi="仿宋" w:eastAsia="仿宋"/>
          <w:b/>
          <w:color w:val="000000"/>
          <w:sz w:val="32"/>
          <w:szCs w:val="32"/>
        </w:rPr>
        <w:t>（三）国有资产占有使用情况</w:t>
      </w:r>
      <w:bookmarkEnd w:id="46"/>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县志办</w:t>
      </w:r>
      <w:r>
        <w:rPr>
          <w:rFonts w:hint="eastAsia" w:ascii="仿宋_GB2312" w:eastAsia="仿宋_GB2312"/>
          <w:color w:val="000000"/>
          <w:sz w:val="32"/>
          <w:szCs w:val="32"/>
        </w:rPr>
        <w:t>共有车辆0辆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_GB2312" w:eastAsia="仿宋_GB2312"/>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numPr>
          <w:ilvl w:val="0"/>
          <w:numId w:val="5"/>
        </w:numPr>
        <w:spacing w:line="600" w:lineRule="exact"/>
        <w:ind w:firstLine="663" w:firstLineChars="150"/>
        <w:jc w:val="center"/>
        <w:outlineLvl w:val="0"/>
        <w:rPr>
          <w:rStyle w:val="25"/>
          <w:rFonts w:ascii="黑体" w:hAnsi="黑体" w:eastAsia="黑体"/>
          <w:b w:val="0"/>
        </w:rPr>
      </w:pPr>
      <w:bookmarkStart w:id="47" w:name="_Toc15396613"/>
      <w:bookmarkStart w:id="48"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47"/>
      <w:bookmarkEnd w:id="48"/>
    </w:p>
    <w:p>
      <w:pPr>
        <w:spacing w:line="600" w:lineRule="exact"/>
        <w:jc w:val="left"/>
        <w:rPr>
          <w:rFonts w:ascii="宋体"/>
          <w:b/>
          <w:color w:val="000000"/>
          <w:sz w:val="44"/>
          <w:szCs w:val="44"/>
        </w:rPr>
      </w:pPr>
    </w:p>
    <w:p>
      <w:pPr>
        <w:pStyle w:val="23"/>
        <w:spacing w:line="560" w:lineRule="exact"/>
        <w:ind w:firstLine="640" w:firstLineChars="200"/>
        <w:rPr>
          <w:rFonts w:hint="eastAsia" w:ascii="FangSong_GB2312" w:eastAsia="FangSong_GB2312"/>
          <w:sz w:val="32"/>
          <w:szCs w:val="32"/>
        </w:rPr>
      </w:pPr>
      <w:bookmarkStart w:id="49" w:name="_Toc15377226"/>
      <w:r>
        <w:rPr>
          <w:rFonts w:hint="eastAsia" w:ascii="FangSong_GB2312" w:eastAsia="FangSong_GB2312"/>
          <w:sz w:val="32"/>
          <w:szCs w:val="32"/>
        </w:rPr>
        <w:t>1.财政拨款收入：指单位从同级财政部门取得的财政预算资金。</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2</w:t>
      </w:r>
      <w:r>
        <w:rPr>
          <w:rFonts w:hint="eastAsia" w:ascii="FangSong_GB2312" w:eastAsia="FangSong_GB2312"/>
          <w:color w:val="000000"/>
          <w:sz w:val="32"/>
          <w:szCs w:val="32"/>
        </w:rPr>
        <w:t>.科学技术（类）</w:t>
      </w:r>
      <w:r>
        <w:rPr>
          <w:rFonts w:hint="eastAsia" w:ascii="FangSong_GB2312" w:eastAsia="FangSong_GB2312"/>
          <w:color w:val="000000"/>
          <w:sz w:val="32"/>
          <w:szCs w:val="32"/>
          <w:lang w:val="en-US" w:eastAsia="zh-CN"/>
        </w:rPr>
        <w:t>20601</w:t>
      </w:r>
      <w:r>
        <w:rPr>
          <w:rFonts w:hint="eastAsia" w:ascii="FangSong_GB2312" w:eastAsia="FangSong_GB2312"/>
          <w:color w:val="000000"/>
          <w:sz w:val="32"/>
          <w:szCs w:val="32"/>
        </w:rPr>
        <w:t>（款）</w:t>
      </w:r>
      <w:r>
        <w:rPr>
          <w:rFonts w:hint="eastAsia" w:ascii="FangSong_GB2312" w:eastAsia="FangSong_GB2312"/>
          <w:color w:val="000000"/>
          <w:sz w:val="32"/>
          <w:szCs w:val="32"/>
          <w:lang w:val="en-US" w:eastAsia="zh-CN"/>
        </w:rPr>
        <w:t>01</w:t>
      </w:r>
      <w:r>
        <w:rPr>
          <w:rFonts w:hint="eastAsia" w:ascii="FangSong_GB2312" w:eastAsia="FangSong_GB2312"/>
          <w:color w:val="000000"/>
          <w:sz w:val="32"/>
          <w:szCs w:val="32"/>
        </w:rPr>
        <w:t>（项）：指</w:t>
      </w:r>
      <w:r>
        <w:rPr>
          <w:rFonts w:hint="eastAsia" w:ascii="FangSong_GB2312" w:eastAsia="FangSong_GB2312"/>
          <w:color w:val="000000"/>
          <w:sz w:val="32"/>
          <w:szCs w:val="32"/>
          <w:lang w:val="en-US" w:eastAsia="zh-CN"/>
        </w:rPr>
        <w:t>为保障行政单位运行</w:t>
      </w:r>
      <w:r>
        <w:rPr>
          <w:rFonts w:hint="eastAsia" w:ascii="FangSong_GB2312" w:eastAsia="FangSong_GB2312"/>
          <w:color w:val="000000"/>
          <w:sz w:val="32"/>
          <w:szCs w:val="32"/>
        </w:rPr>
        <w:t>而发生的人员支出和公用支出。</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3.</w:t>
      </w:r>
      <w:r>
        <w:rPr>
          <w:rFonts w:hint="eastAsia" w:ascii="FangSong_GB2312" w:eastAsia="FangSong_GB2312"/>
          <w:color w:val="000000"/>
          <w:sz w:val="32"/>
          <w:szCs w:val="32"/>
        </w:rPr>
        <w:t>科学技术（类）</w:t>
      </w:r>
      <w:r>
        <w:rPr>
          <w:rFonts w:hint="eastAsia" w:ascii="FangSong_GB2312" w:eastAsia="FangSong_GB2312"/>
          <w:color w:val="000000"/>
          <w:sz w:val="32"/>
          <w:szCs w:val="32"/>
          <w:lang w:val="en-US" w:eastAsia="zh-CN"/>
        </w:rPr>
        <w:t>20606</w:t>
      </w:r>
      <w:r>
        <w:rPr>
          <w:rFonts w:hint="eastAsia" w:ascii="FangSong_GB2312" w:eastAsia="FangSong_GB2312"/>
          <w:color w:val="000000"/>
          <w:sz w:val="32"/>
          <w:szCs w:val="32"/>
        </w:rPr>
        <w:t>（款）</w:t>
      </w:r>
      <w:r>
        <w:rPr>
          <w:rFonts w:hint="eastAsia" w:ascii="FangSong_GB2312" w:eastAsia="FangSong_GB2312"/>
          <w:color w:val="000000"/>
          <w:sz w:val="32"/>
          <w:szCs w:val="32"/>
          <w:lang w:val="en-US" w:eastAsia="zh-CN"/>
        </w:rPr>
        <w:t>99</w:t>
      </w:r>
      <w:r>
        <w:rPr>
          <w:rFonts w:hint="eastAsia" w:ascii="FangSong_GB2312" w:eastAsia="FangSong_GB2312"/>
          <w:color w:val="000000"/>
          <w:sz w:val="32"/>
          <w:szCs w:val="32"/>
        </w:rPr>
        <w:t>（项）：指</w:t>
      </w:r>
      <w:r>
        <w:rPr>
          <w:rFonts w:hint="eastAsia" w:ascii="FangSong_GB2312" w:eastAsia="FangSong_GB2312"/>
          <w:color w:val="000000"/>
          <w:sz w:val="32"/>
          <w:szCs w:val="32"/>
          <w:lang w:val="en-US" w:eastAsia="zh-CN"/>
        </w:rPr>
        <w:t>为保障单位项目工作完成的</w:t>
      </w:r>
      <w:r>
        <w:rPr>
          <w:rFonts w:hint="eastAsia" w:ascii="FangSong_GB2312" w:eastAsia="FangSong_GB2312"/>
          <w:color w:val="000000"/>
          <w:sz w:val="32"/>
          <w:szCs w:val="32"/>
        </w:rPr>
        <w:t>支出</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4.</w:t>
      </w:r>
      <w:r>
        <w:rPr>
          <w:rFonts w:hint="eastAsia" w:ascii="FangSong_GB2312" w:eastAsia="FangSong_GB2312"/>
          <w:color w:val="000000"/>
          <w:sz w:val="32"/>
          <w:szCs w:val="32"/>
        </w:rPr>
        <w:t>.社会保障和就业（类）</w:t>
      </w:r>
      <w:r>
        <w:rPr>
          <w:rFonts w:hint="eastAsia" w:ascii="FangSong_GB2312" w:eastAsia="FangSong_GB2312"/>
          <w:color w:val="000000"/>
          <w:sz w:val="32"/>
          <w:szCs w:val="32"/>
          <w:lang w:val="en-US" w:eastAsia="zh-CN"/>
        </w:rPr>
        <w:t>20805</w:t>
      </w:r>
      <w:r>
        <w:rPr>
          <w:rFonts w:hint="eastAsia" w:ascii="FangSong_GB2312" w:eastAsia="FangSong_GB2312"/>
          <w:color w:val="000000"/>
          <w:sz w:val="32"/>
          <w:szCs w:val="32"/>
        </w:rPr>
        <w:t>（款）</w:t>
      </w:r>
      <w:r>
        <w:rPr>
          <w:rFonts w:hint="eastAsia" w:ascii="FangSong_GB2312" w:eastAsia="FangSong_GB2312"/>
          <w:color w:val="000000"/>
          <w:sz w:val="32"/>
          <w:szCs w:val="32"/>
          <w:lang w:val="en-US" w:eastAsia="zh-CN"/>
        </w:rPr>
        <w:t>05</w:t>
      </w:r>
      <w:r>
        <w:rPr>
          <w:rFonts w:hint="eastAsia" w:ascii="FangSong_GB2312" w:eastAsia="FangSong_GB2312"/>
          <w:color w:val="000000"/>
          <w:sz w:val="32"/>
          <w:szCs w:val="32"/>
        </w:rPr>
        <w:t>（项）：指</w:t>
      </w:r>
      <w:r>
        <w:rPr>
          <w:rFonts w:hint="eastAsia" w:ascii="FangSong_GB2312" w:eastAsia="FangSong_GB2312"/>
          <w:color w:val="000000"/>
          <w:sz w:val="32"/>
          <w:szCs w:val="32"/>
          <w:lang w:val="en-US" w:eastAsia="zh-CN"/>
        </w:rPr>
        <w:t>养老保险费</w:t>
      </w:r>
      <w:r>
        <w:rPr>
          <w:rFonts w:hint="eastAsia" w:ascii="FangSong_GB2312" w:eastAsia="FangSong_GB2312"/>
          <w:color w:val="000000"/>
          <w:sz w:val="32"/>
          <w:szCs w:val="32"/>
        </w:rPr>
        <w:t>支出。</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5</w:t>
      </w:r>
      <w:r>
        <w:rPr>
          <w:rFonts w:hint="eastAsia" w:ascii="FangSong_GB2312" w:eastAsia="FangSong_GB2312"/>
          <w:color w:val="000000"/>
          <w:sz w:val="32"/>
          <w:szCs w:val="32"/>
        </w:rPr>
        <w:t>.医疗卫生与计划生育（类）</w:t>
      </w:r>
      <w:r>
        <w:rPr>
          <w:rFonts w:hint="eastAsia" w:ascii="FangSong_GB2312" w:eastAsia="FangSong_GB2312"/>
          <w:color w:val="000000"/>
          <w:sz w:val="32"/>
          <w:szCs w:val="32"/>
          <w:lang w:val="en-US" w:eastAsia="zh-CN"/>
        </w:rPr>
        <w:t>21011</w:t>
      </w:r>
      <w:r>
        <w:rPr>
          <w:rFonts w:hint="eastAsia" w:ascii="FangSong_GB2312" w:eastAsia="FangSong_GB2312"/>
          <w:color w:val="000000"/>
          <w:sz w:val="32"/>
          <w:szCs w:val="32"/>
        </w:rPr>
        <w:t>（款）</w:t>
      </w:r>
      <w:r>
        <w:rPr>
          <w:rFonts w:hint="eastAsia" w:ascii="FangSong_GB2312" w:eastAsia="FangSong_GB2312"/>
          <w:color w:val="000000"/>
          <w:sz w:val="32"/>
          <w:szCs w:val="32"/>
          <w:lang w:val="en-US" w:eastAsia="zh-CN"/>
        </w:rPr>
        <w:t>01</w:t>
      </w:r>
      <w:r>
        <w:rPr>
          <w:rFonts w:hint="eastAsia" w:ascii="FangSong_GB2312" w:eastAsia="FangSong_GB2312"/>
          <w:color w:val="000000"/>
          <w:sz w:val="32"/>
          <w:szCs w:val="32"/>
        </w:rPr>
        <w:t>（项）：指</w:t>
      </w:r>
      <w:r>
        <w:rPr>
          <w:rFonts w:hint="eastAsia" w:ascii="FangSong_GB2312" w:eastAsia="FangSong_GB2312"/>
          <w:color w:val="000000"/>
          <w:sz w:val="32"/>
          <w:szCs w:val="32"/>
          <w:lang w:val="en-US" w:eastAsia="zh-CN"/>
        </w:rPr>
        <w:t>行政单位医疗费</w:t>
      </w:r>
      <w:r>
        <w:rPr>
          <w:rFonts w:hint="eastAsia" w:ascii="FangSong_GB2312" w:eastAsia="FangSong_GB2312"/>
          <w:color w:val="000000"/>
          <w:sz w:val="32"/>
          <w:szCs w:val="32"/>
        </w:rPr>
        <w:t>支出。</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6.</w:t>
      </w:r>
      <w:r>
        <w:rPr>
          <w:rFonts w:hint="eastAsia" w:ascii="FangSong_GB2312" w:eastAsia="FangSong_GB2312"/>
          <w:color w:val="000000"/>
          <w:sz w:val="32"/>
          <w:szCs w:val="32"/>
        </w:rPr>
        <w:t>医疗卫生与计划生育（类）</w:t>
      </w:r>
      <w:r>
        <w:rPr>
          <w:rFonts w:hint="eastAsia" w:ascii="FangSong_GB2312" w:eastAsia="FangSong_GB2312"/>
          <w:color w:val="000000"/>
          <w:sz w:val="32"/>
          <w:szCs w:val="32"/>
          <w:lang w:val="en-US" w:eastAsia="zh-CN"/>
        </w:rPr>
        <w:t>21011</w:t>
      </w:r>
      <w:r>
        <w:rPr>
          <w:rFonts w:hint="eastAsia" w:ascii="FangSong_GB2312" w:eastAsia="FangSong_GB2312"/>
          <w:color w:val="000000"/>
          <w:sz w:val="32"/>
          <w:szCs w:val="32"/>
        </w:rPr>
        <w:t>（款）</w:t>
      </w:r>
      <w:r>
        <w:rPr>
          <w:rFonts w:hint="eastAsia" w:ascii="FangSong_GB2312" w:eastAsia="FangSong_GB2312"/>
          <w:color w:val="000000"/>
          <w:sz w:val="32"/>
          <w:szCs w:val="32"/>
          <w:lang w:val="en-US" w:eastAsia="zh-CN"/>
        </w:rPr>
        <w:t>03</w:t>
      </w:r>
      <w:r>
        <w:rPr>
          <w:rFonts w:hint="eastAsia" w:ascii="FangSong_GB2312" w:eastAsia="FangSong_GB2312"/>
          <w:color w:val="000000"/>
          <w:sz w:val="32"/>
          <w:szCs w:val="32"/>
        </w:rPr>
        <w:t>（项）：指</w:t>
      </w:r>
      <w:r>
        <w:rPr>
          <w:rFonts w:hint="eastAsia" w:ascii="FangSong_GB2312" w:eastAsia="FangSong_GB2312"/>
          <w:color w:val="000000"/>
          <w:sz w:val="32"/>
          <w:szCs w:val="32"/>
          <w:lang w:val="en-US" w:eastAsia="zh-CN"/>
        </w:rPr>
        <w:t>公务员医疗补助</w:t>
      </w:r>
      <w:r>
        <w:rPr>
          <w:rFonts w:hint="eastAsia" w:ascii="FangSong_GB2312" w:eastAsia="FangSong_GB2312"/>
          <w:color w:val="000000"/>
          <w:sz w:val="32"/>
          <w:szCs w:val="32"/>
        </w:rPr>
        <w:t>支出。</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7.</w:t>
      </w:r>
      <w:r>
        <w:rPr>
          <w:rFonts w:hint="eastAsia" w:ascii="FangSong_GB2312" w:eastAsia="FangSong_GB2312"/>
          <w:color w:val="000000"/>
          <w:sz w:val="32"/>
          <w:szCs w:val="32"/>
        </w:rPr>
        <w:t>住房保障（类）</w:t>
      </w:r>
      <w:r>
        <w:rPr>
          <w:rFonts w:hint="eastAsia" w:ascii="FangSong_GB2312" w:eastAsia="FangSong_GB2312"/>
          <w:color w:val="000000"/>
          <w:sz w:val="32"/>
          <w:szCs w:val="32"/>
          <w:lang w:val="en-US" w:eastAsia="zh-CN"/>
        </w:rPr>
        <w:t>22102</w:t>
      </w:r>
      <w:r>
        <w:rPr>
          <w:rFonts w:hint="eastAsia" w:ascii="FangSong_GB2312" w:eastAsia="FangSong_GB2312"/>
          <w:color w:val="000000"/>
          <w:sz w:val="32"/>
          <w:szCs w:val="32"/>
        </w:rPr>
        <w:t>（款）</w:t>
      </w:r>
      <w:r>
        <w:rPr>
          <w:rFonts w:hint="eastAsia" w:ascii="FangSong_GB2312" w:eastAsia="FangSong_GB2312"/>
          <w:color w:val="000000"/>
          <w:sz w:val="32"/>
          <w:szCs w:val="32"/>
          <w:lang w:val="en-US" w:eastAsia="zh-CN"/>
        </w:rPr>
        <w:t>01</w:t>
      </w:r>
      <w:r>
        <w:rPr>
          <w:rFonts w:hint="eastAsia" w:ascii="FangSong_GB2312" w:eastAsia="FangSong_GB2312"/>
          <w:color w:val="000000"/>
          <w:sz w:val="32"/>
          <w:szCs w:val="32"/>
        </w:rPr>
        <w:t>（项）：指</w:t>
      </w:r>
      <w:r>
        <w:rPr>
          <w:rFonts w:hint="eastAsia" w:ascii="FangSong_GB2312" w:eastAsia="FangSong_GB2312"/>
          <w:color w:val="000000"/>
          <w:sz w:val="32"/>
          <w:szCs w:val="32"/>
          <w:lang w:val="en-US" w:eastAsia="zh-CN"/>
        </w:rPr>
        <w:t>住房公积金</w:t>
      </w:r>
      <w:r>
        <w:rPr>
          <w:rFonts w:hint="eastAsia" w:ascii="FangSong_GB2312" w:eastAsia="FangSong_GB2312"/>
          <w:color w:val="000000"/>
          <w:sz w:val="32"/>
          <w:szCs w:val="32"/>
        </w:rPr>
        <w:t>支出。</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8</w:t>
      </w:r>
      <w:r>
        <w:rPr>
          <w:rFonts w:hint="eastAsia" w:ascii="FangSong_GB2312" w:eastAsia="FangSong_GB2312"/>
          <w:color w:val="000000"/>
          <w:sz w:val="32"/>
          <w:szCs w:val="32"/>
        </w:rPr>
        <w:t>.基本支出：指为保障机构正常运转、完成日常工作任务而发生的人员支出和公用支出。</w:t>
      </w:r>
    </w:p>
    <w:p>
      <w:pPr>
        <w:ind w:firstLine="640" w:firstLineChars="200"/>
        <w:rPr>
          <w:rFonts w:hint="eastAsia" w:ascii="FangSong_GB2312" w:eastAsia="FangSong_GB2312"/>
          <w:color w:val="000000"/>
          <w:sz w:val="32"/>
          <w:szCs w:val="32"/>
        </w:rPr>
      </w:pPr>
      <w:r>
        <w:rPr>
          <w:rFonts w:hint="eastAsia" w:ascii="FangSong_GB2312" w:eastAsia="FangSong_GB2312"/>
          <w:color w:val="000000"/>
          <w:sz w:val="32"/>
          <w:szCs w:val="32"/>
          <w:lang w:val="en-US" w:eastAsia="zh-CN"/>
        </w:rPr>
        <w:t>9</w:t>
      </w:r>
      <w:r>
        <w:rPr>
          <w:rFonts w:hint="eastAsia" w:ascii="FangSong_GB2312" w:eastAsia="FangSong_GB2312"/>
          <w:color w:val="000000"/>
          <w:sz w:val="32"/>
          <w:szCs w:val="32"/>
        </w:rPr>
        <w:t xml:space="preserve">.项目支出：指在基本支出之外为完成特定行政任务和事业发展目标所发生的支出。 </w:t>
      </w:r>
    </w:p>
    <w:p>
      <w:pPr>
        <w:pStyle w:val="23"/>
        <w:spacing w:line="560" w:lineRule="exact"/>
        <w:ind w:firstLine="640" w:firstLineChars="200"/>
        <w:rPr>
          <w:rFonts w:hint="eastAsia" w:ascii="FangSong_GB2312" w:eastAsia="FangSong_GB2312"/>
          <w:sz w:val="32"/>
          <w:szCs w:val="32"/>
        </w:rPr>
      </w:pPr>
      <w:r>
        <w:rPr>
          <w:rFonts w:hint="eastAsia" w:ascii="FangSong_GB2312" w:eastAsia="FangSong_GB2312"/>
          <w:sz w:val="32"/>
          <w:szCs w:val="32"/>
          <w:lang w:val="en-US" w:eastAsia="zh-CN"/>
        </w:rPr>
        <w:t>1</w:t>
      </w:r>
      <w:r>
        <w:rPr>
          <w:rFonts w:hint="eastAsia" w:ascii="FangSong_GB2312" w:eastAsia="FangSong_GB2312"/>
          <w:sz w:val="32"/>
          <w:szCs w:val="32"/>
        </w:rPr>
        <w:t>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FangSong_GB2312" w:eastAsia="FangSong_GB2312"/>
          <w:sz w:val="32"/>
          <w:szCs w:val="32"/>
        </w:rPr>
      </w:pPr>
      <w:r>
        <w:rPr>
          <w:rFonts w:hint="eastAsia" w:ascii="FangSong_GB2312" w:eastAsia="FangSong_GB2312"/>
          <w:sz w:val="32"/>
          <w:szCs w:val="32"/>
          <w:lang w:val="en-US" w:eastAsia="zh-CN"/>
        </w:rPr>
        <w:t>1</w:t>
      </w:r>
      <w:r>
        <w:rPr>
          <w:rFonts w:hint="eastAsia" w:ascii="FangSong_GB2312" w:eastAsia="FangSong_GB2312"/>
          <w:sz w:val="32"/>
          <w:szCs w:val="32"/>
        </w:rPr>
        <w:t>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color w:val="000000"/>
          <w:sz w:val="44"/>
          <w:szCs w:val="44"/>
        </w:rPr>
        <w:br w:type="page"/>
      </w:r>
      <w:bookmarkStart w:id="50"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0"/>
    </w:p>
    <w:p>
      <w:pPr>
        <w:spacing w:line="600" w:lineRule="exact"/>
        <w:jc w:val="center"/>
        <w:outlineLvl w:val="0"/>
        <w:rPr>
          <w:rStyle w:val="25"/>
        </w:rPr>
      </w:pPr>
    </w:p>
    <w:p>
      <w:pPr>
        <w:pStyle w:val="3"/>
        <w:rPr>
          <w:rStyle w:val="25"/>
          <w:rFonts w:ascii="仿宋" w:hAnsi="仿宋" w:eastAsia="仿宋"/>
          <w:b w:val="0"/>
          <w:bCs w:val="0"/>
          <w:sz w:val="32"/>
          <w:szCs w:val="32"/>
        </w:rPr>
      </w:pPr>
      <w:bookmarkStart w:id="51" w:name="_Toc15396615"/>
      <w:r>
        <w:rPr>
          <w:rStyle w:val="25"/>
          <w:rFonts w:hint="eastAsia" w:ascii="仿宋" w:hAnsi="仿宋" w:eastAsia="仿宋"/>
          <w:b w:val="0"/>
          <w:bCs w:val="0"/>
          <w:sz w:val="32"/>
          <w:szCs w:val="32"/>
        </w:rPr>
        <w:t>附件1</w:t>
      </w:r>
      <w:bookmarkEnd w:id="51"/>
    </w:p>
    <w:p>
      <w:pPr>
        <w:spacing w:line="600" w:lineRule="exact"/>
        <w:jc w:val="center"/>
        <w:outlineLvl w:val="0"/>
        <w:rPr>
          <w:rFonts w:ascii="黑体" w:hAnsi="黑体" w:eastAsia="黑体" w:cs="方正小标宋简体"/>
          <w:sz w:val="36"/>
          <w:szCs w:val="36"/>
        </w:rPr>
      </w:pPr>
      <w:bookmarkStart w:id="52" w:name="_Toc15396616"/>
      <w:r>
        <w:rPr>
          <w:rFonts w:hint="eastAsia" w:ascii="黑体" w:hAnsi="黑体" w:eastAsia="黑体" w:cs="方正小标宋简体"/>
          <w:sz w:val="36"/>
          <w:szCs w:val="36"/>
        </w:rPr>
        <w:t>XX部门2018年部门整体支出绩效评价报告</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bookmarkEnd w:id="52"/>
    <w:p>
      <w:pPr>
        <w:spacing w:line="600" w:lineRule="exact"/>
        <w:jc w:val="center"/>
        <w:outlineLvl w:val="0"/>
        <w:rPr>
          <w:rStyle w:val="25"/>
          <w:rFonts w:ascii="黑体" w:hAnsi="黑体" w:eastAsia="黑体"/>
          <w:b w:val="0"/>
        </w:rPr>
      </w:pPr>
      <w:bookmarkStart w:id="53"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49"/>
      <w:bookmarkEnd w:id="5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4"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54"/>
    </w:p>
    <w:p>
      <w:pPr>
        <w:pStyle w:val="3"/>
        <w:rPr>
          <w:rFonts w:ascii="仿宋" w:hAnsi="仿宋" w:eastAsia="仿宋"/>
          <w:color w:val="000000"/>
        </w:rPr>
      </w:pPr>
      <w:bookmarkStart w:id="55"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55"/>
    </w:p>
    <w:p>
      <w:pPr>
        <w:pStyle w:val="3"/>
        <w:rPr>
          <w:rFonts w:ascii="仿宋" w:hAnsi="仿宋" w:eastAsia="仿宋"/>
          <w:color w:val="000000"/>
        </w:rPr>
      </w:pPr>
      <w:bookmarkStart w:id="5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56"/>
    </w:p>
    <w:p>
      <w:pPr>
        <w:pStyle w:val="3"/>
        <w:rPr>
          <w:rFonts w:ascii="仿宋" w:hAnsi="仿宋" w:eastAsia="仿宋"/>
          <w:b w:val="0"/>
          <w:color w:val="000000"/>
        </w:rPr>
      </w:pPr>
      <w:bookmarkStart w:id="57"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7"/>
    </w:p>
    <w:p>
      <w:pPr>
        <w:pStyle w:val="3"/>
        <w:rPr>
          <w:rFonts w:ascii="仿宋" w:hAnsi="仿宋" w:eastAsia="仿宋"/>
          <w:color w:val="000000"/>
        </w:rPr>
      </w:pPr>
      <w:bookmarkStart w:id="58"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58"/>
    </w:p>
    <w:p>
      <w:pPr>
        <w:pStyle w:val="3"/>
        <w:rPr>
          <w:rFonts w:ascii="仿宋" w:hAnsi="仿宋" w:eastAsia="仿宋"/>
          <w:color w:val="000000"/>
        </w:rPr>
      </w:pPr>
      <w:bookmarkStart w:id="59"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9"/>
    </w:p>
    <w:p>
      <w:pPr>
        <w:pStyle w:val="3"/>
        <w:rPr>
          <w:rFonts w:ascii="仿宋" w:hAnsi="仿宋" w:eastAsia="仿宋"/>
          <w:color w:val="000000"/>
        </w:rPr>
      </w:pPr>
      <w:bookmarkStart w:id="60"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0"/>
    </w:p>
    <w:p>
      <w:pPr>
        <w:pStyle w:val="3"/>
        <w:rPr>
          <w:rFonts w:ascii="仿宋" w:hAnsi="仿宋" w:eastAsia="仿宋"/>
          <w:color w:val="000000"/>
        </w:rPr>
      </w:pPr>
      <w:bookmarkStart w:id="61"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1"/>
    </w:p>
    <w:p>
      <w:pPr>
        <w:pStyle w:val="3"/>
        <w:rPr>
          <w:rFonts w:ascii="仿宋" w:hAnsi="仿宋" w:eastAsia="仿宋"/>
          <w:color w:val="000000"/>
        </w:rPr>
      </w:pPr>
      <w:bookmarkStart w:id="62"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2"/>
    </w:p>
    <w:p>
      <w:pPr>
        <w:pStyle w:val="3"/>
        <w:rPr>
          <w:rFonts w:ascii="仿宋" w:hAnsi="仿宋" w:eastAsia="仿宋"/>
          <w:color w:val="000000"/>
        </w:rPr>
      </w:pPr>
      <w:bookmarkStart w:id="63"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3"/>
    </w:p>
    <w:p>
      <w:pPr>
        <w:pStyle w:val="3"/>
        <w:rPr>
          <w:rFonts w:ascii="仿宋" w:hAnsi="仿宋" w:eastAsia="仿宋"/>
          <w:color w:val="000000"/>
        </w:rPr>
      </w:pPr>
      <w:bookmarkStart w:id="6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4"/>
    </w:p>
    <w:p>
      <w:pPr>
        <w:pStyle w:val="3"/>
        <w:rPr>
          <w:rFonts w:ascii="仿宋" w:hAnsi="仿宋" w:eastAsia="仿宋"/>
          <w:color w:val="000000"/>
        </w:rPr>
      </w:pPr>
      <w:bookmarkStart w:id="65"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5"/>
    </w:p>
    <w:p>
      <w:pPr>
        <w:pStyle w:val="3"/>
        <w:rPr>
          <w:rFonts w:ascii="仿宋" w:hAnsi="仿宋" w:eastAsia="仿宋"/>
          <w:color w:val="000000" w:themeColor="text1"/>
          <w14:textFill>
            <w14:solidFill>
              <w14:schemeClr w14:val="tx1"/>
            </w14:solidFill>
          </w14:textFill>
        </w:rPr>
      </w:pPr>
      <w:bookmarkStart w:id="66"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6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2B7D261D"/>
    <w:multiLevelType w:val="singleLevel"/>
    <w:tmpl w:val="2B7D261D"/>
    <w:lvl w:ilvl="0" w:tentative="0">
      <w:start w:val="1"/>
      <w:numFmt w:val="decimal"/>
      <w:lvlText w:val="%1."/>
      <w:lvlJc w:val="left"/>
      <w:pPr>
        <w:tabs>
          <w:tab w:val="left" w:pos="312"/>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5F62"/>
    <w:rsid w:val="000768F2"/>
    <w:rsid w:val="00081313"/>
    <w:rsid w:val="0009184B"/>
    <w:rsid w:val="0009593C"/>
    <w:rsid w:val="000B047F"/>
    <w:rsid w:val="000B5923"/>
    <w:rsid w:val="000B5A48"/>
    <w:rsid w:val="000B6FF3"/>
    <w:rsid w:val="000C3467"/>
    <w:rsid w:val="000C3CA6"/>
    <w:rsid w:val="000D1267"/>
    <w:rsid w:val="000D1D50"/>
    <w:rsid w:val="000D5782"/>
    <w:rsid w:val="000E6613"/>
    <w:rsid w:val="000E7119"/>
    <w:rsid w:val="0010683E"/>
    <w:rsid w:val="00114E9B"/>
    <w:rsid w:val="0014729F"/>
    <w:rsid w:val="0015325D"/>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01AB7"/>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678"/>
    <w:rsid w:val="004E0A2D"/>
    <w:rsid w:val="004E206B"/>
    <w:rsid w:val="004E576E"/>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1778"/>
    <w:rsid w:val="006A3141"/>
    <w:rsid w:val="006A5E34"/>
    <w:rsid w:val="006B2422"/>
    <w:rsid w:val="006B2B9A"/>
    <w:rsid w:val="006C1937"/>
    <w:rsid w:val="006F020C"/>
    <w:rsid w:val="006F3444"/>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466AB"/>
    <w:rsid w:val="00C533CC"/>
    <w:rsid w:val="00C5751C"/>
    <w:rsid w:val="00C61BFC"/>
    <w:rsid w:val="00C62B85"/>
    <w:rsid w:val="00C65438"/>
    <w:rsid w:val="00C8228C"/>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11079"/>
    <w:rsid w:val="00E30D19"/>
    <w:rsid w:val="00E331A1"/>
    <w:rsid w:val="00E33202"/>
    <w:rsid w:val="00E336A9"/>
    <w:rsid w:val="00E50624"/>
    <w:rsid w:val="00E568DF"/>
    <w:rsid w:val="00E64269"/>
    <w:rsid w:val="00E8075A"/>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D4FAB"/>
    <w:rsid w:val="00FF1E02"/>
    <w:rsid w:val="00FF30B4"/>
    <w:rsid w:val="05C47412"/>
    <w:rsid w:val="06446277"/>
    <w:rsid w:val="09E267AE"/>
    <w:rsid w:val="0B2D1036"/>
    <w:rsid w:val="0F1A11ED"/>
    <w:rsid w:val="10C055FF"/>
    <w:rsid w:val="16BB723D"/>
    <w:rsid w:val="178B0272"/>
    <w:rsid w:val="1AE15A1D"/>
    <w:rsid w:val="1C077E1C"/>
    <w:rsid w:val="1E0D2400"/>
    <w:rsid w:val="1FCB2D8B"/>
    <w:rsid w:val="240371BF"/>
    <w:rsid w:val="29FD04D3"/>
    <w:rsid w:val="319F7F4E"/>
    <w:rsid w:val="32096D48"/>
    <w:rsid w:val="370F5AAE"/>
    <w:rsid w:val="3B6145D0"/>
    <w:rsid w:val="3CBB3FC0"/>
    <w:rsid w:val="3DC75E59"/>
    <w:rsid w:val="41AC01AE"/>
    <w:rsid w:val="43284855"/>
    <w:rsid w:val="43C61A46"/>
    <w:rsid w:val="487B1E46"/>
    <w:rsid w:val="4B046577"/>
    <w:rsid w:val="4D6700F7"/>
    <w:rsid w:val="4DF749C7"/>
    <w:rsid w:val="50444859"/>
    <w:rsid w:val="514B5EA9"/>
    <w:rsid w:val="562A2CD0"/>
    <w:rsid w:val="597E45C9"/>
    <w:rsid w:val="5CF13836"/>
    <w:rsid w:val="5DB91DD7"/>
    <w:rsid w:val="62593ADB"/>
    <w:rsid w:val="633D475B"/>
    <w:rsid w:val="63C167D6"/>
    <w:rsid w:val="6B641BEE"/>
    <w:rsid w:val="6F493524"/>
    <w:rsid w:val="700937D1"/>
    <w:rsid w:val="701910E9"/>
    <w:rsid w:val="71756AF6"/>
    <w:rsid w:val="7683490A"/>
    <w:rsid w:val="78AE0F73"/>
    <w:rsid w:val="7B5F20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02325"/>
          <c:y val="0.214166666666667"/>
          <c:w val="0.945"/>
          <c:h val="0.717233333333333"/>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118.16</c:v>
                </c:pt>
                <c:pt idx="1">
                  <c:v>118.16</c:v>
                </c:pt>
              </c:numCache>
            </c:numRef>
          </c:val>
        </c:ser>
        <c:ser>
          <c:idx val="1"/>
          <c:order val="1"/>
          <c:tx>
            <c:strRef>
              <c:f>Sheet1!$C$1</c:f>
              <c:strCache>
                <c:ptCount val="1"/>
                <c:pt idx="0">
                  <c:v>2017</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85.16</c:v>
                </c:pt>
                <c:pt idx="1">
                  <c:v>85.16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25"/>
        <c:axId val="99682766"/>
        <c:axId val="622453107"/>
      </c:barChart>
      <c:catAx>
        <c:axId val="996827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453107"/>
        <c:crosses val="autoZero"/>
        <c:auto val="1"/>
        <c:lblAlgn val="ctr"/>
        <c:lblOffset val="100"/>
        <c:noMultiLvlLbl val="0"/>
      </c:catAx>
      <c:valAx>
        <c:axId val="622453107"/>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682766"/>
        <c:crosses val="autoZero"/>
        <c:crossBetween val="between"/>
      </c:valAx>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c:v>
                </c:pt>
              </c:strCache>
            </c:strRef>
          </c:cat>
          <c:val>
            <c:numRef>
              <c:f>Sheet1!$B$2:$B$5</c:f>
              <c:numCache>
                <c:formatCode>0.00%</c:formatCode>
                <c:ptCount val="4"/>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0.6615</c:v>
                </c:pt>
                <c:pt idx="1">
                  <c:v>0.3385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财政拨款收支决算变动情况图</a:t>
            </a:r>
          </a:p>
        </c:rich>
      </c:tx>
      <c:layout/>
      <c:overlay val="0"/>
      <c:spPr>
        <a:noFill/>
        <a:ln>
          <a:noFill/>
        </a:ln>
        <a:effectLst/>
      </c:spPr>
    </c:title>
    <c:autoTitleDeleted val="0"/>
    <c:plotArea>
      <c:layout>
        <c:manualLayout>
          <c:layoutTarget val="inner"/>
          <c:xMode val="edge"/>
          <c:yMode val="edge"/>
          <c:x val="0.03425"/>
          <c:y val="0.214166666666667"/>
          <c:w val="0.945"/>
          <c:h val="0.717233333333333"/>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118.16</c:v>
                </c:pt>
                <c:pt idx="1">
                  <c:v>118.16</c:v>
                </c:pt>
              </c:numCache>
            </c:numRef>
          </c:val>
        </c:ser>
        <c:ser>
          <c:idx val="1"/>
          <c:order val="1"/>
          <c:tx>
            <c:strRef>
              <c:f>Sheet1!$C$1</c:f>
              <c:strCache>
                <c:ptCount val="1"/>
                <c:pt idx="0">
                  <c:v>2017</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85.16</c:v>
                </c:pt>
                <c:pt idx="1">
                  <c:v>85.16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25"/>
        <c:axId val="99682766"/>
        <c:axId val="622453107"/>
      </c:barChart>
      <c:catAx>
        <c:axId val="996827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453107"/>
        <c:crosses val="autoZero"/>
        <c:auto val="1"/>
        <c:lblAlgn val="ctr"/>
        <c:lblOffset val="100"/>
        <c:noMultiLvlLbl val="0"/>
      </c:catAx>
      <c:valAx>
        <c:axId val="622453107"/>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682766"/>
        <c:crosses val="autoZero"/>
        <c:crossBetween val="between"/>
      </c:valAx>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118.16</c:v>
                </c:pt>
              </c:numCache>
            </c:numRef>
          </c:val>
        </c:ser>
        <c:ser>
          <c:idx val="1"/>
          <c:order val="1"/>
          <c:tx>
            <c:strRef>
              <c:f>Sheet1!$C$1</c:f>
              <c:strCache>
                <c:ptCount val="1"/>
                <c:pt idx="0">
                  <c:v>2017</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85.16</c:v>
                </c:pt>
              </c:numCache>
            </c:numRef>
          </c:val>
        </c:ser>
        <c:dLbls>
          <c:showLegendKey val="0"/>
          <c:showVal val="1"/>
          <c:showCatName val="0"/>
          <c:showSerName val="0"/>
          <c:showPercent val="0"/>
          <c:showBubbleSize val="0"/>
        </c:dLbls>
        <c:gapWidth val="219"/>
        <c:overlap val="-27"/>
        <c:axId val="205283275"/>
        <c:axId val="44763925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c15:sqref>
                        </c15:formulaRef>
                      </c:ext>
                    </c:extLst>
                    <c:strCache>
                      <c:ptCount val="1"/>
                      <c:pt idx="0">
                        <c:v>类别 1</c:v>
                      </c:pt>
                    </c:strCache>
                  </c:str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205283275"/>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639252"/>
        <c:crosses val="autoZero"/>
        <c:auto val="1"/>
        <c:lblAlgn val="ctr"/>
        <c:lblOffset val="100"/>
        <c:noMultiLvlLbl val="0"/>
      </c:catAx>
      <c:valAx>
        <c:axId val="4476392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2832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532087102007184"/>
                  <c:y val="-0.038119476634637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815744651497553"/>
                  <c:y val="0.0384194695368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735091297664"/>
                  <c:y val="-0.00154671550154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科学技术支出</c:v>
                </c:pt>
                <c:pt idx="1">
                  <c:v>社会保障和就业支出</c:v>
                </c:pt>
                <c:pt idx="2">
                  <c:v>医疗卫生支出</c:v>
                </c:pt>
                <c:pt idx="3">
                  <c:v>住房保障支出</c:v>
                </c:pt>
              </c:strCache>
            </c:strRef>
          </c:cat>
          <c:val>
            <c:numRef>
              <c:f>Sheet1!$B$2:$B$5</c:f>
              <c:numCache>
                <c:formatCode>0.00%</c:formatCode>
                <c:ptCount val="4"/>
                <c:pt idx="0">
                  <c:v>0.8414</c:v>
                </c:pt>
                <c:pt idx="1">
                  <c:v>0.075</c:v>
                </c:pt>
                <c:pt idx="2">
                  <c:v>0.0382</c:v>
                </c:pt>
                <c:pt idx="3">
                  <c:v>0.0455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1DAB4-82BE-43BA-94FD-66D2D09E9E0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8126</Words>
  <Characters>3205</Characters>
  <Lines>26</Lines>
  <Paragraphs>22</Paragraphs>
  <TotalTime>17</TotalTime>
  <ScaleCrop>false</ScaleCrop>
  <LinksUpToDate>false</LinksUpToDate>
  <CharactersWithSpaces>11309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2019-09-25T08:36:00Z</dcterms:created>
  <dc:creator>张彬茜</dc:creator>
  <cp:lastModifiedBy>Administrator</cp:lastModifiedBy>
  <cp:lastPrinted>2019-08-01T00:48:00Z</cp:lastPrinted>
  <dcterms:modified xsi:type="dcterms:W3CDTF">2019-09-28T06:16:20Z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