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1" w:name="_Toc15396597"/>
      <w:bookmarkStart w:id="2" w:name="_Toc15378441"/>
      <w:bookmarkStart w:id="3" w:name="_Toc15377193"/>
      <w:bookmarkStart w:id="4" w:name="_Toc15377425"/>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bookmarkStart w:id="6" w:name="_Toc15377426"/>
      <w:bookmarkStart w:id="7" w:name="_Toc15377194"/>
      <w:bookmarkStart w:id="8" w:name="_Toc15396598"/>
      <w:bookmarkStart w:id="9" w:name="_Toc15378442"/>
      <w:bookmarkStart w:id="10" w:name="_Toc15396476"/>
    </w:p>
    <w:bookmarkEnd w:id="0"/>
    <w:p>
      <w:pPr>
        <w:adjustRightInd w:val="0"/>
        <w:snapToGrid w:val="0"/>
        <w:spacing w:line="360" w:lineRule="auto"/>
        <w:jc w:val="center"/>
        <w:outlineLvl w:val="0"/>
        <w:rPr>
          <w:rFonts w:hint="eastAsia" w:ascii="方正小标宋简体" w:hAnsi="宋体" w:eastAsia="方正小标宋简体"/>
          <w:color w:val="000000"/>
          <w:sz w:val="56"/>
          <w:szCs w:val="56"/>
          <w:lang w:eastAsia="zh-CN"/>
        </w:rPr>
      </w:pPr>
      <w:bookmarkStart w:id="11" w:name="_Toc15306268"/>
      <w:r>
        <w:rPr>
          <w:rFonts w:hint="eastAsia" w:ascii="方正小标宋简体" w:hAnsi="宋体" w:eastAsia="方正小标宋简体"/>
          <w:color w:val="000000"/>
          <w:sz w:val="56"/>
          <w:szCs w:val="56"/>
          <w:lang w:eastAsia="zh-CN"/>
        </w:rPr>
        <w:t>四川省开江县甘棠初级中学</w:t>
      </w:r>
    </w:p>
    <w:p>
      <w:pPr>
        <w:adjustRightInd w:val="0"/>
        <w:snapToGrid w:val="0"/>
        <w:spacing w:line="360" w:lineRule="auto"/>
        <w:jc w:val="center"/>
        <w:outlineLvl w:val="0"/>
        <w:rPr>
          <w:rFonts w:hint="eastAsia" w:ascii="方正小标宋简体" w:hAnsi="宋体" w:eastAsia="方正小标宋简体"/>
          <w:color w:val="000000"/>
          <w:sz w:val="56"/>
          <w:szCs w:val="56"/>
          <w:lang w:val="en-US" w:eastAsia="zh-CN"/>
        </w:rPr>
      </w:pPr>
      <w:r>
        <w:rPr>
          <w:rFonts w:hint="eastAsia" w:ascii="方正小标宋简体" w:hAnsi="宋体" w:eastAsia="方正小标宋简体"/>
          <w:color w:val="000000"/>
          <w:sz w:val="56"/>
          <w:szCs w:val="56"/>
          <w:lang w:eastAsia="zh-CN"/>
        </w:rPr>
        <w:t>部门决算</w:t>
      </w:r>
      <w:bookmarkEnd w:id="6"/>
      <w:bookmarkEnd w:id="7"/>
      <w:bookmarkEnd w:id="8"/>
      <w:bookmarkEnd w:id="9"/>
      <w:bookmarkEnd w:id="10"/>
      <w:bookmarkEnd w:id="11"/>
      <w:r>
        <w:rPr>
          <w:rFonts w:hint="eastAsia" w:ascii="方正小标宋简体" w:hAnsi="宋体" w:eastAsia="方正小标宋简体"/>
          <w:color w:val="000000"/>
          <w:sz w:val="56"/>
          <w:szCs w:val="56"/>
          <w:lang w:eastAsia="zh-CN"/>
        </w:rPr>
        <w:t>公开</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23</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lang w:val="en-US" w:eastAsia="zh-CN"/>
        </w:rPr>
        <w:t>6</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lang w:val="en-US" w:eastAsia="zh-CN"/>
        </w:rPr>
        <w:t>1</w:t>
      </w:r>
      <w:r>
        <w:fldChar w:fldCharType="end"/>
      </w:r>
      <w:r>
        <w:rPr>
          <w:rFonts w:hint="eastAsia"/>
          <w:lang w:val="en-US" w:eastAsia="zh-CN"/>
        </w:rPr>
        <w:t>7</w:t>
      </w:r>
    </w:p>
    <w:p>
      <w:pPr>
        <w:pStyle w:val="11"/>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2</w:t>
      </w:r>
      <w:r>
        <w:fldChar w:fldCharType="end"/>
      </w:r>
      <w:r>
        <w:rPr>
          <w:rFonts w:hint="eastAsia"/>
          <w:lang w:val="en-US" w:eastAsia="zh-CN"/>
        </w:rPr>
        <w:t>0</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bookmarkStart w:id="18" w:name="_Toc15377199"/>
      <w:bookmarkStart w:id="19" w:name="_Toc15378446"/>
      <w:r>
        <w:rPr>
          <w:rFonts w:hint="eastAsia" w:ascii="仿宋" w:hAnsi="仿宋" w:eastAsia="仿宋"/>
          <w:bCs/>
          <w:color w:val="000000"/>
          <w:sz w:val="32"/>
          <w:szCs w:val="32"/>
        </w:rPr>
        <w:t>（一）主要职能</w:t>
      </w:r>
      <w:bookmarkEnd w:id="16"/>
      <w:bookmarkEnd w:id="17"/>
      <w:r>
        <w:rPr>
          <w:rFonts w:hint="eastAsia" w:ascii="仿宋" w:hAnsi="仿宋" w:eastAsia="仿宋"/>
          <w:bCs/>
          <w:color w:val="000000"/>
          <w:sz w:val="32"/>
          <w:szCs w:val="32"/>
          <w:lang w:eastAsia="zh-CN"/>
        </w:rPr>
        <w:t>：</w:t>
      </w:r>
      <w:r>
        <w:rPr>
          <w:rFonts w:hint="eastAsia" w:ascii="宋体" w:hAnsi="宋体" w:eastAsia="宋体" w:cs="宋体"/>
          <w:bCs/>
          <w:color w:val="000000"/>
          <w:sz w:val="28"/>
          <w:szCs w:val="28"/>
          <w:lang w:eastAsia="zh-CN"/>
        </w:rPr>
        <w:t>实施初中义务教育，促进基础教育发展。</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23"/>
        <w:rPr>
          <w:rFonts w:hint="default"/>
          <w:sz w:val="28"/>
          <w:szCs w:val="28"/>
          <w:lang w:eastAsia="zh-CN"/>
        </w:rPr>
      </w:pPr>
      <w:r>
        <w:rPr>
          <w:rFonts w:hint="eastAsia"/>
          <w:sz w:val="28"/>
          <w:szCs w:val="28"/>
        </w:rPr>
        <w:t>201</w:t>
      </w:r>
      <w:r>
        <w:rPr>
          <w:rFonts w:hint="eastAsia"/>
          <w:sz w:val="28"/>
          <w:szCs w:val="28"/>
          <w:lang w:val="en-US" w:eastAsia="zh-CN"/>
        </w:rPr>
        <w:t>8</w:t>
      </w:r>
      <w:r>
        <w:rPr>
          <w:rFonts w:hint="eastAsia"/>
          <w:sz w:val="28"/>
          <w:szCs w:val="28"/>
        </w:rPr>
        <w:t>年，在县委、</w:t>
      </w:r>
      <w:r>
        <w:rPr>
          <w:rFonts w:hint="eastAsia"/>
          <w:sz w:val="28"/>
          <w:szCs w:val="28"/>
          <w:lang w:val="en-US" w:eastAsia="zh-CN"/>
        </w:rPr>
        <w:t>县</w:t>
      </w:r>
      <w:r>
        <w:rPr>
          <w:rFonts w:hint="eastAsia"/>
          <w:sz w:val="28"/>
          <w:szCs w:val="28"/>
        </w:rPr>
        <w:t>政府的坚强领导和县教科局的关心指导下，我校秉承“</w:t>
      </w:r>
      <w:r>
        <w:rPr>
          <w:rFonts w:hint="eastAsia"/>
          <w:sz w:val="28"/>
          <w:szCs w:val="28"/>
          <w:lang w:eastAsia="zh-CN"/>
        </w:rPr>
        <w:t>发展是硬道理，质量是硬指标</w:t>
      </w:r>
      <w:r>
        <w:rPr>
          <w:rFonts w:hint="eastAsia"/>
          <w:sz w:val="28"/>
          <w:szCs w:val="28"/>
        </w:rPr>
        <w:t>”的办学理念，圆满的完成上级赋予的教育教学任务。</w:t>
      </w:r>
      <w:r>
        <w:rPr>
          <w:rFonts w:hint="default"/>
          <w:sz w:val="28"/>
          <w:szCs w:val="28"/>
        </w:rPr>
        <w:t>坚持“德、智、体、美、劳”全面发展；积极进行教育思想、教学内容、教学方法和教育手段的改革；为</w:t>
      </w:r>
      <w:r>
        <w:rPr>
          <w:rFonts w:hint="eastAsia"/>
          <w:sz w:val="28"/>
          <w:szCs w:val="28"/>
          <w:lang w:eastAsia="zh-CN"/>
        </w:rPr>
        <w:t>高</w:t>
      </w:r>
      <w:r>
        <w:rPr>
          <w:rFonts w:hint="default"/>
          <w:sz w:val="28"/>
          <w:szCs w:val="28"/>
        </w:rPr>
        <w:t>中输送合格的新生</w:t>
      </w:r>
      <w:r>
        <w:rPr>
          <w:rFonts w:hint="eastAsia"/>
          <w:sz w:val="28"/>
          <w:szCs w:val="28"/>
          <w:lang w:eastAsia="zh-CN"/>
        </w:rPr>
        <w:t>。</w:t>
      </w:r>
      <w:r>
        <w:rPr>
          <w:rFonts w:hint="default"/>
          <w:sz w:val="28"/>
          <w:szCs w:val="28"/>
        </w:rPr>
        <w:t>积极开展以普及为主的课外群体活动和体育传统项目运动队的训练；开展以预防为主、防治结合的卫生保健工作，做好常见病、多发病的预防和矫治。加强美育。通过各学科和各种课外活动培养学生具有健康的审美观点。有计划、有目的地进行劳动教育，并认真执行勤工俭学、勤工办学的方针，积极地有步骤地创造条件改善学校校舍和教学、体育、卫生、生活等方面地设备，切实加强学校管理工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3"/>
        <w:numPr>
          <w:ilvl w:val="0"/>
          <w:numId w:val="1"/>
        </w:numPr>
        <w:rPr>
          <w:rStyle w:val="25"/>
          <w:rFonts w:hint="eastAsia" w:ascii="黑体" w:hAnsi="黑体" w:eastAsia="黑体"/>
          <w:b w:val="0"/>
          <w:bCs w:val="0"/>
        </w:rPr>
      </w:pPr>
      <w:bookmarkStart w:id="20" w:name="_Toc15396601"/>
      <w:bookmarkStart w:id="21" w:name="_Toc15377200"/>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700" w:firstLineChars="25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本单位</w:t>
      </w:r>
      <w:r>
        <w:rPr>
          <w:rFonts w:hint="eastAsia" w:cs="Times New Roman"/>
          <w:kern w:val="2"/>
          <w:sz w:val="28"/>
          <w:szCs w:val="28"/>
          <w:lang w:val="en-US" w:eastAsia="zh-CN" w:bidi="ar-SA"/>
        </w:rPr>
        <w:t>在职在编教职工113人，</w:t>
      </w:r>
      <w:r>
        <w:rPr>
          <w:rFonts w:hint="eastAsia" w:ascii="Times New Roman" w:hAnsi="Times New Roman" w:eastAsia="宋体" w:cs="Times New Roman"/>
          <w:kern w:val="2"/>
          <w:sz w:val="28"/>
          <w:szCs w:val="28"/>
          <w:lang w:val="en-US" w:eastAsia="zh-CN" w:bidi="ar-SA"/>
        </w:rPr>
        <w:t>学生</w:t>
      </w:r>
      <w:r>
        <w:rPr>
          <w:rFonts w:hint="eastAsia" w:cs="Times New Roman"/>
          <w:kern w:val="2"/>
          <w:sz w:val="28"/>
          <w:szCs w:val="28"/>
          <w:lang w:val="en-US" w:eastAsia="zh-CN" w:bidi="ar-SA"/>
        </w:rPr>
        <w:t>1844</w:t>
      </w:r>
      <w:r>
        <w:rPr>
          <w:rFonts w:hint="eastAsia" w:ascii="Times New Roman" w:hAnsi="Times New Roman" w:eastAsia="宋体" w:cs="Times New Roman"/>
          <w:kern w:val="2"/>
          <w:sz w:val="28"/>
          <w:szCs w:val="28"/>
          <w:lang w:val="en-US" w:eastAsia="zh-CN" w:bidi="ar-SA"/>
        </w:rPr>
        <w:t>人。</w:t>
      </w:r>
    </w:p>
    <w:p>
      <w:pPr>
        <w:pStyle w:val="5"/>
        <w:adjustRightInd w:val="0"/>
        <w:snapToGrid w:val="0"/>
        <w:spacing w:before="93" w:line="600" w:lineRule="exact"/>
        <w:ind w:firstLine="588" w:firstLineChars="21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开江县</w:t>
      </w:r>
      <w:r>
        <w:rPr>
          <w:rFonts w:hint="eastAsia" w:ascii="Times New Roman" w:eastAsia="宋体" w:cs="Times New Roman"/>
          <w:kern w:val="2"/>
          <w:sz w:val="28"/>
          <w:szCs w:val="28"/>
          <w:lang w:val="en-US" w:eastAsia="zh-CN" w:bidi="ar-SA"/>
        </w:rPr>
        <w:t>甘棠</w:t>
      </w:r>
      <w:r>
        <w:rPr>
          <w:rFonts w:hint="eastAsia" w:ascii="Times New Roman" w:hAnsi="Times New Roman" w:eastAsia="宋体" w:cs="Times New Roman"/>
          <w:kern w:val="2"/>
          <w:sz w:val="28"/>
          <w:szCs w:val="28"/>
          <w:lang w:val="en-US" w:eastAsia="zh-CN" w:bidi="ar-SA"/>
        </w:rPr>
        <w:t>初级中学无下属二级单位。</w:t>
      </w:r>
    </w:p>
    <w:p>
      <w:pPr>
        <w:numPr>
          <w:ilvl w:val="0"/>
          <w:numId w:val="0"/>
        </w:numPr>
        <w:rPr>
          <w:rFonts w:hint="default" w:ascii="Times New Roman" w:hAnsi="Times New Roman" w:eastAsia="宋体" w:cs="Times New Roman"/>
          <w:kern w:val="2"/>
          <w:sz w:val="28"/>
          <w:szCs w:val="28"/>
          <w:lang w:val="en-US" w:eastAsia="zh-CN" w:bidi="ar-SA"/>
        </w:rPr>
      </w:pPr>
    </w:p>
    <w:p>
      <w:pPr>
        <w:widowControl/>
        <w:jc w:val="left"/>
        <w:rPr>
          <w:rFonts w:hint="eastAsia"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br w:type="page"/>
      </w:r>
      <w:bookmarkStart w:id="22" w:name="_Toc15377204"/>
      <w:bookmarkStart w:id="23" w:name="_Toc15396602"/>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default" w:ascii="Times New Roman" w:hAnsi="Times New Roman" w:eastAsia="宋体" w:cs="Times New Roman"/>
          <w:color w:val="000000" w:themeColor="text1"/>
          <w:kern w:val="2"/>
          <w:sz w:val="28"/>
          <w:szCs w:val="28"/>
          <w:lang w:val="en-US" w:eastAsia="zh-CN" w:bidi="ar-SA"/>
          <w14:textFill>
            <w14:solidFill>
              <w14:schemeClr w14:val="tx1"/>
            </w14:solidFill>
          </w14:textFill>
        </w:rPr>
      </w:pPr>
      <w:r>
        <w:rPr>
          <w:rFonts w:hint="eastAsia" w:ascii="仿宋_GB2312" w:eastAsia="仿宋_GB2312"/>
          <w:color w:val="000000"/>
          <w:sz w:val="32"/>
          <w:szCs w:val="32"/>
          <w:lang w:eastAsia="zh-CN"/>
        </w:rPr>
        <w:drawing>
          <wp:anchor distT="0" distB="0" distL="114300" distR="114300" simplePos="0" relativeHeight="251663360" behindDoc="0" locked="0" layoutInCell="1" allowOverlap="1">
            <wp:simplePos x="0" y="0"/>
            <wp:positionH relativeFrom="column">
              <wp:posOffset>448945</wp:posOffset>
            </wp:positionH>
            <wp:positionV relativeFrom="paragraph">
              <wp:posOffset>2328545</wp:posOffset>
            </wp:positionV>
            <wp:extent cx="5080000" cy="3810000"/>
            <wp:effectExtent l="4445" t="4445" r="20955" b="1460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Times New Roman" w:hAnsi="Times New Roman" w:eastAsia="宋体" w:cs="Times New Roman"/>
          <w:kern w:val="2"/>
          <w:sz w:val="28"/>
          <w:szCs w:val="28"/>
          <w:lang w:val="en-US" w:eastAsia="zh-CN" w:bidi="ar-SA"/>
        </w:rPr>
        <w:t>2018年度收入总计1712.82万元。与2017年相比，收入总计增加</w:t>
      </w:r>
      <w:r>
        <w:rPr>
          <w:rFonts w:hint="eastAsia" w:cs="Times New Roman"/>
          <w:kern w:val="2"/>
          <w:sz w:val="28"/>
          <w:szCs w:val="28"/>
          <w:lang w:val="en-US" w:eastAsia="zh-CN" w:bidi="ar-SA"/>
        </w:rPr>
        <w:t>331.84</w:t>
      </w:r>
      <w:r>
        <w:rPr>
          <w:rFonts w:hint="eastAsia" w:ascii="Times New Roman" w:hAnsi="Times New Roman" w:eastAsia="宋体" w:cs="Times New Roman"/>
          <w:kern w:val="2"/>
          <w:sz w:val="28"/>
          <w:szCs w:val="28"/>
          <w:lang w:val="en-US" w:eastAsia="zh-CN" w:bidi="ar-SA"/>
        </w:rPr>
        <w:t>万元，增长</w:t>
      </w:r>
      <w:r>
        <w:rPr>
          <w:rFonts w:hint="eastAsia" w:cs="Times New Roman"/>
          <w:kern w:val="2"/>
          <w:sz w:val="28"/>
          <w:szCs w:val="28"/>
          <w:lang w:val="en-US" w:eastAsia="zh-CN" w:bidi="ar-SA"/>
        </w:rPr>
        <w:t>19.37</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，主要变动原因是</w:t>
      </w:r>
      <w:r>
        <w:rPr>
          <w:rFonts w:hint="eastAsia" w:cs="Times New Roman"/>
          <w:color w:val="000000" w:themeColor="text1"/>
          <w:kern w:val="2"/>
          <w:sz w:val="28"/>
          <w:szCs w:val="28"/>
          <w:lang w:val="en-US" w:eastAsia="zh-CN" w:bidi="ar-SA"/>
          <w14:textFill>
            <w14:solidFill>
              <w14:schemeClr w14:val="tx1"/>
            </w14:solidFill>
          </w14:textFill>
        </w:rPr>
        <w:t>房屋建筑物支出、大型修缮、营养餐、绩效等</w:t>
      </w:r>
      <w:r>
        <w:rPr>
          <w:rFonts w:hint="eastAsia" w:ascii="Times New Roman" w:hAnsi="Times New Roman" w:eastAsia="宋体" w:cs="Times New Roman"/>
          <w:color w:val="000000" w:themeColor="text1"/>
          <w:kern w:val="2"/>
          <w:sz w:val="28"/>
          <w:szCs w:val="28"/>
          <w:lang w:val="en-US" w:eastAsia="zh-CN" w:bidi="ar-SA"/>
          <w14:textFill>
            <w14:solidFill>
              <w14:schemeClr w14:val="tx1"/>
            </w14:solidFill>
          </w14:textFill>
        </w:rPr>
        <w:t>。支出总计1607.17万元，与2017年相比，支出总计增加</w:t>
      </w:r>
      <w:r>
        <w:rPr>
          <w:rFonts w:hint="eastAsia" w:cs="Times New Roman"/>
          <w:color w:val="000000" w:themeColor="text1"/>
          <w:kern w:val="2"/>
          <w:sz w:val="28"/>
          <w:szCs w:val="28"/>
          <w:lang w:val="en-US" w:eastAsia="zh-CN" w:bidi="ar-SA"/>
          <w14:textFill>
            <w14:solidFill>
              <w14:schemeClr w14:val="tx1"/>
            </w14:solidFill>
          </w14:textFill>
        </w:rPr>
        <w:t>355.54</w:t>
      </w:r>
      <w:r>
        <w:rPr>
          <w:rFonts w:hint="eastAsia" w:ascii="Times New Roman" w:hAnsi="Times New Roman" w:eastAsia="宋体" w:cs="Times New Roman"/>
          <w:color w:val="000000" w:themeColor="text1"/>
          <w:kern w:val="2"/>
          <w:sz w:val="28"/>
          <w:szCs w:val="28"/>
          <w:lang w:val="en-US" w:eastAsia="zh-CN" w:bidi="ar-SA"/>
          <w14:textFill>
            <w14:solidFill>
              <w14:schemeClr w14:val="tx1"/>
            </w14:solidFill>
          </w14:textFill>
        </w:rPr>
        <w:t>万元，增长</w:t>
      </w:r>
      <w:r>
        <w:rPr>
          <w:rFonts w:hint="eastAsia" w:cs="Times New Roman"/>
          <w:color w:val="000000" w:themeColor="text1"/>
          <w:kern w:val="2"/>
          <w:sz w:val="28"/>
          <w:szCs w:val="28"/>
          <w:lang w:val="en-US" w:eastAsia="zh-CN" w:bidi="ar-SA"/>
          <w14:textFill>
            <w14:solidFill>
              <w14:schemeClr w14:val="tx1"/>
            </w14:solidFill>
          </w14:textFill>
        </w:rPr>
        <w:t>22.12</w:t>
      </w:r>
      <w:r>
        <w:rPr>
          <w:rFonts w:hint="default" w:ascii="Times New Roman" w:hAnsi="Times New Roman" w:eastAsia="宋体" w:cs="Times New Roman"/>
          <w:color w:val="000000" w:themeColor="text1"/>
          <w:kern w:val="2"/>
          <w:sz w:val="28"/>
          <w:szCs w:val="28"/>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8"/>
          <w:szCs w:val="28"/>
          <w:lang w:val="en-US" w:eastAsia="zh-CN" w:bidi="ar-SA"/>
          <w14:textFill>
            <w14:solidFill>
              <w14:schemeClr w14:val="tx1"/>
            </w14:solidFill>
          </w14:textFill>
        </w:rPr>
        <w:t>。，主要变动原因为</w:t>
      </w:r>
      <w:r>
        <w:rPr>
          <w:rFonts w:hint="eastAsia" w:cs="Times New Roman"/>
          <w:color w:val="000000" w:themeColor="text1"/>
          <w:kern w:val="2"/>
          <w:sz w:val="28"/>
          <w:szCs w:val="28"/>
          <w:lang w:val="en-US" w:eastAsia="zh-CN" w:bidi="ar-SA"/>
          <w14:textFill>
            <w14:solidFill>
              <w14:schemeClr w14:val="tx1"/>
            </w14:solidFill>
          </w14:textFill>
        </w:rPr>
        <w:t>房屋建筑物支出、大型修缮、营养餐、绩效等</w:t>
      </w:r>
      <w:r>
        <w:rPr>
          <w:rFonts w:hint="eastAsia" w:ascii="Times New Roman" w:hAnsi="Times New Roman" w:eastAsia="宋体" w:cs="Times New Roman"/>
          <w:color w:val="000000" w:themeColor="text1"/>
          <w:kern w:val="2"/>
          <w:sz w:val="28"/>
          <w:szCs w:val="28"/>
          <w:lang w:val="en-US" w:eastAsia="zh-CN" w:bidi="ar-SA"/>
          <w14:textFill>
            <w14:solidFill>
              <w14:schemeClr w14:val="tx1"/>
            </w14:solidFill>
          </w14:textFill>
        </w:rPr>
        <w:t>转和结余增加。</w:t>
      </w:r>
    </w:p>
    <w:p>
      <w:pPr>
        <w:spacing w:line="600" w:lineRule="exact"/>
        <w:ind w:firstLine="640" w:firstLineChars="200"/>
        <w:jc w:val="left"/>
        <w:rPr>
          <w:rFonts w:hint="eastAsia" w:ascii="仿宋_GB2312" w:eastAsia="仿宋_GB2312"/>
          <w:color w:val="000000"/>
          <w:sz w:val="32"/>
          <w:szCs w:val="32"/>
          <w:lang w:eastAsia="zh-CN"/>
        </w:rPr>
      </w:pPr>
    </w:p>
    <w:p>
      <w:pPr>
        <w:pStyle w:val="23"/>
        <w:numPr>
          <w:ilvl w:val="0"/>
          <w:numId w:val="2"/>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560" w:firstLineChars="200"/>
        <w:outlineLvl w:val="1"/>
        <w:rPr>
          <w:rFonts w:hint="eastAsia"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201</w:t>
      </w:r>
      <w:r>
        <w:rPr>
          <w:rFonts w:hint="eastAsia" w:ascii="Times New Roman" w:hAnsi="Times New Roman" w:eastAsia="宋体" w:cs="Times New Roman"/>
          <w:kern w:val="2"/>
          <w:sz w:val="28"/>
          <w:szCs w:val="28"/>
          <w:lang w:val="en-US" w:eastAsia="zh-CN" w:bidi="ar-SA"/>
        </w:rPr>
        <w:t>8年本年收入合计1712.82万元，其中：一般公共预算财政拨款收入1712.82万元，占100</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w:t>
      </w:r>
    </w:p>
    <w:p>
      <w:pPr>
        <w:spacing w:line="600" w:lineRule="exact"/>
        <w:ind w:firstLine="560" w:firstLineChars="200"/>
        <w:outlineLvl w:val="1"/>
        <w:rPr>
          <w:rFonts w:hint="eastAsia" w:ascii="仿宋_GB2312" w:eastAsia="仿宋"/>
          <w:color w:val="FF0000"/>
          <w:sz w:val="32"/>
          <w:szCs w:val="32"/>
          <w:lang w:eastAsia="zh-CN"/>
        </w:rPr>
      </w:pPr>
      <w:r>
        <w:rPr>
          <w:rFonts w:hint="eastAsia" w:asciiTheme="minorEastAsia" w:hAnsiTheme="minorEastAsia" w:eastAsiaTheme="minorEastAsia" w:cstheme="minorEastAsia"/>
          <w:sz w:val="28"/>
          <w:szCs w:val="28"/>
          <w:lang w:val="en-US" w:eastAsia="zh-CN"/>
        </w:rPr>
        <w:drawing>
          <wp:anchor distT="0" distB="0" distL="114300" distR="114300" simplePos="0" relativeHeight="251664384" behindDoc="0" locked="0" layoutInCell="1" allowOverlap="1">
            <wp:simplePos x="0" y="0"/>
            <wp:positionH relativeFrom="column">
              <wp:posOffset>144145</wp:posOffset>
            </wp:positionH>
            <wp:positionV relativeFrom="paragraph">
              <wp:posOffset>280670</wp:posOffset>
            </wp:positionV>
            <wp:extent cx="5080000" cy="3810000"/>
            <wp:effectExtent l="4445" t="4445" r="2095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3"/>
        <w:numPr>
          <w:ilvl w:val="0"/>
          <w:numId w:val="2"/>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drawing>
          <wp:anchor distT="0" distB="0" distL="114300" distR="114300" simplePos="0" relativeHeight="251660288" behindDoc="0" locked="0" layoutInCell="1" allowOverlap="1">
            <wp:simplePos x="0" y="0"/>
            <wp:positionH relativeFrom="column">
              <wp:posOffset>315595</wp:posOffset>
            </wp:positionH>
            <wp:positionV relativeFrom="paragraph">
              <wp:posOffset>3961765</wp:posOffset>
            </wp:positionV>
            <wp:extent cx="5080000" cy="3810000"/>
            <wp:effectExtent l="4445" t="4445" r="20955" b="1460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201</w:t>
      </w:r>
      <w:r>
        <w:rPr>
          <w:rFonts w:hint="eastAsia" w:ascii="Times New Roman" w:hAnsi="Times New Roman" w:eastAsia="宋体" w:cs="Times New Roman"/>
          <w:kern w:val="2"/>
          <w:sz w:val="28"/>
          <w:szCs w:val="28"/>
          <w:lang w:val="en-US" w:eastAsia="zh-CN" w:bidi="ar-SA"/>
        </w:rPr>
        <w:t>8年本年支出合计1607.17万元，其中：基本支出1597.17万元，占99.</w:t>
      </w:r>
      <w:r>
        <w:rPr>
          <w:rFonts w:hint="eastAsia" w:cs="Times New Roman"/>
          <w:kern w:val="2"/>
          <w:sz w:val="28"/>
          <w:szCs w:val="28"/>
          <w:lang w:val="en-US" w:eastAsia="zh-CN" w:bidi="ar-SA"/>
        </w:rPr>
        <w:t>38</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；项目支出</w:t>
      </w:r>
      <w:r>
        <w:rPr>
          <w:rFonts w:hint="eastAsia" w:cs="Times New Roman"/>
          <w:kern w:val="2"/>
          <w:sz w:val="28"/>
          <w:szCs w:val="28"/>
          <w:lang w:val="en-US" w:eastAsia="zh-CN" w:bidi="ar-SA"/>
        </w:rPr>
        <w:t>10</w:t>
      </w:r>
      <w:r>
        <w:rPr>
          <w:rFonts w:hint="eastAsia" w:ascii="Times New Roman" w:hAnsi="Times New Roman" w:eastAsia="宋体" w:cs="Times New Roman"/>
          <w:kern w:val="2"/>
          <w:sz w:val="28"/>
          <w:szCs w:val="28"/>
          <w:lang w:val="en-US" w:eastAsia="zh-CN" w:bidi="ar-SA"/>
        </w:rPr>
        <w:t>万元，占0.</w:t>
      </w:r>
      <w:r>
        <w:rPr>
          <w:rFonts w:hint="eastAsia" w:cs="Times New Roman"/>
          <w:kern w:val="2"/>
          <w:sz w:val="28"/>
          <w:szCs w:val="28"/>
          <w:lang w:val="en-US" w:eastAsia="zh-CN" w:bidi="ar-SA"/>
        </w:rPr>
        <w:t>62</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default" w:ascii="Times New Roman" w:hAnsi="Times New Roman" w:eastAsia="宋体" w:cs="Times New Roman"/>
          <w:color w:val="000000" w:themeColor="text1"/>
          <w:kern w:val="2"/>
          <w:sz w:val="28"/>
          <w:szCs w:val="28"/>
          <w:lang w:val="en-US" w:eastAsia="zh-CN" w:bidi="ar-SA"/>
          <w14:textFill>
            <w14:solidFill>
              <w14:schemeClr w14:val="tx1"/>
            </w14:solidFill>
          </w14:textFill>
        </w:rPr>
      </w:pPr>
      <w:r>
        <w:rPr>
          <w:rFonts w:hint="eastAsia" w:ascii="仿宋_GB2312" w:eastAsia="仿宋_GB2312"/>
          <w:color w:val="000000"/>
          <w:sz w:val="32"/>
          <w:szCs w:val="32"/>
          <w:lang w:eastAsia="zh-CN"/>
        </w:rPr>
        <w:drawing>
          <wp:anchor distT="0" distB="0" distL="114300" distR="114300" simplePos="0" relativeHeight="251676672" behindDoc="0" locked="0" layoutInCell="1" allowOverlap="1">
            <wp:simplePos x="0" y="0"/>
            <wp:positionH relativeFrom="column">
              <wp:posOffset>448945</wp:posOffset>
            </wp:positionH>
            <wp:positionV relativeFrom="paragraph">
              <wp:posOffset>2328545</wp:posOffset>
            </wp:positionV>
            <wp:extent cx="5080000" cy="3810000"/>
            <wp:effectExtent l="4445" t="4445" r="20955" b="1460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Times New Roman" w:hAnsi="Times New Roman" w:eastAsia="宋体" w:cs="Times New Roman"/>
          <w:kern w:val="2"/>
          <w:sz w:val="28"/>
          <w:szCs w:val="28"/>
          <w:lang w:val="en-US" w:eastAsia="zh-CN" w:bidi="ar-SA"/>
        </w:rPr>
        <w:t>2018年度收入总计1712.82万元。与2017年相比，收入总计增加</w:t>
      </w:r>
      <w:r>
        <w:rPr>
          <w:rFonts w:hint="eastAsia" w:cs="Times New Roman"/>
          <w:kern w:val="2"/>
          <w:sz w:val="28"/>
          <w:szCs w:val="28"/>
          <w:lang w:val="en-US" w:eastAsia="zh-CN" w:bidi="ar-SA"/>
        </w:rPr>
        <w:t>331.84</w:t>
      </w:r>
      <w:r>
        <w:rPr>
          <w:rFonts w:hint="eastAsia" w:ascii="Times New Roman" w:hAnsi="Times New Roman" w:eastAsia="宋体" w:cs="Times New Roman"/>
          <w:kern w:val="2"/>
          <w:sz w:val="28"/>
          <w:szCs w:val="28"/>
          <w:lang w:val="en-US" w:eastAsia="zh-CN" w:bidi="ar-SA"/>
        </w:rPr>
        <w:t>万元，增长</w:t>
      </w:r>
      <w:r>
        <w:rPr>
          <w:rFonts w:hint="eastAsia" w:cs="Times New Roman"/>
          <w:kern w:val="2"/>
          <w:sz w:val="28"/>
          <w:szCs w:val="28"/>
          <w:lang w:val="en-US" w:eastAsia="zh-CN" w:bidi="ar-SA"/>
        </w:rPr>
        <w:t>19.37</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，主要变动原因是</w:t>
      </w:r>
      <w:r>
        <w:rPr>
          <w:rFonts w:hint="eastAsia" w:cs="Times New Roman"/>
          <w:color w:val="000000" w:themeColor="text1"/>
          <w:kern w:val="2"/>
          <w:sz w:val="28"/>
          <w:szCs w:val="28"/>
          <w:lang w:val="en-US" w:eastAsia="zh-CN" w:bidi="ar-SA"/>
          <w14:textFill>
            <w14:solidFill>
              <w14:schemeClr w14:val="tx1"/>
            </w14:solidFill>
          </w14:textFill>
        </w:rPr>
        <w:t>房屋建筑物支出、大型修缮、营养餐、绩效等</w:t>
      </w:r>
      <w:r>
        <w:rPr>
          <w:rFonts w:hint="eastAsia" w:ascii="Times New Roman" w:hAnsi="Times New Roman" w:eastAsia="宋体" w:cs="Times New Roman"/>
          <w:color w:val="000000" w:themeColor="text1"/>
          <w:kern w:val="2"/>
          <w:sz w:val="28"/>
          <w:szCs w:val="28"/>
          <w:lang w:val="en-US" w:eastAsia="zh-CN" w:bidi="ar-SA"/>
          <w14:textFill>
            <w14:solidFill>
              <w14:schemeClr w14:val="tx1"/>
            </w14:solidFill>
          </w14:textFill>
        </w:rPr>
        <w:t>增加。支出总计1607.17万元，与2017年相比，支出总计增加</w:t>
      </w:r>
      <w:r>
        <w:rPr>
          <w:rFonts w:hint="eastAsia" w:cs="Times New Roman"/>
          <w:color w:val="000000" w:themeColor="text1"/>
          <w:kern w:val="2"/>
          <w:sz w:val="28"/>
          <w:szCs w:val="28"/>
          <w:lang w:val="en-US" w:eastAsia="zh-CN" w:bidi="ar-SA"/>
          <w14:textFill>
            <w14:solidFill>
              <w14:schemeClr w14:val="tx1"/>
            </w14:solidFill>
          </w14:textFill>
        </w:rPr>
        <w:t>355.54</w:t>
      </w:r>
      <w:r>
        <w:rPr>
          <w:rFonts w:hint="eastAsia" w:ascii="Times New Roman" w:hAnsi="Times New Roman" w:eastAsia="宋体" w:cs="Times New Roman"/>
          <w:color w:val="000000" w:themeColor="text1"/>
          <w:kern w:val="2"/>
          <w:sz w:val="28"/>
          <w:szCs w:val="28"/>
          <w:lang w:val="en-US" w:eastAsia="zh-CN" w:bidi="ar-SA"/>
          <w14:textFill>
            <w14:solidFill>
              <w14:schemeClr w14:val="tx1"/>
            </w14:solidFill>
          </w14:textFill>
        </w:rPr>
        <w:t>万元，增长</w:t>
      </w:r>
      <w:r>
        <w:rPr>
          <w:rFonts w:hint="eastAsia" w:cs="Times New Roman"/>
          <w:color w:val="000000" w:themeColor="text1"/>
          <w:kern w:val="2"/>
          <w:sz w:val="28"/>
          <w:szCs w:val="28"/>
          <w:lang w:val="en-US" w:eastAsia="zh-CN" w:bidi="ar-SA"/>
          <w14:textFill>
            <w14:solidFill>
              <w14:schemeClr w14:val="tx1"/>
            </w14:solidFill>
          </w14:textFill>
        </w:rPr>
        <w:t>22.12</w:t>
      </w:r>
      <w:r>
        <w:rPr>
          <w:rFonts w:hint="default" w:ascii="Times New Roman" w:hAnsi="Times New Roman" w:eastAsia="宋体" w:cs="Times New Roman"/>
          <w:color w:val="000000" w:themeColor="text1"/>
          <w:kern w:val="2"/>
          <w:sz w:val="28"/>
          <w:szCs w:val="28"/>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8"/>
          <w:szCs w:val="28"/>
          <w:lang w:val="en-US" w:eastAsia="zh-CN" w:bidi="ar-SA"/>
          <w14:textFill>
            <w14:solidFill>
              <w14:schemeClr w14:val="tx1"/>
            </w14:solidFill>
          </w14:textFill>
        </w:rPr>
        <w:t>。，主要变动原因为</w:t>
      </w:r>
      <w:r>
        <w:rPr>
          <w:rFonts w:hint="eastAsia" w:cs="Times New Roman"/>
          <w:color w:val="000000" w:themeColor="text1"/>
          <w:kern w:val="2"/>
          <w:sz w:val="28"/>
          <w:szCs w:val="28"/>
          <w:lang w:val="en-US" w:eastAsia="zh-CN" w:bidi="ar-SA"/>
          <w14:textFill>
            <w14:solidFill>
              <w14:schemeClr w14:val="tx1"/>
            </w14:solidFill>
          </w14:textFill>
        </w:rPr>
        <w:t>房屋建筑物支出、大型修缮、营养餐、绩效等</w:t>
      </w:r>
      <w:r>
        <w:rPr>
          <w:rFonts w:hint="eastAsia" w:ascii="Times New Roman" w:hAnsi="Times New Roman" w:eastAsia="宋体" w:cs="Times New Roman"/>
          <w:color w:val="000000" w:themeColor="text1"/>
          <w:kern w:val="2"/>
          <w:sz w:val="28"/>
          <w:szCs w:val="28"/>
          <w:lang w:val="en-US" w:eastAsia="zh-CN" w:bidi="ar-SA"/>
          <w14:textFill>
            <w14:solidFill>
              <w14:schemeClr w14:val="tx1"/>
            </w14:solidFill>
          </w14:textFill>
        </w:rPr>
        <w:t>增加。</w:t>
      </w:r>
    </w:p>
    <w:p>
      <w:pPr>
        <w:spacing w:line="600" w:lineRule="exact"/>
        <w:jc w:val="left"/>
        <w:rPr>
          <w:rFonts w:ascii="仿宋_GB2312" w:eastAsia="仿宋_GB2312"/>
          <w:color w:val="00000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201</w:t>
      </w:r>
      <w:r>
        <w:rPr>
          <w:rFonts w:hint="eastAsia" w:ascii="Times New Roman" w:hAnsi="Times New Roman" w:eastAsia="宋体" w:cs="Times New Roman"/>
          <w:kern w:val="2"/>
          <w:sz w:val="28"/>
          <w:szCs w:val="28"/>
          <w:lang w:val="en-US" w:eastAsia="zh-CN" w:bidi="ar-SA"/>
        </w:rPr>
        <w:t>8年一般公共预算财政拨款支出1607.17万元，占本年支出合计的100</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。与</w:t>
      </w:r>
      <w:r>
        <w:rPr>
          <w:rFonts w:hint="default" w:ascii="Times New Roman" w:hAnsi="Times New Roman" w:eastAsia="宋体" w:cs="Times New Roman"/>
          <w:kern w:val="2"/>
          <w:sz w:val="28"/>
          <w:szCs w:val="28"/>
          <w:lang w:val="en-US" w:eastAsia="zh-CN" w:bidi="ar-SA"/>
        </w:rPr>
        <w:t>201</w:t>
      </w:r>
      <w:r>
        <w:rPr>
          <w:rFonts w:hint="eastAsia" w:ascii="Times New Roman" w:hAnsi="Times New Roman" w:eastAsia="宋体" w:cs="Times New Roman"/>
          <w:kern w:val="2"/>
          <w:sz w:val="28"/>
          <w:szCs w:val="28"/>
          <w:lang w:val="en-US" w:eastAsia="zh-CN" w:bidi="ar-SA"/>
        </w:rPr>
        <w:t>7年相比，一般公共预算财政拨款增加</w:t>
      </w:r>
      <w:r>
        <w:rPr>
          <w:rFonts w:hint="eastAsia" w:cs="Times New Roman"/>
          <w:kern w:val="2"/>
          <w:sz w:val="28"/>
          <w:szCs w:val="28"/>
          <w:lang w:val="en-US" w:eastAsia="zh-CN" w:bidi="ar-SA"/>
        </w:rPr>
        <w:t>331.84</w:t>
      </w:r>
      <w:r>
        <w:rPr>
          <w:rFonts w:hint="eastAsia" w:ascii="Times New Roman" w:hAnsi="Times New Roman" w:eastAsia="宋体" w:cs="Times New Roman"/>
          <w:kern w:val="2"/>
          <w:sz w:val="28"/>
          <w:szCs w:val="28"/>
          <w:lang w:val="en-US" w:eastAsia="zh-CN" w:bidi="ar-SA"/>
        </w:rPr>
        <w:t>万元，增长</w:t>
      </w:r>
      <w:r>
        <w:rPr>
          <w:rFonts w:hint="eastAsia" w:cs="Times New Roman"/>
          <w:kern w:val="2"/>
          <w:sz w:val="28"/>
          <w:szCs w:val="28"/>
          <w:lang w:val="en-US" w:eastAsia="zh-CN" w:bidi="ar-SA"/>
        </w:rPr>
        <w:t>19.37</w:t>
      </w:r>
      <w:r>
        <w:rPr>
          <w:rFonts w:hint="default" w:ascii="Times New Roman" w:hAnsi="Times New Roman" w:eastAsia="宋体"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。主要变动原因是</w:t>
      </w:r>
      <w:r>
        <w:rPr>
          <w:rFonts w:hint="eastAsia" w:cs="Times New Roman"/>
          <w:color w:val="000000" w:themeColor="text1"/>
          <w:kern w:val="2"/>
          <w:sz w:val="28"/>
          <w:szCs w:val="28"/>
          <w:lang w:val="en-US" w:eastAsia="zh-CN" w:bidi="ar-SA"/>
          <w14:textFill>
            <w14:solidFill>
              <w14:schemeClr w14:val="tx1"/>
            </w14:solidFill>
          </w14:textFill>
        </w:rPr>
        <w:t>房屋建筑物支出、大型修缮、营养餐、绩效等</w:t>
      </w:r>
      <w:r>
        <w:rPr>
          <w:rFonts w:hint="eastAsia" w:ascii="Times New Roman" w:hAnsi="Times New Roman" w:eastAsia="宋体" w:cs="Times New Roman"/>
          <w:color w:val="000000" w:themeColor="text1"/>
          <w:kern w:val="2"/>
          <w:sz w:val="28"/>
          <w:szCs w:val="28"/>
          <w:lang w:val="en-US" w:eastAsia="zh-CN" w:bidi="ar-SA"/>
          <w14:textFill>
            <w14:solidFill>
              <w14:schemeClr w14:val="tx1"/>
            </w14:solidFill>
          </w14:textFill>
        </w:rPr>
        <w:t>增加。</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61595</wp:posOffset>
            </wp:positionH>
            <wp:positionV relativeFrom="page">
              <wp:posOffset>2039620</wp:posOffset>
            </wp:positionV>
            <wp:extent cx="5080000" cy="3810000"/>
            <wp:effectExtent l="4445" t="4445" r="2095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3" w:firstLineChars="200"/>
        <w:rPr>
          <w:rFonts w:ascii="仿宋" w:hAnsi="仿宋" w:eastAsia="仿宋"/>
          <w:b/>
          <w:color w:val="000000"/>
          <w:sz w:val="32"/>
          <w:szCs w:val="32"/>
        </w:rPr>
      </w:pPr>
      <w:bookmarkStart w:id="35" w:name="_Toc15377211"/>
      <w:r>
        <w:rPr>
          <w:rFonts w:hint="eastAsia" w:ascii="仿宋" w:hAnsi="仿宋" w:eastAsia="仿宋"/>
          <w:b/>
          <w:color w:val="000000"/>
          <w:sz w:val="32"/>
          <w:szCs w:val="32"/>
        </w:rPr>
        <w:t>（</w:t>
      </w:r>
      <w:r>
        <w:rPr>
          <w:rFonts w:hint="eastAsia" w:ascii="仿宋" w:hAnsi="仿宋" w:eastAsia="仿宋"/>
          <w:b/>
          <w:color w:val="000000"/>
          <w:sz w:val="32"/>
          <w:szCs w:val="32"/>
          <w:lang w:eastAsia="zh-CN"/>
        </w:rPr>
        <w:t>二</w:t>
      </w:r>
      <w:r>
        <w:rPr>
          <w:rFonts w:hint="eastAsia" w:ascii="仿宋" w:hAnsi="仿宋" w:eastAsia="仿宋"/>
          <w:b/>
          <w:color w:val="000000"/>
          <w:sz w:val="32"/>
          <w:szCs w:val="32"/>
        </w:rPr>
        <w:t>）一般公共预算财政拨款支出决算结构情况</w:t>
      </w:r>
      <w:bookmarkEnd w:id="35"/>
    </w:p>
    <w:p>
      <w:pPr>
        <w:spacing w:line="600" w:lineRule="atLeast"/>
        <w:ind w:firstLine="560" w:firstLineChars="200"/>
        <w:rPr>
          <w:rFonts w:hint="eastAsia"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201</w:t>
      </w:r>
      <w:r>
        <w:rPr>
          <w:rFonts w:hint="eastAsia" w:ascii="Times New Roman" w:hAnsi="Times New Roman" w:eastAsia="宋体" w:cs="Times New Roman"/>
          <w:kern w:val="2"/>
          <w:sz w:val="28"/>
          <w:szCs w:val="28"/>
          <w:lang w:val="en-US" w:eastAsia="zh-CN" w:bidi="ar-SA"/>
        </w:rPr>
        <w:t>8年一般公共预算财政拨款支出1607.17万元，主要用于以下方面:教育支出1332.63万元（其中工资福利支出:723.5万元、商品和服务支出：207.54万元、对个人和家庭的补助：391.94万元，资本性支出9.65万元）占8</w:t>
      </w:r>
      <w:r>
        <w:rPr>
          <w:rFonts w:hint="eastAsia" w:cs="Times New Roman"/>
          <w:kern w:val="2"/>
          <w:sz w:val="28"/>
          <w:szCs w:val="28"/>
          <w:lang w:val="en-US" w:eastAsia="zh-CN" w:bidi="ar-SA"/>
        </w:rPr>
        <w:t>2.92</w:t>
      </w:r>
      <w:r>
        <w:rPr>
          <w:rFonts w:hint="eastAsia" w:ascii="Times New Roman" w:hAnsi="Times New Roman" w:eastAsia="宋体" w:cs="Times New Roman"/>
          <w:kern w:val="2"/>
          <w:sz w:val="28"/>
          <w:szCs w:val="28"/>
          <w:lang w:val="en-US" w:eastAsia="zh-CN" w:bidi="ar-SA"/>
        </w:rPr>
        <w:t>%；社会保障和就业支出144.35万元，占</w:t>
      </w:r>
      <w:r>
        <w:rPr>
          <w:rFonts w:hint="eastAsia" w:cs="Times New Roman"/>
          <w:kern w:val="2"/>
          <w:sz w:val="28"/>
          <w:szCs w:val="28"/>
          <w:lang w:val="en-US" w:eastAsia="zh-CN" w:bidi="ar-SA"/>
        </w:rPr>
        <w:t>8.98</w:t>
      </w:r>
      <w:r>
        <w:rPr>
          <w:rFonts w:hint="eastAsia" w:ascii="Times New Roman" w:hAnsi="Times New Roman" w:eastAsia="宋体" w:cs="Times New Roman"/>
          <w:kern w:val="2"/>
          <w:sz w:val="28"/>
          <w:szCs w:val="28"/>
          <w:lang w:val="en-US" w:eastAsia="zh-CN" w:bidi="ar-SA"/>
        </w:rPr>
        <w:t>%；医疗卫生支出45.9万元，占</w:t>
      </w:r>
      <w:r>
        <w:rPr>
          <w:rFonts w:hint="eastAsia" w:cs="Times New Roman"/>
          <w:kern w:val="2"/>
          <w:sz w:val="28"/>
          <w:szCs w:val="28"/>
          <w:lang w:val="en-US" w:eastAsia="zh-CN" w:bidi="ar-SA"/>
        </w:rPr>
        <w:t>2.86</w:t>
      </w:r>
      <w:r>
        <w:rPr>
          <w:rFonts w:hint="eastAsia" w:ascii="Times New Roman" w:hAnsi="Times New Roman" w:eastAsia="宋体" w:cs="Times New Roman"/>
          <w:kern w:val="2"/>
          <w:sz w:val="28"/>
          <w:szCs w:val="28"/>
          <w:lang w:val="en-US" w:eastAsia="zh-CN" w:bidi="ar-SA"/>
        </w:rPr>
        <w:t>%；住房保障支出84.29万元，占5.</w:t>
      </w:r>
      <w:r>
        <w:rPr>
          <w:rFonts w:hint="eastAsia" w:cs="Times New Roman"/>
          <w:kern w:val="2"/>
          <w:sz w:val="28"/>
          <w:szCs w:val="28"/>
          <w:lang w:val="en-US" w:eastAsia="zh-CN" w:bidi="ar-SA"/>
        </w:rPr>
        <w:t>24</w:t>
      </w:r>
      <w:r>
        <w:rPr>
          <w:rFonts w:hint="eastAsia" w:ascii="Times New Roman" w:hAnsi="Times New Roman" w:eastAsia="宋体" w:cs="Times New Roman"/>
          <w:kern w:val="2"/>
          <w:sz w:val="28"/>
          <w:szCs w:val="28"/>
          <w:lang w:val="en-US" w:eastAsia="zh-CN" w:bidi="ar-SA"/>
        </w:rPr>
        <w:t>%。</w:t>
      </w:r>
    </w:p>
    <w:p>
      <w:pPr>
        <w:spacing w:line="600" w:lineRule="atLeast"/>
        <w:ind w:firstLine="560" w:firstLineChars="200"/>
        <w:rPr>
          <w:rFonts w:hint="eastAsia" w:ascii="宋体" w:hAnsi="宋体" w:cs="宋体"/>
          <w:color w:val="000000"/>
          <w:sz w:val="28"/>
          <w:szCs w:val="28"/>
          <w:lang w:val="en-US" w:eastAsia="zh-CN"/>
        </w:rPr>
      </w:pPr>
    </w:p>
    <w:p>
      <w:pPr>
        <w:spacing w:line="600" w:lineRule="atLeast"/>
        <w:ind w:firstLine="560" w:firstLineChars="2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numPr>
          <w:ilvl w:val="0"/>
          <w:numId w:val="3"/>
        </w:num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一般公共服务: 支出决算为0万元</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2.教育支出: 教育支出1332.63万元</w:t>
      </w:r>
      <w:bookmarkStart w:id="52" w:name="_GoBack"/>
      <w:bookmarkEnd w:id="52"/>
      <w:r>
        <w:rPr>
          <w:rFonts w:hint="eastAsia" w:ascii="Times New Roman" w:hAnsi="Times New Roman" w:eastAsia="宋体" w:cs="Times New Roman"/>
          <w:kern w:val="2"/>
          <w:sz w:val="28"/>
          <w:szCs w:val="28"/>
          <w:lang w:val="en-US" w:eastAsia="zh-CN" w:bidi="ar-SA"/>
        </w:rPr>
        <w:t>，完成预算100%。</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3.科学技术: 支出决算为0万元。</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4.文化体育与传媒: 支出决算为0万元。</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5.社会保障和就业: 支出决算为144.35万元，完成预算100%。</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6.医疗卫生与计划生育:事业单位医疗支出决算为45.9万元，完成预算100%。</w:t>
      </w:r>
    </w:p>
    <w:p>
      <w:pPr>
        <w:spacing w:line="600" w:lineRule="exact"/>
        <w:ind w:firstLine="560" w:firstLineChars="20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7.住房保障支出：住房公积金支出84.29万元，完成预算100%。</w:t>
      </w:r>
    </w:p>
    <w:p>
      <w:pPr>
        <w:tabs>
          <w:tab w:val="right" w:pos="8306"/>
        </w:tabs>
        <w:spacing w:line="600" w:lineRule="exact"/>
        <w:ind w:firstLine="640"/>
        <w:outlineLvl w:val="1"/>
        <w:rPr>
          <w:rStyle w:val="25"/>
        </w:rPr>
      </w:pPr>
      <w:bookmarkStart w:id="37" w:name="_Toc15396608"/>
      <w:bookmarkStart w:id="38"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7"/>
      <w:bookmarkEnd w:id="38"/>
      <w:r>
        <w:rPr>
          <w:rStyle w:val="25"/>
          <w:rFonts w:ascii="黑体" w:hAnsi="黑体" w:eastAsia="黑体"/>
          <w:b w:val="0"/>
        </w:rPr>
        <w:tab/>
      </w:r>
    </w:p>
    <w:p>
      <w:pPr>
        <w:spacing w:line="600" w:lineRule="exact"/>
        <w:ind w:firstLine="645"/>
        <w:rPr>
          <w:rFonts w:hint="eastAsia" w:ascii="Times New Roman" w:hAnsi="Times New Roman" w:eastAsia="宋体" w:cs="Times New Roman"/>
          <w:kern w:val="2"/>
          <w:sz w:val="28"/>
          <w:szCs w:val="28"/>
          <w:lang w:val="en-US" w:eastAsia="zh-CN" w:bidi="ar-SA"/>
        </w:rPr>
      </w:pPr>
      <w:bookmarkStart w:id="39" w:name="_Toc15396609"/>
      <w:bookmarkStart w:id="40" w:name="_Toc15377215"/>
      <w:r>
        <w:rPr>
          <w:rFonts w:hint="eastAsia" w:ascii="Times New Roman" w:hAnsi="Times New Roman" w:eastAsia="宋体" w:cs="Times New Roman"/>
          <w:kern w:val="2"/>
          <w:sz w:val="28"/>
          <w:szCs w:val="28"/>
          <w:lang w:val="en-US" w:eastAsia="zh-CN" w:bidi="ar-SA"/>
        </w:rPr>
        <w:t>2018年度一般公共预算财政拨款基本支出1607.17万元，其中：</w:t>
      </w:r>
    </w:p>
    <w:p>
      <w:pPr>
        <w:spacing w:line="600" w:lineRule="exact"/>
        <w:ind w:firstLine="645"/>
        <w:rPr>
          <w:rFonts w:hint="eastAsia"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人员经费993.55万元，主要包括：基本工资386.25万元、津贴补贴10.78万元、绩效工资306.05万元、机关事业单位基本养老保险缴费139.86万元、职工基本医疗保险缴费45.9万元，其他社会保障缴费20.42万元、住房公积金84.29万元</w:t>
      </w:r>
      <w:r>
        <w:rPr>
          <w:rFonts w:hint="eastAsia" w:cs="Times New Roman"/>
          <w:kern w:val="2"/>
          <w:sz w:val="28"/>
          <w:szCs w:val="28"/>
          <w:lang w:val="en-US" w:eastAsia="zh-CN" w:bidi="ar-SA"/>
        </w:rPr>
        <w:t>。</w:t>
      </w:r>
    </w:p>
    <w:p>
      <w:pPr>
        <w:spacing w:line="600" w:lineRule="exact"/>
        <w:ind w:firstLine="645"/>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对个人和家庭的补助支出396.43万元。</w:t>
      </w:r>
    </w:p>
    <w:p>
      <w:pPr>
        <w:spacing w:line="600" w:lineRule="exact"/>
        <w:ind w:firstLine="645"/>
        <w:rPr>
          <w:rFonts w:hint="eastAsia" w:ascii="宋体" w:hAnsi="宋体" w:eastAsia="宋体" w:cs="宋体"/>
          <w:color w:val="000000"/>
          <w:sz w:val="28"/>
          <w:szCs w:val="28"/>
        </w:rPr>
      </w:pPr>
      <w:r>
        <w:rPr>
          <w:rFonts w:hint="eastAsia" w:cs="Times New Roman"/>
          <w:kern w:val="2"/>
          <w:sz w:val="28"/>
          <w:szCs w:val="28"/>
          <w:lang w:val="en-US" w:eastAsia="zh-CN" w:bidi="ar-SA"/>
        </w:rPr>
        <w:t>资本性支出9.65万元。</w:t>
      </w:r>
      <w:r>
        <w:rPr>
          <w:rFonts w:hint="eastAsia" w:ascii="Times New Roman" w:hAnsi="Times New Roman" w:eastAsia="宋体" w:cs="Times New Roman"/>
          <w:kern w:val="2"/>
          <w:sz w:val="28"/>
          <w:szCs w:val="28"/>
          <w:lang w:val="en-US" w:eastAsia="zh-CN" w:bidi="ar-SA"/>
        </w:rPr>
        <w:br w:type="textWrapping"/>
      </w:r>
      <w:r>
        <w:rPr>
          <w:rFonts w:hint="eastAsia" w:ascii="Times New Roman" w:hAnsi="Times New Roman" w:eastAsia="宋体" w:cs="Times New Roman"/>
          <w:kern w:val="2"/>
          <w:sz w:val="28"/>
          <w:szCs w:val="28"/>
          <w:lang w:val="en-US" w:eastAsia="zh-CN" w:bidi="ar-SA"/>
        </w:rPr>
        <w:t>　　公用经费207.54万元，主要包括：办公费50.11万元、</w:t>
      </w:r>
      <w:r>
        <w:rPr>
          <w:rFonts w:hint="eastAsia" w:cs="Times New Roman"/>
          <w:kern w:val="2"/>
          <w:sz w:val="28"/>
          <w:szCs w:val="28"/>
          <w:lang w:val="en-US" w:eastAsia="zh-CN" w:bidi="ar-SA"/>
        </w:rPr>
        <w:t>印刷费2.7万元、</w:t>
      </w:r>
      <w:r>
        <w:rPr>
          <w:rFonts w:hint="eastAsia" w:ascii="Times New Roman" w:hAnsi="Times New Roman" w:eastAsia="宋体" w:cs="Times New Roman"/>
          <w:kern w:val="2"/>
          <w:sz w:val="28"/>
          <w:szCs w:val="28"/>
          <w:lang w:val="en-US" w:eastAsia="zh-CN" w:bidi="ar-SA"/>
        </w:rPr>
        <w:t>水费9.9万元、电费9万元、邮电费1.01万元、物业管理费15.45万元、差旅费9.9万元、维修（护）费22.47万元、会议费0.9万元、培训费</w:t>
      </w:r>
      <w:r>
        <w:rPr>
          <w:rFonts w:hint="eastAsia" w:cs="Times New Roman"/>
          <w:kern w:val="2"/>
          <w:sz w:val="28"/>
          <w:szCs w:val="28"/>
          <w:lang w:val="en-US" w:eastAsia="zh-CN" w:bidi="ar-SA"/>
        </w:rPr>
        <w:t>9.9</w:t>
      </w:r>
      <w:r>
        <w:rPr>
          <w:rFonts w:hint="eastAsia" w:ascii="Times New Roman" w:hAnsi="Times New Roman" w:eastAsia="宋体" w:cs="Times New Roman"/>
          <w:kern w:val="2"/>
          <w:sz w:val="28"/>
          <w:szCs w:val="28"/>
          <w:lang w:val="en-US" w:eastAsia="zh-CN" w:bidi="ar-SA"/>
        </w:rPr>
        <w:t>万元、公务接待费</w:t>
      </w:r>
      <w:r>
        <w:rPr>
          <w:rFonts w:hint="eastAsia" w:cs="Times New Roman"/>
          <w:kern w:val="2"/>
          <w:sz w:val="28"/>
          <w:szCs w:val="28"/>
          <w:lang w:val="en-US" w:eastAsia="zh-CN" w:bidi="ar-SA"/>
        </w:rPr>
        <w:t>0.9</w:t>
      </w:r>
      <w:r>
        <w:rPr>
          <w:rFonts w:hint="eastAsia" w:ascii="Times New Roman" w:hAnsi="Times New Roman" w:eastAsia="宋体" w:cs="Times New Roman"/>
          <w:kern w:val="2"/>
          <w:sz w:val="28"/>
          <w:szCs w:val="28"/>
          <w:lang w:val="en-US" w:eastAsia="zh-CN" w:bidi="ar-SA"/>
        </w:rPr>
        <w:t>万元、专用材料费8.1万元、劳务费39.82万元、工会经费5.4万元、福利费5.17万元、其他商品和服务支出16.8万元。</w:t>
      </w:r>
    </w:p>
    <w:p>
      <w:pPr>
        <w:spacing w:line="600" w:lineRule="exact"/>
        <w:ind w:firstLine="640"/>
        <w:outlineLvl w:val="1"/>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9"/>
      <w:bookmarkEnd w:id="40"/>
    </w:p>
    <w:p>
      <w:pPr>
        <w:spacing w:line="600" w:lineRule="exact"/>
        <w:ind w:firstLine="640"/>
        <w:outlineLvl w:val="2"/>
        <w:rPr>
          <w:rFonts w:ascii="仿宋" w:hAnsi="仿宋" w:eastAsia="仿宋"/>
          <w:b/>
          <w:color w:val="000000"/>
          <w:sz w:val="32"/>
          <w:szCs w:val="32"/>
        </w:rPr>
      </w:pPr>
      <w:bookmarkStart w:id="41" w:name="_Toc15377216"/>
      <w:r>
        <w:rPr>
          <w:rFonts w:hint="eastAsia" w:ascii="仿宋" w:hAnsi="仿宋" w:eastAsia="仿宋"/>
          <w:b/>
          <w:color w:val="000000"/>
          <w:sz w:val="32"/>
          <w:szCs w:val="32"/>
        </w:rPr>
        <w:t>（一）“三公”经费财政拨款支出决算总体情况说明</w:t>
      </w:r>
      <w:bookmarkEnd w:id="41"/>
    </w:p>
    <w:p>
      <w:pPr>
        <w:spacing w:line="600" w:lineRule="exact"/>
        <w:ind w:firstLine="64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2018年度“三公”经费财政拨款支出决算为</w:t>
      </w:r>
      <w:r>
        <w:rPr>
          <w:rFonts w:hint="eastAsia" w:cs="Times New Roman"/>
          <w:kern w:val="2"/>
          <w:sz w:val="28"/>
          <w:szCs w:val="28"/>
          <w:lang w:val="en-US" w:eastAsia="zh-CN" w:bidi="ar-SA"/>
        </w:rPr>
        <w:t>0.9</w:t>
      </w:r>
      <w:r>
        <w:rPr>
          <w:rFonts w:hint="eastAsia" w:ascii="Times New Roman" w:hAnsi="Times New Roman" w:eastAsia="宋体" w:cs="Times New Roman"/>
          <w:kern w:val="2"/>
          <w:sz w:val="28"/>
          <w:szCs w:val="28"/>
          <w:lang w:val="en-US" w:eastAsia="zh-CN" w:bidi="ar-SA"/>
        </w:rPr>
        <w:t>万元，完成预算100%。</w:t>
      </w:r>
    </w:p>
    <w:p>
      <w:pPr>
        <w:spacing w:line="600" w:lineRule="exact"/>
        <w:ind w:firstLine="640"/>
        <w:outlineLvl w:val="2"/>
        <w:rPr>
          <w:rFonts w:ascii="仿宋" w:hAnsi="仿宋" w:eastAsia="仿宋"/>
          <w:b/>
          <w:color w:val="000000"/>
          <w:sz w:val="32"/>
          <w:szCs w:val="32"/>
        </w:rPr>
      </w:pPr>
      <w:bookmarkStart w:id="42" w:name="_Toc15377217"/>
      <w:r>
        <w:rPr>
          <w:rFonts w:hint="eastAsia" w:ascii="仿宋" w:hAnsi="仿宋" w:eastAsia="仿宋"/>
          <w:b/>
          <w:color w:val="000000"/>
          <w:sz w:val="32"/>
          <w:szCs w:val="32"/>
        </w:rPr>
        <w:t>（二）“三公”经费财政拨款支出决算具体情况说明</w:t>
      </w:r>
      <w:bookmarkEnd w:id="42"/>
    </w:p>
    <w:p>
      <w:pPr>
        <w:spacing w:line="600" w:lineRule="exact"/>
        <w:ind w:firstLine="640"/>
        <w:rPr>
          <w:rFonts w:hint="eastAsia" w:ascii="Times New Roman" w:hAnsi="Times New Roman" w:eastAsia="宋体" w:cs="Times New Roman"/>
          <w:kern w:val="2"/>
          <w:sz w:val="28"/>
          <w:szCs w:val="28"/>
          <w:lang w:val="en-US" w:eastAsia="zh-CN" w:bidi="ar-SA"/>
        </w:rPr>
      </w:pPr>
      <w:bookmarkStart w:id="43" w:name="_Toc15396610"/>
      <w:bookmarkStart w:id="44" w:name="_Toc15377218"/>
      <w:r>
        <w:rPr>
          <w:rFonts w:hint="eastAsia" w:ascii="Times New Roman" w:hAnsi="Times New Roman" w:eastAsia="宋体" w:cs="Times New Roman"/>
          <w:kern w:val="2"/>
          <w:sz w:val="28"/>
          <w:szCs w:val="28"/>
          <w:lang w:val="en-US" w:eastAsia="zh-CN" w:bidi="ar-SA"/>
        </w:rPr>
        <w:t>2018年度“三公”经费财政拨款支出决算中，因公出国（境）费支出决算0万元；公务用车购置及运行维护费支出决算0万元；公务接待费支出决算</w:t>
      </w:r>
      <w:r>
        <w:rPr>
          <w:rFonts w:hint="eastAsia" w:cs="Times New Roman"/>
          <w:kern w:val="2"/>
          <w:sz w:val="28"/>
          <w:szCs w:val="28"/>
          <w:lang w:val="en-US" w:eastAsia="zh-CN" w:bidi="ar-SA"/>
        </w:rPr>
        <w:t>0.9</w:t>
      </w:r>
      <w:r>
        <w:rPr>
          <w:rFonts w:hint="eastAsia" w:ascii="Times New Roman" w:hAnsi="Times New Roman" w:eastAsia="宋体" w:cs="Times New Roman"/>
          <w:kern w:val="2"/>
          <w:sz w:val="28"/>
          <w:szCs w:val="28"/>
          <w:lang w:val="en-US" w:eastAsia="zh-CN" w:bidi="ar-SA"/>
        </w:rPr>
        <w:t>万元，占100%。具体情况如下：</w:t>
      </w:r>
    </w:p>
    <w:p>
      <w:pPr>
        <w:spacing w:line="600" w:lineRule="atLeast"/>
        <w:ind w:firstLine="560" w:firstLineChars="200"/>
        <w:rPr>
          <w:rFonts w:hint="eastAsia" w:ascii="Times New Roman" w:hAnsi="Times New Roman" w:eastAsia="宋体" w:cs="Times New Roman"/>
          <w:kern w:val="2"/>
          <w:sz w:val="28"/>
          <w:szCs w:val="28"/>
          <w:lang w:val="en-US" w:eastAsia="zh-CN" w:bidi="ar-SA"/>
        </w:rPr>
      </w:pPr>
    </w:p>
    <w:p>
      <w:pPr>
        <w:spacing w:line="600" w:lineRule="atLeast"/>
        <w:ind w:firstLine="562" w:firstLineChars="200"/>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1.因公出国（境）经费支出0万元。</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2.公务用车购置及运行维护费支出0万元。</w:t>
      </w:r>
    </w:p>
    <w:p>
      <w:pPr>
        <w:spacing w:line="60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3.公务接待费支出</w:t>
      </w:r>
      <w:r>
        <w:rPr>
          <w:rFonts w:hint="eastAsia" w:cs="Times New Roman"/>
          <w:kern w:val="2"/>
          <w:sz w:val="28"/>
          <w:szCs w:val="28"/>
          <w:lang w:val="en-US" w:eastAsia="zh-CN" w:bidi="ar-SA"/>
        </w:rPr>
        <w:t>0.9</w:t>
      </w:r>
      <w:r>
        <w:rPr>
          <w:rFonts w:hint="eastAsia" w:ascii="Times New Roman" w:hAnsi="Times New Roman" w:eastAsia="宋体" w:cs="Times New Roman"/>
          <w:kern w:val="2"/>
          <w:sz w:val="28"/>
          <w:szCs w:val="28"/>
          <w:lang w:val="en-US" w:eastAsia="zh-CN" w:bidi="ar-SA"/>
        </w:rPr>
        <w:t>万元。</w:t>
      </w:r>
    </w:p>
    <w:p>
      <w:pPr>
        <w:spacing w:line="600" w:lineRule="exact"/>
        <w:ind w:firstLine="64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公务接待费支出</w:t>
      </w:r>
      <w:r>
        <w:rPr>
          <w:rFonts w:hint="eastAsia" w:cs="Times New Roman"/>
          <w:kern w:val="2"/>
          <w:sz w:val="28"/>
          <w:szCs w:val="28"/>
          <w:lang w:val="en-US" w:eastAsia="zh-CN" w:bidi="ar-SA"/>
        </w:rPr>
        <w:t>0.9</w:t>
      </w:r>
      <w:r>
        <w:rPr>
          <w:rFonts w:hint="eastAsia" w:ascii="Times New Roman" w:hAnsi="Times New Roman" w:eastAsia="宋体" w:cs="Times New Roman"/>
          <w:kern w:val="2"/>
          <w:sz w:val="28"/>
          <w:szCs w:val="28"/>
          <w:lang w:val="en-US" w:eastAsia="zh-CN" w:bidi="ar-SA"/>
        </w:rPr>
        <w:t>万元，公务接待费支出决算比2017年减少</w:t>
      </w:r>
      <w:r>
        <w:rPr>
          <w:rFonts w:hint="eastAsia" w:cs="Times New Roman"/>
          <w:kern w:val="2"/>
          <w:sz w:val="28"/>
          <w:szCs w:val="28"/>
          <w:lang w:val="en-US" w:eastAsia="zh-CN" w:bidi="ar-SA"/>
        </w:rPr>
        <w:t>0.61</w:t>
      </w:r>
      <w:r>
        <w:rPr>
          <w:rFonts w:hint="eastAsia" w:ascii="Times New Roman" w:hAnsi="Times New Roman" w:eastAsia="宋体" w:cs="Times New Roman"/>
          <w:kern w:val="2"/>
          <w:sz w:val="28"/>
          <w:szCs w:val="28"/>
          <w:lang w:val="en-US" w:eastAsia="zh-CN" w:bidi="ar-SA"/>
        </w:rPr>
        <w:t>万元。</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3"/>
      <w:bookmarkEnd w:id="44"/>
    </w:p>
    <w:p>
      <w:pPr>
        <w:spacing w:line="600" w:lineRule="exact"/>
        <w:ind w:firstLine="64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201</w:t>
      </w:r>
      <w:r>
        <w:rPr>
          <w:rFonts w:hint="eastAsia" w:ascii="Times New Roman" w:hAnsi="Times New Roman" w:eastAsia="宋体" w:cs="Times New Roman"/>
          <w:kern w:val="2"/>
          <w:sz w:val="28"/>
          <w:szCs w:val="28"/>
          <w:lang w:val="en-US" w:eastAsia="zh-CN" w:bidi="ar-SA"/>
        </w:rPr>
        <w:t>8年政府性基金预算拨款支出0万元。</w:t>
      </w:r>
    </w:p>
    <w:p>
      <w:pPr>
        <w:spacing w:line="600" w:lineRule="exact"/>
        <w:ind w:firstLine="640"/>
        <w:rPr>
          <w:rFonts w:ascii="仿宋_GB2312" w:eastAsia="仿宋_GB2312"/>
          <w:color w:val="000000"/>
          <w:sz w:val="32"/>
          <w:szCs w:val="32"/>
        </w:rPr>
      </w:pPr>
    </w:p>
    <w:p>
      <w:pPr>
        <w:numPr>
          <w:ilvl w:val="0"/>
          <w:numId w:val="4"/>
        </w:numPr>
        <w:spacing w:line="600" w:lineRule="exact"/>
        <w:ind w:firstLine="640"/>
        <w:outlineLvl w:val="1"/>
        <w:rPr>
          <w:rStyle w:val="25"/>
          <w:rFonts w:ascii="黑体" w:hAnsi="黑体" w:eastAsia="黑体"/>
          <w:b w:val="0"/>
        </w:rPr>
      </w:pPr>
      <w:bookmarkStart w:id="45" w:name="_Toc15396611"/>
      <w:bookmarkStart w:id="46" w:name="_Toc15377219"/>
      <w:r>
        <w:rPr>
          <w:rStyle w:val="25"/>
          <w:rFonts w:hint="eastAsia" w:ascii="黑体" w:hAnsi="黑体" w:eastAsia="黑体"/>
          <w:b w:val="0"/>
        </w:rPr>
        <w:t>国有资本经营预算支出决算情况说明</w:t>
      </w:r>
      <w:bookmarkEnd w:id="45"/>
      <w:bookmarkEnd w:id="46"/>
    </w:p>
    <w:p>
      <w:pPr>
        <w:spacing w:line="600" w:lineRule="exact"/>
        <w:ind w:firstLine="64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2018年国有资本经营预算拨款支出0万元。</w:t>
      </w:r>
    </w:p>
    <w:p>
      <w:pPr>
        <w:pStyle w:val="23"/>
        <w:numPr>
          <w:ilvl w:val="0"/>
          <w:numId w:val="5"/>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6"/>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560" w:firstLineChars="20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根据预算绩效管理要求，本部门按要求对2018年部门整体支出开展绩效自评，从评价情况来看全面完成了预算绩效执行，达到了预期效果。</w:t>
      </w:r>
    </w:p>
    <w:p>
      <w:pPr>
        <w:numPr>
          <w:ilvl w:val="0"/>
          <w:numId w:val="7"/>
        </w:numPr>
        <w:spacing w:line="580" w:lineRule="exact"/>
        <w:ind w:firstLine="643" w:firstLineChars="200"/>
        <w:rPr>
          <w:rFonts w:hint="default" w:ascii="Times New Roman" w:hAnsi="Times New Roman" w:eastAsia="宋体" w:cs="Times New Roman"/>
          <w:kern w:val="2"/>
          <w:sz w:val="28"/>
          <w:szCs w:val="28"/>
          <w:lang w:val="en-US" w:eastAsia="zh-CN" w:bidi="ar-SA"/>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Times New Roman" w:hAnsi="Times New Roman" w:eastAsia="宋体" w:cs="Times New Roman"/>
          <w:kern w:val="2"/>
          <w:sz w:val="28"/>
          <w:szCs w:val="28"/>
          <w:lang w:val="en-US" w:eastAsia="zh-CN" w:bidi="ar-SA"/>
        </w:rPr>
        <w:t>本部门在2018年度无项目执行情况。</w:t>
      </w:r>
    </w:p>
    <w:p>
      <w:pPr>
        <w:numPr>
          <w:ilvl w:val="0"/>
          <w:numId w:val="6"/>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本部门按要求对2018年部门整体支出绩效评价情况开展自评，《开江县宝石初级中学2018年部门整体支出绩效评价报告》见附件。</w:t>
      </w:r>
    </w:p>
    <w:p>
      <w:pPr>
        <w:numPr>
          <w:ilvl w:val="0"/>
          <w:numId w:val="5"/>
        </w:numPr>
        <w:spacing w:line="580" w:lineRule="exact"/>
        <w:ind w:left="1429" w:leftChars="0" w:hanging="720" w:firstLineChars="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其他重要事项的情况说明</w:t>
      </w:r>
    </w:p>
    <w:p>
      <w:pPr>
        <w:numPr>
          <w:ilvl w:val="0"/>
          <w:numId w:val="8"/>
        </w:numPr>
        <w:spacing w:line="580" w:lineRule="exact"/>
        <w:ind w:left="709" w:leftChars="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、机关运行经费支出情况</w:t>
      </w:r>
    </w:p>
    <w:p>
      <w:pPr>
        <w:numPr>
          <w:ilvl w:val="0"/>
          <w:numId w:val="0"/>
        </w:numPr>
        <w:spacing w:line="580" w:lineRule="exact"/>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2018年本单位无此项支出。</w:t>
      </w:r>
    </w:p>
    <w:p>
      <w:pPr>
        <w:numPr>
          <w:ilvl w:val="0"/>
          <w:numId w:val="0"/>
        </w:numPr>
        <w:spacing w:line="580" w:lineRule="exact"/>
        <w:ind w:left="709" w:leftChars="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（二）、政府采购支出情况</w:t>
      </w:r>
    </w:p>
    <w:p>
      <w:pPr>
        <w:numPr>
          <w:ilvl w:val="0"/>
          <w:numId w:val="0"/>
        </w:numPr>
        <w:spacing w:line="580" w:lineRule="exact"/>
        <w:ind w:left="709" w:leftChars="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2018年本单位无此项支出。</w:t>
      </w:r>
    </w:p>
    <w:p>
      <w:pPr>
        <w:numPr>
          <w:ilvl w:val="0"/>
          <w:numId w:val="0"/>
        </w:numPr>
        <w:spacing w:line="580" w:lineRule="exact"/>
        <w:ind w:left="709" w:leftChars="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（三）、国有资产占有使用情况</w:t>
      </w:r>
    </w:p>
    <w:p>
      <w:pPr>
        <w:numPr>
          <w:ilvl w:val="0"/>
          <w:numId w:val="0"/>
        </w:numPr>
        <w:spacing w:line="580" w:lineRule="exact"/>
        <w:ind w:left="709" w:leftChars="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截止2018年12月31日，本单位无国有资产占有使用</w:t>
      </w:r>
    </w:p>
    <w:p>
      <w:pPr>
        <w:numPr>
          <w:ilvl w:val="0"/>
          <w:numId w:val="0"/>
        </w:numPr>
        <w:spacing w:line="580" w:lineRule="exact"/>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情况。</w:t>
      </w:r>
    </w:p>
    <w:p>
      <w:pPr>
        <w:numPr>
          <w:ilvl w:val="0"/>
          <w:numId w:val="9"/>
        </w:numPr>
        <w:spacing w:line="600" w:lineRule="exact"/>
        <w:ind w:firstLine="663" w:firstLineChars="150"/>
        <w:jc w:val="center"/>
        <w:outlineLvl w:val="0"/>
        <w:rPr>
          <w:rStyle w:val="24"/>
          <w:rFonts w:ascii="黑体" w:hAnsi="黑体" w:eastAsia="黑体"/>
          <w:b w:val="0"/>
        </w:rPr>
      </w:pPr>
      <w:bookmarkStart w:id="47" w:name="_Toc15377225"/>
      <w:bookmarkStart w:id="48"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47"/>
      <w:bookmarkEnd w:id="48"/>
    </w:p>
    <w:p>
      <w:pPr>
        <w:spacing w:line="600" w:lineRule="exact"/>
        <w:jc w:val="left"/>
        <w:rPr>
          <w:rFonts w:hint="default" w:ascii="Times New Roman" w:hAnsi="Times New Roman" w:eastAsia="宋体" w:cs="Times New Roman"/>
          <w:kern w:val="2"/>
          <w:sz w:val="28"/>
          <w:szCs w:val="28"/>
          <w:lang w:val="en-US" w:eastAsia="zh-CN" w:bidi="ar-SA"/>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49" w:name="_Toc15377226"/>
      <w:r>
        <w:rPr>
          <w:rFonts w:ascii="宋体"/>
          <w:b/>
          <w:color w:val="000000"/>
          <w:sz w:val="44"/>
          <w:szCs w:val="44"/>
        </w:rPr>
        <w:br w:type="page"/>
      </w:r>
      <w:r>
        <w:rPr>
          <w:rFonts w:hint="eastAsia" w:ascii="黑体" w:hAnsi="黑体" w:eastAsia="黑体"/>
          <w:color w:val="000000"/>
          <w:sz w:val="44"/>
          <w:szCs w:val="44"/>
        </w:rPr>
        <w:t>第</w:t>
      </w:r>
      <w:r>
        <w:rPr>
          <w:rStyle w:val="24"/>
          <w:rFonts w:hint="eastAsia" w:ascii="黑体" w:hAnsi="黑体" w:eastAsia="黑体"/>
          <w:b w:val="0"/>
        </w:rPr>
        <w:t>四部分 附件</w:t>
      </w:r>
    </w:p>
    <w:p>
      <w:pPr>
        <w:spacing w:line="600" w:lineRule="exact"/>
        <w:jc w:val="center"/>
        <w:outlineLvl w:val="0"/>
        <w:rPr>
          <w:rStyle w:val="24"/>
        </w:rPr>
      </w:pPr>
    </w:p>
    <w:p>
      <w:pPr>
        <w:pStyle w:val="3"/>
        <w:rPr>
          <w:rStyle w:val="24"/>
          <w:rFonts w:ascii="仿宋" w:hAnsi="仿宋" w:eastAsia="仿宋"/>
          <w:b w:val="0"/>
          <w:bCs w:val="0"/>
          <w:sz w:val="32"/>
          <w:szCs w:val="32"/>
        </w:rPr>
      </w:pPr>
      <w:bookmarkStart w:id="50" w:name="_Toc15396615"/>
      <w:r>
        <w:rPr>
          <w:rStyle w:val="24"/>
          <w:rFonts w:hint="eastAsia" w:ascii="仿宋" w:hAnsi="仿宋" w:eastAsia="仿宋"/>
          <w:b w:val="0"/>
          <w:bCs w:val="0"/>
          <w:sz w:val="32"/>
          <w:szCs w:val="32"/>
        </w:rPr>
        <w:t>附件1</w:t>
      </w:r>
      <w:bookmarkEnd w:id="50"/>
    </w:p>
    <w:p>
      <w:pPr>
        <w:spacing w:line="600" w:lineRule="exact"/>
        <w:jc w:val="center"/>
        <w:outlineLvl w:val="0"/>
        <w:rPr>
          <w:rFonts w:hint="eastAsia" w:ascii="黑体" w:hAnsi="黑体" w:eastAsia="黑体" w:cs="方正小标宋简体"/>
          <w:sz w:val="36"/>
          <w:szCs w:val="36"/>
          <w:lang w:eastAsia="zh-CN"/>
        </w:rPr>
      </w:pPr>
      <w:bookmarkStart w:id="51" w:name="_Toc15396616"/>
      <w:r>
        <w:rPr>
          <w:rFonts w:hint="eastAsia" w:ascii="黑体" w:hAnsi="黑体" w:eastAsia="黑体" w:cs="方正小标宋简体"/>
          <w:sz w:val="36"/>
          <w:szCs w:val="36"/>
        </w:rPr>
        <w:t>开江县</w:t>
      </w:r>
      <w:r>
        <w:rPr>
          <w:rFonts w:hint="eastAsia" w:ascii="黑体" w:hAnsi="黑体" w:eastAsia="黑体" w:cs="方正小标宋简体"/>
          <w:sz w:val="36"/>
          <w:szCs w:val="36"/>
          <w:lang w:eastAsia="zh-CN"/>
        </w:rPr>
        <w:t>甘棠初级中学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部门2018年部门整体支出绩效评价报告</w:t>
      </w:r>
      <w:bookmarkEnd w:id="51"/>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一、部门（单位）概况</w:t>
      </w:r>
    </w:p>
    <w:p>
      <w:pPr>
        <w:ind w:firstLine="600" w:firstLineChars="200"/>
        <w:rPr>
          <w:rFonts w:hint="default" w:ascii="仿宋_GB2312" w:hAnsi="Calibri" w:eastAsia="仿宋_GB2312"/>
          <w:sz w:val="30"/>
          <w:szCs w:val="30"/>
        </w:rPr>
      </w:pPr>
      <w:r>
        <w:rPr>
          <w:rFonts w:hint="eastAsia" w:ascii="Calibri" w:hAnsi="Calibri" w:eastAsia="仿宋_GB2312"/>
          <w:sz w:val="30"/>
          <w:szCs w:val="30"/>
        </w:rPr>
        <w:t>达州市开江县</w:t>
      </w:r>
      <w:r>
        <w:rPr>
          <w:rFonts w:hint="eastAsia" w:ascii="Calibri" w:hAnsi="Calibri" w:eastAsia="仿宋_GB2312"/>
          <w:sz w:val="30"/>
          <w:szCs w:val="30"/>
          <w:lang w:eastAsia="zh-CN"/>
        </w:rPr>
        <w:t>甘棠</w:t>
      </w:r>
      <w:r>
        <w:rPr>
          <w:rFonts w:hint="eastAsia" w:ascii="Calibri" w:hAnsi="Calibri" w:eastAsia="仿宋_GB2312"/>
          <w:sz w:val="30"/>
          <w:szCs w:val="30"/>
        </w:rPr>
        <w:t>初级中学</w:t>
      </w:r>
      <w:r>
        <w:rPr>
          <w:rFonts w:hint="eastAsia" w:ascii="仿宋_GB2312" w:hAnsi="Calibri" w:eastAsia="仿宋_GB2312"/>
          <w:sz w:val="30"/>
          <w:szCs w:val="30"/>
        </w:rPr>
        <w:t>是一所</w:t>
      </w:r>
      <w:r>
        <w:rPr>
          <w:rFonts w:hint="eastAsia" w:ascii="仿宋_GB2312" w:hAnsi="Calibri" w:eastAsia="仿宋_GB2312"/>
          <w:color w:val="000000" w:themeColor="text1"/>
          <w:sz w:val="30"/>
          <w:szCs w:val="30"/>
          <w:lang w:eastAsia="zh-CN"/>
          <w14:textFill>
            <w14:solidFill>
              <w14:schemeClr w14:val="tx1"/>
            </w14:solidFill>
          </w14:textFill>
        </w:rPr>
        <w:t>单设初中</w:t>
      </w:r>
      <w:r>
        <w:rPr>
          <w:rFonts w:hint="eastAsia" w:ascii="仿宋_GB2312" w:hAnsi="Calibri" w:eastAsia="仿宋_GB2312"/>
          <w:sz w:val="30"/>
          <w:szCs w:val="30"/>
        </w:rPr>
        <w:t>学校。其主要职责：努力搞好</w:t>
      </w:r>
      <w:r>
        <w:rPr>
          <w:rFonts w:hint="eastAsia" w:ascii="仿宋_GB2312" w:hAnsi="Calibri" w:eastAsia="仿宋_GB2312"/>
          <w:sz w:val="30"/>
          <w:szCs w:val="30"/>
          <w:lang w:eastAsia="zh-CN"/>
        </w:rPr>
        <w:t>甘棠</w:t>
      </w:r>
      <w:r>
        <w:rPr>
          <w:rFonts w:hint="eastAsia" w:ascii="仿宋_GB2312" w:hAnsi="Calibri" w:eastAsia="仿宋_GB2312"/>
          <w:sz w:val="30"/>
          <w:szCs w:val="30"/>
        </w:rPr>
        <w:t>初级中学的教育教学教研工作，进一步提高教育教学质量，为开江县教育事业的发展贡献自己的力量。</w:t>
      </w:r>
      <w:r>
        <w:rPr>
          <w:rFonts w:hint="default" w:ascii="Calibri" w:hAnsi="Calibri" w:eastAsia="仿宋_GB2312"/>
          <w:sz w:val="30"/>
          <w:szCs w:val="30"/>
        </w:rPr>
        <w:t xml:space="preserve"> </w:t>
      </w:r>
    </w:p>
    <w:p>
      <w:pPr>
        <w:widowControl/>
        <w:spacing w:line="480" w:lineRule="auto"/>
        <w:ind w:firstLine="480"/>
        <w:rPr>
          <w:rFonts w:hint="default" w:ascii="宋体" w:hAnsi="宋体" w:cs="宋体"/>
          <w:color w:val="333333"/>
          <w:kern w:val="0"/>
          <w:sz w:val="28"/>
          <w:szCs w:val="28"/>
          <w:lang w:val="en-US"/>
        </w:rPr>
      </w:pPr>
      <w:r>
        <w:rPr>
          <w:rFonts w:hint="eastAsia" w:ascii="宋体" w:hAnsi="宋体" w:cs="宋体"/>
          <w:color w:val="333333"/>
          <w:kern w:val="0"/>
          <w:sz w:val="28"/>
          <w:szCs w:val="28"/>
          <w:lang w:val="en"/>
        </w:rPr>
        <w:t>我校是独立核算的财政全额拨款事业单位，执行事业单位会计制度，</w:t>
      </w:r>
      <w:r>
        <w:rPr>
          <w:rFonts w:hint="eastAsia" w:ascii="仿宋_GB2312" w:hAnsi="Calibri" w:eastAsia="仿宋_GB2312"/>
          <w:sz w:val="30"/>
          <w:szCs w:val="30"/>
        </w:rPr>
        <w:t>本单位</w:t>
      </w:r>
      <w:r>
        <w:rPr>
          <w:rFonts w:hint="eastAsia" w:ascii="仿宋_GB2312" w:hAnsi="Calibri" w:eastAsia="仿宋_GB2312"/>
          <w:sz w:val="30"/>
          <w:szCs w:val="30"/>
          <w:lang w:eastAsia="zh-CN"/>
        </w:rPr>
        <w:t>在职在编教职工</w:t>
      </w:r>
      <w:r>
        <w:rPr>
          <w:rFonts w:hint="eastAsia" w:ascii="仿宋_GB2312" w:hAnsi="Calibri" w:eastAsia="仿宋_GB2312"/>
          <w:sz w:val="30"/>
          <w:szCs w:val="30"/>
          <w:lang w:val="en-US" w:eastAsia="zh-CN"/>
        </w:rPr>
        <w:t>113人，在校学生1844人。</w:t>
      </w:r>
    </w:p>
    <w:p>
      <w:pPr>
        <w:widowControl/>
        <w:spacing w:line="480" w:lineRule="auto"/>
        <w:ind w:firstLine="480"/>
        <w:rPr>
          <w:rFonts w:hint="eastAsia" w:ascii="宋体" w:hAnsi="宋体" w:cs="宋体"/>
          <w:color w:val="333333"/>
          <w:kern w:val="0"/>
          <w:sz w:val="28"/>
          <w:szCs w:val="28"/>
          <w:lang w:val="en"/>
        </w:rPr>
      </w:pPr>
      <w:r>
        <w:rPr>
          <w:rFonts w:hint="eastAsia" w:ascii="宋体" w:hAnsi="宋体" w:cs="宋体"/>
          <w:color w:val="333333"/>
          <w:kern w:val="0"/>
          <w:sz w:val="28"/>
          <w:szCs w:val="28"/>
          <w:lang w:val="en"/>
        </w:rPr>
        <w:t>单位内设机构：教务处、政教处、财务室、</w:t>
      </w:r>
      <w:r>
        <w:rPr>
          <w:rFonts w:hint="eastAsia" w:ascii="宋体" w:hAnsi="宋体" w:cs="宋体"/>
          <w:color w:val="333333"/>
          <w:kern w:val="0"/>
          <w:sz w:val="28"/>
          <w:szCs w:val="28"/>
          <w:lang w:val="en" w:eastAsia="zh-CN"/>
        </w:rPr>
        <w:t>体卫艺室</w:t>
      </w:r>
      <w:r>
        <w:rPr>
          <w:rFonts w:hint="eastAsia" w:ascii="宋体" w:hAnsi="宋体" w:cs="宋体"/>
          <w:color w:val="333333"/>
          <w:kern w:val="0"/>
          <w:sz w:val="28"/>
          <w:szCs w:val="28"/>
          <w:lang w:val="en"/>
        </w:rPr>
        <w:t>、工会等</w:t>
      </w:r>
      <w:r>
        <w:rPr>
          <w:rFonts w:hint="eastAsia" w:ascii="宋体" w:hAnsi="宋体" w:cs="宋体"/>
          <w:color w:val="333333"/>
          <w:kern w:val="0"/>
          <w:sz w:val="28"/>
          <w:szCs w:val="28"/>
          <w:lang w:val="en-US" w:eastAsia="zh-CN"/>
        </w:rPr>
        <w:t>9</w:t>
      </w:r>
      <w:r>
        <w:rPr>
          <w:rFonts w:hint="eastAsia" w:ascii="宋体" w:hAnsi="宋体" w:cs="宋体"/>
          <w:color w:val="333333"/>
          <w:kern w:val="0"/>
          <w:sz w:val="28"/>
          <w:szCs w:val="28"/>
          <w:lang w:val="en"/>
        </w:rPr>
        <w:t>个科室。</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lang w:val="en"/>
        </w:rPr>
      </w:pPr>
      <w:r>
        <w:rPr>
          <w:rFonts w:hint="eastAsia" w:ascii="仿宋" w:hAnsi="仿宋" w:eastAsia="仿宋" w:cs="仿宋_GB2312"/>
          <w:sz w:val="32"/>
          <w:szCs w:val="32"/>
          <w:lang w:val="en"/>
        </w:rPr>
        <w:t>2018年度我校总收入：</w:t>
      </w:r>
      <w:r>
        <w:rPr>
          <w:rFonts w:hint="eastAsia" w:ascii="仿宋" w:hAnsi="仿宋" w:eastAsia="仿宋" w:cs="仿宋_GB2312"/>
          <w:sz w:val="32"/>
          <w:szCs w:val="32"/>
          <w:lang w:val="en-US" w:eastAsia="zh-CN"/>
        </w:rPr>
        <w:t>1712.82</w:t>
      </w:r>
      <w:r>
        <w:rPr>
          <w:rFonts w:hint="eastAsia" w:ascii="仿宋" w:hAnsi="仿宋" w:eastAsia="仿宋" w:cs="仿宋_GB2312"/>
          <w:sz w:val="32"/>
          <w:szCs w:val="32"/>
          <w:lang w:val="en"/>
        </w:rPr>
        <w:t>万元（财政补助收入</w:t>
      </w:r>
      <w:r>
        <w:rPr>
          <w:rFonts w:hint="eastAsia" w:ascii="仿宋" w:hAnsi="仿宋" w:eastAsia="仿宋" w:cs="仿宋_GB2312"/>
          <w:sz w:val="32"/>
          <w:szCs w:val="32"/>
          <w:lang w:val="en-US" w:eastAsia="zh-CN"/>
        </w:rPr>
        <w:t>1712.82</w:t>
      </w:r>
      <w:r>
        <w:rPr>
          <w:rFonts w:hint="eastAsia" w:ascii="仿宋" w:hAnsi="仿宋" w:eastAsia="仿宋" w:cs="仿宋_GB2312"/>
          <w:sz w:val="32"/>
          <w:szCs w:val="32"/>
          <w:lang w:val="en"/>
        </w:rPr>
        <w:t>万元），结转上年资金</w:t>
      </w:r>
      <w:r>
        <w:rPr>
          <w:rFonts w:hint="eastAsia" w:ascii="仿宋" w:hAnsi="仿宋" w:eastAsia="仿宋" w:cs="仿宋_GB2312"/>
          <w:sz w:val="32"/>
          <w:szCs w:val="32"/>
          <w:lang w:val="en-US" w:eastAsia="zh-CN"/>
        </w:rPr>
        <w:t>129.35</w:t>
      </w:r>
      <w:r>
        <w:rPr>
          <w:rFonts w:hint="eastAsia" w:ascii="仿宋" w:hAnsi="仿宋" w:eastAsia="仿宋" w:cs="仿宋_GB2312"/>
          <w:sz w:val="32"/>
          <w:szCs w:val="32"/>
          <w:lang w:val="en"/>
        </w:rPr>
        <w:t>万元，全年总支出</w:t>
      </w:r>
      <w:r>
        <w:rPr>
          <w:rFonts w:hint="eastAsia" w:ascii="仿宋" w:hAnsi="仿宋" w:eastAsia="仿宋" w:cs="仿宋_GB2312"/>
          <w:sz w:val="32"/>
          <w:szCs w:val="32"/>
          <w:lang w:val="en-US" w:eastAsia="zh-CN"/>
        </w:rPr>
        <w:t>1607.17</w:t>
      </w:r>
      <w:r>
        <w:rPr>
          <w:rFonts w:hint="eastAsia" w:ascii="仿宋" w:hAnsi="仿宋" w:eastAsia="仿宋" w:cs="仿宋_GB2312"/>
          <w:sz w:val="32"/>
          <w:szCs w:val="32"/>
          <w:lang w:val="en"/>
        </w:rPr>
        <w:t>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lang w:val="en"/>
        </w:rPr>
      </w:pPr>
      <w:r>
        <w:rPr>
          <w:rFonts w:hint="eastAsia" w:ascii="仿宋" w:hAnsi="仿宋" w:eastAsia="仿宋" w:cs="仿宋_GB2312"/>
          <w:sz w:val="32"/>
          <w:szCs w:val="32"/>
          <w:lang w:val="en"/>
        </w:rPr>
        <w:t>教育支出1332.63万元，社会保障和就业支出（基本养老保险）144.35万元，医疗卫生支出（基本医疗保险）</w:t>
      </w:r>
      <w:r>
        <w:rPr>
          <w:rFonts w:hint="eastAsia" w:ascii="仿宋" w:hAnsi="仿宋" w:eastAsia="仿宋" w:cs="仿宋_GB2312"/>
          <w:sz w:val="32"/>
          <w:szCs w:val="32"/>
          <w:lang w:val="en-US" w:eastAsia="zh-CN"/>
        </w:rPr>
        <w:t>45.9</w:t>
      </w:r>
      <w:r>
        <w:rPr>
          <w:rFonts w:hint="eastAsia" w:ascii="仿宋" w:hAnsi="仿宋" w:eastAsia="仿宋" w:cs="仿宋_GB2312"/>
          <w:sz w:val="32"/>
          <w:szCs w:val="32"/>
          <w:lang w:val="en"/>
        </w:rPr>
        <w:t>万元，住房保障支出（住房公积金）</w:t>
      </w:r>
      <w:r>
        <w:rPr>
          <w:rFonts w:hint="eastAsia" w:ascii="仿宋" w:hAnsi="仿宋" w:eastAsia="仿宋" w:cs="仿宋_GB2312"/>
          <w:sz w:val="32"/>
          <w:szCs w:val="32"/>
          <w:lang w:val="en-US" w:eastAsia="zh-CN"/>
        </w:rPr>
        <w:t>84.29</w:t>
      </w:r>
      <w:r>
        <w:rPr>
          <w:rFonts w:hint="eastAsia" w:ascii="仿宋" w:hAnsi="仿宋" w:eastAsia="仿宋" w:cs="仿宋_GB2312"/>
          <w:sz w:val="32"/>
          <w:szCs w:val="32"/>
          <w:lang w:val="en"/>
        </w:rPr>
        <w:t>万元。其中基本支出1597.17万元，项目支出10万元。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根据预算绩效管理要求，</w:t>
      </w:r>
      <w:r>
        <w:rPr>
          <w:rFonts w:hint="eastAsia" w:ascii="仿宋" w:hAnsi="仿宋" w:eastAsia="仿宋" w:cs="仿宋_GB2312"/>
          <w:sz w:val="32"/>
          <w:szCs w:val="32"/>
          <w:lang w:eastAsia="zh-CN"/>
        </w:rPr>
        <w:t>甘棠初级中学</w:t>
      </w:r>
      <w:r>
        <w:rPr>
          <w:rFonts w:hint="eastAsia" w:ascii="仿宋" w:hAnsi="仿宋" w:eastAsia="仿宋" w:cs="仿宋_GB2312"/>
          <w:sz w:val="32"/>
          <w:szCs w:val="32"/>
        </w:rPr>
        <w:t>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通过绩效评价，我们认为，2018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1、学校的固定资产管理还有待加强，下年度将按照标准逐步完善。</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2、更加科学合理的编制预算。本年度预算完成率分值被扣4分，下一会计年度努力学习预算制度，更加合理地编制预算，使预算、决算差异更小。</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3、部分绩效指标及目标值有待进一步细化和量化。</w:t>
      </w:r>
      <w:r>
        <w:rPr>
          <w:rFonts w:ascii="仿宋_GB2312" w:hAnsi="仿宋_GB2312" w:eastAsia="仿宋_GB2312" w:cs="仿宋_GB2312"/>
          <w:sz w:val="32"/>
          <w:szCs w:val="32"/>
          <w:lang w:val="en"/>
        </w:rPr>
        <w:t>  </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4、部门整体预算执行率未达到</w:t>
      </w:r>
      <w:r>
        <w:rPr>
          <w:rFonts w:ascii="仿宋_GB2312" w:hAnsi="仿宋_GB2312" w:eastAsia="仿宋_GB2312" w:cs="仿宋_GB2312"/>
          <w:sz w:val="32"/>
          <w:szCs w:val="32"/>
          <w:lang w:val="en"/>
        </w:rPr>
        <w:t>95%</w:t>
      </w:r>
      <w:r>
        <w:rPr>
          <w:rFonts w:hint="eastAsia" w:ascii="仿宋_GB2312" w:hAnsi="仿宋_GB2312" w:eastAsia="仿宋_GB2312" w:cs="仿宋_GB2312"/>
          <w:sz w:val="32"/>
          <w:szCs w:val="32"/>
          <w:lang w:val="en"/>
        </w:rPr>
        <w:t>，预算执行有待提升。</w:t>
      </w:r>
    </w:p>
    <w:p>
      <w:pPr>
        <w:spacing w:line="58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rPr>
        <w:t>5、尚未针对绩效考评制定比较明确的实施细则，有待进</w:t>
      </w:r>
      <w:r>
        <w:rPr>
          <w:rFonts w:hint="eastAsia" w:ascii="仿宋_GB2312" w:hAnsi="仿宋_GB2312" w:eastAsia="仿宋_GB2312" w:cs="仿宋_GB2312"/>
          <w:sz w:val="32"/>
          <w:szCs w:val="32"/>
          <w:lang w:val="en" w:eastAsia="zh-CN"/>
        </w:rPr>
        <w:t>一步加强。</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r>
        <w:rPr>
          <w:rFonts w:hint="eastAsia" w:ascii="仿宋" w:hAnsi="仿宋" w:eastAsia="仿宋"/>
          <w:b w:val="0"/>
          <w:color w:val="000000"/>
        </w:rPr>
        <w:t>一、收</w:t>
      </w:r>
      <w:r>
        <w:rPr>
          <w:rStyle w:val="25"/>
          <w:rFonts w:hint="eastAsia" w:ascii="仿宋" w:hAnsi="仿宋" w:eastAsia="仿宋"/>
          <w:b w:val="0"/>
          <w:bCs w:val="0"/>
        </w:rPr>
        <w:t>入支出决算总表</w:t>
      </w:r>
    </w:p>
    <w:p>
      <w:pPr>
        <w:pStyle w:val="3"/>
        <w:rPr>
          <w:rFonts w:ascii="仿宋" w:hAnsi="仿宋" w:eastAsia="仿宋"/>
          <w:color w:val="000000"/>
        </w:rPr>
      </w:pPr>
      <w:r>
        <w:rPr>
          <w:rFonts w:hint="eastAsia" w:ascii="仿宋" w:hAnsi="仿宋" w:eastAsia="仿宋"/>
          <w:b w:val="0"/>
          <w:color w:val="000000"/>
        </w:rPr>
        <w:t>二、收</w:t>
      </w:r>
      <w:r>
        <w:rPr>
          <w:rStyle w:val="25"/>
          <w:rFonts w:hint="eastAsia" w:ascii="仿宋" w:hAnsi="仿宋" w:eastAsia="仿宋"/>
          <w:b w:val="0"/>
          <w:bCs w:val="0"/>
        </w:rPr>
        <w:t>入总表</w:t>
      </w:r>
    </w:p>
    <w:p>
      <w:pPr>
        <w:pStyle w:val="3"/>
        <w:rPr>
          <w:rFonts w:ascii="仿宋" w:hAnsi="仿宋" w:eastAsia="仿宋"/>
          <w:color w:val="000000"/>
        </w:rPr>
      </w:pPr>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p>
    <w:p>
      <w:pPr>
        <w:pStyle w:val="3"/>
        <w:rPr>
          <w:rFonts w:ascii="仿宋" w:hAnsi="仿宋" w:eastAsia="仿宋"/>
          <w:b w:val="0"/>
          <w:color w:val="000000"/>
        </w:rPr>
      </w:pPr>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p>
    <w:p>
      <w:pPr>
        <w:pStyle w:val="3"/>
        <w:rPr>
          <w:rFonts w:ascii="仿宋" w:hAnsi="仿宋" w:eastAsia="仿宋"/>
          <w:color w:val="000000"/>
        </w:rPr>
      </w:pPr>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p>
    <w:p>
      <w:pPr>
        <w:pStyle w:val="3"/>
        <w:rPr>
          <w:rFonts w:ascii="仿宋" w:hAnsi="仿宋" w:eastAsia="仿宋"/>
          <w:color w:val="000000"/>
        </w:rPr>
      </w:pPr>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p>
    <w:p>
      <w:pPr>
        <w:pStyle w:val="3"/>
        <w:rPr>
          <w:rFonts w:ascii="仿宋" w:hAnsi="仿宋" w:eastAsia="仿宋"/>
          <w:color w:val="000000"/>
        </w:rPr>
      </w:pPr>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p>
    <w:p>
      <w:pPr>
        <w:pStyle w:val="3"/>
        <w:rPr>
          <w:rFonts w:ascii="仿宋" w:hAnsi="仿宋" w:eastAsia="仿宋"/>
          <w:color w:val="000000"/>
        </w:rPr>
      </w:pPr>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p>
    <w:p>
      <w:pPr>
        <w:pStyle w:val="3"/>
        <w:rPr>
          <w:rFonts w:ascii="仿宋" w:hAnsi="仿宋" w:eastAsia="仿宋"/>
          <w:color w:val="000000"/>
        </w:rPr>
      </w:pPr>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p>
    <w:p>
      <w:pPr>
        <w:pStyle w:val="3"/>
        <w:rPr>
          <w:rFonts w:ascii="仿宋" w:hAnsi="仿宋" w:eastAsia="仿宋"/>
          <w:color w:val="000000"/>
        </w:rPr>
      </w:pPr>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p>
    <w:p>
      <w:pPr>
        <w:pStyle w:val="3"/>
        <w:rPr>
          <w:rFonts w:ascii="仿宋" w:hAnsi="仿宋" w:eastAsia="仿宋"/>
          <w:color w:val="000000"/>
        </w:rPr>
      </w:pPr>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p>
    <w:p>
      <w:pPr>
        <w:pStyle w:val="3"/>
        <w:rPr>
          <w:rFonts w:ascii="仿宋" w:hAnsi="仿宋" w:eastAsia="仿宋"/>
          <w:color w:val="000000" w:themeColor="text1"/>
          <w14:textFill>
            <w14:solidFill>
              <w14:schemeClr w14:val="tx1"/>
            </w14:solidFill>
          </w14:textFill>
        </w:rPr>
      </w:pPr>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p>
    <w:bookmarkEnd w:id="49"/>
    <w:p>
      <w:pPr>
        <w:spacing w:line="580" w:lineRule="exact"/>
        <w:ind w:firstLine="640" w:firstLineChars="200"/>
        <w:rPr>
          <w:rStyle w:val="24"/>
          <w:rFonts w:ascii="仿宋" w:hAnsi="仿宋" w:eastAsia="仿宋" w:cs="仿宋_GB2312"/>
          <w:b w:val="0"/>
          <w:bCs w:val="0"/>
          <w:kern w:val="2"/>
          <w:sz w:val="32"/>
          <w:szCs w:val="32"/>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8656D6"/>
    <w:multiLevelType w:val="singleLevel"/>
    <w:tmpl w:val="AB8656D6"/>
    <w:lvl w:ilvl="0" w:tentative="0">
      <w:start w:val="1"/>
      <w:numFmt w:val="decimal"/>
      <w:lvlText w:val="%1."/>
      <w:lvlJc w:val="left"/>
      <w:pPr>
        <w:tabs>
          <w:tab w:val="left" w:pos="312"/>
        </w:tabs>
      </w:pPr>
    </w:lvl>
  </w:abstractNum>
  <w:abstractNum w:abstractNumId="1">
    <w:nsid w:val="B026C66B"/>
    <w:multiLevelType w:val="singleLevel"/>
    <w:tmpl w:val="B026C66B"/>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6883F3F"/>
    <w:multiLevelType w:val="singleLevel"/>
    <w:tmpl w:val="16883F3F"/>
    <w:lvl w:ilvl="0" w:tentative="0">
      <w:start w:val="1"/>
      <w:numFmt w:val="chineseCounting"/>
      <w:suff w:val="nothing"/>
      <w:lvlText w:val="（%1）"/>
      <w:lvlJc w:val="left"/>
      <w:rPr>
        <w:rFonts w:hint="eastAsia"/>
      </w:rPr>
    </w:lvl>
  </w:abstractNum>
  <w:abstractNum w:abstractNumId="7">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51F05FED"/>
    <w:multiLevelType w:val="singleLevel"/>
    <w:tmpl w:val="51F05FED"/>
    <w:lvl w:ilvl="0" w:tentative="0">
      <w:start w:val="2"/>
      <w:numFmt w:val="chineseCounting"/>
      <w:suff w:val="nothing"/>
      <w:lvlText w:val="%1、"/>
      <w:lvlJc w:val="left"/>
      <w:rPr>
        <w:rFonts w:hint="eastAsia"/>
      </w:rPr>
    </w:lvl>
  </w:abstractNum>
  <w:num w:numId="1">
    <w:abstractNumId w:val="8"/>
  </w:num>
  <w:num w:numId="2">
    <w:abstractNumId w:val="5"/>
  </w:num>
  <w:num w:numId="3">
    <w:abstractNumId w:val="0"/>
  </w:num>
  <w:num w:numId="4">
    <w:abstractNumId w:val="2"/>
  </w:num>
  <w:num w:numId="5">
    <w:abstractNumId w:val="7"/>
  </w:num>
  <w:num w:numId="6">
    <w:abstractNumId w:val="4"/>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10C055FF"/>
    <w:rsid w:val="16BB723D"/>
    <w:rsid w:val="19691DF6"/>
    <w:rsid w:val="1C050F8F"/>
    <w:rsid w:val="21387DD8"/>
    <w:rsid w:val="240371BF"/>
    <w:rsid w:val="276C35A2"/>
    <w:rsid w:val="29FD04D3"/>
    <w:rsid w:val="2A0E002C"/>
    <w:rsid w:val="2AB5688F"/>
    <w:rsid w:val="2D1A72A7"/>
    <w:rsid w:val="319F7F4E"/>
    <w:rsid w:val="36CF2D54"/>
    <w:rsid w:val="3D736791"/>
    <w:rsid w:val="44492C07"/>
    <w:rsid w:val="5426691D"/>
    <w:rsid w:val="57AA7573"/>
    <w:rsid w:val="67AF30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Sheet1!#REF!</c:f>
              <c:strCache>
                <c:ptCount val="1"/>
                <c:pt idx="0">
                  <c:v/>
                </c:pt>
              </c:strCache>
            </c:strRef>
          </c:tx>
          <c:spPr>
            <a:solidFill>
              <a:schemeClr val="accent1"/>
            </a:solidFill>
            <a:ln>
              <a:noFill/>
            </a:ln>
            <a:effectLst/>
          </c:spPr>
          <c:invertIfNegative val="0"/>
          <c:dLbls>
            <c:delete val="1"/>
          </c:dLbls>
          <c:cat>
            <c:strRef>
              <c:f>Sheet1!$A$2:$A$5</c:f>
              <c:strCache>
                <c:ptCount val="4"/>
                <c:pt idx="0">
                  <c:v>2017年收入</c:v>
                </c:pt>
                <c:pt idx="1">
                  <c:v>2018年收入</c:v>
                </c:pt>
                <c:pt idx="2">
                  <c:v>2017年支出</c:v>
                </c:pt>
                <c:pt idx="3">
                  <c:v>2018年支出</c:v>
                </c:pt>
              </c:strCache>
            </c:strRef>
          </c:cat>
          <c:val>
            <c:numRef>
              <c:f>Sheet1!#REF!</c:f>
              <c:numCache>
                <c:formatCode>General</c:formatCode>
                <c:ptCount val="1"/>
                <c:pt idx="0">
                  <c:v>1</c:v>
                </c:pt>
              </c:numCache>
            </c:numRef>
          </c:val>
        </c:ser>
        <c:ser>
          <c:idx val="1"/>
          <c:order val="1"/>
          <c:tx>
            <c:strRef>
              <c:f>Sheet1!$B$1</c:f>
              <c:strCache>
                <c:ptCount val="1"/>
                <c:pt idx="0">
                  <c:v>收、支决算总计变动情况图（单位：万元）</c:v>
                </c:pt>
              </c:strCache>
            </c:strRef>
          </c:tx>
          <c:spPr>
            <a:solidFill>
              <a:schemeClr val="accent2"/>
            </a:solidFill>
            <a:ln>
              <a:noFill/>
            </a:ln>
            <a:effectLst/>
          </c:spPr>
          <c:invertIfNegative val="0"/>
          <c:dLbls>
            <c:delete val="1"/>
          </c:dLbls>
          <c:cat>
            <c:strRef>
              <c:f>Sheet1!$A$2:$A$5</c:f>
              <c:strCache>
                <c:ptCount val="4"/>
                <c:pt idx="0">
                  <c:v>2017年收入</c:v>
                </c:pt>
                <c:pt idx="1">
                  <c:v>2018年收入</c:v>
                </c:pt>
                <c:pt idx="2">
                  <c:v>2017年支出</c:v>
                </c:pt>
                <c:pt idx="3">
                  <c:v>2018年支出</c:v>
                </c:pt>
              </c:strCache>
            </c:strRef>
          </c:cat>
          <c:val>
            <c:numRef>
              <c:f>Sheet1!$B$2:$B$5</c:f>
              <c:numCache>
                <c:formatCode>General</c:formatCode>
                <c:ptCount val="4"/>
                <c:pt idx="0">
                  <c:v>1380.98</c:v>
                </c:pt>
                <c:pt idx="1">
                  <c:v>1712.82</c:v>
                </c:pt>
                <c:pt idx="2">
                  <c:v>1251.63</c:v>
                </c:pt>
                <c:pt idx="3">
                  <c:v>1607.17</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2017年收入</c:v>
                </c:pt>
                <c:pt idx="1">
                  <c:v>2018年收入</c:v>
                </c:pt>
                <c:pt idx="2">
                  <c:v>2017年支出</c:v>
                </c:pt>
                <c:pt idx="3">
                  <c:v>2018年支出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87009831"/>
        <c:axId val="196177667"/>
      </c:barChart>
      <c:catAx>
        <c:axId val="18700983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177667"/>
        <c:crosses val="autoZero"/>
        <c:auto val="1"/>
        <c:lblAlgn val="ctr"/>
        <c:lblOffset val="100"/>
        <c:noMultiLvlLbl val="0"/>
      </c:catAx>
      <c:valAx>
        <c:axId val="1961776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009831"/>
        <c:crosses val="autoZero"/>
        <c:crossBetween val="between"/>
      </c:valAx>
      <c:spPr>
        <a:noFill/>
        <a:ln>
          <a:noFill/>
        </a:ln>
        <a:effectLst/>
      </c:spPr>
    </c:plotArea>
    <c:legend>
      <c:legendPos val="b"/>
      <c:legendEntry>
        <c:idx val="0"/>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一般公共预算财政拨款收入</c:v>
                </c:pt>
                <c:pt idx="1">
                  <c:v>政府性基金预算财政拨款收入</c:v>
                </c:pt>
              </c:strCache>
            </c:strRef>
          </c:cat>
          <c:val>
            <c:numRef>
              <c:f>Sheet1!$B$2:$B$5</c:f>
              <c:numCache>
                <c:formatCode>General</c:formatCode>
                <c:ptCount val="4"/>
                <c:pt idx="0">
                  <c:v>1595.35</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normalizeH="0" baseline="0">
                <a:solidFill>
                  <a:schemeClr val="dk1">
                    <a:lumMod val="50000"/>
                    <a:lumOff val="50000"/>
                  </a:schemeClr>
                </a:solidFill>
                <a:latin typeface="+mj-lt"/>
                <a:ea typeface="+mj-ea"/>
                <a:cs typeface="+mj-cs"/>
              </a:defRPr>
            </a:pPr>
            <a:r>
              <a:t>支出决算结构图</a:t>
            </a:r>
          </a:p>
        </c:rich>
      </c:tx>
      <c:layout/>
      <c:overlay val="0"/>
      <c:spPr>
        <a:noFill/>
        <a:ln>
          <a:noFill/>
        </a:ln>
        <a:effectLst/>
      </c:spPr>
    </c:title>
    <c:autoTitleDeleted val="0"/>
    <c:plotArea>
      <c:layout>
        <c:manualLayout>
          <c:layoutTarget val="inner"/>
          <c:xMode val="edge"/>
          <c:yMode val="edge"/>
          <c:x val="0.136125"/>
          <c:y val="0.158666666666667"/>
          <c:w val="0.62725"/>
          <c:h val="0.836333333333333"/>
        </c:manualLayout>
      </c:layout>
      <c:pieChart>
        <c:varyColors val="1"/>
        <c:ser>
          <c:idx val="0"/>
          <c:order val="0"/>
          <c:tx>
            <c:strRef>
              <c:f>Sheet1!$B$1</c:f>
              <c:strCache>
                <c:ptCount val="1"/>
                <c:pt idx="0">
                  <c:v>万元</c:v>
                </c:pt>
              </c:strCache>
            </c:strRef>
          </c:tx>
          <c:spPr/>
          <c:explosion val="0"/>
          <c:dPt>
            <c:idx val="0"/>
            <c:bubble3D val="0"/>
            <c:spPr>
              <a:gradFill>
                <a:gsLst>
                  <a:gs pos="100000">
                    <a:schemeClr val="accent3">
                      <a:tint val="53333"/>
                      <a:lumMod val="60000"/>
                      <a:lumOff val="40000"/>
                    </a:schemeClr>
                  </a:gs>
                  <a:gs pos="0">
                    <a:schemeClr val="accent3">
                      <a:tint val="53333"/>
                    </a:schemeClr>
                  </a:gs>
                </a:gsLst>
                <a:lin ang="5400000" scaled="0"/>
              </a:gradFill>
              <a:ln w="19050">
                <a:solidFill>
                  <a:schemeClr val="lt1"/>
                </a:solidFill>
              </a:ln>
              <a:effectLst/>
            </c:spPr>
          </c:dPt>
          <c:dPt>
            <c:idx val="1"/>
            <c:bubble3D val="0"/>
            <c:spPr>
              <a:gradFill>
                <a:gsLst>
                  <a:gs pos="100000">
                    <a:schemeClr val="accent3">
                      <a:tint val="76667"/>
                      <a:lumMod val="60000"/>
                      <a:lumOff val="40000"/>
                    </a:schemeClr>
                  </a:gs>
                  <a:gs pos="0">
                    <a:schemeClr val="accent3">
                      <a:tint val="76667"/>
                    </a:schemeClr>
                  </a:gs>
                </a:gsLst>
                <a:lin ang="5400000" scaled="0"/>
              </a:gra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1507.17</c:v>
                </c:pt>
                <c:pt idx="1">
                  <c:v>10</c:v>
                </c:pt>
              </c:numCache>
            </c:numRef>
          </c:val>
        </c:ser>
        <c:ser>
          <c:idx val="1"/>
          <c:order val="1"/>
          <c:tx>
            <c:strRef>
              <c:f>Sheet1!#REF!</c:f>
              <c:strCache>
                <c:ptCount val="1"/>
                <c:pt idx="0">
                  <c:v/>
                </c:pt>
              </c:strCache>
            </c:strRef>
          </c:tx>
          <c:spPr/>
          <c:explosion val="0"/>
          <c:dPt>
            <c:idx val="0"/>
            <c:bubble3D val="0"/>
            <c:spPr>
              <a:gradFill>
                <a:gsLst>
                  <a:gs pos="100000">
                    <a:schemeClr val="accent3">
                      <a:tint val="58000"/>
                      <a:lumMod val="60000"/>
                      <a:lumOff val="40000"/>
                    </a:schemeClr>
                  </a:gs>
                  <a:gs pos="0">
                    <a:schemeClr val="accent3">
                      <a:tint val="58000"/>
                    </a:schemeClr>
                  </a:gs>
                </a:gsLst>
                <a:lin ang="5400000" scaled="0"/>
              </a:gra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gradFill>
                <a:gsLst>
                  <a:gs pos="100000">
                    <a:schemeClr val="accent3">
                      <a:tint val="58000"/>
                      <a:lumMod val="60000"/>
                      <a:lumOff val="40000"/>
                    </a:schemeClr>
                  </a:gs>
                  <a:gs pos="0">
                    <a:schemeClr val="accent3">
                      <a:tint val="58000"/>
                    </a:schemeClr>
                  </a:gs>
                </a:gsLst>
                <a:lin ang="5400000" scaled="0"/>
              </a:gra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52625"/>
          <c:y val="0.4355"/>
          <c:w val="0.132375"/>
          <c:h val="0.194333333333333"/>
        </c:manualLayout>
      </c:layout>
      <c:overlay val="0"/>
      <c:spPr>
        <a:solidFill>
          <a:schemeClr val="lt1">
            <a:alpha val="50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Sheet1!#REF!</c:f>
              <c:strCache>
                <c:ptCount val="1"/>
                <c:pt idx="0">
                  <c:v/>
                </c:pt>
              </c:strCache>
            </c:strRef>
          </c:tx>
          <c:spPr>
            <a:solidFill>
              <a:schemeClr val="accent1"/>
            </a:solidFill>
            <a:ln>
              <a:noFill/>
            </a:ln>
            <a:effectLst/>
          </c:spPr>
          <c:invertIfNegative val="0"/>
          <c:dLbls>
            <c:delete val="1"/>
          </c:dLbls>
          <c:cat>
            <c:strRef>
              <c:f>Sheet1!$A$2:$A$5</c:f>
              <c:strCache>
                <c:ptCount val="4"/>
                <c:pt idx="0">
                  <c:v>2017年收入</c:v>
                </c:pt>
                <c:pt idx="1">
                  <c:v>2018年收入</c:v>
                </c:pt>
                <c:pt idx="2">
                  <c:v>2017年支出</c:v>
                </c:pt>
                <c:pt idx="3">
                  <c:v>2018年支出</c:v>
                </c:pt>
              </c:strCache>
            </c:strRef>
          </c:cat>
          <c:val>
            <c:numRef>
              <c:f>Sheet1!#REF!</c:f>
              <c:numCache>
                <c:formatCode>General</c:formatCode>
                <c:ptCount val="1"/>
                <c:pt idx="0">
                  <c:v>1</c:v>
                </c:pt>
              </c:numCache>
            </c:numRef>
          </c:val>
        </c:ser>
        <c:ser>
          <c:idx val="1"/>
          <c:order val="1"/>
          <c:tx>
            <c:strRef>
              <c:f>Sheet1!$B$1</c:f>
              <c:strCache>
                <c:ptCount val="1"/>
                <c:pt idx="0">
                  <c:v>收、支决算总计变动情况图（单位：万元）</c:v>
                </c:pt>
              </c:strCache>
            </c:strRef>
          </c:tx>
          <c:spPr>
            <a:solidFill>
              <a:schemeClr val="accent2"/>
            </a:solidFill>
            <a:ln>
              <a:noFill/>
            </a:ln>
            <a:effectLst/>
          </c:spPr>
          <c:invertIfNegative val="0"/>
          <c:dLbls>
            <c:delete val="1"/>
          </c:dLbls>
          <c:cat>
            <c:strRef>
              <c:f>Sheet1!$A$2:$A$5</c:f>
              <c:strCache>
                <c:ptCount val="4"/>
                <c:pt idx="0">
                  <c:v>2017年收入</c:v>
                </c:pt>
                <c:pt idx="1">
                  <c:v>2018年收入</c:v>
                </c:pt>
                <c:pt idx="2">
                  <c:v>2017年支出</c:v>
                </c:pt>
                <c:pt idx="3">
                  <c:v>2018年支出</c:v>
                </c:pt>
              </c:strCache>
            </c:strRef>
          </c:cat>
          <c:val>
            <c:numRef>
              <c:f>Sheet1!$B$2:$B$5</c:f>
              <c:numCache>
                <c:formatCode>General</c:formatCode>
                <c:ptCount val="4"/>
                <c:pt idx="0">
                  <c:v>1380.98</c:v>
                </c:pt>
                <c:pt idx="1">
                  <c:v>1712.82</c:v>
                </c:pt>
                <c:pt idx="2">
                  <c:v>1251.63</c:v>
                </c:pt>
                <c:pt idx="3">
                  <c:v>1607.17</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2017年收入</c:v>
                </c:pt>
                <c:pt idx="1">
                  <c:v>2018年收入</c:v>
                </c:pt>
                <c:pt idx="2">
                  <c:v>2017年支出</c:v>
                </c:pt>
                <c:pt idx="3">
                  <c:v>2018年支出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87009831"/>
        <c:axId val="196177667"/>
      </c:barChart>
      <c:catAx>
        <c:axId val="18700983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177667"/>
        <c:crosses val="autoZero"/>
        <c:auto val="1"/>
        <c:lblAlgn val="ctr"/>
        <c:lblOffset val="100"/>
        <c:noMultiLvlLbl val="0"/>
      </c:catAx>
      <c:valAx>
        <c:axId val="1961776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009831"/>
        <c:crosses val="autoZero"/>
        <c:crossBetween val="between"/>
      </c:valAx>
      <c:spPr>
        <a:noFill/>
        <a:ln>
          <a:noFill/>
        </a:ln>
        <a:effectLst/>
      </c:spPr>
    </c:plotArea>
    <c:legend>
      <c:legendPos val="b"/>
      <c:legendEntry>
        <c:idx val="0"/>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45"/>
          <c:y val="0.0231666666666667"/>
          <c:w val="0.8938"/>
          <c:h val="0.807233333333333"/>
        </c:manualLayout>
      </c:layout>
      <c:barChart>
        <c:barDir val="col"/>
        <c:grouping val="clustered"/>
        <c:varyColors val="0"/>
        <c:ser>
          <c:idx val="0"/>
          <c:order val="0"/>
          <c:tx>
            <c:strRef>
              <c:f>Sheet1!$B$1</c:f>
              <c:strCache>
                <c:ptCount val="1"/>
                <c:pt idx="0">
                  <c:v>一般公共预算财政拨款支出决算变动情况</c:v>
                </c:pt>
              </c:strCache>
            </c:strRef>
          </c:tx>
          <c:spPr>
            <a:solidFill>
              <a:schemeClr val="accent1"/>
            </a:solidFill>
            <a:ln>
              <a:noFill/>
            </a:ln>
            <a:effectLst/>
          </c:spPr>
          <c:invertIfNegative val="0"/>
          <c:dLbls>
            <c:delete val="1"/>
          </c:dLbls>
          <c:cat>
            <c:numRef>
              <c:f>Sheet1!$A$2:$A$3</c:f>
              <c:numCache>
                <c:formatCode>General</c:formatCode>
                <c:ptCount val="2"/>
                <c:pt idx="0">
                  <c:v>2017</c:v>
                </c:pt>
                <c:pt idx="1">
                  <c:v>2018</c:v>
                </c:pt>
              </c:numCache>
            </c:numRef>
          </c:cat>
          <c:val>
            <c:numRef>
              <c:f>Sheet1!$B$2:$B$3</c:f>
              <c:numCache>
                <c:formatCode>General</c:formatCode>
                <c:ptCount val="2"/>
                <c:pt idx="0">
                  <c:v>1251.63</c:v>
                </c:pt>
                <c:pt idx="1">
                  <c:v>1607.17</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numRef>
              <c:f>Sheet1!$A$2:$A$3</c:f>
              <c:numCache>
                <c:formatCode>General</c:formatCode>
                <c:ptCount val="2"/>
                <c:pt idx="0">
                  <c:v>2017</c:v>
                </c:pt>
                <c:pt idx="1">
                  <c:v>2018</c:v>
                </c:pt>
              </c:numCache>
            </c:num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2017</c:v>
                </c:pt>
                <c:pt idx="1">
                  <c:v>2018</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36482446"/>
        <c:axId val="54447874"/>
      </c:barChart>
      <c:catAx>
        <c:axId val="7364824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47874"/>
        <c:crosses val="autoZero"/>
        <c:auto val="1"/>
        <c:lblAlgn val="ctr"/>
        <c:lblOffset val="100"/>
        <c:noMultiLvlLbl val="0"/>
      </c:catAx>
      <c:valAx>
        <c:axId val="5444787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6482446"/>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教育支出</c:v>
                </c:pt>
                <c:pt idx="1">
                  <c:v>社会保障和就业支出</c:v>
                </c:pt>
                <c:pt idx="2">
                  <c:v>医疗卫生支出</c:v>
                </c:pt>
                <c:pt idx="3">
                  <c:v>住房保障支出</c:v>
                </c:pt>
              </c:strCache>
            </c:strRef>
          </c:cat>
          <c:val>
            <c:numRef>
              <c:f>Sheet1!$B$2:$B$5</c:f>
              <c:numCache>
                <c:formatCode>General</c:formatCode>
                <c:ptCount val="4"/>
                <c:pt idx="0">
                  <c:v>1332.63</c:v>
                </c:pt>
                <c:pt idx="1">
                  <c:v>144.35</c:v>
                </c:pt>
                <c:pt idx="2">
                  <c:v>45.9</c:v>
                </c:pt>
                <c:pt idx="3">
                  <c:v>84.29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因公出国（境）费支出决算</c:v>
                </c:pt>
                <c:pt idx="1">
                  <c:v>公务用车购置及运行维护费支出</c:v>
                </c:pt>
                <c:pt idx="2">
                  <c:v>公务接待费支出</c:v>
                </c:pt>
              </c:strCache>
            </c:strRef>
          </c:cat>
          <c:val>
            <c:numRef>
              <c:f>Sheet1!$B$2:$B$5</c:f>
              <c:numCache>
                <c:formatCode>General</c:formatCode>
                <c:ptCount val="4"/>
                <c:pt idx="0">
                  <c:v>0</c:v>
                </c:pt>
                <c:pt idx="1">
                  <c:v>0</c:v>
                </c:pt>
                <c:pt idx="2">
                  <c:v>1.13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11</TotalTime>
  <ScaleCrop>false</ScaleCrop>
  <LinksUpToDate>false</LinksUpToDate>
  <CharactersWithSpaces>9641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梦</cp:lastModifiedBy>
  <cp:lastPrinted>2019-08-01T00:48:00Z</cp:lastPrinted>
  <dcterms:modified xsi:type="dcterms:W3CDTF">2019-09-23T14:48:54Z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