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475"/>
      <w:bookmarkStart w:id="2" w:name="_Toc15396597"/>
      <w:bookmarkStart w:id="3" w:name="_Toc15377425"/>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96598"/>
      <w:bookmarkStart w:id="7" w:name="_Toc15396476"/>
      <w:bookmarkStart w:id="8" w:name="_Toc15378442"/>
      <w:bookmarkStart w:id="9" w:name="_Toc15377426"/>
      <w:bookmarkStart w:id="10" w:name="_Toc15377194"/>
    </w:p>
    <w:bookmarkEnd w:id="0"/>
    <w:p>
      <w:pPr>
        <w:adjustRightInd w:val="0"/>
        <w:snapToGrid w:val="0"/>
        <w:spacing w:line="360" w:lineRule="auto"/>
        <w:jc w:val="center"/>
        <w:outlineLvl w:val="0"/>
        <w:rPr>
          <w:rFonts w:hint="eastAsia" w:ascii="方正小标宋简体" w:hAnsi="宋体" w:eastAsia="方正小标宋简体"/>
          <w:color w:val="000000"/>
          <w:sz w:val="56"/>
          <w:szCs w:val="56"/>
          <w:lang w:eastAsia="zh-CN"/>
        </w:rPr>
      </w:pPr>
      <w:bookmarkStart w:id="11" w:name="_Toc15306268"/>
      <w:r>
        <w:rPr>
          <w:rFonts w:hint="eastAsia" w:ascii="方正小标宋简体" w:hAnsi="宋体" w:eastAsia="方正小标宋简体"/>
          <w:color w:val="000000"/>
          <w:sz w:val="56"/>
          <w:szCs w:val="56"/>
          <w:lang w:eastAsia="zh-CN"/>
        </w:rPr>
        <w:t>四川省开江县宝石镇第二小学</w:t>
      </w:r>
      <w:bookmarkStart w:id="55" w:name="_GoBack"/>
      <w:bookmarkEnd w:id="55"/>
    </w:p>
    <w:p>
      <w:pPr>
        <w:adjustRightInd w:val="0"/>
        <w:snapToGrid w:val="0"/>
        <w:spacing w:line="360" w:lineRule="auto"/>
        <w:jc w:val="center"/>
        <w:outlineLvl w:val="0"/>
        <w:rPr>
          <w:rFonts w:hint="eastAsia" w:ascii="方正小标宋简体" w:hAnsi="宋体" w:eastAsia="方正小标宋简体"/>
          <w:color w:val="000000"/>
          <w:sz w:val="56"/>
          <w:szCs w:val="56"/>
          <w:lang w:val="en-US" w:eastAsia="zh-CN"/>
        </w:rPr>
      </w:pPr>
      <w:r>
        <w:rPr>
          <w:rFonts w:hint="eastAsia" w:ascii="方正小标宋简体" w:hAnsi="宋体" w:eastAsia="方正小标宋简体"/>
          <w:color w:val="000000"/>
          <w:sz w:val="56"/>
          <w:szCs w:val="56"/>
          <w:lang w:eastAsia="zh-CN"/>
        </w:rPr>
        <w:t>部门决算</w:t>
      </w:r>
      <w:bookmarkEnd w:id="6"/>
      <w:bookmarkEnd w:id="7"/>
      <w:bookmarkEnd w:id="8"/>
      <w:bookmarkEnd w:id="9"/>
      <w:bookmarkEnd w:id="10"/>
      <w:bookmarkEnd w:id="11"/>
      <w:r>
        <w:rPr>
          <w:rFonts w:hint="eastAsia" w:ascii="方正小标宋简体" w:hAnsi="宋体" w:eastAsia="方正小标宋简体"/>
          <w:color w:val="000000"/>
          <w:sz w:val="56"/>
          <w:szCs w:val="56"/>
          <w:lang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23</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0</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bookmarkStart w:id="18" w:name="_Toc15377199"/>
      <w:bookmarkStart w:id="19" w:name="_Toc15378446"/>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lang w:eastAsia="zh-CN"/>
        </w:rPr>
        <w:t>：</w:t>
      </w:r>
      <w:r>
        <w:rPr>
          <w:rFonts w:hint="eastAsia" w:ascii="宋体" w:hAnsi="宋体" w:cs="宋体"/>
          <w:sz w:val="28"/>
          <w:szCs w:val="28"/>
          <w:shd w:val="clear" w:color="auto" w:fill="FFFFFF"/>
        </w:rPr>
        <w:t>依法教育,全面贯彻落实科学发展观，促进本校教育事业的蓬勃发展。</w:t>
      </w:r>
      <w:r>
        <w:rPr>
          <w:rFonts w:hint="eastAsia" w:ascii="宋体" w:hAnsi="宋体" w:eastAsia="宋体" w:cs="宋体"/>
          <w:bCs/>
          <w:color w:val="000000"/>
          <w:sz w:val="28"/>
          <w:szCs w:val="28"/>
          <w:lang w:eastAsia="zh-CN"/>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23"/>
        <w:rPr>
          <w:rFonts w:hint="default"/>
          <w:sz w:val="28"/>
          <w:szCs w:val="28"/>
          <w:lang w:eastAsia="zh-CN"/>
        </w:rPr>
      </w:pPr>
      <w:r>
        <w:rPr>
          <w:rFonts w:hint="eastAsia"/>
          <w:sz w:val="28"/>
          <w:szCs w:val="28"/>
        </w:rPr>
        <w:t>201</w:t>
      </w:r>
      <w:r>
        <w:rPr>
          <w:rFonts w:hint="eastAsia"/>
          <w:sz w:val="28"/>
          <w:szCs w:val="28"/>
          <w:lang w:val="en-US" w:eastAsia="zh-CN"/>
        </w:rPr>
        <w:t>8</w:t>
      </w:r>
      <w:r>
        <w:rPr>
          <w:rFonts w:hint="eastAsia"/>
          <w:sz w:val="28"/>
          <w:szCs w:val="28"/>
        </w:rPr>
        <w:t>年，在县委、</w:t>
      </w:r>
      <w:r>
        <w:rPr>
          <w:rFonts w:hint="eastAsia"/>
          <w:sz w:val="28"/>
          <w:szCs w:val="28"/>
          <w:lang w:val="en-US" w:eastAsia="zh-CN"/>
        </w:rPr>
        <w:t>县</w:t>
      </w:r>
      <w:r>
        <w:rPr>
          <w:rFonts w:hint="eastAsia"/>
          <w:sz w:val="28"/>
          <w:szCs w:val="28"/>
        </w:rPr>
        <w:t>政府的坚强领导和县教科局的关心指导下，我校</w:t>
      </w:r>
      <w:r>
        <w:rPr>
          <w:rFonts w:hint="eastAsia"/>
          <w:sz w:val="28"/>
          <w:szCs w:val="28"/>
          <w:lang w:eastAsia="zh-CN"/>
        </w:rPr>
        <w:t>以“办好家门口的教育</w:t>
      </w:r>
      <w:r>
        <w:rPr>
          <w:rFonts w:hint="eastAsia"/>
          <w:sz w:val="28"/>
          <w:szCs w:val="28"/>
        </w:rPr>
        <w:t>”的办学理念，圆满的完成上级赋予的教育教学任务。</w:t>
      </w:r>
      <w:r>
        <w:rPr>
          <w:rFonts w:hint="default"/>
          <w:sz w:val="28"/>
          <w:szCs w:val="28"/>
        </w:rPr>
        <w:t>坚持“德、智、体、美、劳”全面发展；积极进行教育思想、教学内容、教学方法和教育手段的改革；为初中输送合格的新生</w:t>
      </w:r>
      <w:r>
        <w:rPr>
          <w:rFonts w:hint="eastAsia"/>
          <w:sz w:val="28"/>
          <w:szCs w:val="28"/>
          <w:lang w:eastAsia="zh-CN"/>
        </w:rPr>
        <w:t>。</w:t>
      </w:r>
      <w:r>
        <w:rPr>
          <w:rFonts w:hint="default"/>
          <w:sz w:val="28"/>
          <w:szCs w:val="28"/>
        </w:rPr>
        <w:t>积极开展以普及为主的课外群体活动和体育传统项目运动队的训练；开展以预防为主、防治结合的卫生保健工作，做好常见病、多发病的预防和矫治。加强美育。通过各学科和各种课外活动培养学生具有健康的审美观点。有计划、有目的地进行劳动教育，并认真执行勤工俭学、勤工办学的方针，积极地有步骤地创造条件改善学校校舍和教学、体育、卫生、生活等方面地设备，切实加强学校管理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numPr>
          <w:ilvl w:val="0"/>
          <w:numId w:val="1"/>
        </w:numPr>
        <w:rPr>
          <w:rStyle w:val="25"/>
          <w:rFonts w:hint="eastAsia" w:ascii="黑体" w:hAnsi="黑体" w:eastAsia="黑体"/>
          <w:b w:val="0"/>
          <w:bCs w:val="0"/>
        </w:rPr>
      </w:pPr>
      <w:bookmarkStart w:id="20" w:name="_Toc15377200"/>
      <w:bookmarkStart w:id="21" w:name="_Toc15396601"/>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700" w:firstLineChars="250"/>
        <w:rPr>
          <w:rFonts w:hint="eastAsia" w:ascii="Times New Roman" w:hAnsi="Times New Roman" w:eastAsia="宋体" w:cs="Times New Roman"/>
          <w:kern w:val="2"/>
          <w:sz w:val="28"/>
          <w:szCs w:val="28"/>
          <w:lang w:val="en-US" w:eastAsia="zh-CN" w:bidi="ar-SA"/>
        </w:rPr>
      </w:pPr>
      <w:r>
        <w:rPr>
          <w:rFonts w:hint="eastAsia" w:ascii="宋体" w:hAnsi="宋体" w:cs="宋体"/>
          <w:sz w:val="28"/>
          <w:szCs w:val="28"/>
          <w:shd w:val="clear" w:color="auto" w:fill="FFFFFF"/>
        </w:rPr>
        <w:t>我单位属事业单位、事业编制数</w:t>
      </w:r>
      <w:r>
        <w:rPr>
          <w:rFonts w:hint="eastAsia" w:ascii="宋体" w:hAnsi="宋体" w:cs="宋体"/>
          <w:sz w:val="28"/>
          <w:szCs w:val="28"/>
          <w:shd w:val="clear" w:color="auto" w:fill="FFFFFF"/>
          <w:lang w:val="en-US" w:eastAsia="zh-CN"/>
        </w:rPr>
        <w:t>22</w:t>
      </w:r>
      <w:r>
        <w:rPr>
          <w:rFonts w:hint="eastAsia" w:ascii="宋体" w:hAnsi="宋体" w:cs="宋体"/>
          <w:sz w:val="28"/>
          <w:szCs w:val="28"/>
          <w:shd w:val="clear" w:color="auto" w:fill="FFFFFF"/>
        </w:rPr>
        <w:t>人。</w:t>
      </w:r>
      <w:r>
        <w:rPr>
          <w:rFonts w:hint="eastAsia" w:ascii="Times New Roman" w:hAnsi="Times New Roman" w:eastAsia="宋体" w:cs="Times New Roman"/>
          <w:kern w:val="2"/>
          <w:sz w:val="28"/>
          <w:szCs w:val="28"/>
          <w:lang w:val="en-US" w:eastAsia="zh-CN" w:bidi="ar-SA"/>
        </w:rPr>
        <w:t>学生</w:t>
      </w:r>
      <w:r>
        <w:rPr>
          <w:rFonts w:hint="eastAsia" w:cs="Times New Roman"/>
          <w:kern w:val="2"/>
          <w:sz w:val="28"/>
          <w:szCs w:val="28"/>
          <w:lang w:val="en-US" w:eastAsia="zh-CN" w:bidi="ar-SA"/>
        </w:rPr>
        <w:t>114</w:t>
      </w:r>
      <w:r>
        <w:rPr>
          <w:rFonts w:hint="eastAsia" w:ascii="Times New Roman" w:hAnsi="Times New Roman" w:eastAsia="宋体" w:cs="Times New Roman"/>
          <w:kern w:val="2"/>
          <w:sz w:val="28"/>
          <w:szCs w:val="28"/>
          <w:lang w:val="en-US" w:eastAsia="zh-CN" w:bidi="ar-SA"/>
        </w:rPr>
        <w:t>人。</w:t>
      </w:r>
    </w:p>
    <w:p>
      <w:pPr>
        <w:pStyle w:val="5"/>
        <w:adjustRightInd w:val="0"/>
        <w:snapToGrid w:val="0"/>
        <w:spacing w:before="93" w:line="600" w:lineRule="exact"/>
        <w:ind w:firstLine="588" w:firstLineChars="21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开江县宝石</w:t>
      </w:r>
      <w:r>
        <w:rPr>
          <w:rFonts w:hint="eastAsia" w:ascii="Times New Roman" w:eastAsia="宋体" w:cs="Times New Roman"/>
          <w:kern w:val="2"/>
          <w:sz w:val="28"/>
          <w:szCs w:val="28"/>
          <w:lang w:val="en-US" w:eastAsia="zh-CN" w:bidi="ar-SA"/>
        </w:rPr>
        <w:t>镇第二小学</w:t>
      </w:r>
      <w:r>
        <w:rPr>
          <w:rFonts w:hint="eastAsia" w:ascii="Times New Roman" w:hAnsi="Times New Roman" w:eastAsia="宋体" w:cs="Times New Roman"/>
          <w:kern w:val="2"/>
          <w:sz w:val="28"/>
          <w:szCs w:val="28"/>
          <w:lang w:val="en-US" w:eastAsia="zh-CN" w:bidi="ar-SA"/>
        </w:rPr>
        <w:t>无下属二级单位。</w:t>
      </w:r>
    </w:p>
    <w:p>
      <w:pPr>
        <w:numPr>
          <w:ilvl w:val="0"/>
          <w:numId w:val="0"/>
        </w:numPr>
        <w:rPr>
          <w:rFonts w:hint="default" w:ascii="Times New Roman" w:hAnsi="Times New Roman" w:eastAsia="宋体" w:cs="Times New Roman"/>
          <w:kern w:val="2"/>
          <w:sz w:val="28"/>
          <w:szCs w:val="28"/>
          <w:lang w:val="en-US" w:eastAsia="zh-CN" w:bidi="ar-SA"/>
        </w:rPr>
      </w:pPr>
    </w:p>
    <w:p>
      <w:pPr>
        <w:widowControl/>
        <w:jc w:val="left"/>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br w:type="page"/>
      </w:r>
      <w:bookmarkStart w:id="22" w:name="_Toc15396602"/>
      <w:bookmarkStart w:id="23" w:name="_Toc15377204"/>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2018年度收入总计</w:t>
      </w:r>
      <w:r>
        <w:rPr>
          <w:rFonts w:hint="eastAsia" w:cs="Times New Roman"/>
          <w:kern w:val="2"/>
          <w:sz w:val="28"/>
          <w:szCs w:val="28"/>
          <w:lang w:val="en-US" w:eastAsia="zh-CN" w:bidi="ar-SA"/>
        </w:rPr>
        <w:t>266.66</w:t>
      </w:r>
      <w:r>
        <w:rPr>
          <w:rFonts w:hint="eastAsia" w:ascii="Times New Roman" w:hAnsi="Times New Roman" w:eastAsia="宋体" w:cs="Times New Roman"/>
          <w:kern w:val="2"/>
          <w:sz w:val="28"/>
          <w:szCs w:val="28"/>
          <w:lang w:val="en-US" w:eastAsia="zh-CN" w:bidi="ar-SA"/>
        </w:rPr>
        <w:t>万元。与2017年相比，收入总计增加</w:t>
      </w:r>
      <w:r>
        <w:rPr>
          <w:rFonts w:hint="eastAsia" w:cs="Times New Roman"/>
          <w:kern w:val="2"/>
          <w:sz w:val="28"/>
          <w:szCs w:val="28"/>
          <w:lang w:val="en-US" w:eastAsia="zh-CN" w:bidi="ar-SA"/>
        </w:rPr>
        <w:t>24.64</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9.24</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，主要变动原因是人员增加。支出总计</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万元，与2017年相比，支出总计增加</w:t>
      </w:r>
      <w:r>
        <w:rPr>
          <w:rFonts w:hint="eastAsia" w:cs="Times New Roman"/>
          <w:kern w:val="2"/>
          <w:sz w:val="28"/>
          <w:szCs w:val="28"/>
          <w:lang w:val="en-US" w:eastAsia="zh-CN" w:bidi="ar-SA"/>
        </w:rPr>
        <w:t>27.2</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9.25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。，主要变动原因为学生及教师人数增加。</w:t>
      </w:r>
    </w:p>
    <w:p>
      <w:pPr>
        <w:spacing w:line="600" w:lineRule="exact"/>
        <w:ind w:firstLine="640" w:firstLineChars="200"/>
        <w:jc w:val="left"/>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-100330</wp:posOffset>
            </wp:positionH>
            <wp:positionV relativeFrom="paragraph">
              <wp:posOffset>351155</wp:posOffset>
            </wp:positionV>
            <wp:extent cx="5488305" cy="3780155"/>
            <wp:effectExtent l="4445" t="4445" r="12700" b="63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560" w:firstLineChars="200"/>
        <w:outlineLvl w:val="1"/>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8年本年收入合计</w:t>
      </w:r>
      <w:r>
        <w:rPr>
          <w:rFonts w:hint="eastAsia" w:cs="Times New Roman"/>
          <w:kern w:val="2"/>
          <w:sz w:val="28"/>
          <w:szCs w:val="28"/>
          <w:lang w:val="en-US" w:eastAsia="zh-CN" w:bidi="ar-SA"/>
        </w:rPr>
        <w:t>266.66</w:t>
      </w:r>
      <w:r>
        <w:rPr>
          <w:rFonts w:hint="eastAsia" w:ascii="Times New Roman" w:hAnsi="Times New Roman" w:eastAsia="宋体" w:cs="Times New Roman"/>
          <w:kern w:val="2"/>
          <w:sz w:val="28"/>
          <w:szCs w:val="28"/>
          <w:lang w:val="en-US" w:eastAsia="zh-CN" w:bidi="ar-SA"/>
        </w:rPr>
        <w:t>万元，其中：一般公共预算财政拨款收入</w:t>
      </w:r>
      <w:r>
        <w:rPr>
          <w:rFonts w:hint="eastAsia" w:cs="Times New Roman"/>
          <w:kern w:val="2"/>
          <w:sz w:val="28"/>
          <w:szCs w:val="28"/>
          <w:lang w:val="en-US" w:eastAsia="zh-CN" w:bidi="ar-SA"/>
        </w:rPr>
        <w:t>266.66</w:t>
      </w:r>
      <w:r>
        <w:rPr>
          <w:rFonts w:hint="eastAsia" w:ascii="Times New Roman" w:hAnsi="Times New Roman" w:eastAsia="宋体" w:cs="Times New Roman"/>
          <w:kern w:val="2"/>
          <w:sz w:val="28"/>
          <w:szCs w:val="28"/>
          <w:lang w:val="en-US" w:eastAsia="zh-CN" w:bidi="ar-SA"/>
        </w:rPr>
        <w:t>万元，占100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640" w:firstLineChars="200"/>
        <w:rPr>
          <w:rFonts w:hint="eastAsia" w:ascii="仿宋_GB2312" w:eastAsia="仿宋"/>
          <w:color w:val="FF0000"/>
          <w:sz w:val="32"/>
          <w:szCs w:val="32"/>
          <w:lang w:eastAsia="zh-CN"/>
        </w:rPr>
      </w:pPr>
      <w:r>
        <w:rPr>
          <w:rFonts w:hint="eastAsia" w:ascii="黑体" w:hAnsi="黑体" w:eastAsia="黑体"/>
          <w:color w:val="000000"/>
          <w:sz w:val="32"/>
          <w:szCs w:val="32"/>
        </w:rPr>
        <w:drawing>
          <wp:anchor distT="0" distB="0" distL="114300" distR="114300" simplePos="0" relativeHeight="251660288" behindDoc="1" locked="0" layoutInCell="1" allowOverlap="1">
            <wp:simplePos x="0" y="0"/>
            <wp:positionH relativeFrom="column">
              <wp:posOffset>-17780</wp:posOffset>
            </wp:positionH>
            <wp:positionV relativeFrom="paragraph">
              <wp:posOffset>4805045</wp:posOffset>
            </wp:positionV>
            <wp:extent cx="5080000" cy="3810000"/>
            <wp:effectExtent l="4445" t="4445" r="20955" b="14605"/>
            <wp:wrapTight wrapText="bothSides">
              <wp:wrapPolygon>
                <wp:start x="-19" y="-25"/>
                <wp:lineTo x="-19" y="21575"/>
                <wp:lineTo x="21527" y="21575"/>
                <wp:lineTo x="21527"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
          <w:color w:val="FF0000"/>
          <w:sz w:val="32"/>
          <w:szCs w:val="32"/>
          <w:lang w:eastAsia="zh-CN"/>
        </w:rPr>
        <w:drawing>
          <wp:anchor distT="0" distB="0" distL="114300" distR="114300" simplePos="0" relativeHeight="251659264" behindDoc="1" locked="0" layoutInCell="1" allowOverlap="1">
            <wp:simplePos x="0" y="0"/>
            <wp:positionH relativeFrom="column">
              <wp:posOffset>-5080</wp:posOffset>
            </wp:positionH>
            <wp:positionV relativeFrom="paragraph">
              <wp:posOffset>-919480</wp:posOffset>
            </wp:positionV>
            <wp:extent cx="5080000" cy="3810000"/>
            <wp:effectExtent l="4445" t="4445" r="20955" b="14605"/>
            <wp:wrapTight wrapText="bothSides">
              <wp:wrapPolygon>
                <wp:start x="-19" y="-25"/>
                <wp:lineTo x="-19" y="21575"/>
                <wp:lineTo x="21527" y="21575"/>
                <wp:lineTo x="21527" y="-25"/>
                <wp:lineTo x="-19" y="-2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8年本年支出合计</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万元，其中：基本支出</w:t>
      </w:r>
      <w:r>
        <w:rPr>
          <w:rFonts w:hint="eastAsia" w:cs="Times New Roman"/>
          <w:kern w:val="2"/>
          <w:sz w:val="28"/>
          <w:szCs w:val="28"/>
          <w:lang w:val="en-US" w:eastAsia="zh-CN" w:bidi="ar-SA"/>
        </w:rPr>
        <w:t>284.77</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96.93</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；项目支出</w:t>
      </w:r>
      <w:r>
        <w:rPr>
          <w:rFonts w:hint="eastAsia"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7</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p>
    <w:p>
      <w:pPr>
        <w:spacing w:line="600" w:lineRule="exact"/>
        <w:ind w:firstLine="640" w:firstLineChars="200"/>
        <w:outlineLvl w:val="1"/>
        <w:rPr>
          <w:rFonts w:hint="eastAsia" w:ascii="Times New Roman" w:hAnsi="Times New Roman" w:eastAsia="宋体" w:cs="Times New Roman"/>
          <w:kern w:val="2"/>
          <w:sz w:val="28"/>
          <w:szCs w:val="28"/>
          <w:lang w:val="en-US" w:eastAsia="zh-CN" w:bidi="ar-SA"/>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560" w:firstLineChars="200"/>
        <w:rPr>
          <w:rFonts w:ascii="仿宋" w:hAnsi="仿宋" w:eastAsia="仿宋"/>
          <w:b/>
          <w:color w:val="00B050"/>
          <w:sz w:val="32"/>
          <w:szCs w:val="32"/>
        </w:rPr>
      </w:pPr>
      <w:r>
        <w:rPr>
          <w:rFonts w:hint="eastAsia" w:ascii="Times New Roman" w:hAnsi="Times New Roman" w:eastAsia="宋体" w:cs="Times New Roman"/>
          <w:kern w:val="2"/>
          <w:sz w:val="28"/>
          <w:szCs w:val="28"/>
          <w:lang w:val="en-US" w:eastAsia="zh-CN" w:bidi="ar-SA"/>
        </w:rPr>
        <w:t>2018年度收入总计</w:t>
      </w:r>
      <w:r>
        <w:rPr>
          <w:rFonts w:hint="eastAsia" w:cs="Times New Roman"/>
          <w:kern w:val="2"/>
          <w:sz w:val="28"/>
          <w:szCs w:val="28"/>
          <w:lang w:val="en-US" w:eastAsia="zh-CN" w:bidi="ar-SA"/>
        </w:rPr>
        <w:t>266.66</w:t>
      </w:r>
      <w:r>
        <w:rPr>
          <w:rFonts w:hint="eastAsia" w:ascii="Times New Roman" w:hAnsi="Times New Roman" w:eastAsia="宋体" w:cs="Times New Roman"/>
          <w:kern w:val="2"/>
          <w:sz w:val="28"/>
          <w:szCs w:val="28"/>
          <w:lang w:val="en-US" w:eastAsia="zh-CN" w:bidi="ar-SA"/>
        </w:rPr>
        <w:t>万元。与2017年相比，收入总计增加</w:t>
      </w:r>
      <w:r>
        <w:rPr>
          <w:rFonts w:hint="eastAsia" w:cs="Times New Roman"/>
          <w:kern w:val="2"/>
          <w:sz w:val="28"/>
          <w:szCs w:val="28"/>
          <w:lang w:val="en-US" w:eastAsia="zh-CN" w:bidi="ar-SA"/>
        </w:rPr>
        <w:t>24.64</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9.24</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，主要变动原因是人员增加。支出总计</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万元，与2017年相比，支出总计增加</w:t>
      </w:r>
      <w:r>
        <w:rPr>
          <w:rFonts w:hint="eastAsia" w:cs="Times New Roman"/>
          <w:kern w:val="2"/>
          <w:sz w:val="28"/>
          <w:szCs w:val="28"/>
          <w:lang w:val="en-US" w:eastAsia="zh-CN" w:bidi="ar-SA"/>
        </w:rPr>
        <w:t>27.2</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9.25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。，主要变动原因为学生及教师人数增加。</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-233680</wp:posOffset>
            </wp:positionH>
            <wp:positionV relativeFrom="paragraph">
              <wp:posOffset>131445</wp:posOffset>
            </wp:positionV>
            <wp:extent cx="5488305" cy="3780155"/>
            <wp:effectExtent l="4445" t="4445" r="12700" b="635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万元，占本年支出合计的100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。与</w:t>
      </w: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7年相比，一般公共预算财政拨款增加</w:t>
      </w:r>
      <w:r>
        <w:rPr>
          <w:rFonts w:hint="eastAsia" w:cs="Times New Roman"/>
          <w:kern w:val="2"/>
          <w:sz w:val="28"/>
          <w:szCs w:val="28"/>
          <w:lang w:val="en-US" w:eastAsia="zh-CN" w:bidi="ar-SA"/>
        </w:rPr>
        <w:t>27.2</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9.25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w:t>
      </w:r>
      <w:r>
        <w:rPr>
          <w:rFonts w:hint="eastAsia" w:cs="Times New Roman"/>
          <w:kern w:val="2"/>
          <w:sz w:val="28"/>
          <w:szCs w:val="28"/>
          <w:lang w:val="en-US" w:eastAsia="zh-CN" w:bidi="ar-SA"/>
        </w:rPr>
        <w:t>是</w:t>
      </w:r>
      <w:r>
        <w:rPr>
          <w:rFonts w:hint="eastAsia" w:ascii="Times New Roman" w:hAnsi="Times New Roman" w:eastAsia="宋体" w:cs="Times New Roman"/>
          <w:kern w:val="2"/>
          <w:sz w:val="28"/>
          <w:szCs w:val="28"/>
          <w:lang w:val="en-US" w:eastAsia="zh-CN" w:bidi="ar-SA"/>
        </w:rPr>
        <w:t>学生及教师人数增加。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61595</wp:posOffset>
            </wp:positionH>
            <wp:positionV relativeFrom="page">
              <wp:posOffset>2039620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rPr>
          <w:rFonts w:ascii="仿宋" w:hAnsi="仿宋" w:eastAsia="仿宋"/>
          <w:b/>
          <w:color w:val="000000"/>
          <w:sz w:val="32"/>
          <w:szCs w:val="32"/>
        </w:rPr>
      </w:pPr>
      <w:bookmarkStart w:id="35" w:name="_Toc15377211"/>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）一般公共预算财政拨款支出决算结构情况</w:t>
      </w:r>
      <w:bookmarkEnd w:id="35"/>
    </w:p>
    <w:p>
      <w:pPr>
        <w:spacing w:line="600" w:lineRule="atLeas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万元，主要用于以下方面:教育支出</w:t>
      </w:r>
      <w:r>
        <w:rPr>
          <w:rFonts w:hint="eastAsia" w:cs="Times New Roman"/>
          <w:kern w:val="2"/>
          <w:sz w:val="28"/>
          <w:szCs w:val="28"/>
          <w:lang w:val="en-US" w:eastAsia="zh-CN" w:bidi="ar-SA"/>
        </w:rPr>
        <w:t>242.69</w:t>
      </w:r>
      <w:r>
        <w:rPr>
          <w:rFonts w:hint="eastAsia" w:ascii="Times New Roman" w:hAnsi="Times New Roman" w:eastAsia="宋体" w:cs="Times New Roman"/>
          <w:kern w:val="2"/>
          <w:sz w:val="28"/>
          <w:szCs w:val="28"/>
          <w:lang w:val="en-US" w:eastAsia="zh-CN" w:bidi="ar-SA"/>
        </w:rPr>
        <w:t>万元（其中工资福利支出:157.85万元、商品和服务支出：50.4万元、对个人和家庭的补助：34.44万元，资本性支出</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82.6</w:t>
      </w:r>
      <w:r>
        <w:rPr>
          <w:rFonts w:hint="eastAsia" w:ascii="Times New Roman" w:hAnsi="Times New Roman" w:eastAsia="宋体" w:cs="Times New Roman"/>
          <w:kern w:val="2"/>
          <w:sz w:val="28"/>
          <w:szCs w:val="28"/>
          <w:lang w:val="en-US" w:eastAsia="zh-CN" w:bidi="ar-SA"/>
        </w:rPr>
        <w:t>%；社会保障和就业支出</w:t>
      </w:r>
      <w:r>
        <w:rPr>
          <w:rFonts w:hint="eastAsia" w:cs="Times New Roman"/>
          <w:kern w:val="2"/>
          <w:sz w:val="28"/>
          <w:szCs w:val="28"/>
          <w:lang w:val="en-US" w:eastAsia="zh-CN" w:bidi="ar-SA"/>
        </w:rPr>
        <w:t>28.8</w:t>
      </w:r>
      <w:r>
        <w:rPr>
          <w:rFonts w:hint="eastAsia" w:ascii="Times New Roman" w:hAnsi="Times New Roman" w:eastAsia="宋体" w:cs="Times New Roman"/>
          <w:kern w:val="2"/>
          <w:sz w:val="28"/>
          <w:szCs w:val="28"/>
          <w:lang w:val="en-US" w:eastAsia="zh-CN" w:bidi="ar-SA"/>
        </w:rPr>
        <w:t>万元，占9.</w:t>
      </w:r>
      <w:r>
        <w:rPr>
          <w:rFonts w:hint="eastAsia" w:cs="Times New Roman"/>
          <w:kern w:val="2"/>
          <w:sz w:val="28"/>
          <w:szCs w:val="28"/>
          <w:lang w:val="en-US" w:eastAsia="zh-CN" w:bidi="ar-SA"/>
        </w:rPr>
        <w:t>8</w:t>
      </w:r>
      <w:r>
        <w:rPr>
          <w:rFonts w:hint="eastAsia" w:ascii="Times New Roman" w:hAnsi="Times New Roman" w:eastAsia="宋体" w:cs="Times New Roman"/>
          <w:kern w:val="2"/>
          <w:sz w:val="28"/>
          <w:szCs w:val="28"/>
          <w:lang w:val="en-US" w:eastAsia="zh-CN" w:bidi="ar-SA"/>
        </w:rPr>
        <w:t>%；医疗卫生支出</w:t>
      </w:r>
      <w:r>
        <w:rPr>
          <w:rFonts w:hint="eastAsia" w:cs="Times New Roman"/>
          <w:kern w:val="2"/>
          <w:sz w:val="28"/>
          <w:szCs w:val="28"/>
          <w:lang w:val="en-US" w:eastAsia="zh-CN" w:bidi="ar-SA"/>
        </w:rPr>
        <w:t>7.8</w:t>
      </w:r>
      <w:r>
        <w:rPr>
          <w:rFonts w:hint="eastAsia" w:ascii="Times New Roman" w:hAnsi="Times New Roman" w:eastAsia="宋体" w:cs="Times New Roman"/>
          <w:kern w:val="2"/>
          <w:sz w:val="28"/>
          <w:szCs w:val="28"/>
          <w:lang w:val="en-US" w:eastAsia="zh-CN" w:bidi="ar-SA"/>
        </w:rPr>
        <w:t>万元，占2.</w:t>
      </w:r>
      <w:r>
        <w:rPr>
          <w:rFonts w:hint="eastAsia" w:cs="Times New Roman"/>
          <w:kern w:val="2"/>
          <w:sz w:val="28"/>
          <w:szCs w:val="28"/>
          <w:lang w:val="en-US" w:eastAsia="zh-CN" w:bidi="ar-SA"/>
        </w:rPr>
        <w:t>65</w:t>
      </w:r>
      <w:r>
        <w:rPr>
          <w:rFonts w:hint="eastAsia" w:ascii="Times New Roman" w:hAnsi="Times New Roman" w:eastAsia="宋体" w:cs="Times New Roman"/>
          <w:kern w:val="2"/>
          <w:sz w:val="28"/>
          <w:szCs w:val="28"/>
          <w:lang w:val="en-US" w:eastAsia="zh-CN" w:bidi="ar-SA"/>
        </w:rPr>
        <w:t>%；住房保障支出</w:t>
      </w:r>
      <w:r>
        <w:rPr>
          <w:rFonts w:hint="eastAsia" w:cs="Times New Roman"/>
          <w:kern w:val="2"/>
          <w:sz w:val="28"/>
          <w:szCs w:val="28"/>
          <w:lang w:val="en-US" w:eastAsia="zh-CN" w:bidi="ar-SA"/>
        </w:rPr>
        <w:t>14.46</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4.92</w:t>
      </w:r>
      <w:r>
        <w:rPr>
          <w:rFonts w:hint="eastAsia" w:ascii="Times New Roman" w:hAnsi="Times New Roman" w:eastAsia="宋体" w:cs="Times New Roman"/>
          <w:kern w:val="2"/>
          <w:sz w:val="28"/>
          <w:szCs w:val="28"/>
          <w:lang w:val="en-US" w:eastAsia="zh-CN" w:bidi="ar-SA"/>
        </w:rPr>
        <w:t>%。</w:t>
      </w:r>
    </w:p>
    <w:p>
      <w:pPr>
        <w:spacing w:line="600" w:lineRule="atLeast"/>
        <w:ind w:firstLine="560" w:firstLineChars="200"/>
        <w:rPr>
          <w:rFonts w:hint="eastAsia" w:ascii="宋体" w:hAnsi="宋体" w:cs="宋体"/>
          <w:color w:val="000000"/>
          <w:sz w:val="28"/>
          <w:szCs w:val="28"/>
          <w:lang w:val="en-US" w:eastAsia="zh-CN"/>
        </w:rPr>
      </w:pPr>
    </w:p>
    <w:p>
      <w:pPr>
        <w:spacing w:line="600" w:lineRule="atLeast"/>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293.77万元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sz w:val="32"/>
          <w:szCs w:val="32"/>
        </w:rPr>
        <w:t>其中：</w:t>
      </w:r>
      <w:bookmarkEnd w:id="37"/>
      <w:bookmarkEnd w:id="38"/>
      <w:bookmarkEnd w:id="39"/>
    </w:p>
    <w:p>
      <w:pPr>
        <w:numPr>
          <w:ilvl w:val="0"/>
          <w:numId w:val="3"/>
        </w:num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一般公共服务: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2.教育支出: 教育支出决算为</w:t>
      </w:r>
      <w:r>
        <w:rPr>
          <w:rFonts w:hint="eastAsia" w:cs="Times New Roman"/>
          <w:kern w:val="2"/>
          <w:sz w:val="28"/>
          <w:szCs w:val="28"/>
          <w:lang w:val="en-US" w:eastAsia="zh-CN" w:bidi="ar-SA"/>
        </w:rPr>
        <w:t>242.69</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3.科学技术: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4.文化体育与传媒: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5.社会保障和就业: 支出决算为</w:t>
      </w:r>
      <w:r>
        <w:rPr>
          <w:rFonts w:hint="eastAsia" w:cs="Times New Roman"/>
          <w:kern w:val="2"/>
          <w:sz w:val="28"/>
          <w:szCs w:val="28"/>
          <w:lang w:val="en-US" w:eastAsia="zh-CN" w:bidi="ar-SA"/>
        </w:rPr>
        <w:t>28.8</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6.医疗卫生与计划生育:事业单位医疗支出决算为</w:t>
      </w:r>
      <w:r>
        <w:rPr>
          <w:rFonts w:hint="eastAsia" w:cs="Times New Roman"/>
          <w:kern w:val="2"/>
          <w:sz w:val="28"/>
          <w:szCs w:val="28"/>
          <w:lang w:val="en-US" w:eastAsia="zh-CN" w:bidi="ar-SA"/>
        </w:rPr>
        <w:t>7.8</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7.住房保障支出：住房公积金支出</w:t>
      </w:r>
      <w:r>
        <w:rPr>
          <w:rFonts w:hint="eastAsia" w:cs="Times New Roman"/>
          <w:kern w:val="2"/>
          <w:sz w:val="28"/>
          <w:szCs w:val="28"/>
          <w:lang w:val="en-US" w:eastAsia="zh-CN" w:bidi="ar-SA"/>
        </w:rPr>
        <w:t>14.46</w:t>
      </w:r>
      <w:r>
        <w:rPr>
          <w:rFonts w:hint="eastAsia" w:ascii="Times New Roman" w:hAnsi="Times New Roman" w:eastAsia="宋体" w:cs="Times New Roman"/>
          <w:kern w:val="2"/>
          <w:sz w:val="28"/>
          <w:szCs w:val="28"/>
          <w:lang w:val="en-US" w:eastAsia="zh-CN" w:bidi="ar-SA"/>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Times New Roman" w:hAnsi="Times New Roman" w:eastAsia="宋体" w:cs="Times New Roman"/>
          <w:kern w:val="2"/>
          <w:sz w:val="28"/>
          <w:szCs w:val="28"/>
          <w:lang w:val="en-US" w:eastAsia="zh-CN" w:bidi="ar-SA"/>
        </w:rPr>
      </w:pPr>
      <w:bookmarkStart w:id="42" w:name="_Toc15377215"/>
      <w:bookmarkStart w:id="43" w:name="_Toc15396609"/>
      <w:r>
        <w:rPr>
          <w:rFonts w:hint="eastAsia" w:ascii="Times New Roman" w:hAnsi="Times New Roman" w:eastAsia="宋体" w:cs="Times New Roman"/>
          <w:kern w:val="2"/>
          <w:sz w:val="28"/>
          <w:szCs w:val="28"/>
          <w:lang w:val="en-US" w:eastAsia="zh-CN" w:bidi="ar-SA"/>
        </w:rPr>
        <w:t>2018年度一般公共预算财政拨款基本支出</w:t>
      </w:r>
      <w:r>
        <w:rPr>
          <w:rFonts w:hint="eastAsia" w:cs="Times New Roman"/>
          <w:kern w:val="2"/>
          <w:sz w:val="28"/>
          <w:szCs w:val="28"/>
          <w:lang w:val="en-US" w:eastAsia="zh-CN" w:bidi="ar-SA"/>
        </w:rPr>
        <w:t>293.77</w:t>
      </w:r>
      <w:r>
        <w:rPr>
          <w:rFonts w:hint="eastAsia" w:ascii="Times New Roman" w:hAnsi="Times New Roman" w:eastAsia="宋体" w:cs="Times New Roman"/>
          <w:kern w:val="2"/>
          <w:sz w:val="28"/>
          <w:szCs w:val="28"/>
          <w:lang w:val="en-US" w:eastAsia="zh-CN" w:bidi="ar-SA"/>
        </w:rPr>
        <w:t>万元，其中：</w:t>
      </w:r>
    </w:p>
    <w:p>
      <w:pPr>
        <w:spacing w:line="600" w:lineRule="exact"/>
        <w:ind w:firstLine="645"/>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人员经费</w:t>
      </w:r>
      <w:r>
        <w:rPr>
          <w:rFonts w:hint="eastAsia" w:cs="Times New Roman"/>
          <w:kern w:val="2"/>
          <w:sz w:val="28"/>
          <w:szCs w:val="28"/>
          <w:lang w:val="en-US" w:eastAsia="zh-CN" w:bidi="ar-SA"/>
        </w:rPr>
        <w:t>203.99</w:t>
      </w:r>
      <w:r>
        <w:rPr>
          <w:rFonts w:hint="eastAsia" w:ascii="Times New Roman" w:hAnsi="Times New Roman" w:eastAsia="宋体" w:cs="Times New Roman"/>
          <w:kern w:val="2"/>
          <w:sz w:val="28"/>
          <w:szCs w:val="28"/>
          <w:lang w:val="en-US" w:eastAsia="zh-CN" w:bidi="ar-SA"/>
        </w:rPr>
        <w:t>万元，主要包括：基本工资60.21万元、津贴补贴2.09万元、绩效工资92.31万元、机关事业单位基本养老保险缴费23.88万元、职工基本医疗保险缴费7.8万元，其他社会保障缴费</w:t>
      </w:r>
      <w:r>
        <w:rPr>
          <w:rFonts w:hint="eastAsia" w:cs="Times New Roman"/>
          <w:kern w:val="2"/>
          <w:sz w:val="28"/>
          <w:szCs w:val="28"/>
          <w:lang w:val="en-US" w:eastAsia="zh-CN" w:bidi="ar-SA"/>
        </w:rPr>
        <w:t>3.25</w:t>
      </w:r>
      <w:r>
        <w:rPr>
          <w:rFonts w:hint="eastAsia" w:ascii="Times New Roman" w:hAnsi="Times New Roman" w:eastAsia="宋体" w:cs="Times New Roman"/>
          <w:kern w:val="2"/>
          <w:sz w:val="28"/>
          <w:szCs w:val="28"/>
          <w:lang w:val="en-US" w:eastAsia="zh-CN" w:bidi="ar-SA"/>
        </w:rPr>
        <w:t>万元、住房公积金</w:t>
      </w:r>
      <w:r>
        <w:rPr>
          <w:rFonts w:hint="eastAsia" w:cs="Times New Roman"/>
          <w:kern w:val="2"/>
          <w:sz w:val="28"/>
          <w:szCs w:val="28"/>
          <w:lang w:val="en-US" w:eastAsia="zh-CN" w:bidi="ar-SA"/>
        </w:rPr>
        <w:t>14.46</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w:t>
      </w:r>
    </w:p>
    <w:p>
      <w:pPr>
        <w:spacing w:line="600" w:lineRule="exact"/>
        <w:ind w:firstLine="645"/>
        <w:rPr>
          <w:rFonts w:hint="eastAsia" w:ascii="宋体" w:hAnsi="宋体" w:eastAsia="宋体" w:cs="宋体"/>
          <w:color w:val="000000"/>
          <w:sz w:val="28"/>
          <w:szCs w:val="28"/>
        </w:rPr>
      </w:pPr>
      <w:r>
        <w:rPr>
          <w:rFonts w:hint="eastAsia" w:ascii="Times New Roman" w:hAnsi="Times New Roman" w:eastAsia="宋体" w:cs="Times New Roman"/>
          <w:kern w:val="2"/>
          <w:sz w:val="28"/>
          <w:szCs w:val="28"/>
          <w:lang w:val="en-US" w:eastAsia="zh-CN" w:bidi="ar-SA"/>
        </w:rPr>
        <w:t>对个人和家庭的补助支出39.36万元等。</w:t>
      </w:r>
      <w:r>
        <w:rPr>
          <w:rFonts w:hint="eastAsia" w:ascii="Times New Roman" w:hAnsi="Times New Roman" w:eastAsia="宋体" w:cs="Times New Roman"/>
          <w:kern w:val="2"/>
          <w:sz w:val="28"/>
          <w:szCs w:val="28"/>
          <w:lang w:val="en-US" w:eastAsia="zh-CN" w:bidi="ar-SA"/>
        </w:rPr>
        <w:br w:type="textWrapping"/>
      </w:r>
      <w:r>
        <w:rPr>
          <w:rFonts w:hint="eastAsia" w:ascii="Times New Roman" w:hAnsi="Times New Roman" w:eastAsia="宋体" w:cs="Times New Roman"/>
          <w:kern w:val="2"/>
          <w:sz w:val="28"/>
          <w:szCs w:val="28"/>
          <w:lang w:val="en-US" w:eastAsia="zh-CN" w:bidi="ar-SA"/>
        </w:rPr>
        <w:t>　　公用经费</w:t>
      </w:r>
      <w:r>
        <w:rPr>
          <w:rFonts w:hint="eastAsia" w:cs="Times New Roman"/>
          <w:kern w:val="2"/>
          <w:sz w:val="28"/>
          <w:szCs w:val="28"/>
          <w:lang w:val="en-US" w:eastAsia="zh-CN" w:bidi="ar-SA"/>
        </w:rPr>
        <w:t>50.4</w:t>
      </w:r>
      <w:r>
        <w:rPr>
          <w:rFonts w:hint="eastAsia" w:ascii="Times New Roman" w:hAnsi="Times New Roman" w:eastAsia="宋体" w:cs="Times New Roman"/>
          <w:kern w:val="2"/>
          <w:sz w:val="28"/>
          <w:szCs w:val="28"/>
          <w:lang w:val="en-US" w:eastAsia="zh-CN" w:bidi="ar-SA"/>
        </w:rPr>
        <w:t>万元，主要包括：办公费</w:t>
      </w:r>
      <w:r>
        <w:rPr>
          <w:rFonts w:hint="eastAsia" w:cs="Times New Roman"/>
          <w:kern w:val="2"/>
          <w:sz w:val="28"/>
          <w:szCs w:val="28"/>
          <w:lang w:val="en-US" w:eastAsia="zh-CN" w:bidi="ar-SA"/>
        </w:rPr>
        <w:t>5.97</w:t>
      </w:r>
      <w:r>
        <w:rPr>
          <w:rFonts w:hint="eastAsia" w:ascii="Times New Roman" w:hAnsi="Times New Roman" w:eastAsia="宋体" w:cs="Times New Roman"/>
          <w:kern w:val="2"/>
          <w:sz w:val="28"/>
          <w:szCs w:val="28"/>
          <w:lang w:val="en-US" w:eastAsia="zh-CN" w:bidi="ar-SA"/>
        </w:rPr>
        <w:t>万元、水费</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万元、电费</w:t>
      </w:r>
      <w:r>
        <w:rPr>
          <w:rFonts w:hint="eastAsia" w:cs="Times New Roman"/>
          <w:kern w:val="2"/>
          <w:sz w:val="28"/>
          <w:szCs w:val="28"/>
          <w:lang w:val="en-US" w:eastAsia="zh-CN" w:bidi="ar-SA"/>
        </w:rPr>
        <w:t>1.9</w:t>
      </w:r>
      <w:r>
        <w:rPr>
          <w:rFonts w:hint="eastAsia" w:ascii="Times New Roman" w:hAnsi="Times New Roman" w:eastAsia="宋体" w:cs="Times New Roman"/>
          <w:kern w:val="2"/>
          <w:sz w:val="28"/>
          <w:szCs w:val="28"/>
          <w:lang w:val="en-US" w:eastAsia="zh-CN" w:bidi="ar-SA"/>
        </w:rPr>
        <w:t>万元、邮电费</w:t>
      </w:r>
      <w:r>
        <w:rPr>
          <w:rFonts w:hint="eastAsia" w:cs="Times New Roman"/>
          <w:kern w:val="2"/>
          <w:sz w:val="28"/>
          <w:szCs w:val="28"/>
          <w:lang w:val="en-US" w:eastAsia="zh-CN" w:bidi="ar-SA"/>
        </w:rPr>
        <w:t>1.35</w:t>
      </w:r>
      <w:r>
        <w:rPr>
          <w:rFonts w:hint="eastAsia" w:ascii="Times New Roman" w:hAnsi="Times New Roman" w:eastAsia="宋体" w:cs="Times New Roman"/>
          <w:kern w:val="2"/>
          <w:sz w:val="28"/>
          <w:szCs w:val="28"/>
          <w:lang w:val="en-US" w:eastAsia="zh-CN" w:bidi="ar-SA"/>
        </w:rPr>
        <w:t>万元、物业管理费</w:t>
      </w:r>
      <w:r>
        <w:rPr>
          <w:rFonts w:hint="eastAsia" w:cs="Times New Roman"/>
          <w:kern w:val="2"/>
          <w:sz w:val="28"/>
          <w:szCs w:val="28"/>
          <w:lang w:val="en-US" w:eastAsia="zh-CN" w:bidi="ar-SA"/>
        </w:rPr>
        <w:t>3.82</w:t>
      </w:r>
      <w:r>
        <w:rPr>
          <w:rFonts w:hint="eastAsia" w:ascii="Times New Roman" w:hAnsi="Times New Roman" w:eastAsia="宋体" w:cs="Times New Roman"/>
          <w:kern w:val="2"/>
          <w:sz w:val="28"/>
          <w:szCs w:val="28"/>
          <w:lang w:val="en-US" w:eastAsia="zh-CN" w:bidi="ar-SA"/>
        </w:rPr>
        <w:t>万元、差旅费</w:t>
      </w:r>
      <w:r>
        <w:rPr>
          <w:rFonts w:hint="eastAsia" w:cs="Times New Roman"/>
          <w:kern w:val="2"/>
          <w:sz w:val="28"/>
          <w:szCs w:val="28"/>
          <w:lang w:val="en-US" w:eastAsia="zh-CN" w:bidi="ar-SA"/>
        </w:rPr>
        <w:t>3.9</w:t>
      </w:r>
      <w:r>
        <w:rPr>
          <w:rFonts w:hint="eastAsia" w:ascii="Times New Roman" w:hAnsi="Times New Roman" w:eastAsia="宋体" w:cs="Times New Roman"/>
          <w:kern w:val="2"/>
          <w:sz w:val="28"/>
          <w:szCs w:val="28"/>
          <w:lang w:val="en-US" w:eastAsia="zh-CN" w:bidi="ar-SA"/>
        </w:rPr>
        <w:t>万元、维修（护）费</w:t>
      </w:r>
      <w:r>
        <w:rPr>
          <w:rFonts w:hint="eastAsia" w:cs="Times New Roman"/>
          <w:kern w:val="2"/>
          <w:sz w:val="28"/>
          <w:szCs w:val="28"/>
          <w:lang w:val="en-US" w:eastAsia="zh-CN" w:bidi="ar-SA"/>
        </w:rPr>
        <w:t>15</w:t>
      </w:r>
      <w:r>
        <w:rPr>
          <w:rFonts w:hint="eastAsia" w:ascii="Times New Roman" w:hAnsi="Times New Roman" w:eastAsia="宋体" w:cs="Times New Roman"/>
          <w:kern w:val="2"/>
          <w:sz w:val="28"/>
          <w:szCs w:val="28"/>
          <w:lang w:val="en-US" w:eastAsia="zh-CN" w:bidi="ar-SA"/>
        </w:rPr>
        <w:t>万元、租赁费</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万元、会议费</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万元、培训费</w:t>
      </w:r>
      <w:r>
        <w:rPr>
          <w:rFonts w:hint="eastAsia" w:cs="Times New Roman"/>
          <w:kern w:val="2"/>
          <w:sz w:val="28"/>
          <w:szCs w:val="28"/>
          <w:lang w:val="en-US" w:eastAsia="zh-CN" w:bidi="ar-SA"/>
        </w:rPr>
        <w:t>1.9</w:t>
      </w:r>
      <w:r>
        <w:rPr>
          <w:rFonts w:hint="eastAsia" w:ascii="Times New Roman" w:hAnsi="Times New Roman" w:eastAsia="宋体" w:cs="Times New Roman"/>
          <w:kern w:val="2"/>
          <w:sz w:val="28"/>
          <w:szCs w:val="28"/>
          <w:lang w:val="en-US" w:eastAsia="zh-CN" w:bidi="ar-SA"/>
        </w:rPr>
        <w:t>万元、公务接待费</w:t>
      </w:r>
      <w:r>
        <w:rPr>
          <w:rFonts w:hint="eastAsia" w:cs="Times New Roman"/>
          <w:kern w:val="2"/>
          <w:sz w:val="28"/>
          <w:szCs w:val="28"/>
          <w:lang w:val="en-US" w:eastAsia="zh-CN" w:bidi="ar-SA"/>
        </w:rPr>
        <w:t>0.36</w:t>
      </w:r>
      <w:r>
        <w:rPr>
          <w:rFonts w:hint="eastAsia" w:ascii="Times New Roman" w:hAnsi="Times New Roman" w:eastAsia="宋体" w:cs="Times New Roman"/>
          <w:kern w:val="2"/>
          <w:sz w:val="28"/>
          <w:szCs w:val="28"/>
          <w:lang w:val="en-US" w:eastAsia="zh-CN" w:bidi="ar-SA"/>
        </w:rPr>
        <w:t>万元、专用材料费</w:t>
      </w:r>
      <w:r>
        <w:rPr>
          <w:rFonts w:hint="eastAsia" w:cs="Times New Roman"/>
          <w:kern w:val="2"/>
          <w:sz w:val="28"/>
          <w:szCs w:val="28"/>
          <w:lang w:val="en-US" w:eastAsia="zh-CN" w:bidi="ar-SA"/>
        </w:rPr>
        <w:t>0.27</w:t>
      </w:r>
      <w:r>
        <w:rPr>
          <w:rFonts w:hint="eastAsia" w:ascii="Times New Roman" w:hAnsi="Times New Roman" w:eastAsia="宋体" w:cs="Times New Roman"/>
          <w:kern w:val="2"/>
          <w:sz w:val="28"/>
          <w:szCs w:val="28"/>
          <w:lang w:val="en-US" w:eastAsia="zh-CN" w:bidi="ar-SA"/>
        </w:rPr>
        <w:t>万元、劳务费</w:t>
      </w:r>
      <w:r>
        <w:rPr>
          <w:rFonts w:hint="eastAsia" w:cs="Times New Roman"/>
          <w:kern w:val="2"/>
          <w:sz w:val="28"/>
          <w:szCs w:val="28"/>
          <w:lang w:val="en-US" w:eastAsia="zh-CN" w:bidi="ar-SA"/>
        </w:rPr>
        <w:t>7.6</w:t>
      </w:r>
      <w:r>
        <w:rPr>
          <w:rFonts w:hint="eastAsia" w:ascii="Times New Roman" w:hAnsi="Times New Roman" w:eastAsia="宋体" w:cs="Times New Roman"/>
          <w:kern w:val="2"/>
          <w:sz w:val="28"/>
          <w:szCs w:val="28"/>
          <w:lang w:val="en-US" w:eastAsia="zh-CN" w:bidi="ar-SA"/>
        </w:rPr>
        <w:t>万元、工会经费</w:t>
      </w:r>
      <w:r>
        <w:rPr>
          <w:rFonts w:hint="eastAsia" w:cs="Times New Roman"/>
          <w:kern w:val="2"/>
          <w:sz w:val="28"/>
          <w:szCs w:val="28"/>
          <w:lang w:val="en-US" w:eastAsia="zh-CN" w:bidi="ar-SA"/>
        </w:rPr>
        <w:t>0.4</w:t>
      </w:r>
      <w:r>
        <w:rPr>
          <w:rFonts w:hint="eastAsia" w:ascii="Times New Roman" w:hAnsi="Times New Roman" w:eastAsia="宋体" w:cs="Times New Roman"/>
          <w:kern w:val="2"/>
          <w:sz w:val="28"/>
          <w:szCs w:val="28"/>
          <w:lang w:val="en-US" w:eastAsia="zh-CN" w:bidi="ar-SA"/>
        </w:rPr>
        <w:t>万元、福利费</w:t>
      </w:r>
      <w:r>
        <w:rPr>
          <w:rFonts w:hint="eastAsia"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万元、其他商品和服务支出</w:t>
      </w:r>
      <w:r>
        <w:rPr>
          <w:rFonts w:hint="eastAsia" w:cs="Times New Roman"/>
          <w:kern w:val="2"/>
          <w:sz w:val="28"/>
          <w:szCs w:val="28"/>
          <w:lang w:val="en-US" w:eastAsia="zh-CN" w:bidi="ar-SA"/>
        </w:rPr>
        <w:t>6.03</w:t>
      </w:r>
      <w:r>
        <w:rPr>
          <w:rFonts w:hint="eastAsia" w:ascii="Times New Roman" w:hAnsi="Times New Roman" w:eastAsia="宋体" w:cs="Times New Roman"/>
          <w:kern w:val="2"/>
          <w:sz w:val="28"/>
          <w:szCs w:val="28"/>
          <w:lang w:val="en-US" w:eastAsia="zh-CN" w:bidi="ar-SA"/>
        </w:rPr>
        <w:t>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2018年度“三公”经费财政拨款支出决算为</w:t>
      </w:r>
      <w:r>
        <w:rPr>
          <w:rFonts w:hint="eastAsia" w:cs="Times New Roman"/>
          <w:kern w:val="2"/>
          <w:sz w:val="28"/>
          <w:szCs w:val="28"/>
          <w:lang w:val="en-US" w:eastAsia="zh-CN" w:bidi="ar-SA"/>
        </w:rPr>
        <w:t>0.36</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Times New Roman" w:hAnsi="Times New Roman" w:eastAsia="宋体" w:cs="Times New Roman"/>
          <w:kern w:val="2"/>
          <w:sz w:val="28"/>
          <w:szCs w:val="28"/>
          <w:lang w:val="en-US" w:eastAsia="zh-CN" w:bidi="ar-SA"/>
        </w:rPr>
      </w:pPr>
      <w:bookmarkStart w:id="46" w:name="_Toc15396610"/>
      <w:bookmarkStart w:id="47" w:name="_Toc15377218"/>
      <w:r>
        <w:rPr>
          <w:rFonts w:hint="eastAsia" w:ascii="Times New Roman" w:hAnsi="Times New Roman" w:eastAsia="宋体" w:cs="Times New Roman"/>
          <w:kern w:val="2"/>
          <w:sz w:val="28"/>
          <w:szCs w:val="28"/>
          <w:lang w:val="en-US" w:eastAsia="zh-CN" w:bidi="ar-SA"/>
        </w:rPr>
        <w:t>2018年度“三公”经费财政拨款支出决算中，因公出国（境）费支出决算0万元；公务用车购置及运行维护费支出决算0万元；公务接待费支出决算</w:t>
      </w:r>
      <w:r>
        <w:rPr>
          <w:rFonts w:hint="eastAsia" w:cs="Times New Roman"/>
          <w:kern w:val="2"/>
          <w:sz w:val="28"/>
          <w:szCs w:val="28"/>
          <w:lang w:val="en-US" w:eastAsia="zh-CN" w:bidi="ar-SA"/>
        </w:rPr>
        <w:t>0.36</w:t>
      </w:r>
      <w:r>
        <w:rPr>
          <w:rFonts w:hint="eastAsia" w:ascii="Times New Roman" w:hAnsi="Times New Roman" w:eastAsia="宋体" w:cs="Times New Roman"/>
          <w:kern w:val="2"/>
          <w:sz w:val="28"/>
          <w:szCs w:val="28"/>
          <w:lang w:val="en-US" w:eastAsia="zh-CN" w:bidi="ar-SA"/>
        </w:rPr>
        <w:t>万元，占100%。具体情况如下：</w:t>
      </w:r>
    </w:p>
    <w:p>
      <w:pPr>
        <w:spacing w:line="600" w:lineRule="atLeast"/>
        <w:ind w:firstLine="560" w:firstLineChars="200"/>
        <w:rPr>
          <w:rFonts w:hint="eastAsia" w:ascii="Times New Roman" w:hAnsi="Times New Roman" w:eastAsia="宋体" w:cs="Times New Roman"/>
          <w:kern w:val="2"/>
          <w:sz w:val="28"/>
          <w:szCs w:val="28"/>
          <w:lang w:val="en-US" w:eastAsia="zh-CN" w:bidi="ar-SA"/>
        </w:rPr>
      </w:pPr>
    </w:p>
    <w:p>
      <w:pPr>
        <w:spacing w:line="600" w:lineRule="atLeast"/>
        <w:ind w:firstLine="562" w:firstLineChars="2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1.因公出国（境）经费支出0万元。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2.公务用车购置及运行维护费支出0万元。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3.公务接待费支出</w:t>
      </w:r>
      <w:r>
        <w:rPr>
          <w:rFonts w:hint="eastAsia" w:cs="Times New Roman"/>
          <w:kern w:val="2"/>
          <w:sz w:val="28"/>
          <w:szCs w:val="28"/>
          <w:lang w:val="en-US" w:eastAsia="zh-CN" w:bidi="ar-SA"/>
        </w:rPr>
        <w:t>0.36</w:t>
      </w:r>
      <w:r>
        <w:rPr>
          <w:rFonts w:hint="eastAsia" w:ascii="Times New Roman" w:hAnsi="Times New Roman" w:eastAsia="宋体" w:cs="Times New Roman"/>
          <w:kern w:val="2"/>
          <w:sz w:val="28"/>
          <w:szCs w:val="28"/>
          <w:lang w:val="en-US" w:eastAsia="zh-CN" w:bidi="ar-SA"/>
        </w:rPr>
        <w:t>万元。</w:t>
      </w:r>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公务接待费支出</w:t>
      </w:r>
      <w:r>
        <w:rPr>
          <w:rFonts w:hint="eastAsia" w:cs="Times New Roman"/>
          <w:kern w:val="2"/>
          <w:sz w:val="28"/>
          <w:szCs w:val="28"/>
          <w:lang w:val="en-US" w:eastAsia="zh-CN" w:bidi="ar-SA"/>
        </w:rPr>
        <w:t>0.36</w:t>
      </w:r>
      <w:r>
        <w:rPr>
          <w:rFonts w:hint="eastAsia" w:ascii="Times New Roman" w:hAnsi="Times New Roman" w:eastAsia="宋体" w:cs="Times New Roman"/>
          <w:kern w:val="2"/>
          <w:sz w:val="28"/>
          <w:szCs w:val="28"/>
          <w:lang w:val="en-US" w:eastAsia="zh-CN" w:bidi="ar-SA"/>
        </w:rPr>
        <w:t>万元，公务接待费支出决算比2017年减少</w:t>
      </w:r>
      <w:r>
        <w:rPr>
          <w:rFonts w:hint="eastAsia" w:cs="Times New Roman"/>
          <w:kern w:val="2"/>
          <w:sz w:val="28"/>
          <w:szCs w:val="28"/>
          <w:lang w:val="en-US" w:eastAsia="zh-CN" w:bidi="ar-SA"/>
        </w:rPr>
        <w:t>0.04</w:t>
      </w:r>
      <w:r>
        <w:rPr>
          <w:rFonts w:hint="eastAsia" w:ascii="Times New Roman" w:hAnsi="Times New Roman" w:eastAsia="宋体" w:cs="Times New Roman"/>
          <w:kern w:val="2"/>
          <w:sz w:val="28"/>
          <w:szCs w:val="28"/>
          <w:lang w:val="en-US" w:eastAsia="zh-CN" w:bidi="ar-SA"/>
        </w:rPr>
        <w:t>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8年政府性基金预算拨款支出0万元。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2018年国有资本经营预算拨款支出0万元。</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根据预算绩效管理要求，本部门按要求对2018年部门整体支出开展绩效自评，从评价情况来看全面完成了预算绩效执行，达到了预期效果。</w:t>
      </w:r>
    </w:p>
    <w:p>
      <w:pPr>
        <w:numPr>
          <w:ilvl w:val="0"/>
          <w:numId w:val="7"/>
        </w:numPr>
        <w:spacing w:line="580" w:lineRule="exact"/>
        <w:ind w:firstLine="643" w:firstLineChars="200"/>
        <w:rPr>
          <w:rFonts w:hint="default" w:ascii="Times New Roman" w:hAnsi="Times New Roman" w:eastAsia="宋体" w:cs="Times New Roman"/>
          <w:kern w:val="2"/>
          <w:sz w:val="28"/>
          <w:szCs w:val="28"/>
          <w:lang w:val="en-US" w:eastAsia="zh-CN" w:bidi="ar-SA"/>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imes New Roman" w:hAnsi="Times New Roman" w:eastAsia="宋体" w:cs="Times New Roman"/>
          <w:kern w:val="2"/>
          <w:sz w:val="28"/>
          <w:szCs w:val="28"/>
          <w:lang w:val="en-US" w:eastAsia="zh-CN" w:bidi="ar-SA"/>
        </w:rPr>
        <w:t>本部门在2018年度无项目执行情况。</w:t>
      </w: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本部门按要求对2018年部门整体支出绩效评价情况开展自评，《开江县宝石</w:t>
      </w:r>
      <w:r>
        <w:rPr>
          <w:rFonts w:hint="eastAsia" w:cs="Times New Roman"/>
          <w:kern w:val="2"/>
          <w:sz w:val="28"/>
          <w:szCs w:val="28"/>
          <w:lang w:val="en-US" w:eastAsia="zh-CN" w:bidi="ar-SA"/>
        </w:rPr>
        <w:t>镇第二小学</w:t>
      </w:r>
      <w:r>
        <w:rPr>
          <w:rFonts w:hint="eastAsia" w:ascii="Times New Roman" w:hAnsi="Times New Roman" w:eastAsia="宋体" w:cs="Times New Roman"/>
          <w:kern w:val="2"/>
          <w:sz w:val="28"/>
          <w:szCs w:val="28"/>
          <w:lang w:val="en-US" w:eastAsia="zh-CN" w:bidi="ar-SA"/>
        </w:rPr>
        <w:t>2018年部门整体支出绩效评价报告》见附件。</w:t>
      </w:r>
    </w:p>
    <w:p>
      <w:pPr>
        <w:numPr>
          <w:ilvl w:val="0"/>
          <w:numId w:val="5"/>
        </w:numPr>
        <w:spacing w:line="580" w:lineRule="exact"/>
        <w:ind w:left="1429" w:leftChars="0" w:hanging="720" w:firstLine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其他重要事项的情况说明</w:t>
      </w:r>
    </w:p>
    <w:p>
      <w:pPr>
        <w:numPr>
          <w:ilvl w:val="0"/>
          <w:numId w:val="8"/>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、机关运行经费支出情况</w:t>
      </w:r>
    </w:p>
    <w:p>
      <w:pPr>
        <w:numPr>
          <w:ilvl w:val="0"/>
          <w:numId w:val="0"/>
        </w:numPr>
        <w:spacing w:line="580" w:lineRule="exac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2018年本单位无此项支出。</w:t>
      </w:r>
    </w:p>
    <w:p>
      <w:pPr>
        <w:numPr>
          <w:ilvl w:val="0"/>
          <w:numId w:val="0"/>
        </w:numPr>
        <w:spacing w:line="580" w:lineRule="exact"/>
        <w:ind w:left="709" w:leftChars="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（二）、政府采购支出情况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2018年本单位无此项支出。</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（三）、国有资产占有使用情况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截止2018年12月31日，本单位无国有资产占有使用</w:t>
      </w:r>
    </w:p>
    <w:p>
      <w:pPr>
        <w:numPr>
          <w:ilvl w:val="0"/>
          <w:numId w:val="0"/>
        </w:numPr>
        <w:spacing w:line="580" w:lineRule="exact"/>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情况。</w:t>
      </w:r>
    </w:p>
    <w:p>
      <w:pPr>
        <w:numPr>
          <w:ilvl w:val="0"/>
          <w:numId w:val="9"/>
        </w:numPr>
        <w:spacing w:line="600" w:lineRule="exact"/>
        <w:ind w:firstLine="663" w:firstLineChars="150"/>
        <w:jc w:val="center"/>
        <w:outlineLvl w:val="0"/>
        <w:rPr>
          <w:rStyle w:val="24"/>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hint="default" w:ascii="Times New Roman" w:hAnsi="Times New Roman" w:eastAsia="宋体" w:cs="Times New Roman"/>
          <w:kern w:val="2"/>
          <w:sz w:val="28"/>
          <w:szCs w:val="28"/>
          <w:lang w:val="en-US" w:eastAsia="zh-CN" w:bidi="ar-SA"/>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2" w:name="_Toc15377226"/>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sz w:val="32"/>
          <w:szCs w:val="32"/>
        </w:rPr>
      </w:pPr>
      <w:bookmarkStart w:id="53" w:name="_Toc15396615"/>
      <w:r>
        <w:rPr>
          <w:rStyle w:val="24"/>
          <w:rFonts w:hint="eastAsia" w:ascii="仿宋" w:hAnsi="仿宋" w:eastAsia="仿宋"/>
          <w:b w:val="0"/>
          <w:bCs w:val="0"/>
          <w:sz w:val="32"/>
          <w:szCs w:val="32"/>
        </w:rPr>
        <w:t>附件1</w:t>
      </w:r>
      <w:bookmarkEnd w:id="53"/>
    </w:p>
    <w:p>
      <w:pPr>
        <w:spacing w:line="600" w:lineRule="exact"/>
        <w:jc w:val="center"/>
        <w:outlineLvl w:val="0"/>
        <w:rPr>
          <w:rFonts w:hint="eastAsia" w:ascii="黑体" w:hAnsi="黑体" w:eastAsia="黑体" w:cs="方正小标宋简体"/>
          <w:sz w:val="36"/>
          <w:szCs w:val="36"/>
          <w:lang w:eastAsia="zh-CN"/>
        </w:rPr>
      </w:pPr>
      <w:bookmarkStart w:id="54"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宝石镇第二小学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ind w:firstLine="600" w:firstLineChars="200"/>
        <w:rPr>
          <w:rFonts w:hint="default" w:ascii="仿宋_GB2312" w:hAnsi="Calibri" w:eastAsia="仿宋_GB2312"/>
          <w:sz w:val="30"/>
          <w:szCs w:val="30"/>
        </w:rPr>
      </w:pPr>
      <w:r>
        <w:rPr>
          <w:rFonts w:hint="eastAsia" w:ascii="Calibri" w:hAnsi="Calibri" w:eastAsia="仿宋_GB2312"/>
          <w:sz w:val="30"/>
          <w:szCs w:val="30"/>
        </w:rPr>
        <w:t>达州市开江县</w:t>
      </w:r>
      <w:r>
        <w:rPr>
          <w:rFonts w:hint="eastAsia" w:ascii="Calibri" w:hAnsi="Calibri" w:eastAsia="仿宋_GB2312"/>
          <w:sz w:val="30"/>
          <w:szCs w:val="30"/>
          <w:lang w:eastAsia="zh-CN"/>
        </w:rPr>
        <w:t>宝石镇第二小学</w:t>
      </w:r>
      <w:r>
        <w:rPr>
          <w:rFonts w:hint="eastAsia" w:ascii="仿宋_GB2312" w:hAnsi="Calibri" w:eastAsia="仿宋_GB2312"/>
          <w:sz w:val="30"/>
          <w:szCs w:val="30"/>
        </w:rPr>
        <w:t>是一所九年一贯制学校。其主要职责：努力搞好</w:t>
      </w:r>
      <w:r>
        <w:rPr>
          <w:rFonts w:hint="eastAsia" w:ascii="仿宋_GB2312" w:hAnsi="Calibri" w:eastAsia="仿宋_GB2312"/>
          <w:sz w:val="30"/>
          <w:szCs w:val="30"/>
          <w:lang w:eastAsia="zh-CN"/>
        </w:rPr>
        <w:t>宝石镇第二小学</w:t>
      </w:r>
      <w:r>
        <w:rPr>
          <w:rFonts w:hint="eastAsia" w:ascii="仿宋_GB2312" w:hAnsi="Calibri" w:eastAsia="仿宋_GB2312"/>
          <w:sz w:val="30"/>
          <w:szCs w:val="30"/>
        </w:rPr>
        <w:t>的教育教学教研工作，进一步提高教育教学质量，为开江县教育事业的发展贡献自己的力量。</w:t>
      </w:r>
      <w:r>
        <w:rPr>
          <w:rFonts w:hint="default" w:ascii="Calibri" w:hAnsi="Calibri" w:eastAsia="仿宋_GB2312"/>
          <w:sz w:val="30"/>
          <w:szCs w:val="30"/>
        </w:rPr>
        <w:t xml:space="preserve"> </w:t>
      </w:r>
    </w:p>
    <w:p>
      <w:pPr>
        <w:widowControl/>
        <w:spacing w:line="480" w:lineRule="auto"/>
        <w:ind w:firstLine="480"/>
        <w:rPr>
          <w:rFonts w:hint="default" w:ascii="宋体" w:hAnsi="宋体" w:cs="宋体"/>
          <w:color w:val="333333"/>
          <w:kern w:val="0"/>
          <w:sz w:val="28"/>
          <w:szCs w:val="28"/>
          <w:lang w:val="en-US"/>
        </w:rPr>
      </w:pPr>
      <w:r>
        <w:rPr>
          <w:rFonts w:hint="eastAsia" w:ascii="宋体" w:hAnsi="宋体" w:cs="宋体"/>
          <w:color w:val="333333"/>
          <w:kern w:val="0"/>
          <w:sz w:val="28"/>
          <w:szCs w:val="28"/>
          <w:lang w:val="en"/>
        </w:rPr>
        <w:t>我校是独立核算的财政全额拨款事业单位，执行事业单位会计制度，</w:t>
      </w:r>
      <w:r>
        <w:rPr>
          <w:rFonts w:hint="eastAsia" w:ascii="仿宋_GB2312" w:hAnsi="Calibri" w:eastAsia="仿宋_GB2312"/>
          <w:sz w:val="30"/>
          <w:szCs w:val="30"/>
        </w:rPr>
        <w:t>本单位编制人数</w:t>
      </w:r>
      <w:r>
        <w:rPr>
          <w:rFonts w:hint="eastAsia" w:ascii="仿宋_GB2312" w:hAnsi="Calibri" w:eastAsia="仿宋_GB2312"/>
          <w:sz w:val="30"/>
          <w:szCs w:val="30"/>
          <w:lang w:val="en-US" w:eastAsia="zh-CN"/>
        </w:rPr>
        <w:t>22</w:t>
      </w:r>
      <w:r>
        <w:rPr>
          <w:rFonts w:hint="eastAsia" w:ascii="仿宋_GB2312" w:hAnsi="Calibri" w:eastAsia="仿宋_GB2312"/>
          <w:sz w:val="30"/>
          <w:szCs w:val="30"/>
        </w:rPr>
        <w:t>人，其中事业行政编制0人，财政补助</w:t>
      </w:r>
      <w:r>
        <w:rPr>
          <w:rFonts w:hint="eastAsia" w:ascii="仿宋_GB2312" w:hAnsi="Calibri" w:eastAsia="仿宋_GB2312"/>
          <w:sz w:val="30"/>
          <w:szCs w:val="30"/>
          <w:lang w:val="en-US" w:eastAsia="zh-CN"/>
        </w:rPr>
        <w:t>22</w:t>
      </w:r>
      <w:r>
        <w:rPr>
          <w:rFonts w:hint="eastAsia" w:ascii="仿宋_GB2312" w:hAnsi="Calibri" w:eastAsia="仿宋_GB2312"/>
          <w:sz w:val="30"/>
          <w:szCs w:val="30"/>
        </w:rPr>
        <w:t>人；年末实有人数</w:t>
      </w:r>
      <w:r>
        <w:rPr>
          <w:rFonts w:hint="eastAsia" w:ascii="仿宋_GB2312" w:hAnsi="Calibri" w:eastAsia="仿宋_GB2312"/>
          <w:sz w:val="30"/>
          <w:szCs w:val="30"/>
          <w:lang w:val="en-US" w:eastAsia="zh-CN"/>
        </w:rPr>
        <w:t>22</w:t>
      </w:r>
      <w:r>
        <w:rPr>
          <w:rFonts w:hint="eastAsia" w:ascii="仿宋_GB2312" w:hAnsi="Calibri" w:eastAsia="仿宋_GB2312"/>
          <w:sz w:val="30"/>
          <w:szCs w:val="30"/>
        </w:rPr>
        <w:t>人，其中在职</w:t>
      </w:r>
      <w:r>
        <w:rPr>
          <w:rFonts w:hint="eastAsia" w:ascii="仿宋_GB2312" w:hAnsi="Calibri" w:eastAsia="仿宋_GB2312"/>
          <w:sz w:val="30"/>
          <w:szCs w:val="30"/>
          <w:lang w:val="en-US" w:eastAsia="zh-CN"/>
        </w:rPr>
        <w:t>22</w:t>
      </w:r>
      <w:r>
        <w:rPr>
          <w:rFonts w:hint="eastAsia" w:ascii="仿宋_GB2312" w:hAnsi="Calibri" w:eastAsia="仿宋_GB2312"/>
          <w:sz w:val="30"/>
          <w:szCs w:val="30"/>
        </w:rPr>
        <w:t>人</w:t>
      </w:r>
      <w:r>
        <w:rPr>
          <w:rFonts w:hint="eastAsia" w:ascii="仿宋_GB2312" w:hAnsi="Calibri" w:eastAsia="仿宋_GB2312"/>
          <w:sz w:val="30"/>
          <w:szCs w:val="30"/>
          <w:lang w:eastAsia="zh-CN"/>
        </w:rPr>
        <w:t>，遗属</w:t>
      </w:r>
      <w:r>
        <w:rPr>
          <w:rFonts w:hint="eastAsia" w:ascii="仿宋_GB2312" w:hAnsi="Calibri" w:eastAsia="仿宋_GB2312"/>
          <w:sz w:val="30"/>
          <w:szCs w:val="30"/>
          <w:lang w:val="en-US" w:eastAsia="zh-CN"/>
        </w:rPr>
        <w:t>2人。在校学生114人。</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单位内设机构：教务处、政教处、财务室、</w:t>
      </w:r>
      <w:r>
        <w:rPr>
          <w:rFonts w:hint="eastAsia" w:ascii="宋体" w:hAnsi="宋体" w:cs="宋体"/>
          <w:color w:val="333333"/>
          <w:kern w:val="0"/>
          <w:sz w:val="28"/>
          <w:szCs w:val="28"/>
          <w:lang w:val="en" w:eastAsia="zh-CN"/>
        </w:rPr>
        <w:t>安全办公室、</w:t>
      </w:r>
      <w:r>
        <w:rPr>
          <w:rFonts w:hint="eastAsia" w:ascii="宋体" w:hAnsi="宋体" w:cs="宋体"/>
          <w:color w:val="333333"/>
          <w:kern w:val="0"/>
          <w:sz w:val="28"/>
          <w:szCs w:val="28"/>
          <w:lang w:val="en"/>
        </w:rPr>
        <w:t>工会等</w:t>
      </w:r>
      <w:r>
        <w:rPr>
          <w:rFonts w:hint="eastAsia" w:ascii="宋体" w:hAnsi="宋体" w:cs="宋体"/>
          <w:color w:val="333333"/>
          <w:kern w:val="0"/>
          <w:sz w:val="28"/>
          <w:szCs w:val="28"/>
          <w:lang w:val="en-US" w:eastAsia="zh-CN"/>
        </w:rPr>
        <w:t>5</w:t>
      </w:r>
      <w:r>
        <w:rPr>
          <w:rFonts w:hint="eastAsia" w:ascii="宋体" w:hAnsi="宋体" w:cs="宋体"/>
          <w:color w:val="333333"/>
          <w:kern w:val="0"/>
          <w:sz w:val="28"/>
          <w:szCs w:val="28"/>
          <w:lang w:val="en"/>
        </w:rPr>
        <w:t>个科室。</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2018年度我校总收入：万元（财政补助收入</w:t>
      </w:r>
      <w:r>
        <w:rPr>
          <w:rFonts w:hint="eastAsia" w:ascii="仿宋" w:hAnsi="仿宋" w:eastAsia="仿宋" w:cs="仿宋_GB2312"/>
          <w:sz w:val="32"/>
          <w:szCs w:val="32"/>
          <w:lang w:val="en-US" w:eastAsia="zh-CN"/>
        </w:rPr>
        <w:t>266.66</w:t>
      </w:r>
      <w:r>
        <w:rPr>
          <w:rFonts w:hint="eastAsia" w:ascii="仿宋" w:hAnsi="仿宋" w:eastAsia="仿宋" w:cs="仿宋_GB2312"/>
          <w:sz w:val="32"/>
          <w:szCs w:val="32"/>
          <w:lang w:val="en"/>
        </w:rPr>
        <w:t>万元），结转上年资金</w:t>
      </w:r>
      <w:r>
        <w:rPr>
          <w:rFonts w:hint="eastAsia" w:ascii="仿宋" w:hAnsi="仿宋" w:eastAsia="仿宋" w:cs="仿宋_GB2312"/>
          <w:sz w:val="32"/>
          <w:szCs w:val="32"/>
          <w:lang w:val="en-US" w:eastAsia="zh-CN"/>
        </w:rPr>
        <w:t>27.11</w:t>
      </w:r>
      <w:r>
        <w:rPr>
          <w:rFonts w:hint="eastAsia" w:ascii="仿宋" w:hAnsi="仿宋" w:eastAsia="仿宋" w:cs="仿宋_GB2312"/>
          <w:sz w:val="32"/>
          <w:szCs w:val="32"/>
          <w:lang w:val="en"/>
        </w:rPr>
        <w:t>万元，全年总支出</w:t>
      </w:r>
      <w:r>
        <w:rPr>
          <w:rFonts w:hint="eastAsia" w:ascii="仿宋" w:hAnsi="仿宋" w:eastAsia="仿宋" w:cs="仿宋_GB2312"/>
          <w:sz w:val="32"/>
          <w:szCs w:val="32"/>
          <w:lang w:val="en-US" w:eastAsia="zh-CN"/>
        </w:rPr>
        <w:t>293.77</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w:t>
      </w:r>
      <w:r>
        <w:rPr>
          <w:rFonts w:hint="eastAsia" w:ascii="仿宋" w:hAnsi="仿宋" w:eastAsia="仿宋" w:cs="仿宋_GB2312"/>
          <w:sz w:val="32"/>
          <w:szCs w:val="32"/>
          <w:lang w:val="en-US" w:eastAsia="zh-CN"/>
        </w:rPr>
        <w:t>242.69</w:t>
      </w:r>
      <w:r>
        <w:rPr>
          <w:rFonts w:hint="eastAsia" w:ascii="仿宋" w:hAnsi="仿宋" w:eastAsia="仿宋" w:cs="仿宋_GB2312"/>
          <w:sz w:val="32"/>
          <w:szCs w:val="32"/>
          <w:lang w:val="en"/>
        </w:rPr>
        <w:t>万元，社会保障和就业支出（基本养老保险）</w:t>
      </w:r>
      <w:r>
        <w:rPr>
          <w:rFonts w:hint="eastAsia" w:ascii="仿宋" w:hAnsi="仿宋" w:eastAsia="仿宋" w:cs="仿宋_GB2312"/>
          <w:sz w:val="32"/>
          <w:szCs w:val="32"/>
          <w:lang w:val="en-US" w:eastAsia="zh-CN"/>
        </w:rPr>
        <w:t>28.8</w:t>
      </w:r>
      <w:r>
        <w:rPr>
          <w:rFonts w:hint="eastAsia" w:ascii="仿宋" w:hAnsi="仿宋" w:eastAsia="仿宋" w:cs="仿宋_GB2312"/>
          <w:sz w:val="32"/>
          <w:szCs w:val="32"/>
          <w:lang w:val="en"/>
        </w:rPr>
        <w:t>万元，医疗卫生支出（基本医疗保险）</w:t>
      </w:r>
      <w:r>
        <w:rPr>
          <w:rFonts w:hint="eastAsia" w:ascii="仿宋" w:hAnsi="仿宋" w:eastAsia="仿宋" w:cs="仿宋_GB2312"/>
          <w:sz w:val="32"/>
          <w:szCs w:val="32"/>
          <w:lang w:val="en-US" w:eastAsia="zh-CN"/>
        </w:rPr>
        <w:t>7.8</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14.46</w:t>
      </w:r>
      <w:r>
        <w:rPr>
          <w:rFonts w:hint="eastAsia" w:ascii="仿宋" w:hAnsi="仿宋" w:eastAsia="仿宋" w:cs="仿宋_GB2312"/>
          <w:sz w:val="32"/>
          <w:szCs w:val="32"/>
          <w:lang w:val="en"/>
        </w:rPr>
        <w:t>万元。其中基本支出</w:t>
      </w:r>
      <w:r>
        <w:rPr>
          <w:rFonts w:hint="eastAsia" w:ascii="仿宋" w:hAnsi="仿宋" w:eastAsia="仿宋" w:cs="仿宋_GB2312"/>
          <w:sz w:val="32"/>
          <w:szCs w:val="32"/>
          <w:lang w:val="en-US" w:eastAsia="zh-CN"/>
        </w:rPr>
        <w:t>284.77</w:t>
      </w:r>
      <w:r>
        <w:rPr>
          <w:rFonts w:hint="eastAsia" w:ascii="仿宋" w:hAnsi="仿宋" w:eastAsia="仿宋" w:cs="仿宋_GB2312"/>
          <w:sz w:val="32"/>
          <w:szCs w:val="32"/>
          <w:lang w:val="en"/>
        </w:rPr>
        <w:t>万元，项目支出</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宝石镇第二小学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bookmarkEnd w:id="52"/>
    <w:p>
      <w:pPr>
        <w:spacing w:line="580" w:lineRule="exact"/>
        <w:ind w:firstLine="640" w:firstLineChars="200"/>
        <w:rPr>
          <w:rStyle w:val="24"/>
          <w:rFonts w:ascii="仿宋" w:hAnsi="仿宋" w:eastAsia="仿宋" w:cs="仿宋_GB2312"/>
          <w:b w:val="0"/>
          <w:bCs w:val="0"/>
          <w:kern w:val="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656D6"/>
    <w:multiLevelType w:val="singleLevel"/>
    <w:tmpl w:val="AB8656D6"/>
    <w:lvl w:ilvl="0" w:tentative="0">
      <w:start w:val="1"/>
      <w:numFmt w:val="decimal"/>
      <w:lvlText w:val="%1."/>
      <w:lvlJc w:val="left"/>
      <w:pPr>
        <w:tabs>
          <w:tab w:val="left" w:pos="312"/>
        </w:tabs>
      </w:p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6883F3F"/>
    <w:multiLevelType w:val="singleLevel"/>
    <w:tmpl w:val="16883F3F"/>
    <w:lvl w:ilvl="0" w:tentative="0">
      <w:start w:val="1"/>
      <w:numFmt w:val="chineseCounting"/>
      <w:suff w:val="nothing"/>
      <w:lvlText w:val="（%1）"/>
      <w:lvlJc w:val="left"/>
      <w:rPr>
        <w:rFonts w:hint="eastAsia"/>
      </w:r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1F05FED"/>
    <w:multiLevelType w:val="singleLevel"/>
    <w:tmpl w:val="51F05FED"/>
    <w:lvl w:ilvl="0" w:tentative="0">
      <w:start w:val="2"/>
      <w:numFmt w:val="chineseCounting"/>
      <w:suff w:val="nothing"/>
      <w:lvlText w:val="%1、"/>
      <w:lvlJc w:val="left"/>
      <w:rPr>
        <w:rFonts w:hint="eastAsia"/>
      </w:rPr>
    </w:lvl>
  </w:abstractNum>
  <w:num w:numId="1">
    <w:abstractNumId w:val="8"/>
  </w:num>
  <w:num w:numId="2">
    <w:abstractNumId w:val="5"/>
  </w:num>
  <w:num w:numId="3">
    <w:abstractNumId w:val="0"/>
  </w:num>
  <w:num w:numId="4">
    <w:abstractNumId w:val="2"/>
  </w:num>
  <w:num w:numId="5">
    <w:abstractNumId w:val="7"/>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ECC2768"/>
    <w:rsid w:val="10C055FF"/>
    <w:rsid w:val="126E78C9"/>
    <w:rsid w:val="12AA62DE"/>
    <w:rsid w:val="16BB723D"/>
    <w:rsid w:val="19691DF6"/>
    <w:rsid w:val="1C050F8F"/>
    <w:rsid w:val="1CE46AF2"/>
    <w:rsid w:val="1CFB48AE"/>
    <w:rsid w:val="21387DD8"/>
    <w:rsid w:val="240371BF"/>
    <w:rsid w:val="276C35A2"/>
    <w:rsid w:val="29FD04D3"/>
    <w:rsid w:val="2A0E002C"/>
    <w:rsid w:val="2D1A72A7"/>
    <w:rsid w:val="319F7F4E"/>
    <w:rsid w:val="3D736791"/>
    <w:rsid w:val="5426691D"/>
    <w:rsid w:val="56643481"/>
    <w:rsid w:val="67AF3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5" Type="http://schemas.microsoft.com/office/2011/relationships/chartColorStyle" Target="colors7.xml"/><Relationship Id="rId4" Type="http://schemas.microsoft.com/office/2011/relationships/chartStyle" Target="style7.xml"/><Relationship Id="rId3" Type="http://schemas.openxmlformats.org/officeDocument/2006/relationships/image" Target="../media/image1.png"/><Relationship Id="rId2" Type="http://schemas.openxmlformats.org/officeDocument/2006/relationships/themeOverride" Target="../theme/themeOverride4.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b="1">
                <a:solidFill>
                  <a:srgbClr val="FF0000"/>
                </a:solidFill>
              </a:rPr>
              <a:t>收入支出总计变动情况图</a:t>
            </a:r>
            <a:endParaRPr b="1">
              <a:solidFill>
                <a:srgbClr val="FF0000"/>
              </a:solidFill>
            </a:endParaRPr>
          </a:p>
        </c:rich>
      </c:tx>
      <c:layout>
        <c:manualLayout>
          <c:xMode val="edge"/>
          <c:yMode val="edge"/>
          <c:x val="0.327029370326217"/>
          <c:y val="0.0211831162717715"/>
        </c:manualLayout>
      </c:layout>
      <c:overlay val="0"/>
      <c:spPr>
        <a:noFill/>
        <a:ln>
          <a:noFill/>
        </a:ln>
        <a:effectLst/>
      </c:spPr>
    </c:title>
    <c:autoTitleDeleted val="0"/>
    <c:plotArea>
      <c:layout>
        <c:manualLayout>
          <c:layoutTarget val="inner"/>
          <c:xMode val="edge"/>
          <c:yMode val="edge"/>
          <c:x val="0.0705104584371952"/>
          <c:y val="0.087870704534756"/>
          <c:w val="0.904020808496803"/>
          <c:h val="0.725466813117841"/>
        </c:manualLayout>
      </c:layout>
      <c:barChart>
        <c:barDir val="col"/>
        <c:grouping val="clustered"/>
        <c:varyColors val="0"/>
        <c:ser>
          <c:idx val="0"/>
          <c:order val="0"/>
          <c:tx>
            <c:strRef>
              <c:f>Sheet1!$B$1</c:f>
              <c:strCache>
                <c:ptCount val="1"/>
                <c:pt idx="0">
                  <c:v>万元</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FF0000"/>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242.02</c:v>
                </c:pt>
                <c:pt idx="1" c:formatCode="#,##0.00">
                  <c:v>266.66</c:v>
                </c:pt>
                <c:pt idx="2">
                  <c:v>214.91</c:v>
                </c:pt>
                <c:pt idx="3">
                  <c:v>293.77</c:v>
                </c:pt>
              </c:numCache>
            </c:numRef>
          </c:val>
        </c:ser>
        <c:ser>
          <c:idx val="1"/>
          <c:order val="1"/>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
        <c:axId val="435323263"/>
        <c:axId val="971981176"/>
      </c:barChart>
      <c:catAx>
        <c:axId val="43532326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971981176"/>
        <c:crosses val="autoZero"/>
        <c:auto val="1"/>
        <c:lblAlgn val="ctr"/>
        <c:lblOffset val="100"/>
        <c:noMultiLvlLbl val="0"/>
      </c:catAx>
      <c:valAx>
        <c:axId val="971981176"/>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532326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万元</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284.77</c:v>
                </c:pt>
                <c:pt idx="1">
                  <c:v>9</c:v>
                </c:pt>
              </c:numCache>
            </c:numRef>
          </c:val>
        </c:ser>
        <c:ser>
          <c:idx val="1"/>
          <c:order val="1"/>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52625"/>
          <c:y val="0.4355"/>
          <c:w val="0.132375"/>
          <c:h val="0.194333333333333"/>
        </c:manualLayout>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收入决算结构图</a:t>
            </a:r>
          </a:p>
        </c:rich>
      </c:tx>
      <c:layout>
        <c:manualLayout>
          <c:xMode val="edge"/>
          <c:yMode val="edge"/>
          <c:x val="0.350875"/>
          <c:y val="0.04"/>
        </c:manualLayout>
      </c:layout>
      <c:overlay val="0"/>
      <c:spPr>
        <a:noFill/>
        <a:ln>
          <a:noFill/>
        </a:ln>
        <a:effectLst/>
      </c:spPr>
    </c:title>
    <c:autoTitleDeleted val="0"/>
    <c:plotArea>
      <c:layout/>
      <c:pieChart>
        <c:varyColors val="1"/>
        <c:ser>
          <c:idx val="0"/>
          <c:order val="0"/>
          <c:tx>
            <c:strRef>
              <c:f>Sheet1!$B$1</c:f>
              <c:strCache>
                <c:ptCount val="1"/>
                <c:pt idx="0">
                  <c:v>万元</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Lbls>
            <c:delete val="1"/>
          </c:dLbls>
          <c:cat>
            <c:strRef>
              <c:f>Sheet1!$A$2:$A$5</c:f>
              <c:strCache>
                <c:ptCount val="4"/>
                <c:pt idx="0">
                  <c:v>一般公共财政预算拨款收入</c:v>
                </c:pt>
              </c:strCache>
            </c:strRef>
          </c:cat>
          <c:val>
            <c:numRef>
              <c:f>Sheet1!$B$2:$B$5</c:f>
              <c:numCache>
                <c:formatCode>General</c:formatCode>
                <c:ptCount val="4"/>
                <c:pt idx="0">
                  <c:v>266.66</c:v>
                </c:pt>
              </c:numCache>
            </c:numRef>
          </c:val>
        </c:ser>
        <c:ser>
          <c:idx val="1"/>
          <c:order val="1"/>
          <c:tx>
            <c:strRef>
              <c:f>Sheet1!#REF!</c:f>
              <c:strCache>
                <c:ptCount val="1"/>
                <c:pt idx="0">
                  <c:v/>
                </c:pt>
              </c:strCache>
            </c:strRef>
          </c:tx>
          <c:spPr/>
          <c:explosion val="0"/>
          <c:dPt>
            <c:idx val="0"/>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一般公共财政预算拨款收入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一般公共财政预算拨款收入</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b="1">
                <a:solidFill>
                  <a:srgbClr val="FF0000"/>
                </a:solidFill>
              </a:rPr>
              <a:t>收入支出总计变动情况图</a:t>
            </a:r>
            <a:endParaRPr b="1">
              <a:solidFill>
                <a:srgbClr val="FF0000"/>
              </a:solidFill>
            </a:endParaRPr>
          </a:p>
        </c:rich>
      </c:tx>
      <c:layout>
        <c:manualLayout>
          <c:xMode val="edge"/>
          <c:yMode val="edge"/>
          <c:x val="0.3513264893821"/>
          <c:y val="0.0614989234278273"/>
        </c:manualLayout>
      </c:layout>
      <c:overlay val="0"/>
      <c:spPr>
        <a:noFill/>
        <a:ln>
          <a:noFill/>
        </a:ln>
        <a:effectLst/>
      </c:spPr>
    </c:title>
    <c:autoTitleDeleted val="0"/>
    <c:plotArea>
      <c:layout>
        <c:manualLayout>
          <c:layoutTarget val="inner"/>
          <c:xMode val="edge"/>
          <c:yMode val="edge"/>
          <c:x val="0.0705104584371952"/>
          <c:y val="0.087870704534756"/>
          <c:w val="0.904020808496803"/>
          <c:h val="0.725466813117841"/>
        </c:manualLayout>
      </c:layout>
      <c:barChart>
        <c:barDir val="col"/>
        <c:grouping val="clustered"/>
        <c:varyColors val="0"/>
        <c:ser>
          <c:idx val="0"/>
          <c:order val="0"/>
          <c:tx>
            <c:strRef>
              <c:f>Sheet1!$B$1</c:f>
              <c:strCache>
                <c:ptCount val="1"/>
                <c:pt idx="0">
                  <c:v>万元</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FF0000"/>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242.02</c:v>
                </c:pt>
                <c:pt idx="1" c:formatCode="#,##0.00">
                  <c:v>266.66</c:v>
                </c:pt>
                <c:pt idx="2">
                  <c:v>214.91</c:v>
                </c:pt>
                <c:pt idx="3">
                  <c:v>293.77</c:v>
                </c:pt>
              </c:numCache>
            </c:numRef>
          </c:val>
        </c:ser>
        <c:ser>
          <c:idx val="1"/>
          <c:order val="1"/>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
        <c:axId val="435323263"/>
        <c:axId val="971981176"/>
      </c:barChart>
      <c:catAx>
        <c:axId val="43532326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971981176"/>
        <c:crosses val="autoZero"/>
        <c:auto val="1"/>
        <c:lblAlgn val="ctr"/>
        <c:lblOffset val="100"/>
        <c:noMultiLvlLbl val="0"/>
      </c:catAx>
      <c:valAx>
        <c:axId val="971981176"/>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532326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0231666666666667"/>
          <c:w val="0.8938"/>
          <c:h val="0.807233333333333"/>
        </c:manualLayout>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delete val="1"/>
          </c:dLbls>
          <c:cat>
            <c:numRef>
              <c:f>Sheet1!$A$2:$A$3</c:f>
              <c:numCache>
                <c:formatCode>General</c:formatCode>
                <c:ptCount val="2"/>
                <c:pt idx="0">
                  <c:v>2017</c:v>
                </c:pt>
                <c:pt idx="1">
                  <c:v>2018</c:v>
                </c:pt>
              </c:numCache>
            </c:numRef>
          </c:cat>
          <c:val>
            <c:numRef>
              <c:f>Sheet1!$B$2:$B$3</c:f>
              <c:numCache>
                <c:formatCode>General</c:formatCode>
                <c:ptCount val="2"/>
                <c:pt idx="0">
                  <c:v>214.91</c:v>
                </c:pt>
                <c:pt idx="1">
                  <c:v>293.77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6482446"/>
        <c:axId val="54447874"/>
      </c:barChart>
      <c:catAx>
        <c:axId val="7364824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7874"/>
        <c:crosses val="autoZero"/>
        <c:auto val="1"/>
        <c:lblAlgn val="ctr"/>
        <c:lblOffset val="100"/>
        <c:noMultiLvlLbl val="0"/>
      </c:catAx>
      <c:valAx>
        <c:axId val="54447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48244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242.69</c:v>
                </c:pt>
                <c:pt idx="1">
                  <c:v>28.8</c:v>
                </c:pt>
                <c:pt idx="2">
                  <c:v>7.8</c:v>
                </c:pt>
                <c:pt idx="3">
                  <c:v>14.46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因公出国（境）费支出决算</c:v>
                </c:pt>
                <c:pt idx="1">
                  <c:v>公务用车购置及运行维护费支出</c:v>
                </c:pt>
                <c:pt idx="2">
                  <c:v>公务接待费支出</c:v>
                </c:pt>
              </c:strCache>
            </c:strRef>
          </c:cat>
          <c:val>
            <c:numRef>
              <c:f>Sheet1!$B$2:$B$5</c:f>
              <c:numCache>
                <c:formatCode>General</c:formatCode>
                <c:ptCount val="4"/>
                <c:pt idx="0">
                  <c:v>0</c:v>
                </c:pt>
                <c:pt idx="1">
                  <c:v>0</c:v>
                </c:pt>
                <c:pt idx="2">
                  <c:v>0.36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34</TotalTime>
  <ScaleCrop>false</ScaleCrop>
  <LinksUpToDate>false</LinksUpToDate>
  <CharactersWithSpaces>9641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梦</cp:lastModifiedBy>
  <cp:lastPrinted>2019-08-01T00:48:00Z</cp:lastPrinted>
  <dcterms:modified xsi:type="dcterms:W3CDTF">2019-09-24T04:36:31Z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