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78441"/>
      <w:bookmarkStart w:id="4" w:name="_Toc15396475"/>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598"/>
      <w:bookmarkStart w:id="8" w:name="_Toc15377194"/>
      <w:bookmarkStart w:id="9" w:name="_Toc15396476"/>
      <w:bookmarkStart w:id="10" w:name="_Toc15306268"/>
      <w:bookmarkStart w:id="11" w:name="_Toc15377426"/>
      <w:r>
        <w:rPr>
          <w:rFonts w:hint="eastAsia" w:ascii="方正小标宋简体" w:hAnsi="宋体" w:eastAsia="方正小标宋简体"/>
          <w:color w:val="000000"/>
          <w:sz w:val="72"/>
          <w:szCs w:val="72"/>
        </w:rPr>
        <w:t>四川省达州市开江县</w:t>
      </w:r>
      <w:r>
        <w:rPr>
          <w:rFonts w:hint="eastAsia" w:ascii="方正小标宋简体" w:hAnsi="宋体" w:eastAsia="方正小标宋简体"/>
          <w:color w:val="000000"/>
          <w:sz w:val="72"/>
          <w:szCs w:val="72"/>
          <w:lang w:eastAsia="zh-CN"/>
        </w:rPr>
        <w:t>八庙镇</w:t>
      </w:r>
      <w:r>
        <w:rPr>
          <w:rFonts w:hint="eastAsia" w:ascii="方正小标宋简体" w:hAnsi="宋体" w:eastAsia="方正小标宋简体"/>
          <w:color w:val="000000"/>
          <w:sz w:val="72"/>
          <w:szCs w:val="72"/>
        </w:rPr>
        <w:t>中心小学部门决算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公开时间：2019年9月20日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12</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19</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bookmarkEnd w:id="16"/>
    <w:bookmarkEnd w:id="17"/>
    <w:p>
      <w:pPr>
        <w:pStyle w:val="5"/>
        <w:adjustRightInd w:val="0"/>
        <w:snapToGrid w:val="0"/>
        <w:spacing w:before="93" w:line="600" w:lineRule="exact"/>
        <w:ind w:firstLine="672" w:firstLineChars="210"/>
        <w:rPr>
          <w:bCs/>
          <w:color w:val="000000"/>
          <w:sz w:val="32"/>
          <w:szCs w:val="32"/>
        </w:rPr>
      </w:pPr>
      <w:bookmarkStart w:id="18" w:name="_Toc15377199"/>
      <w:bookmarkStart w:id="19" w:name="_Toc15378446"/>
      <w:r>
        <w:rPr>
          <w:rFonts w:hint="eastAsia"/>
          <w:bCs/>
          <w:color w:val="000000"/>
          <w:sz w:val="32"/>
          <w:szCs w:val="32"/>
        </w:rPr>
        <w:t>开江县</w:t>
      </w:r>
      <w:r>
        <w:rPr>
          <w:rFonts w:hint="eastAsia"/>
          <w:bCs/>
          <w:color w:val="000000"/>
          <w:sz w:val="32"/>
          <w:szCs w:val="32"/>
          <w:lang w:eastAsia="zh-CN"/>
        </w:rPr>
        <w:t>八庙镇</w:t>
      </w:r>
      <w:r>
        <w:rPr>
          <w:rFonts w:hint="eastAsia"/>
          <w:bCs/>
          <w:color w:val="000000"/>
          <w:sz w:val="32"/>
          <w:szCs w:val="32"/>
        </w:rPr>
        <w:t>中心小学是一所完全农村小学，主要实施小学义务教育，促进基础教育发展，进行小学学历教育及相关社会服务。</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5"/>
        <w:adjustRightInd w:val="0"/>
        <w:snapToGrid w:val="0"/>
        <w:spacing w:before="93" w:line="600" w:lineRule="exact"/>
        <w:ind w:firstLine="672" w:firstLineChars="210"/>
        <w:rPr>
          <w:bCs/>
          <w:color w:val="000000"/>
          <w:sz w:val="32"/>
          <w:szCs w:val="32"/>
        </w:rPr>
      </w:pPr>
      <w:r>
        <w:rPr>
          <w:rFonts w:hint="eastAsia"/>
          <w:bCs/>
          <w:color w:val="000000"/>
          <w:sz w:val="32"/>
          <w:szCs w:val="32"/>
        </w:rPr>
        <w:t>学校全面贯彻党的教育方针政策，加强教师队伍建设，加强党的建设，加强义务教育均衡发展建设，加强学生素质能力的培养，提升教学质量，办人民满意教育。</w:t>
      </w:r>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Style w:val="5"/>
        <w:adjustRightInd w:val="0"/>
        <w:snapToGrid w:val="0"/>
        <w:spacing w:before="93" w:line="600" w:lineRule="exact"/>
        <w:ind w:firstLine="672" w:firstLineChars="210"/>
        <w:rPr>
          <w:color w:val="000000"/>
          <w:sz w:val="32"/>
          <w:szCs w:val="32"/>
        </w:rPr>
      </w:pPr>
      <w:r>
        <w:rPr>
          <w:rFonts w:hint="eastAsia" w:ascii="方正仿宋简体" w:hAnsi="方正仿宋简体" w:eastAsia="方正仿宋简体" w:cs="方正仿宋简体"/>
          <w:sz w:val="32"/>
          <w:szCs w:val="32"/>
        </w:rPr>
        <w:t>开江县</w:t>
      </w:r>
      <w:r>
        <w:rPr>
          <w:rFonts w:hint="eastAsia" w:ascii="方正仿宋简体" w:hAnsi="方正仿宋简体" w:eastAsia="方正仿宋简体" w:cs="方正仿宋简体"/>
          <w:sz w:val="32"/>
          <w:szCs w:val="32"/>
          <w:lang w:eastAsia="zh-CN"/>
        </w:rPr>
        <w:t>八庙镇</w:t>
      </w:r>
      <w:r>
        <w:rPr>
          <w:rFonts w:hint="eastAsia" w:ascii="方正仿宋简体" w:hAnsi="方正仿宋简体" w:eastAsia="方正仿宋简体" w:cs="方正仿宋简体"/>
          <w:sz w:val="32"/>
          <w:szCs w:val="32"/>
        </w:rPr>
        <w:t>中心小学具有独立编制和独立核算的机构1个。小学教学班</w:t>
      </w:r>
      <w:r>
        <w:rPr>
          <w:rFonts w:hint="eastAsia" w:ascii="方正仿宋简体" w:hAnsi="方正仿宋简体" w:eastAsia="方正仿宋简体" w:cs="方正仿宋简体"/>
          <w:sz w:val="32"/>
          <w:szCs w:val="32"/>
          <w:lang w:val="en-US" w:eastAsia="zh-CN"/>
        </w:rPr>
        <w:t>18</w:t>
      </w:r>
      <w:r>
        <w:rPr>
          <w:rFonts w:hint="eastAsia" w:ascii="方正仿宋简体" w:hAnsi="方正仿宋简体" w:eastAsia="方正仿宋简体" w:cs="方正仿宋简体"/>
          <w:sz w:val="32"/>
          <w:szCs w:val="32"/>
        </w:rPr>
        <w:t>个，学生数</w:t>
      </w:r>
      <w:r>
        <w:rPr>
          <w:rFonts w:hint="eastAsia" w:ascii="方正仿宋简体" w:hAnsi="方正仿宋简体" w:eastAsia="方正仿宋简体" w:cs="方正仿宋简体"/>
          <w:sz w:val="32"/>
          <w:szCs w:val="32"/>
          <w:lang w:val="en-US" w:eastAsia="zh-CN"/>
        </w:rPr>
        <w:t>899</w:t>
      </w:r>
      <w:r>
        <w:rPr>
          <w:rFonts w:hint="eastAsia" w:ascii="方正仿宋简体" w:hAnsi="方正仿宋简体" w:eastAsia="方正仿宋简体" w:cs="方正仿宋简体"/>
          <w:sz w:val="32"/>
          <w:szCs w:val="32"/>
        </w:rPr>
        <w:t>人，定编教职工</w:t>
      </w:r>
      <w:r>
        <w:rPr>
          <w:rFonts w:hint="eastAsia" w:ascii="方正仿宋简体" w:hAnsi="方正仿宋简体" w:eastAsia="方正仿宋简体" w:cs="方正仿宋简体"/>
          <w:sz w:val="32"/>
          <w:szCs w:val="32"/>
          <w:lang w:val="en-US" w:eastAsia="zh-CN"/>
        </w:rPr>
        <w:t>58</w:t>
      </w:r>
      <w:r>
        <w:rPr>
          <w:rFonts w:hint="eastAsia" w:ascii="方正仿宋简体" w:hAnsi="方正仿宋简体" w:eastAsia="方正仿宋简体" w:cs="方正仿宋简体"/>
          <w:sz w:val="32"/>
          <w:szCs w:val="32"/>
        </w:rPr>
        <w:t>人。</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2018年度收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总计1070.23万元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与2017年相比，</w:t>
      </w:r>
      <w:r>
        <w:rPr>
          <w:rFonts w:hint="eastAsia" w:ascii="仿宋" w:hAnsi="仿宋" w:eastAsia="仿宋"/>
          <w:color w:val="000000"/>
          <w:sz w:val="32"/>
          <w:szCs w:val="32"/>
          <w:lang w:eastAsia="zh-CN"/>
        </w:rPr>
        <w:t>收入</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141.81</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12.57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支出721.24万元，</w:t>
      </w:r>
      <w:r>
        <w:rPr>
          <w:rFonts w:hint="eastAsia" w:ascii="仿宋" w:hAnsi="仿宋" w:eastAsia="仿宋"/>
          <w:color w:val="000000"/>
          <w:sz w:val="32"/>
          <w:szCs w:val="32"/>
        </w:rPr>
        <w:t>与2017年相比，</w:t>
      </w:r>
      <w:r>
        <w:rPr>
          <w:rFonts w:hint="eastAsia" w:ascii="仿宋" w:hAnsi="仿宋" w:eastAsia="仿宋"/>
          <w:color w:val="000000"/>
          <w:sz w:val="32"/>
          <w:szCs w:val="32"/>
          <w:lang w:eastAsia="zh-CN"/>
        </w:rPr>
        <w:t>支出减少</w:t>
      </w:r>
      <w:r>
        <w:rPr>
          <w:rFonts w:hint="eastAsia" w:ascii="仿宋" w:hAnsi="仿宋" w:eastAsia="仿宋"/>
          <w:color w:val="000000"/>
          <w:sz w:val="32"/>
          <w:szCs w:val="32"/>
          <w:lang w:val="en-US" w:eastAsia="zh-CN"/>
        </w:rPr>
        <w:t>78.63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9.8</w:t>
      </w:r>
      <w:r>
        <w:rPr>
          <w:rFonts w:ascii="仿宋" w:hAnsi="仿宋" w:eastAsia="仿宋"/>
          <w:color w:val="000000"/>
          <w:sz w:val="32"/>
          <w:szCs w:val="32"/>
        </w:rPr>
        <w:t>%</w:t>
      </w:r>
      <w:r>
        <w:rPr>
          <w:rFonts w:hint="eastAsia" w:ascii="仿宋" w:hAnsi="仿宋" w:eastAsia="仿宋"/>
          <w:color w:val="000000"/>
          <w:sz w:val="32"/>
          <w:szCs w:val="32"/>
        </w:rPr>
        <w:t>。主要变动原因是人员</w:t>
      </w:r>
      <w:r>
        <w:rPr>
          <w:rFonts w:hint="eastAsia" w:ascii="仿宋" w:hAnsi="仿宋" w:eastAsia="仿宋"/>
          <w:color w:val="000000"/>
          <w:sz w:val="32"/>
          <w:szCs w:val="32"/>
          <w:lang w:eastAsia="zh-CN"/>
        </w:rPr>
        <w:t>大型修缮及人员减少</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560" w:firstLineChars="200"/>
        <w:jc w:val="left"/>
        <w:rPr>
          <w:rFonts w:ascii="仿宋_GB2312" w:eastAsia="仿宋_GB2312"/>
          <w:color w:val="000000"/>
          <w:sz w:val="32"/>
          <w:szCs w:val="32"/>
        </w:rPr>
      </w:pPr>
      <w:r>
        <w:rPr>
          <w:rFonts w:hint="eastAsia" w:ascii="宋体" w:hAnsi="宋体" w:eastAsia="宋体" w:cs="宋体"/>
          <w:sz w:val="28"/>
          <w:szCs w:val="28"/>
          <w:lang w:eastAsia="zh-CN"/>
        </w:rPr>
        <w:drawing>
          <wp:anchor distT="0" distB="0" distL="114300" distR="114300" simplePos="0" relativeHeight="251672576" behindDoc="0" locked="0" layoutInCell="1" allowOverlap="1">
            <wp:simplePos x="0" y="0"/>
            <wp:positionH relativeFrom="column">
              <wp:posOffset>9525</wp:posOffset>
            </wp:positionH>
            <wp:positionV relativeFrom="paragraph">
              <wp:posOffset>77470</wp:posOffset>
            </wp:positionV>
            <wp:extent cx="4765675" cy="2839085"/>
            <wp:effectExtent l="5080" t="4445" r="10795" b="1397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8年本年收入合计1070.23万元，其中：一般公共预算财政拨款收入1070.23万元，占100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560" w:firstLineChars="200"/>
        <w:rPr>
          <w:rFonts w:ascii="仿宋_GB2312" w:eastAsia="仿宋_GB2312"/>
          <w:color w:val="FF0000"/>
          <w:sz w:val="32"/>
          <w:szCs w:val="32"/>
        </w:rPr>
      </w:pPr>
      <w:r>
        <w:rPr>
          <w:rFonts w:hint="eastAsia" w:ascii="宋体" w:hAnsi="宋体" w:eastAsia="宋体" w:cs="宋体"/>
          <w:sz w:val="28"/>
          <w:szCs w:val="28"/>
        </w:rPr>
        <w:drawing>
          <wp:anchor distT="0" distB="0" distL="114300" distR="114300" simplePos="0" relativeHeight="251674624" behindDoc="0" locked="0" layoutInCell="1" allowOverlap="1">
            <wp:simplePos x="0" y="0"/>
            <wp:positionH relativeFrom="column">
              <wp:posOffset>161925</wp:posOffset>
            </wp:positionH>
            <wp:positionV relativeFrom="paragraph">
              <wp:posOffset>209550</wp:posOffset>
            </wp:positionV>
            <wp:extent cx="4267835" cy="2163445"/>
            <wp:effectExtent l="4445" t="5080" r="13970" b="2222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8年本年支出合计721.24万元，其中：基本支出715.24万元，占9</w:t>
      </w:r>
      <w:r>
        <w:rPr>
          <w:rFonts w:hint="eastAsia" w:ascii="仿宋" w:hAnsi="仿宋" w:eastAsia="仿宋"/>
          <w:color w:val="000000"/>
          <w:sz w:val="32"/>
          <w:szCs w:val="32"/>
          <w:lang w:val="en-US" w:eastAsia="zh-CN"/>
        </w:rPr>
        <w:t>9.17</w:t>
      </w:r>
      <w:r>
        <w:rPr>
          <w:rFonts w:ascii="仿宋" w:hAnsi="仿宋" w:eastAsia="仿宋"/>
          <w:color w:val="000000"/>
          <w:sz w:val="32"/>
          <w:szCs w:val="32"/>
        </w:rPr>
        <w:t>%</w:t>
      </w:r>
      <w:r>
        <w:rPr>
          <w:rFonts w:hint="eastAsia" w:ascii="仿宋" w:hAnsi="仿宋" w:eastAsia="仿宋"/>
          <w:color w:val="000000"/>
          <w:sz w:val="32"/>
          <w:szCs w:val="32"/>
        </w:rPr>
        <w:t>；项目支出6万元，占</w:t>
      </w:r>
      <w:r>
        <w:rPr>
          <w:rFonts w:hint="eastAsia" w:ascii="仿宋" w:hAnsi="仿宋" w:eastAsia="仿宋"/>
          <w:color w:val="000000"/>
          <w:sz w:val="32"/>
          <w:szCs w:val="32"/>
          <w:lang w:val="en-US" w:eastAsia="zh-CN"/>
        </w:rPr>
        <w:t>0.83</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560" w:firstLineChars="200"/>
        <w:rPr>
          <w:rFonts w:ascii="仿宋_GB2312" w:eastAsia="仿宋_GB2312"/>
          <w:color w:val="FF0000"/>
          <w:sz w:val="32"/>
          <w:szCs w:val="32"/>
        </w:rPr>
      </w:pPr>
      <w:r>
        <w:rPr>
          <w:rFonts w:hint="eastAsia" w:ascii="宋体" w:hAnsi="宋体" w:eastAsia="宋体" w:cs="宋体"/>
          <w:color w:val="000000"/>
          <w:sz w:val="28"/>
          <w:szCs w:val="28"/>
          <w:lang w:val="en-US" w:eastAsia="zh-CN"/>
        </w:rPr>
        <w:drawing>
          <wp:anchor distT="0" distB="0" distL="114300" distR="114300" simplePos="0" relativeHeight="251678720" behindDoc="0" locked="0" layoutInCell="1" allowOverlap="1">
            <wp:simplePos x="0" y="0"/>
            <wp:positionH relativeFrom="column">
              <wp:posOffset>361950</wp:posOffset>
            </wp:positionH>
            <wp:positionV relativeFrom="paragraph">
              <wp:posOffset>66675</wp:posOffset>
            </wp:positionV>
            <wp:extent cx="4234815" cy="2515235"/>
            <wp:effectExtent l="4445" t="4445" r="8890" b="1397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rPr>
          <w:rFonts w:ascii="仿宋_GB2312" w:eastAsia="仿宋_GB2312"/>
          <w:color w:val="FF0000"/>
          <w:sz w:val="32"/>
          <w:szCs w:val="32"/>
        </w:rPr>
      </w:pPr>
    </w:p>
    <w:p>
      <w:pPr>
        <w:numPr>
          <w:ilvl w:val="0"/>
          <w:numId w:val="1"/>
        </w:numPr>
        <w:spacing w:line="600" w:lineRule="exact"/>
        <w:ind w:left="1360" w:leftChars="0" w:hanging="720" w:firstLineChars="0"/>
        <w:outlineLvl w:val="1"/>
        <w:rPr>
          <w:rStyle w:val="25"/>
          <w:rFonts w:hint="eastAsia" w:ascii="黑体" w:hAnsi="黑体" w:eastAsia="黑体"/>
          <w:b w:val="0"/>
        </w:rPr>
      </w:pPr>
      <w:bookmarkStart w:id="30" w:name="_Toc15396606"/>
      <w:bookmarkStart w:id="31" w:name="_Toc15377208"/>
      <w:r>
        <w:rPr>
          <w:rFonts w:hint="eastAsia" w:ascii="黑体" w:hAnsi="黑体" w:eastAsia="黑体"/>
          <w:color w:val="000000"/>
          <w:sz w:val="32"/>
          <w:szCs w:val="32"/>
        </w:rPr>
        <w:t>财</w:t>
      </w:r>
      <w:r>
        <w:rPr>
          <w:rStyle w:val="25"/>
          <w:rFonts w:hint="eastAsia" w:ascii="黑体" w:hAnsi="黑体" w:eastAsia="黑体"/>
          <w:b w:val="0"/>
        </w:rPr>
        <w:t>政拨款收入支出决算总体情况说明</w:t>
      </w:r>
      <w:bookmarkEnd w:id="30"/>
      <w:bookmarkEnd w:id="31"/>
    </w:p>
    <w:p>
      <w:pPr>
        <w:numPr>
          <w:ilvl w:val="0"/>
          <w:numId w:val="0"/>
        </w:numPr>
        <w:spacing w:line="600" w:lineRule="exact"/>
        <w:ind w:left="640" w:leftChars="0" w:firstLine="640" w:firstLineChars="200"/>
        <w:outlineLvl w:val="1"/>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1070.23万元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与2017年相比，</w:t>
      </w:r>
      <w:r>
        <w:rPr>
          <w:rFonts w:hint="eastAsia" w:ascii="仿宋" w:hAnsi="仿宋" w:eastAsia="仿宋"/>
          <w:color w:val="000000"/>
          <w:sz w:val="32"/>
          <w:szCs w:val="32"/>
          <w:lang w:eastAsia="zh-CN"/>
        </w:rPr>
        <w:t>收入</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141.81</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12.57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支出721.24万元，</w:t>
      </w:r>
      <w:r>
        <w:rPr>
          <w:rFonts w:hint="eastAsia" w:ascii="仿宋" w:hAnsi="仿宋" w:eastAsia="仿宋"/>
          <w:color w:val="000000"/>
          <w:sz w:val="32"/>
          <w:szCs w:val="32"/>
        </w:rPr>
        <w:t>与2017年相比，</w:t>
      </w:r>
      <w:r>
        <w:rPr>
          <w:rFonts w:hint="eastAsia" w:ascii="仿宋" w:hAnsi="仿宋" w:eastAsia="仿宋"/>
          <w:color w:val="000000"/>
          <w:sz w:val="32"/>
          <w:szCs w:val="32"/>
          <w:lang w:eastAsia="zh-CN"/>
        </w:rPr>
        <w:t>支出减少</w:t>
      </w:r>
      <w:r>
        <w:rPr>
          <w:rFonts w:hint="eastAsia" w:ascii="仿宋" w:hAnsi="仿宋" w:eastAsia="仿宋"/>
          <w:color w:val="000000"/>
          <w:sz w:val="32"/>
          <w:szCs w:val="32"/>
          <w:lang w:val="en-US" w:eastAsia="zh-CN"/>
        </w:rPr>
        <w:t>78.63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9.8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562" w:firstLineChars="200"/>
        <w:rPr>
          <w:rFonts w:ascii="仿宋" w:hAnsi="仿宋" w:eastAsia="仿宋"/>
          <w:color w:val="000000" w:themeColor="text1"/>
          <w:sz w:val="32"/>
          <w:szCs w:val="32"/>
          <w14:textFill>
            <w14:solidFill>
              <w14:schemeClr w14:val="tx1"/>
            </w14:solidFill>
          </w14:textFill>
        </w:rPr>
      </w:pPr>
      <w:r>
        <w:rPr>
          <w:rFonts w:hint="eastAsia" w:ascii="宋体" w:hAnsi="宋体" w:eastAsia="宋体" w:cs="宋体"/>
          <w:b/>
          <w:color w:val="000000"/>
          <w:sz w:val="28"/>
          <w:szCs w:val="28"/>
          <w:lang w:eastAsia="zh-CN"/>
        </w:rPr>
        <w:drawing>
          <wp:anchor distT="0" distB="0" distL="114300" distR="114300" simplePos="0" relativeHeight="251681792" behindDoc="0" locked="0" layoutInCell="1" allowOverlap="1">
            <wp:simplePos x="0" y="0"/>
            <wp:positionH relativeFrom="column">
              <wp:posOffset>180975</wp:posOffset>
            </wp:positionH>
            <wp:positionV relativeFrom="paragraph">
              <wp:posOffset>371475</wp:posOffset>
            </wp:positionV>
            <wp:extent cx="4585335" cy="2810510"/>
            <wp:effectExtent l="4445" t="4445" r="20320" b="2349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8年一般公共预算财政拨款支出721.24万元，占本年支出合计的100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w:t>
      </w:r>
      <w:r>
        <w:rPr>
          <w:rFonts w:hint="eastAsia" w:ascii="仿宋" w:hAnsi="仿宋" w:eastAsia="仿宋"/>
          <w:color w:val="000000"/>
          <w:sz w:val="32"/>
          <w:szCs w:val="32"/>
          <w:lang w:eastAsia="zh-CN"/>
        </w:rPr>
        <w:t>支出减少</w:t>
      </w:r>
      <w:r>
        <w:rPr>
          <w:rFonts w:hint="eastAsia" w:ascii="仿宋" w:hAnsi="仿宋" w:eastAsia="仿宋"/>
          <w:color w:val="000000"/>
          <w:sz w:val="32"/>
          <w:szCs w:val="32"/>
          <w:lang w:val="en-US" w:eastAsia="zh-CN"/>
        </w:rPr>
        <w:t>78.63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9.8</w:t>
      </w:r>
      <w:r>
        <w:rPr>
          <w:rFonts w:ascii="仿宋" w:hAnsi="仿宋" w:eastAsia="仿宋"/>
          <w:color w:val="000000"/>
          <w:sz w:val="32"/>
          <w:szCs w:val="32"/>
        </w:rPr>
        <w:t>%</w:t>
      </w:r>
      <w:r>
        <w:rPr>
          <w:rFonts w:hint="eastAsia" w:ascii="仿宋" w:hAnsi="仿宋" w:eastAsia="仿宋"/>
          <w:color w:val="000000"/>
          <w:sz w:val="32"/>
          <w:szCs w:val="32"/>
        </w:rPr>
        <w:t>。主要变动原因是人员</w:t>
      </w:r>
      <w:r>
        <w:rPr>
          <w:rFonts w:hint="eastAsia" w:ascii="仿宋" w:hAnsi="仿宋" w:eastAsia="仿宋"/>
          <w:color w:val="000000"/>
          <w:sz w:val="32"/>
          <w:szCs w:val="32"/>
          <w:lang w:eastAsia="zh-CN"/>
        </w:rPr>
        <w:t>大型修缮及人员减少</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560" w:firstLineChars="200"/>
        <w:rPr>
          <w:rFonts w:ascii="仿宋" w:hAnsi="仿宋" w:eastAsia="仿宋"/>
          <w:color w:val="000000" w:themeColor="text1"/>
          <w:sz w:val="32"/>
          <w:szCs w:val="32"/>
          <w14:textFill>
            <w14:solidFill>
              <w14:schemeClr w14:val="tx1"/>
            </w14:solidFill>
          </w14:textFill>
        </w:rPr>
      </w:pPr>
      <w:r>
        <w:rPr>
          <w:rFonts w:hint="eastAsia" w:ascii="宋体" w:hAnsi="宋体" w:eastAsia="宋体" w:cs="宋体"/>
          <w:sz w:val="28"/>
          <w:szCs w:val="28"/>
          <w:lang w:eastAsia="zh-CN"/>
        </w:rPr>
        <w:drawing>
          <wp:anchor distT="0" distB="0" distL="114300" distR="114300" simplePos="0" relativeHeight="251686912" behindDoc="0" locked="0" layoutInCell="1" allowOverlap="1">
            <wp:simplePos x="0" y="0"/>
            <wp:positionH relativeFrom="column">
              <wp:posOffset>438150</wp:posOffset>
            </wp:positionH>
            <wp:positionV relativeFrom="paragraph">
              <wp:posOffset>5715</wp:posOffset>
            </wp:positionV>
            <wp:extent cx="4413885" cy="2724785"/>
            <wp:effectExtent l="4445" t="4445" r="20320" b="1397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政拨款支出721.24万元，主要用于以下方面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支出0万元，占0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14:textFill>
            <w14:solidFill>
              <w14:schemeClr w14:val="tx1"/>
            </w14:solidFill>
          </w14:textFill>
        </w:rPr>
        <w:t>579.29万元，占80.</w:t>
      </w:r>
      <w:r>
        <w:rPr>
          <w:rFonts w:hint="eastAsia" w:ascii="仿宋" w:hAnsi="仿宋" w:eastAsia="仿宋"/>
          <w:color w:val="000000" w:themeColor="text1"/>
          <w:sz w:val="32"/>
          <w:szCs w:val="32"/>
          <w:lang w:val="en-US" w:eastAsia="zh-CN"/>
          <w14:textFill>
            <w14:solidFill>
              <w14:schemeClr w14:val="tx1"/>
            </w14:solidFill>
          </w14:textFill>
        </w:rPr>
        <w:t>32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支出万元，占</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支出75.41万元，占</w:t>
      </w:r>
      <w:r>
        <w:rPr>
          <w:rFonts w:hint="eastAsia" w:ascii="仿宋" w:hAnsi="仿宋" w:eastAsia="仿宋"/>
          <w:color w:val="000000" w:themeColor="text1"/>
          <w:sz w:val="32"/>
          <w:szCs w:val="32"/>
          <w:lang w:val="en-US" w:eastAsia="zh-CN"/>
          <w14:textFill>
            <w14:solidFill>
              <w14:schemeClr w14:val="tx1"/>
            </w14:solidFill>
          </w14:textFill>
        </w:rPr>
        <w:t>10.46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；医疗卫生支出24.84万元，占3.</w:t>
      </w:r>
      <w:r>
        <w:rPr>
          <w:rFonts w:hint="eastAsia" w:ascii="仿宋" w:hAnsi="仿宋" w:eastAsia="仿宋"/>
          <w:color w:val="000000" w:themeColor="text1"/>
          <w:sz w:val="32"/>
          <w:szCs w:val="32"/>
          <w:lang w:val="en-US" w:eastAsia="zh-CN"/>
          <w14:textFill>
            <w14:solidFill>
              <w14:schemeClr w14:val="tx1"/>
            </w14:solidFill>
          </w14:textFill>
        </w:rPr>
        <w:t>44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；住房保障支出41.7万元，占5.7</w:t>
      </w:r>
      <w:r>
        <w:rPr>
          <w:rFonts w:hint="eastAsia" w:ascii="仿宋" w:hAnsi="仿宋" w:eastAsia="仿宋"/>
          <w:color w:val="000000" w:themeColor="text1"/>
          <w:sz w:val="32"/>
          <w:szCs w:val="32"/>
          <w:lang w:val="en-US" w:eastAsia="zh-CN"/>
          <w14:textFill>
            <w14:solidFill>
              <w14:schemeClr w14:val="tx1"/>
            </w14:solidFill>
          </w14:textFill>
        </w:rPr>
        <w:t>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 xml:space="preserve">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562" w:firstLineChars="200"/>
        <w:rPr>
          <w:rFonts w:ascii="仿宋" w:hAnsi="仿宋" w:eastAsia="仿宋"/>
          <w:color w:val="000000"/>
          <w:sz w:val="32"/>
          <w:szCs w:val="32"/>
        </w:rPr>
      </w:pPr>
      <w:r>
        <w:rPr>
          <w:rFonts w:hint="eastAsia" w:ascii="宋体" w:hAnsi="宋体" w:eastAsia="宋体" w:cs="宋体"/>
          <w:b/>
          <w:color w:val="000000"/>
          <w:sz w:val="28"/>
          <w:szCs w:val="28"/>
          <w:lang w:eastAsia="zh-CN"/>
        </w:rPr>
        <w:drawing>
          <wp:anchor distT="0" distB="0" distL="114300" distR="114300" simplePos="0" relativeHeight="251693056" behindDoc="0" locked="0" layoutInCell="1" allowOverlap="1">
            <wp:simplePos x="0" y="0"/>
            <wp:positionH relativeFrom="column">
              <wp:posOffset>476250</wp:posOffset>
            </wp:positionH>
            <wp:positionV relativeFrom="paragraph">
              <wp:posOffset>47625</wp:posOffset>
            </wp:positionV>
            <wp:extent cx="4271010" cy="3143885"/>
            <wp:effectExtent l="4445" t="4445" r="10795" b="1397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bookmarkStart w:id="75" w:name="_GoBack"/>
      <w:bookmarkEnd w:id="75"/>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14:textFill>
            <w14:solidFill>
              <w14:schemeClr w14:val="tx1"/>
            </w14:solidFill>
          </w14:textFill>
        </w:rPr>
        <w:t>2018年般公共预算支出决算数为</w:t>
      </w:r>
      <w:r>
        <w:rPr>
          <w:rFonts w:hint="eastAsia" w:ascii="仿宋" w:hAnsi="仿宋" w:eastAsia="仿宋"/>
          <w:color w:val="000000" w:themeColor="text1"/>
          <w:sz w:val="32"/>
          <w:szCs w:val="32"/>
          <w14:textFill>
            <w14:solidFill>
              <w14:schemeClr w14:val="tx1"/>
            </w14:solidFill>
          </w14:textFill>
        </w:rPr>
        <w:t>721.24，</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教育支出</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14:textFill>
            <w14:solidFill>
              <w14:schemeClr w14:val="tx1"/>
            </w14:solidFill>
          </w14:textFill>
        </w:rPr>
        <w:t>579.29</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机关事业单位基本养老保险</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支出决算为75.41万元，完成预算100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事业单位医疗保险</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支出决算为24.84万元，完成预算100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b/>
          <w:color w:val="000000"/>
          <w:sz w:val="32"/>
          <w:szCs w:val="32"/>
        </w:rPr>
        <w:t>4.住房公积金：</w:t>
      </w:r>
      <w:r>
        <w:rPr>
          <w:rFonts w:hint="eastAsia" w:ascii="仿宋" w:hAnsi="仿宋" w:eastAsia="仿宋"/>
          <w:color w:val="000000"/>
          <w:sz w:val="32"/>
          <w:szCs w:val="32"/>
        </w:rPr>
        <w:t>支出决算为41.7万元，完成预算100%。</w:t>
      </w: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themeColor="text1"/>
          <w:sz w:val="32"/>
          <w:szCs w:val="32"/>
          <w14:textFill>
            <w14:solidFill>
              <w14:schemeClr w14:val="tx1"/>
            </w14:solidFill>
          </w14:textFill>
        </w:rPr>
        <w:t>721.2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637.64</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83.6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0.9</w:t>
      </w:r>
      <w:r>
        <w:rPr>
          <w:rFonts w:hint="eastAsia" w:ascii="仿宋" w:hAnsi="仿宋" w:eastAsia="仿宋"/>
          <w:color w:val="000000"/>
          <w:sz w:val="32"/>
          <w:szCs w:val="32"/>
        </w:rPr>
        <w:t>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；公务接待费支出决算0.9万元，占100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ascii="仿宋" w:hAnsi="仿宋" w:eastAsia="仿宋"/>
          <w:color w:val="000000"/>
          <w:sz w:val="32"/>
          <w:szCs w:val="32"/>
        </w:rPr>
        <w:pict>
          <v:shape id="_x0000_s1035" o:spid="_x0000_s1035" o:spt="75" type="#_x0000_t75" style="position:absolute;left:0pt;margin-left:-0.75pt;margin-top:1.05pt;height:265.6pt;width:427.15pt;z-index:251671552;mso-width-relative:page;mso-height-relative:page;" o:ole="t" filled="f" o:preferrelative="t" stroked="f" coordsize="21600,21600">
            <v:path/>
            <v:fill on="f" focussize="0,0"/>
            <v:stroke on="f" joinstyle="miter"/>
            <v:imagedata r:id="rId17" o:title=""/>
            <o:lock v:ext="edit" aspectratio="t"/>
          </v:shape>
          <o:OLEObject Type="Embed" ProgID="Excel.Sheet.8" ShapeID="_x0000_s1035" DrawAspect="Content" ObjectID="_1468075725" r:id="rId16">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0.9万元，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7年减少0.</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14.29</w:t>
      </w:r>
      <w:r>
        <w:rPr>
          <w:rFonts w:ascii="仿宋_GB2312" w:eastAsia="仿宋_GB2312"/>
          <w:color w:val="000000"/>
          <w:sz w:val="32"/>
          <w:szCs w:val="32"/>
        </w:rPr>
        <w:t>%</w:t>
      </w:r>
      <w:r>
        <w:rPr>
          <w:rFonts w:hint="eastAsia" w:ascii="仿宋_GB2312" w:eastAsia="仿宋_GB2312"/>
          <w:color w:val="000000"/>
          <w:sz w:val="32"/>
          <w:szCs w:val="32"/>
        </w:rPr>
        <w:t>。主要原因是贯彻执行中央八项规定。</w:t>
      </w:r>
    </w:p>
    <w:p>
      <w:pPr>
        <w:numPr>
          <w:ilvl w:val="0"/>
          <w:numId w:val="2"/>
        </w:num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主要用于执行公务、开展业务活动开支的交通费、住宿费、用餐费等。国内公务接待50批次，162人次（不包括陪同人员），共计支出0.9万元，具体内容包括：级来校指导工作、开展业务活动等工作餐支出0.9万元。</w:t>
      </w:r>
    </w:p>
    <w:p>
      <w:pPr>
        <w:spacing w:line="600" w:lineRule="exact"/>
        <w:ind w:firstLine="640"/>
        <w:outlineLvl w:val="1"/>
        <w:rPr>
          <w:rStyle w:val="25"/>
          <w:rFonts w:ascii="黑体" w:hAnsi="黑体" w:eastAsia="黑体"/>
        </w:rPr>
      </w:pPr>
      <w:bookmarkStart w:id="46" w:name="_Toc15396610"/>
      <w:bookmarkStart w:id="47"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8年政府性基金预算拨款支出0万元。</w:t>
      </w:r>
    </w:p>
    <w:p>
      <w:pPr>
        <w:numPr>
          <w:ilvl w:val="0"/>
          <w:numId w:val="3"/>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3"/>
        <w:numPr>
          <w:ilvl w:val="0"/>
          <w:numId w:val="4"/>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5"/>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根据预算绩效管理要求，本部门按要求对2018年部门整体支出开展绩效自评，从评价情况来看全面完成了预算执行，达到了预期效果。</w:t>
      </w:r>
      <w:r>
        <w:rPr>
          <w:rFonts w:ascii="仿宋_GB2312" w:hAnsi="仿宋_GB2312" w:eastAsia="仿宋_GB2312" w:cs="仿宋_GB2312"/>
          <w:sz w:val="32"/>
          <w:szCs w:val="32"/>
        </w:rPr>
        <w:t xml:space="preserve"> </w:t>
      </w:r>
    </w:p>
    <w:p>
      <w:pPr>
        <w:numPr>
          <w:ilvl w:val="0"/>
          <w:numId w:val="5"/>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本单位2018年度无项目执行情况。</w:t>
      </w:r>
    </w:p>
    <w:p>
      <w:pPr>
        <w:numPr>
          <w:ilvl w:val="0"/>
          <w:numId w:val="5"/>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本部门按要求对2018年部门整体支出绩效评价情况开展自评，《开江县</w:t>
      </w:r>
      <w:r>
        <w:rPr>
          <w:rFonts w:hint="eastAsia" w:ascii="仿宋_GB2312" w:hAnsi="仿宋_GB2312" w:eastAsia="仿宋_GB2312" w:cs="仿宋_GB2312"/>
          <w:sz w:val="32"/>
          <w:szCs w:val="32"/>
          <w:lang w:eastAsia="zh-CN"/>
        </w:rPr>
        <w:t>八庙镇</w:t>
      </w:r>
      <w:r>
        <w:rPr>
          <w:rFonts w:hint="eastAsia" w:ascii="仿宋_GB2312" w:hAnsi="仿宋_GB2312" w:eastAsia="仿宋_GB2312" w:cs="仿宋_GB2312"/>
          <w:sz w:val="32"/>
          <w:szCs w:val="32"/>
        </w:rPr>
        <w:t>中心小学2018年部门整体支出绩效评价报告》见附件。</w:t>
      </w:r>
    </w:p>
    <w:p>
      <w:pPr>
        <w:spacing w:line="60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8年本单位无此项支出。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8年，本</w:t>
      </w:r>
      <w:r>
        <w:rPr>
          <w:rFonts w:ascii="仿宋_GB2312" w:eastAsia="仿宋_GB2312"/>
          <w:color w:val="000000"/>
          <w:sz w:val="32"/>
          <w:szCs w:val="32"/>
        </w:rPr>
        <w:t>单位无此项支出</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日，本单位无国有资产占有使用情况。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5" w:name="_Toc15377225"/>
      <w:bookmarkStart w:id="56" w:name="_Toc15396613"/>
    </w:p>
    <w:p>
      <w:pPr>
        <w:autoSpaceDE w:val="0"/>
        <w:autoSpaceDN w:val="0"/>
        <w:adjustRightInd w:val="0"/>
        <w:spacing w:line="600" w:lineRule="exact"/>
        <w:ind w:firstLine="883" w:firstLineChars="200"/>
        <w:jc w:val="left"/>
        <w:outlineLvl w:val="2"/>
        <w:rPr>
          <w:rStyle w:val="24"/>
          <w:rFonts w:ascii="黑体" w:hAnsi="黑体" w:eastAsia="黑体"/>
          <w:b w:val="0"/>
        </w:rPr>
      </w:pPr>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color w:val="000000"/>
          <w:sz w:val="44"/>
          <w:szCs w:val="44"/>
        </w:rPr>
      </w:pPr>
      <w:bookmarkStart w:id="57" w:name="_Toc15396614"/>
      <w:bookmarkStart w:id="58" w:name="_Toc15377226"/>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hint="eastAsia" w:ascii="黑体" w:hAnsi="黑体" w:eastAsia="黑体" w:cs="方正小标宋简体"/>
          <w:sz w:val="36"/>
          <w:szCs w:val="36"/>
        </w:rPr>
      </w:pPr>
      <w:bookmarkStart w:id="60" w:name="_Toc15396616"/>
      <w:r>
        <w:rPr>
          <w:rFonts w:hint="eastAsia" w:ascii="黑体" w:hAnsi="黑体" w:eastAsia="黑体" w:cs="方正小标宋简体"/>
          <w:sz w:val="36"/>
          <w:szCs w:val="36"/>
        </w:rPr>
        <w:t>开江县</w:t>
      </w:r>
      <w:r>
        <w:rPr>
          <w:rFonts w:hint="eastAsia" w:ascii="黑体" w:hAnsi="黑体" w:eastAsia="黑体" w:cs="方正小标宋简体"/>
          <w:sz w:val="36"/>
          <w:szCs w:val="36"/>
          <w:lang w:eastAsia="zh-CN"/>
        </w:rPr>
        <w:t>八庙镇</w:t>
      </w:r>
      <w:r>
        <w:rPr>
          <w:rFonts w:hint="eastAsia" w:ascii="黑体" w:hAnsi="黑体" w:eastAsia="黑体" w:cs="方正小标宋简体"/>
          <w:sz w:val="36"/>
          <w:szCs w:val="36"/>
        </w:rPr>
        <w:t>中心小学</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部门2018年部门整体支出绩效评价报告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一、部门（单位）概况</w:t>
      </w:r>
    </w:p>
    <w:p>
      <w:pPr>
        <w:widowControl/>
        <w:spacing w:line="480" w:lineRule="auto"/>
        <w:ind w:firstLine="480"/>
        <w:rPr>
          <w:rFonts w:ascii="宋体" w:hAnsi="宋体" w:cs="宋体"/>
          <w:color w:val="333333"/>
          <w:kern w:val="0"/>
          <w:sz w:val="28"/>
          <w:szCs w:val="28"/>
          <w:lang w:val="en"/>
        </w:rPr>
      </w:pPr>
      <w:r>
        <w:rPr>
          <w:rFonts w:hint="eastAsia" w:ascii="宋体" w:hAnsi="宋体" w:cs="宋体"/>
          <w:color w:val="333333"/>
          <w:kern w:val="0"/>
          <w:sz w:val="28"/>
          <w:szCs w:val="28"/>
          <w:lang w:val="en"/>
        </w:rPr>
        <w:t>我校是一所农村义务教育学校，创办于1952年9月，位于</w:t>
      </w:r>
      <w:r>
        <w:rPr>
          <w:rFonts w:hint="eastAsia" w:ascii="宋体" w:hAnsi="宋体" w:cs="宋体"/>
          <w:color w:val="333333"/>
          <w:kern w:val="0"/>
          <w:sz w:val="28"/>
          <w:szCs w:val="28"/>
          <w:lang w:val="en" w:eastAsia="zh-CN"/>
        </w:rPr>
        <w:t>八庙镇新兴街</w:t>
      </w:r>
      <w:r>
        <w:rPr>
          <w:rFonts w:hint="eastAsia" w:ascii="宋体" w:hAnsi="宋体" w:cs="宋体"/>
          <w:color w:val="333333"/>
          <w:kern w:val="0"/>
          <w:sz w:val="28"/>
          <w:szCs w:val="28"/>
          <w:lang w:val="en-US" w:eastAsia="zh-CN"/>
        </w:rPr>
        <w:t>55</w:t>
      </w:r>
      <w:r>
        <w:rPr>
          <w:rFonts w:hint="eastAsia" w:ascii="宋体" w:hAnsi="宋体" w:cs="宋体"/>
          <w:color w:val="333333"/>
          <w:kern w:val="0"/>
          <w:sz w:val="28"/>
          <w:szCs w:val="28"/>
          <w:lang w:val="en"/>
        </w:rPr>
        <w:t>号，辖区目前有</w:t>
      </w:r>
      <w:r>
        <w:rPr>
          <w:rFonts w:hint="eastAsia" w:ascii="宋体" w:hAnsi="宋体" w:cs="宋体"/>
          <w:color w:val="333333"/>
          <w:kern w:val="0"/>
          <w:sz w:val="28"/>
          <w:szCs w:val="28"/>
          <w:lang w:val="en" w:eastAsia="zh-CN"/>
        </w:rPr>
        <w:t>石和寨</w:t>
      </w:r>
      <w:r>
        <w:rPr>
          <w:rFonts w:hint="eastAsia" w:ascii="宋体" w:hAnsi="宋体" w:cs="宋体"/>
          <w:color w:val="333333"/>
          <w:kern w:val="0"/>
          <w:sz w:val="28"/>
          <w:szCs w:val="28"/>
          <w:lang w:val="en"/>
        </w:rPr>
        <w:t>小学和</w:t>
      </w:r>
      <w:r>
        <w:rPr>
          <w:rFonts w:hint="eastAsia" w:ascii="宋体" w:hAnsi="宋体" w:cs="宋体"/>
          <w:color w:val="333333"/>
          <w:kern w:val="0"/>
          <w:sz w:val="28"/>
          <w:szCs w:val="28"/>
          <w:lang w:val="en" w:eastAsia="zh-CN"/>
        </w:rPr>
        <w:t>马鞍山</w:t>
      </w:r>
      <w:r>
        <w:rPr>
          <w:rFonts w:hint="eastAsia" w:ascii="宋体" w:hAnsi="宋体" w:cs="宋体"/>
          <w:color w:val="333333"/>
          <w:kern w:val="0"/>
          <w:sz w:val="28"/>
          <w:szCs w:val="28"/>
          <w:lang w:val="en"/>
        </w:rPr>
        <w:t>小学两所村级小学。</w:t>
      </w:r>
    </w:p>
    <w:p>
      <w:pPr>
        <w:widowControl/>
        <w:spacing w:line="480" w:lineRule="auto"/>
        <w:ind w:firstLine="480"/>
        <w:rPr>
          <w:rFonts w:hint="eastAsia" w:ascii="宋体" w:hAnsi="宋体" w:cs="宋体"/>
          <w:color w:val="333333"/>
          <w:kern w:val="0"/>
          <w:sz w:val="28"/>
          <w:szCs w:val="28"/>
          <w:lang w:val="en"/>
        </w:rPr>
      </w:pPr>
      <w:r>
        <w:rPr>
          <w:rFonts w:hint="eastAsia" w:ascii="宋体" w:hAnsi="宋体" w:cs="宋体"/>
          <w:color w:val="333333"/>
          <w:kern w:val="0"/>
          <w:sz w:val="28"/>
          <w:szCs w:val="28"/>
          <w:lang w:val="en"/>
        </w:rPr>
        <w:t>单位职责主要是实施小学义务教育，促进教育事业发展。</w:t>
      </w:r>
    </w:p>
    <w:p>
      <w:pPr>
        <w:widowControl/>
        <w:spacing w:line="480" w:lineRule="auto"/>
        <w:ind w:firstLine="480"/>
        <w:rPr>
          <w:rFonts w:ascii="宋体" w:hAnsi="宋体" w:cs="宋体"/>
          <w:color w:val="333333"/>
          <w:kern w:val="0"/>
          <w:sz w:val="28"/>
          <w:szCs w:val="28"/>
          <w:lang w:val="en"/>
        </w:rPr>
      </w:pPr>
      <w:r>
        <w:rPr>
          <w:rFonts w:hint="eastAsia" w:ascii="宋体" w:hAnsi="宋体" w:cs="宋体"/>
          <w:color w:val="333333"/>
          <w:kern w:val="0"/>
          <w:sz w:val="28"/>
          <w:szCs w:val="28"/>
          <w:lang w:val="en"/>
        </w:rPr>
        <w:t>我校是独立核算的财政全额拨款事业单位，执行事业单位会计制度，编制部门给我校核定事业编制</w:t>
      </w:r>
      <w:r>
        <w:rPr>
          <w:rFonts w:hint="eastAsia" w:ascii="宋体" w:hAnsi="宋体" w:cs="宋体"/>
          <w:color w:val="333333"/>
          <w:kern w:val="0"/>
          <w:sz w:val="28"/>
          <w:szCs w:val="28"/>
          <w:lang w:val="en-US" w:eastAsia="zh-CN"/>
        </w:rPr>
        <w:t>58</w:t>
      </w:r>
      <w:r>
        <w:rPr>
          <w:rFonts w:hint="eastAsia" w:ascii="宋体" w:hAnsi="宋体" w:cs="宋体"/>
          <w:color w:val="333333"/>
          <w:kern w:val="0"/>
          <w:sz w:val="28"/>
          <w:szCs w:val="28"/>
          <w:lang w:val="en"/>
        </w:rPr>
        <w:t>个，2018年末我校共有在职教职员工</w:t>
      </w:r>
      <w:r>
        <w:rPr>
          <w:rFonts w:hint="eastAsia" w:ascii="宋体" w:hAnsi="宋体" w:cs="宋体"/>
          <w:color w:val="333333"/>
          <w:kern w:val="0"/>
          <w:sz w:val="28"/>
          <w:szCs w:val="28"/>
          <w:lang w:val="en-US" w:eastAsia="zh-CN"/>
        </w:rPr>
        <w:t>56</w:t>
      </w:r>
      <w:r>
        <w:rPr>
          <w:rFonts w:hint="eastAsia" w:ascii="宋体" w:hAnsi="宋体" w:cs="宋体"/>
          <w:color w:val="333333"/>
          <w:kern w:val="0"/>
          <w:sz w:val="28"/>
          <w:szCs w:val="28"/>
          <w:lang w:val="en"/>
        </w:rPr>
        <w:t>人，退休人</w:t>
      </w:r>
      <w:r>
        <w:rPr>
          <w:rFonts w:hint="eastAsia" w:ascii="宋体" w:hAnsi="宋体" w:cs="宋体"/>
          <w:color w:val="333333"/>
          <w:kern w:val="0"/>
          <w:sz w:val="28"/>
          <w:szCs w:val="28"/>
          <w:lang w:val="en-US" w:eastAsia="zh-CN"/>
        </w:rPr>
        <w:t>56</w:t>
      </w:r>
      <w:r>
        <w:rPr>
          <w:rFonts w:hint="eastAsia" w:ascii="宋体" w:hAnsi="宋体" w:cs="宋体"/>
          <w:color w:val="333333"/>
          <w:kern w:val="0"/>
          <w:sz w:val="28"/>
          <w:szCs w:val="28"/>
          <w:lang w:val="en"/>
        </w:rPr>
        <w:t>人。</w:t>
      </w:r>
    </w:p>
    <w:p>
      <w:pPr>
        <w:widowControl/>
        <w:spacing w:line="480" w:lineRule="auto"/>
        <w:ind w:firstLine="480"/>
        <w:rPr>
          <w:rFonts w:hint="eastAsia" w:ascii="宋体" w:hAnsi="宋体" w:cs="宋体"/>
          <w:color w:val="333333"/>
          <w:kern w:val="0"/>
          <w:sz w:val="28"/>
          <w:szCs w:val="28"/>
          <w:lang w:val="en"/>
        </w:rPr>
      </w:pPr>
      <w:r>
        <w:rPr>
          <w:rFonts w:hint="eastAsia" w:ascii="宋体" w:hAnsi="宋体" w:cs="宋体"/>
          <w:color w:val="333333"/>
          <w:kern w:val="0"/>
          <w:sz w:val="28"/>
          <w:szCs w:val="28"/>
          <w:lang w:val="en"/>
        </w:rPr>
        <w:t>单位内设机构：教务处、政教处、财务室、大队部、工会等5个科室。</w:t>
      </w:r>
    </w:p>
    <w:p>
      <w:pPr>
        <w:widowControl/>
        <w:spacing w:line="480" w:lineRule="auto"/>
        <w:ind w:firstLine="480"/>
        <w:rPr>
          <w:rFonts w:ascii="宋体" w:hAnsi="宋体" w:cs="宋体"/>
          <w:color w:val="333333"/>
          <w:kern w:val="0"/>
          <w:sz w:val="28"/>
          <w:szCs w:val="28"/>
          <w:lang w:val="en"/>
        </w:rPr>
      </w:pPr>
      <w:r>
        <w:rPr>
          <w:rFonts w:hint="eastAsia" w:ascii="宋体" w:hAnsi="宋体" w:cs="宋体"/>
          <w:color w:val="333333"/>
          <w:kern w:val="0"/>
          <w:sz w:val="28"/>
          <w:szCs w:val="28"/>
          <w:lang w:val="en"/>
        </w:rPr>
        <w:t>我校共有</w:t>
      </w:r>
      <w:r>
        <w:rPr>
          <w:rFonts w:hint="eastAsia" w:ascii="宋体" w:hAnsi="宋体" w:cs="宋体"/>
          <w:color w:val="333333"/>
          <w:kern w:val="0"/>
          <w:sz w:val="28"/>
          <w:szCs w:val="28"/>
          <w:lang w:val="en-US" w:eastAsia="zh-CN"/>
        </w:rPr>
        <w:t>18</w:t>
      </w:r>
      <w:r>
        <w:rPr>
          <w:rFonts w:hint="eastAsia" w:ascii="宋体" w:hAnsi="宋体" w:cs="宋体"/>
          <w:color w:val="333333"/>
          <w:kern w:val="0"/>
          <w:sz w:val="28"/>
          <w:szCs w:val="28"/>
          <w:lang w:val="en"/>
        </w:rPr>
        <w:t>个教学班</w:t>
      </w:r>
      <w:r>
        <w:rPr>
          <w:rFonts w:hint="eastAsia" w:ascii="宋体" w:hAnsi="宋体" w:cs="宋体"/>
          <w:color w:val="333333"/>
          <w:kern w:val="0"/>
          <w:sz w:val="28"/>
          <w:szCs w:val="28"/>
          <w:lang w:val="en" w:eastAsia="zh-CN"/>
        </w:rPr>
        <w:t>，</w:t>
      </w:r>
      <w:r>
        <w:rPr>
          <w:rFonts w:hint="eastAsia" w:ascii="宋体" w:hAnsi="宋体" w:cs="宋体"/>
          <w:color w:val="333333"/>
          <w:kern w:val="0"/>
          <w:sz w:val="28"/>
          <w:szCs w:val="28"/>
          <w:lang w:val="en-US" w:eastAsia="zh-CN"/>
        </w:rPr>
        <w:t>899</w:t>
      </w:r>
      <w:r>
        <w:rPr>
          <w:rFonts w:hint="eastAsia" w:ascii="宋体" w:hAnsi="宋体" w:cs="宋体"/>
          <w:color w:val="333333"/>
          <w:kern w:val="0"/>
          <w:sz w:val="28"/>
          <w:szCs w:val="28"/>
          <w:lang w:val="en"/>
        </w:rPr>
        <w:t>名学生。</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hint="eastAsia" w:ascii="仿宋" w:hAnsi="仿宋" w:eastAsia="仿宋" w:cs="仿宋_GB2312"/>
          <w:sz w:val="32"/>
          <w:szCs w:val="32"/>
          <w:lang w:val="en"/>
        </w:rPr>
      </w:pPr>
      <w:r>
        <w:rPr>
          <w:rFonts w:hint="eastAsia" w:ascii="仿宋" w:hAnsi="仿宋" w:eastAsia="仿宋" w:cs="仿宋_GB2312"/>
          <w:sz w:val="32"/>
          <w:szCs w:val="32"/>
          <w:lang w:val="en"/>
        </w:rPr>
        <w:t>2018年度我校总收入：1070.23万元（财政补助收入1070.23万元），结转上年资金178.07万元，全年总支出721.24万元。</w:t>
      </w:r>
    </w:p>
    <w:p>
      <w:pPr>
        <w:spacing w:line="580" w:lineRule="exact"/>
        <w:ind w:firstLine="320" w:firstLineChars="100"/>
        <w:rPr>
          <w:rFonts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ascii="仿宋" w:hAnsi="仿宋" w:eastAsia="仿宋" w:cs="仿宋_GB2312"/>
          <w:sz w:val="32"/>
          <w:szCs w:val="32"/>
          <w:lang w:val="en"/>
        </w:rPr>
      </w:pPr>
      <w:r>
        <w:rPr>
          <w:rFonts w:hint="eastAsia" w:ascii="仿宋" w:hAnsi="仿宋" w:eastAsia="仿宋" w:cs="仿宋_GB2312"/>
          <w:sz w:val="32"/>
          <w:szCs w:val="32"/>
          <w:lang w:val="en"/>
        </w:rPr>
        <w:t>教育支出</w:t>
      </w:r>
      <w:r>
        <w:rPr>
          <w:rFonts w:hint="eastAsia" w:ascii="仿宋" w:hAnsi="仿宋" w:eastAsia="仿宋"/>
          <w:color w:val="000000" w:themeColor="text1"/>
          <w:sz w:val="32"/>
          <w:szCs w:val="32"/>
          <w14:textFill>
            <w14:solidFill>
              <w14:schemeClr w14:val="tx1"/>
            </w14:solidFill>
          </w14:textFill>
        </w:rPr>
        <w:t>579.29</w:t>
      </w:r>
      <w:r>
        <w:rPr>
          <w:rFonts w:hint="eastAsia" w:ascii="仿宋" w:hAnsi="仿宋" w:eastAsia="仿宋" w:cs="仿宋_GB2312"/>
          <w:sz w:val="32"/>
          <w:szCs w:val="32"/>
          <w:lang w:val="en"/>
        </w:rPr>
        <w:t>万元，社会保障和就业支出（基本养老保险）</w:t>
      </w:r>
      <w:r>
        <w:rPr>
          <w:rFonts w:hint="eastAsia" w:ascii="仿宋" w:hAnsi="仿宋" w:eastAsia="仿宋"/>
          <w:color w:val="000000" w:themeColor="text1"/>
          <w:sz w:val="32"/>
          <w:szCs w:val="32"/>
          <w14:textFill>
            <w14:solidFill>
              <w14:schemeClr w14:val="tx1"/>
            </w14:solidFill>
          </w14:textFill>
        </w:rPr>
        <w:t>75.41</w:t>
      </w:r>
      <w:r>
        <w:rPr>
          <w:rFonts w:hint="eastAsia" w:ascii="仿宋" w:hAnsi="仿宋" w:eastAsia="仿宋" w:cs="仿宋_GB2312"/>
          <w:sz w:val="32"/>
          <w:szCs w:val="32"/>
          <w:lang w:val="en"/>
        </w:rPr>
        <w:t>万元，医疗卫生支出（基本医疗保险）</w:t>
      </w:r>
      <w:r>
        <w:rPr>
          <w:rFonts w:hint="eastAsia" w:ascii="仿宋" w:hAnsi="仿宋" w:eastAsia="仿宋"/>
          <w:color w:val="000000" w:themeColor="text1"/>
          <w:sz w:val="32"/>
          <w:szCs w:val="32"/>
          <w14:textFill>
            <w14:solidFill>
              <w14:schemeClr w14:val="tx1"/>
            </w14:solidFill>
          </w14:textFill>
        </w:rPr>
        <w:t>24.84</w:t>
      </w:r>
      <w:r>
        <w:rPr>
          <w:rFonts w:hint="eastAsia" w:ascii="仿宋" w:hAnsi="仿宋" w:eastAsia="仿宋" w:cs="仿宋_GB2312"/>
          <w:sz w:val="32"/>
          <w:szCs w:val="32"/>
          <w:lang w:val="en"/>
        </w:rPr>
        <w:t>万元，住房保障支出（住房公积金）</w:t>
      </w:r>
      <w:r>
        <w:rPr>
          <w:rFonts w:hint="eastAsia" w:ascii="仿宋" w:hAnsi="仿宋" w:eastAsia="仿宋"/>
          <w:color w:val="000000" w:themeColor="text1"/>
          <w:sz w:val="32"/>
          <w:szCs w:val="32"/>
          <w14:textFill>
            <w14:solidFill>
              <w14:schemeClr w14:val="tx1"/>
            </w14:solidFill>
          </w14:textFill>
        </w:rPr>
        <w:t>41.7</w:t>
      </w:r>
      <w:r>
        <w:rPr>
          <w:rFonts w:hint="eastAsia" w:ascii="仿宋" w:hAnsi="仿宋" w:eastAsia="仿宋" w:cs="仿宋_GB2312"/>
          <w:sz w:val="32"/>
          <w:szCs w:val="32"/>
          <w:lang w:val="en"/>
        </w:rPr>
        <w:t>万元。其中基本支出715.24万元，项目支出</w:t>
      </w:r>
      <w:r>
        <w:rPr>
          <w:rFonts w:hint="eastAsia" w:ascii="仿宋" w:hAnsi="仿宋" w:eastAsia="仿宋" w:cs="仿宋_GB2312"/>
          <w:sz w:val="32"/>
          <w:szCs w:val="32"/>
          <w:lang w:val="en-US" w:eastAsia="zh-CN"/>
        </w:rPr>
        <w:t>6</w:t>
      </w:r>
      <w:r>
        <w:rPr>
          <w:rFonts w:hint="eastAsia" w:ascii="仿宋" w:hAnsi="仿宋" w:eastAsia="仿宋" w:cs="仿宋_GB2312"/>
          <w:sz w:val="32"/>
          <w:szCs w:val="32"/>
          <w:lang w:val="en"/>
        </w:rPr>
        <w:t>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根据预算绩效管理要求，</w:t>
      </w:r>
      <w:r>
        <w:rPr>
          <w:rFonts w:hint="eastAsia" w:ascii="仿宋" w:hAnsi="仿宋" w:eastAsia="仿宋" w:cs="仿宋_GB2312"/>
          <w:sz w:val="32"/>
          <w:szCs w:val="32"/>
          <w:lang w:eastAsia="zh-CN"/>
        </w:rPr>
        <w:t>八庙镇</w:t>
      </w:r>
      <w:r>
        <w:rPr>
          <w:rFonts w:hint="eastAsia" w:ascii="仿宋" w:hAnsi="仿宋" w:eastAsia="仿宋" w:cs="仿宋_GB2312"/>
          <w:sz w:val="32"/>
          <w:szCs w:val="32"/>
        </w:rPr>
        <w:t>中心小学以“部门职责—工作活动”为依据，确定部门预算项目和预算额度，清晰描述预算项目开支范围和内容，确定预算项目的绩效目标、绩效指标和评价标准，为预算绩效控制、绩效分析、绩效评价打下好的基础。</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按规定要求履行了立项手续，可行性研究报告、概算批复文件、专家论证等相关附件资料齐全，项目预算资金科学合理。2、财政资金拨付到位及时。3、已建立项目管理制度并按照项目管理制度要求执行。4、按期保质保量完成建设。</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通过绩效评价，我们认为，2018年度部门预算具有明确的用途和目标，制定了详细的执行计划，资金到位及时并严格按照财政有关规定使用。预算决策、管理、执行等日益规范，能较好地满足工作需要，取得了良好经济效益和社会效益</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1、学校的固定资产管理还有待加强，下年度将按照标准逐步完善。</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2、更加科学合理的编制预算。本年度预算完成率分值被扣4分，下一会计年度努力学习预算制度，更加合理地编制预算，使预算、决算差异更小。</w:t>
      </w:r>
    </w:p>
    <w:p>
      <w:pPr>
        <w:spacing w:line="58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3、部分绩效指标及目标值有待进一步细化和量化。</w:t>
      </w:r>
      <w:r>
        <w:rPr>
          <w:rFonts w:ascii="仿宋_GB2312" w:hAnsi="仿宋_GB2312" w:eastAsia="仿宋_GB2312" w:cs="仿宋_GB2312"/>
          <w:sz w:val="32"/>
          <w:szCs w:val="32"/>
          <w:lang w:val="en"/>
        </w:rPr>
        <w:t>  </w:t>
      </w:r>
    </w:p>
    <w:p>
      <w:pPr>
        <w:spacing w:line="58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4、部门整体预算执行率未达到</w:t>
      </w:r>
      <w:r>
        <w:rPr>
          <w:rFonts w:ascii="仿宋_GB2312" w:hAnsi="仿宋_GB2312" w:eastAsia="仿宋_GB2312" w:cs="仿宋_GB2312"/>
          <w:sz w:val="32"/>
          <w:szCs w:val="32"/>
          <w:lang w:val="en"/>
        </w:rPr>
        <w:t>95%</w:t>
      </w:r>
      <w:r>
        <w:rPr>
          <w:rFonts w:hint="eastAsia" w:ascii="仿宋_GB2312" w:hAnsi="仿宋_GB2312" w:eastAsia="仿宋_GB2312" w:cs="仿宋_GB2312"/>
          <w:sz w:val="32"/>
          <w:szCs w:val="32"/>
          <w:lang w:val="en"/>
        </w:rPr>
        <w:t>，预算执行有待提升。</w:t>
      </w:r>
      <w:r>
        <w:rPr>
          <w:rFonts w:ascii="仿宋_GB2312" w:hAnsi="仿宋_GB2312" w:eastAsia="仿宋_GB2312" w:cs="仿宋_GB2312"/>
          <w:sz w:val="32"/>
          <w:szCs w:val="32"/>
          <w:lang w:val="en"/>
        </w:rPr>
        <w:t> </w:t>
      </w:r>
    </w:p>
    <w:p>
      <w:pPr>
        <w:spacing w:line="58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5、尚未针对绩效考评制定比较明确的实施细则，有待进</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4"/>
          <w:rFonts w:ascii="黑体" w:hAnsi="黑体" w:eastAsia="黑体"/>
          <w:b w:val="0"/>
        </w:rPr>
      </w:pPr>
      <w:bookmarkStart w:id="61"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8"/>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3"/>
    </w:p>
    <w:p>
      <w:pPr>
        <w:pStyle w:val="3"/>
        <w:rPr>
          <w:rFonts w:ascii="仿宋" w:hAnsi="仿宋" w:eastAsia="仿宋"/>
          <w:color w:val="000000" w:themeColor="text1"/>
          <w14:textFill>
            <w14:solidFill>
              <w14:schemeClr w14:val="tx1"/>
            </w14:solidFill>
          </w14:textFill>
        </w:rPr>
      </w:pPr>
      <w:bookmarkStart w:id="74"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4"/>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仿宋_GB2312"/>
    <w:panose1 w:val="02010601030101010101"/>
    <w:charset w:val="86"/>
    <w:family w:val="auto"/>
    <w:pitch w:val="default"/>
    <w:sig w:usb0="00000000" w:usb1="00000000" w:usb2="00000010" w:usb3="00000000" w:csb0="00040000" w:csb1="00000000"/>
  </w:font>
  <w:font w:name="方正仿宋简体">
    <w:altName w:val="宋体"/>
    <w:panose1 w:val="03000509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微软雅黑">
    <w:altName w:val="黑体"/>
    <w:panose1 w:val="020B0503020204020204"/>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19</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1D1E9"/>
    <w:multiLevelType w:val="singleLevel"/>
    <w:tmpl w:val="8D71D1E9"/>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43A7"/>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65A00"/>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B299A"/>
    <w:rsid w:val="002F1818"/>
    <w:rsid w:val="002F567B"/>
    <w:rsid w:val="003216A9"/>
    <w:rsid w:val="0037013F"/>
    <w:rsid w:val="00380C92"/>
    <w:rsid w:val="00381D83"/>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13736"/>
    <w:rsid w:val="00520DA0"/>
    <w:rsid w:val="005664BB"/>
    <w:rsid w:val="0057481D"/>
    <w:rsid w:val="0058486E"/>
    <w:rsid w:val="005D1C8B"/>
    <w:rsid w:val="005D5CED"/>
    <w:rsid w:val="005F1A4C"/>
    <w:rsid w:val="006038E0"/>
    <w:rsid w:val="00605688"/>
    <w:rsid w:val="006070AF"/>
    <w:rsid w:val="00607E6C"/>
    <w:rsid w:val="006101B1"/>
    <w:rsid w:val="00614E44"/>
    <w:rsid w:val="00622830"/>
    <w:rsid w:val="00630AEF"/>
    <w:rsid w:val="006325F8"/>
    <w:rsid w:val="00634C9A"/>
    <w:rsid w:val="00643D7F"/>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B7DF6"/>
    <w:rsid w:val="007D312A"/>
    <w:rsid w:val="007D3F19"/>
    <w:rsid w:val="007E23B0"/>
    <w:rsid w:val="007E400F"/>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0F73"/>
    <w:rsid w:val="008B768C"/>
    <w:rsid w:val="008C4DB1"/>
    <w:rsid w:val="008C4EAF"/>
    <w:rsid w:val="008C5176"/>
    <w:rsid w:val="008C7FD0"/>
    <w:rsid w:val="008E1DE7"/>
    <w:rsid w:val="008E707C"/>
    <w:rsid w:val="00900B08"/>
    <w:rsid w:val="00902155"/>
    <w:rsid w:val="00902FA3"/>
    <w:rsid w:val="00923564"/>
    <w:rsid w:val="0092392E"/>
    <w:rsid w:val="009315F9"/>
    <w:rsid w:val="00945A44"/>
    <w:rsid w:val="00946945"/>
    <w:rsid w:val="00951248"/>
    <w:rsid w:val="0095152F"/>
    <w:rsid w:val="00954C49"/>
    <w:rsid w:val="0097099F"/>
    <w:rsid w:val="00971997"/>
    <w:rsid w:val="00971FFC"/>
    <w:rsid w:val="00973589"/>
    <w:rsid w:val="0097563A"/>
    <w:rsid w:val="0098660A"/>
    <w:rsid w:val="009931C3"/>
    <w:rsid w:val="009B2C43"/>
    <w:rsid w:val="009B4EAE"/>
    <w:rsid w:val="009B7573"/>
    <w:rsid w:val="009C22F4"/>
    <w:rsid w:val="009C2E98"/>
    <w:rsid w:val="009C614B"/>
    <w:rsid w:val="009D3447"/>
    <w:rsid w:val="009D4711"/>
    <w:rsid w:val="009F1185"/>
    <w:rsid w:val="009F18CD"/>
    <w:rsid w:val="009F2A13"/>
    <w:rsid w:val="00A04EB0"/>
    <w:rsid w:val="00A13CC1"/>
    <w:rsid w:val="00A16847"/>
    <w:rsid w:val="00A237D8"/>
    <w:rsid w:val="00A268C4"/>
    <w:rsid w:val="00A30344"/>
    <w:rsid w:val="00A307CD"/>
    <w:rsid w:val="00A40A00"/>
    <w:rsid w:val="00A4142F"/>
    <w:rsid w:val="00A56DF2"/>
    <w:rsid w:val="00A67AB5"/>
    <w:rsid w:val="00A81558"/>
    <w:rsid w:val="00A91760"/>
    <w:rsid w:val="00A93B00"/>
    <w:rsid w:val="00A93C21"/>
    <w:rsid w:val="00AC3C6A"/>
    <w:rsid w:val="00AD5620"/>
    <w:rsid w:val="00AD7C1B"/>
    <w:rsid w:val="00AE16BA"/>
    <w:rsid w:val="00AE1EBE"/>
    <w:rsid w:val="00B03C9D"/>
    <w:rsid w:val="00B060AE"/>
    <w:rsid w:val="00B10517"/>
    <w:rsid w:val="00B14E76"/>
    <w:rsid w:val="00B16179"/>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37463"/>
    <w:rsid w:val="00C42709"/>
    <w:rsid w:val="00C533CC"/>
    <w:rsid w:val="00C5751C"/>
    <w:rsid w:val="00C61BFC"/>
    <w:rsid w:val="00C62B85"/>
    <w:rsid w:val="00C65438"/>
    <w:rsid w:val="00C91CBB"/>
    <w:rsid w:val="00CC09B6"/>
    <w:rsid w:val="00CC666F"/>
    <w:rsid w:val="00CC741D"/>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0411"/>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646B"/>
    <w:rsid w:val="00EF77C6"/>
    <w:rsid w:val="00F05438"/>
    <w:rsid w:val="00F1361C"/>
    <w:rsid w:val="00F1362B"/>
    <w:rsid w:val="00F160C7"/>
    <w:rsid w:val="00F36D8F"/>
    <w:rsid w:val="00F417B1"/>
    <w:rsid w:val="00F602DF"/>
    <w:rsid w:val="00F81FD9"/>
    <w:rsid w:val="00F841AA"/>
    <w:rsid w:val="00FA23E8"/>
    <w:rsid w:val="00FD3CC1"/>
    <w:rsid w:val="00FF1E02"/>
    <w:rsid w:val="00FF30B4"/>
    <w:rsid w:val="01560FCF"/>
    <w:rsid w:val="10C055FF"/>
    <w:rsid w:val="16BB723D"/>
    <w:rsid w:val="240371BF"/>
    <w:rsid w:val="29FD04D3"/>
    <w:rsid w:val="2EB26B5D"/>
    <w:rsid w:val="319F7F4E"/>
    <w:rsid w:val="347B08F8"/>
    <w:rsid w:val="54292525"/>
    <w:rsid w:val="5A2F0766"/>
    <w:rsid w:val="6FD93B9F"/>
    <w:rsid w:val="74C934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uiPriority w:val="99"/>
    <w:rPr>
      <w:color w:val="0000FF" w:themeColor="hyperlink"/>
      <w:u w:val="single"/>
      <w14:textFill>
        <w14:solidFill>
          <w14:schemeClr w14:val="hlink"/>
        </w14:solidFill>
      </w14:textFill>
    </w:rPr>
  </w:style>
  <w:style w:type="character" w:customStyle="1" w:styleId="16">
    <w:name w:val="Header Char"/>
    <w:basedOn w:val="13"/>
    <w:semiHidden/>
    <w:uiPriority w:val="99"/>
    <w:rPr>
      <w:rFonts w:ascii="Times New Roman" w:hAnsi="Times New Roman"/>
      <w:sz w:val="18"/>
      <w:szCs w:val="18"/>
    </w:rPr>
  </w:style>
  <w:style w:type="character" w:customStyle="1" w:styleId="17">
    <w:name w:val="页眉 Char"/>
    <w:link w:val="9"/>
    <w:semiHidden/>
    <w:locked/>
    <w:uiPriority w:val="99"/>
    <w:rPr>
      <w:sz w:val="18"/>
    </w:rPr>
  </w:style>
  <w:style w:type="character" w:customStyle="1" w:styleId="18">
    <w:name w:val="Footer Char"/>
    <w:basedOn w:val="13"/>
    <w:semiHidden/>
    <w:uiPriority w:val="99"/>
    <w:rPr>
      <w:rFonts w:ascii="Times New Roman" w:hAnsi="Times New Roman"/>
      <w:sz w:val="18"/>
      <w:szCs w:val="18"/>
    </w:rPr>
  </w:style>
  <w:style w:type="character" w:customStyle="1" w:styleId="19">
    <w:name w:val="页脚 Char"/>
    <w:link w:val="8"/>
    <w:locked/>
    <w:uiPriority w:val="99"/>
    <w:rPr>
      <w:sz w:val="18"/>
    </w:rPr>
  </w:style>
  <w:style w:type="character" w:customStyle="1" w:styleId="20">
    <w:name w:val="Body Text Char"/>
    <w:basedOn w:val="13"/>
    <w:semiHidden/>
    <w:uiPriority w:val="99"/>
    <w:rPr>
      <w:rFonts w:ascii="Times New Roman" w:hAnsi="Times New Roman"/>
      <w:szCs w:val="24"/>
    </w:rPr>
  </w:style>
  <w:style w:type="character" w:customStyle="1" w:styleId="21">
    <w:name w:val="正文文本 Char"/>
    <w:link w:val="5"/>
    <w:locked/>
    <w:uiPriority w:val="99"/>
    <w:rPr>
      <w:rFonts w:ascii="仿宋_GB2312" w:hAnsi="Times New Roman" w:eastAsia="仿宋_GB2312"/>
      <w:sz w:val="24"/>
    </w:rPr>
  </w:style>
  <w:style w:type="paragraph" w:customStyle="1" w:styleId="22">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uiPriority w:val="9"/>
    <w:rPr>
      <w:rFonts w:ascii="Times New Roman" w:hAnsi="Times New Roman"/>
      <w:b/>
      <w:bCs/>
      <w:kern w:val="44"/>
      <w:sz w:val="44"/>
      <w:szCs w:val="44"/>
    </w:rPr>
  </w:style>
  <w:style w:type="character" w:customStyle="1" w:styleId="25">
    <w:name w:val="标题 2 Char"/>
    <w:basedOn w:val="13"/>
    <w:link w:val="3"/>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uiPriority w:val="99"/>
    <w:rPr>
      <w:rFonts w:ascii="Times New Roman" w:hAnsi="Times New Roman"/>
      <w:kern w:val="2"/>
      <w:sz w:val="18"/>
      <w:szCs w:val="18"/>
    </w:rPr>
  </w:style>
  <w:style w:type="character" w:customStyle="1" w:styleId="28">
    <w:name w:val="标题 3 Char"/>
    <w:basedOn w:val="13"/>
    <w:link w:val="4"/>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emf"/><Relationship Id="rId16" Type="http://schemas.openxmlformats.org/officeDocument/2006/relationships/oleObject" Target="embeddings/oleObject1.bin"/><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97534976682212"/>
          <c:y val="0.159024826660703"/>
          <c:w val="0.89892071952032"/>
          <c:h val="0.642227689554909"/>
        </c:manualLayout>
      </c:layout>
      <c:barChart>
        <c:barDir val="col"/>
        <c:grouping val="stacked"/>
        <c:varyColors val="0"/>
        <c:ser>
          <c:idx val="0"/>
          <c:order val="0"/>
          <c:tx>
            <c:strRef>
              <c:f>Sheet1!$B$1</c:f>
              <c:strCache>
                <c:ptCount val="1"/>
                <c:pt idx="0">
                  <c:v/>
                </c:pt>
              </c:strCache>
            </c:strRef>
          </c:tx>
          <c:spPr>
            <a:solidFill>
              <a:schemeClr val="accent1"/>
            </a:solidFill>
            <a:ln>
              <a:noFill/>
            </a:ln>
            <a:effectLst/>
          </c:spPr>
          <c:invertIfNegative val="0"/>
          <c:dLbls>
            <c:delete val="1"/>
          </c:dLbls>
          <c:cat>
            <c:strRef>
              <c:f>Sheet1!$A$2:$A$3</c:f>
              <c:strCache>
                <c:ptCount val="2"/>
                <c:pt idx="0">
                  <c:v>2017一般公共预算拨款</c:v>
                </c:pt>
                <c:pt idx="1">
                  <c:v>2018一般公共预算拨款</c:v>
                </c:pt>
              </c:strCache>
            </c:strRef>
          </c:cat>
          <c:val>
            <c:numRef>
              <c:f>Sheet1!$B$2:$B$3</c:f>
              <c:numCache>
                <c:formatCode>General</c:formatCode>
                <c:ptCount val="2"/>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Sheet1!$A$2:$A$3</c:f>
              <c:strCache>
                <c:ptCount val="2"/>
                <c:pt idx="0">
                  <c:v>2017一般公共预算拨款</c:v>
                </c:pt>
                <c:pt idx="1">
                  <c:v>2018一般公共预算拨款</c:v>
                </c:pt>
              </c:strCache>
            </c:strRef>
          </c:cat>
          <c:val>
            <c:numRef>
              <c:f>Sheet1!$C$2:$C$3</c:f>
              <c:numCache>
                <c:formatCode>General</c:formatCode>
                <c:ptCount val="2"/>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Sheet1!$A$2:$A$3</c:f>
              <c:strCache>
                <c:ptCount val="2"/>
                <c:pt idx="0">
                  <c:v>2017一般公共预算拨款</c:v>
                </c:pt>
                <c:pt idx="1">
                  <c:v>2018一般公共预算拨款</c:v>
                </c:pt>
              </c:strCache>
            </c:strRef>
          </c:cat>
          <c:val>
            <c:numRef>
              <c:f>Sheet1!$D$2:$D$3</c:f>
              <c:numCache>
                <c:formatCode>General</c:formatCode>
                <c:ptCount val="2"/>
                <c:pt idx="0">
                  <c:v>928.42</c:v>
                </c:pt>
                <c:pt idx="1">
                  <c:v>1070.23</c:v>
                </c:pt>
              </c:numCache>
            </c:numRef>
          </c:val>
        </c:ser>
        <c:dLbls>
          <c:showLegendKey val="0"/>
          <c:showVal val="0"/>
          <c:showCatName val="0"/>
          <c:showSerName val="0"/>
          <c:showPercent val="0"/>
          <c:showBubbleSize val="0"/>
        </c:dLbls>
        <c:gapWidth val="150"/>
        <c:overlap val="100"/>
        <c:axId val="301658445"/>
        <c:axId val="192736197"/>
      </c:barChart>
      <c:catAx>
        <c:axId val="30165844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736197"/>
        <c:crosses val="autoZero"/>
        <c:auto val="1"/>
        <c:lblAlgn val="ctr"/>
        <c:lblOffset val="100"/>
        <c:noMultiLvlLbl val="0"/>
      </c:catAx>
      <c:valAx>
        <c:axId val="19273619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6584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cap="none" spc="20" baseline="0">
              <a:solidFill>
                <a:schemeClr val="tx1">
                  <a:lumMod val="50000"/>
                  <a:lumOff val="50000"/>
                </a:schemeClr>
              </a:solidFill>
              <a:latin typeface="+mn-lt"/>
              <a:ea typeface="+mn-ea"/>
              <a:cs typeface="+mn-cs"/>
            </a:defRPr>
          </a:pPr>
        </a:p>
      </c:txPr>
    </c:title>
    <c:autoTitleDeleted val="0"/>
    <c:plotArea>
      <c:layout/>
      <c:pieChart>
        <c:varyColors val="1"/>
        <c:ser>
          <c:idx val="0"/>
          <c:order val="0"/>
          <c:tx>
            <c:strRef>
              <c:f>Sheet1!$B$1</c:f>
              <c:strCache>
                <c:ptCount val="1"/>
                <c:pt idx="0">
                  <c:v>总收入</c:v>
                </c:pt>
              </c:strCache>
            </c:strRef>
          </c:tx>
          <c:spPr/>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一般公共预算财政拨款收入</c:v>
                </c:pt>
                <c:pt idx="1">
                  <c:v>上年结转</c:v>
                </c:pt>
              </c:strCache>
            </c:strRef>
          </c:cat>
          <c:val>
            <c:numRef>
              <c:f>Sheet1!$B$2:$B$3</c:f>
              <c:numCache>
                <c:formatCode>General</c:formatCode>
                <c:ptCount val="2"/>
                <c:pt idx="0">
                  <c:v>330.16</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1"/>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总支出</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721.24</c:v>
                </c:pt>
                <c:pt idx="1">
                  <c:v>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44575"/>
          <c:y val="0.131"/>
          <c:w val="0.927925"/>
          <c:h val="0.716566666666667"/>
        </c:manualLayout>
      </c:layout>
      <c:barChart>
        <c:barDir val="col"/>
        <c:grouping val="stacked"/>
        <c:varyColors val="0"/>
        <c:ser>
          <c:idx val="0"/>
          <c:order val="0"/>
          <c:tx>
            <c:strRef>
              <c:f>Sheet1!#REF!</c:f>
              <c:strCache>
                <c:ptCount val="1"/>
                <c:pt idx="0">
                  <c:v/>
                </c:pt>
              </c:strCache>
            </c:strRef>
          </c:tx>
          <c:spPr>
            <a:solidFill>
              <a:schemeClr val="accent1"/>
            </a:solidFill>
            <a:ln>
              <a:noFill/>
            </a:ln>
            <a:effectLst/>
          </c:spPr>
          <c:invertIfNegative val="0"/>
          <c:dLbls>
            <c:delete val="1"/>
          </c:dLbls>
          <c:cat>
            <c:strRef>
              <c:f>Sheet1!$A$2:$A$5</c:f>
              <c:strCache>
                <c:ptCount val="4"/>
                <c:pt idx="0">
                  <c:v>2017年收入</c:v>
                </c:pt>
                <c:pt idx="1">
                  <c:v>2018年收入</c:v>
                </c:pt>
                <c:pt idx="2">
                  <c:v>2017年支出</c:v>
                </c:pt>
                <c:pt idx="3">
                  <c:v>2018年支出</c:v>
                </c:pt>
              </c:strCache>
            </c:strRef>
          </c:cat>
          <c:val>
            <c:numRef>
              <c:f>Sheet1!#REF!</c:f>
              <c:numCache>
                <c:formatCode>General</c:formatCode>
                <c:ptCount val="1"/>
                <c:pt idx="0">
                  <c:v>1</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2017年收入</c:v>
                </c:pt>
                <c:pt idx="1">
                  <c:v>2018年收入</c:v>
                </c:pt>
                <c:pt idx="2">
                  <c:v>2017年支出</c:v>
                </c:pt>
                <c:pt idx="3">
                  <c:v>2018年支出</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2017年收入</c:v>
                </c:pt>
                <c:pt idx="1">
                  <c:v>2018年收入</c:v>
                </c:pt>
                <c:pt idx="2">
                  <c:v>2017年支出</c:v>
                </c:pt>
                <c:pt idx="3">
                  <c:v>2018年支出</c:v>
                </c:pt>
              </c:strCache>
            </c:strRef>
          </c:cat>
          <c:val>
            <c:numRef>
              <c:f>Sheet1!$D$2:$D$5</c:f>
              <c:numCache>
                <c:formatCode>#,##0.00</c:formatCode>
                <c:ptCount val="4"/>
                <c:pt idx="0">
                  <c:v>928.42</c:v>
                </c:pt>
                <c:pt idx="1" c:formatCode="General">
                  <c:v>1070.23</c:v>
                </c:pt>
                <c:pt idx="2" c:formatCode="General">
                  <c:v>799.87</c:v>
                </c:pt>
                <c:pt idx="3" c:formatCode="General">
                  <c:v>721.24</c:v>
                </c:pt>
              </c:numCache>
            </c:numRef>
          </c:val>
        </c:ser>
        <c:dLbls>
          <c:showLegendKey val="0"/>
          <c:showVal val="0"/>
          <c:showCatName val="0"/>
          <c:showSerName val="0"/>
          <c:showPercent val="0"/>
          <c:showBubbleSize val="0"/>
        </c:dLbls>
        <c:gapWidth val="150"/>
        <c:overlap val="100"/>
        <c:axId val="892637775"/>
        <c:axId val="527582675"/>
      </c:barChart>
      <c:catAx>
        <c:axId val="8926377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582675"/>
        <c:crosses val="autoZero"/>
        <c:auto val="1"/>
        <c:lblAlgn val="ctr"/>
        <c:lblOffset val="100"/>
        <c:noMultiLvlLbl val="0"/>
      </c:catAx>
      <c:valAx>
        <c:axId val="5275826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26377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
                </c:pt>
              </c:strCache>
            </c:strRef>
          </c:tx>
          <c:spPr>
            <a:solidFill>
              <a:schemeClr val="accent1"/>
            </a:solidFill>
            <a:ln>
              <a:noFill/>
            </a:ln>
            <a:effectLst/>
          </c:spPr>
          <c:invertIfNegative val="0"/>
          <c:dLbls>
            <c:delete val="1"/>
          </c:dLbls>
          <c:cat>
            <c:strRef>
              <c:f>Sheet1!$A$2:$A$3</c:f>
              <c:strCache>
                <c:ptCount val="2"/>
                <c:pt idx="0">
                  <c:v>2017一般公共预算拨款</c:v>
                </c:pt>
                <c:pt idx="1">
                  <c:v>2018一般公共预算拨款</c:v>
                </c:pt>
              </c:strCache>
            </c:strRef>
          </c:cat>
          <c:val>
            <c:numRef>
              <c:f>Sheet1!$B$2:$B$3</c:f>
              <c:numCache>
                <c:formatCode>General</c:formatCode>
                <c:ptCount val="2"/>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Sheet1!$A$2:$A$3</c:f>
              <c:strCache>
                <c:ptCount val="2"/>
                <c:pt idx="0">
                  <c:v>2017一般公共预算拨款</c:v>
                </c:pt>
                <c:pt idx="1">
                  <c:v>2018一般公共预算拨款</c:v>
                </c:pt>
              </c:strCache>
            </c:strRef>
          </c:cat>
          <c:val>
            <c:numRef>
              <c:f>Sheet1!$C$2:$C$3</c:f>
              <c:numCache>
                <c:formatCode>General</c:formatCode>
                <c:ptCount val="2"/>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Sheet1!$A$2:$A$3</c:f>
              <c:strCache>
                <c:ptCount val="2"/>
                <c:pt idx="0">
                  <c:v>2017一般公共预算拨款</c:v>
                </c:pt>
                <c:pt idx="1">
                  <c:v>2018一般公共预算拨款</c:v>
                </c:pt>
              </c:strCache>
            </c:strRef>
          </c:cat>
          <c:val>
            <c:numRef>
              <c:f>Sheet1!$D$2:$D$3</c:f>
              <c:numCache>
                <c:formatCode>General</c:formatCode>
                <c:ptCount val="2"/>
                <c:pt idx="0">
                  <c:v>799.87</c:v>
                </c:pt>
                <c:pt idx="1">
                  <c:v>721.24</c:v>
                </c:pt>
              </c:numCache>
            </c:numRef>
          </c:val>
        </c:ser>
        <c:dLbls>
          <c:showLegendKey val="0"/>
          <c:showVal val="0"/>
          <c:showCatName val="0"/>
          <c:showSerName val="0"/>
          <c:showPercent val="0"/>
          <c:showBubbleSize val="0"/>
        </c:dLbls>
        <c:gapWidth val="150"/>
        <c:overlap val="100"/>
        <c:axId val="301658445"/>
        <c:axId val="192736197"/>
      </c:barChart>
      <c:catAx>
        <c:axId val="30165844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736197"/>
        <c:crosses val="autoZero"/>
        <c:auto val="1"/>
        <c:lblAlgn val="ctr"/>
        <c:lblOffset val="100"/>
        <c:noMultiLvlLbl val="0"/>
      </c:catAx>
      <c:valAx>
        <c:axId val="19273619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6584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manualLayout>
          <c:layoutTarget val="inner"/>
          <c:xMode val="edge"/>
          <c:yMode val="edge"/>
          <c:x val="0.179675884626821"/>
          <c:y val="0.127247020803878"/>
          <c:w val="0.575825156110616"/>
          <c:h val="0.782266208846698"/>
        </c:manualLayout>
      </c:layout>
      <c:pieChart>
        <c:varyColors val="1"/>
        <c:ser>
          <c:idx val="0"/>
          <c:order val="0"/>
          <c:tx>
            <c:strRef>
              <c:f>Sheet1!$B$1</c:f>
              <c:strCache>
                <c:ptCount val="1"/>
                <c:pt idx="0">
                  <c:v>财政拨款支出</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教育支出</c:v>
                </c:pt>
                <c:pt idx="1">
                  <c:v>医疗卫生支出</c:v>
                </c:pt>
                <c:pt idx="2">
                  <c:v>住房保障支出</c:v>
                </c:pt>
                <c:pt idx="3">
                  <c:v>社会保障和就业</c:v>
                </c:pt>
              </c:strCache>
            </c:strRef>
          </c:cat>
          <c:val>
            <c:numRef>
              <c:f>Sheet1!$B$2:$B$5</c:f>
              <c:numCache>
                <c:formatCode>General</c:formatCode>
                <c:ptCount val="4"/>
                <c:pt idx="0">
                  <c:v>579.29</c:v>
                </c:pt>
                <c:pt idx="1">
                  <c:v>24.84</c:v>
                </c:pt>
                <c:pt idx="2">
                  <c:v>41.7</c:v>
                </c:pt>
                <c:pt idx="3">
                  <c:v>75.41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9337A9-B7E8-45CF-89B2-34C4CEDBF6ED}">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5163</Words>
  <Characters>2740</Characters>
  <Lines>22</Lines>
  <Paragraphs>15</Paragraphs>
  <TotalTime>3</TotalTime>
  <ScaleCrop>false</ScaleCrop>
  <LinksUpToDate>false</LinksUpToDate>
  <CharactersWithSpaces>7888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刘茂勇</cp:lastModifiedBy>
  <cp:lastPrinted>2019-08-01T00:48:00Z</cp:lastPrinted>
  <dcterms:modified xsi:type="dcterms:W3CDTF">2019-09-24T02:32:36Z</dcterms:modified>
  <dc:title>四川省***</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