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教育科技知识产权局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5.63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88.8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0.63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1.2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1.59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1.62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，公务用车支出决算比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2017年增减2万元，增加66.67%。公务接待</w:t>
      </w:r>
      <w:r>
        <w:rPr>
          <w:rFonts w:hint="eastAsia" w:ascii="仿宋_GB2312" w:eastAsia="仿宋_GB2312"/>
          <w:color w:val="000000"/>
          <w:sz w:val="32"/>
          <w:szCs w:val="32"/>
        </w:rPr>
        <w:t>主要原因是贯彻执行中央八项规定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，公务用车增加的原因是解决以前遗留问题。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主要用于执行公务、开展业务活动开支的交通费、住宿费、用餐费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、化解原来公务用车未付款</w:t>
      </w:r>
      <w:r>
        <w:rPr>
          <w:rFonts w:hint="eastAsia" w:ascii="仿宋_GB2312" w:eastAsia="仿宋_GB2312"/>
          <w:color w:val="000000"/>
          <w:sz w:val="32"/>
          <w:szCs w:val="32"/>
        </w:rPr>
        <w:t>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126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0.63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，上</w:t>
      </w:r>
      <w:r>
        <w:rPr>
          <w:rFonts w:hint="eastAsia" w:ascii="仿宋_GB2312" w:eastAsia="仿宋_GB2312"/>
          <w:color w:val="000000"/>
          <w:sz w:val="32"/>
          <w:szCs w:val="32"/>
        </w:rPr>
        <w:t>级来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指导工作、开展业务活动等工作餐支出0.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公务用车支出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32"/>
          <w:szCs w:val="32"/>
        </w:rPr>
        <w:t>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3EC769B2"/>
    <w:rsid w:val="48AB19DA"/>
    <w:rsid w:val="7C0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6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  <c:pt idx="3">
                  <c:v>公务用车购置及运行维护费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0.63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6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  <c:pt idx="3">
                  <c:v>公务用车购置及运行维护费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6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  <c:pt idx="3">
                  <c:v>公务用车购置及运行维护费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寻觅你</cp:lastModifiedBy>
  <dcterms:modified xsi:type="dcterms:W3CDTF">2019-09-23T09:00:53Z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