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78441"/>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06268"/>
      <w:bookmarkStart w:id="9" w:name="_Toc15396476"/>
      <w:bookmarkStart w:id="10" w:name="_Toc15377194"/>
      <w:bookmarkStart w:id="11" w:name="_Toc15396598"/>
      <w:r>
        <w:rPr>
          <w:rFonts w:hint="eastAsia" w:ascii="方正小标宋简体" w:hAnsi="宋体" w:eastAsia="方正小标宋简体"/>
          <w:color w:val="000000"/>
          <w:sz w:val="72"/>
          <w:szCs w:val="72"/>
        </w:rPr>
        <w:t>四川省达州市开江县</w:t>
      </w:r>
      <w:r>
        <w:rPr>
          <w:rFonts w:hint="eastAsia" w:ascii="方正小标宋简体" w:hAnsi="宋体" w:eastAsia="方正小标宋简体"/>
          <w:color w:val="000000"/>
          <w:sz w:val="72"/>
          <w:szCs w:val="72"/>
          <w:lang w:val="en-US" w:eastAsia="zh-CN"/>
        </w:rPr>
        <w:t>示范幼儿园</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公开时间：2019年9月20日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12</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19</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bookmarkEnd w:id="16"/>
    <w:bookmarkEnd w:id="17"/>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开江县示范幼儿园是一所坐落于开江县新宁镇</w:t>
      </w:r>
      <w:r>
        <w:rPr>
          <w:rFonts w:hint="eastAsia" w:ascii="仿宋" w:hAnsi="仿宋" w:eastAsia="仿宋"/>
          <w:bCs/>
          <w:color w:val="000000"/>
          <w:sz w:val="32"/>
          <w:szCs w:val="32"/>
          <w:lang w:eastAsia="zh-CN"/>
        </w:rPr>
        <w:t>门</w:t>
      </w:r>
      <w:r>
        <w:rPr>
          <w:rFonts w:hint="eastAsia" w:ascii="仿宋" w:hAnsi="仿宋" w:eastAsia="仿宋"/>
          <w:bCs/>
          <w:color w:val="000000"/>
          <w:sz w:val="32"/>
          <w:szCs w:val="32"/>
        </w:rPr>
        <w:t>池街90号，占地面积9.5亩，建筑面积6327平方米的公办省级示范幼儿园。</w:t>
      </w:r>
      <w:r>
        <w:rPr>
          <w:rFonts w:hint="eastAsia" w:ascii="仿宋_GB2312" w:hAnsi="Calibri" w:eastAsia="仿宋_GB2312"/>
          <w:sz w:val="30"/>
          <w:szCs w:val="30"/>
        </w:rPr>
        <w:t>为辖区内3-6周岁幼儿提供优质早期教育。秉持“让孩子有一颗感恩的心，呵护大自然，玩中学，乐中学，培养孩子良好行为习惯和开发孩子的智力，在运动中增强体质“的办园理念开展幼儿园教育教学活动。承担全县幼儿教育示范引领作用，防止幼儿园教育小学化。</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lang w:eastAsia="zh-CN"/>
        </w:rPr>
        <w:t>幼儿园</w:t>
      </w:r>
      <w:r>
        <w:rPr>
          <w:rFonts w:hint="eastAsia"/>
          <w:bCs/>
          <w:color w:val="000000"/>
          <w:sz w:val="32"/>
          <w:szCs w:val="32"/>
        </w:rPr>
        <w:t>全面贯彻党的教育方针政策，加强教师队伍建设，加强党的建设，加强</w:t>
      </w:r>
      <w:r>
        <w:rPr>
          <w:rFonts w:hint="eastAsia"/>
          <w:bCs/>
          <w:color w:val="000000"/>
          <w:sz w:val="32"/>
          <w:szCs w:val="32"/>
          <w:lang w:eastAsia="zh-CN"/>
        </w:rPr>
        <w:t>幼儿</w:t>
      </w:r>
      <w:r>
        <w:rPr>
          <w:rFonts w:hint="eastAsia"/>
          <w:bCs/>
          <w:color w:val="000000"/>
          <w:sz w:val="32"/>
          <w:szCs w:val="32"/>
        </w:rPr>
        <w:t>教育</w:t>
      </w:r>
      <w:r>
        <w:rPr>
          <w:rFonts w:hint="eastAsia"/>
          <w:bCs/>
          <w:color w:val="000000"/>
          <w:sz w:val="32"/>
          <w:szCs w:val="32"/>
          <w:lang w:eastAsia="zh-CN"/>
        </w:rPr>
        <w:t>规范</w:t>
      </w:r>
      <w:r>
        <w:rPr>
          <w:rFonts w:hint="eastAsia"/>
          <w:bCs/>
          <w:color w:val="000000"/>
          <w:sz w:val="32"/>
          <w:szCs w:val="32"/>
        </w:rPr>
        <w:t>发展建设，提升</w:t>
      </w:r>
      <w:r>
        <w:rPr>
          <w:rFonts w:hint="eastAsia"/>
          <w:bCs/>
          <w:color w:val="000000"/>
          <w:sz w:val="32"/>
          <w:szCs w:val="32"/>
          <w:lang w:eastAsia="zh-CN"/>
        </w:rPr>
        <w:t>保</w:t>
      </w:r>
      <w:r>
        <w:rPr>
          <w:rFonts w:hint="eastAsia"/>
          <w:bCs/>
          <w:color w:val="000000"/>
          <w:sz w:val="32"/>
          <w:szCs w:val="32"/>
        </w:rPr>
        <w:t>教质量，办人民满意</w:t>
      </w:r>
      <w:r>
        <w:rPr>
          <w:rFonts w:hint="eastAsia"/>
          <w:bCs/>
          <w:color w:val="000000"/>
          <w:sz w:val="32"/>
          <w:szCs w:val="32"/>
          <w:lang w:eastAsia="zh-CN"/>
        </w:rPr>
        <w:t>的幼儿</w:t>
      </w:r>
      <w:r>
        <w:rPr>
          <w:rFonts w:hint="eastAsia"/>
          <w:bCs/>
          <w:color w:val="000000"/>
          <w:sz w:val="32"/>
          <w:szCs w:val="32"/>
        </w:rPr>
        <w:t>教育。</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color w:val="000000" w:themeColor="text1"/>
          <w:sz w:val="32"/>
          <w:szCs w:val="32"/>
          <w14:textFill>
            <w14:solidFill>
              <w14:schemeClr w14:val="tx1"/>
            </w14:solidFill>
          </w14:textFill>
        </w:rPr>
      </w:pPr>
      <w:r>
        <w:rPr>
          <w:rFonts w:hint="eastAsia" w:ascii="方正仿宋简体" w:hAnsi="方正仿宋简体" w:eastAsia="方正仿宋简体" w:cs="方正仿宋简体"/>
          <w:sz w:val="32"/>
          <w:szCs w:val="32"/>
        </w:rPr>
        <w:t>开江县</w:t>
      </w:r>
      <w:r>
        <w:rPr>
          <w:rFonts w:hint="eastAsia" w:ascii="方正仿宋简体" w:hAnsi="方正仿宋简体" w:eastAsia="方正仿宋简体" w:cs="方正仿宋简体"/>
          <w:sz w:val="32"/>
          <w:szCs w:val="32"/>
          <w:lang w:eastAsia="zh-CN"/>
        </w:rPr>
        <w:t>示范幼儿园</w:t>
      </w:r>
      <w:r>
        <w:rPr>
          <w:rFonts w:hint="eastAsia" w:ascii="方正仿宋简体" w:hAnsi="方正仿宋简体" w:eastAsia="方正仿宋简体" w:cs="方正仿宋简体"/>
          <w:sz w:val="32"/>
          <w:szCs w:val="32"/>
        </w:rPr>
        <w:t>具有独立编制和独立核算的机构1个。</w:t>
      </w:r>
      <w:r>
        <w:rPr>
          <w:rFonts w:hint="eastAsia" w:ascii="方正仿宋简体" w:hAnsi="方正仿宋简体" w:eastAsia="方正仿宋简体" w:cs="方正仿宋简体"/>
          <w:color w:val="000000" w:themeColor="text1"/>
          <w:sz w:val="32"/>
          <w:szCs w:val="32"/>
          <w14:textFill>
            <w14:solidFill>
              <w14:schemeClr w14:val="tx1"/>
            </w14:solidFill>
          </w14:textFill>
        </w:rPr>
        <w:t>教学班</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13</w:t>
      </w:r>
      <w:r>
        <w:rPr>
          <w:rFonts w:hint="eastAsia" w:ascii="方正仿宋简体" w:hAnsi="方正仿宋简体" w:eastAsia="方正仿宋简体" w:cs="方正仿宋简体"/>
          <w:color w:val="000000" w:themeColor="text1"/>
          <w:sz w:val="32"/>
          <w:szCs w:val="32"/>
          <w14:textFill>
            <w14:solidFill>
              <w14:schemeClr w14:val="tx1"/>
            </w14:solidFill>
          </w14:textFill>
        </w:rPr>
        <w:t>个，学生数</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455</w:t>
      </w:r>
      <w:r>
        <w:rPr>
          <w:rFonts w:hint="eastAsia" w:ascii="方正仿宋简体" w:hAnsi="方正仿宋简体" w:eastAsia="方正仿宋简体" w:cs="方正仿宋简体"/>
          <w:color w:val="000000" w:themeColor="text1"/>
          <w:sz w:val="32"/>
          <w:szCs w:val="32"/>
          <w14:textFill>
            <w14:solidFill>
              <w14:schemeClr w14:val="tx1"/>
            </w14:solidFill>
          </w14:textFill>
        </w:rPr>
        <w:t>人，定编教职工</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48</w:t>
      </w:r>
      <w:r>
        <w:rPr>
          <w:rFonts w:hint="eastAsia" w:ascii="方正仿宋简体" w:hAnsi="方正仿宋简体" w:eastAsia="方正仿宋简体" w:cs="方正仿宋简体"/>
          <w:color w:val="000000" w:themeColor="text1"/>
          <w:sz w:val="32"/>
          <w:szCs w:val="32"/>
          <w14:textFill>
            <w14:solidFill>
              <w14:schemeClr w14:val="tx1"/>
            </w14:solidFill>
          </w14:textFill>
        </w:rPr>
        <w:t>人。</w:t>
      </w:r>
    </w:p>
    <w:p>
      <w:pPr>
        <w:widowControl/>
        <w:jc w:val="left"/>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520.70</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16.83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val="0"/>
          <w:bCs w:val="0"/>
          <w:color w:val="000000" w:themeColor="text1"/>
          <w:sz w:val="32"/>
          <w:szCs w:val="32"/>
          <w14:textFill>
            <w14:solidFill>
              <w14:schemeClr w14:val="tx1"/>
            </w14:solidFill>
          </w14:textFill>
        </w:rPr>
        <w:t>主要变动原因是人员增加。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420" w:firstLineChars="200"/>
        <w:jc w:val="left"/>
        <w:rPr>
          <w:rFonts w:ascii="仿宋_GB2312" w:eastAsia="仿宋_GB2312"/>
          <w:color w:val="000000"/>
          <w:sz w:val="32"/>
          <w:szCs w:val="32"/>
        </w:rPr>
      </w:pPr>
      <w:r>
        <w:rPr>
          <w:rFonts w:hint="eastAsia" w:eastAsiaTheme="minorEastAsia"/>
          <w:lang w:eastAsia="zh-CN"/>
        </w:rPr>
        <w:drawing>
          <wp:anchor distT="0" distB="0" distL="114300" distR="114300" simplePos="0" relativeHeight="251672576" behindDoc="0" locked="0" layoutInCell="1" allowOverlap="1">
            <wp:simplePos x="0" y="0"/>
            <wp:positionH relativeFrom="column">
              <wp:posOffset>128270</wp:posOffset>
            </wp:positionH>
            <wp:positionV relativeFrom="paragraph">
              <wp:posOffset>252095</wp:posOffset>
            </wp:positionV>
            <wp:extent cx="5080000" cy="329565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520.70</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520.70</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29" o:spid="_x0000_s1029" o:spt="75" type="#_x0000_t75" style="position:absolute;left:0pt;margin-left:-45.75pt;margin-top:24.65pt;height:301.8pt;width:517.65pt;z-index:251661312;mso-width-relative:page;mso-height-relative:page;" o:ole="t" filled="f" o:preferrelative="t" stroked="f" coordsize="21600,21600">
            <v:path/>
            <v:fill on="f" focussize="0,0"/>
            <v:stroke on="f" joinstyle="miter"/>
            <v:imagedata r:id="rId12" o:title=""/>
            <o:lock v:ext="edit" aspectratio="t"/>
          </v:shape>
          <o:OLEObject Type="Embed" ProgID="Excel.Sheet.8" ShapeID="_x0000_s1029" DrawAspect="Content" ObjectID="_1468075725" r:id="rId11">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520.70</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520.70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420" w:firstLineChars="200"/>
        <w:rPr>
          <w:rFonts w:ascii="仿宋_GB2312" w:eastAsia="仿宋_GB2312"/>
          <w:color w:val="FF0000"/>
          <w:sz w:val="32"/>
          <w:szCs w:val="32"/>
        </w:rPr>
      </w:pPr>
      <w:r>
        <w:rPr>
          <w:rFonts w:hint="eastAsia" w:eastAsiaTheme="minorEastAsia"/>
          <w:lang w:eastAsia="zh-CN"/>
        </w:rPr>
        <w:drawing>
          <wp:anchor distT="0" distB="0" distL="114300" distR="114300" simplePos="0" relativeHeight="251673600" behindDoc="0" locked="0" layoutInCell="1" allowOverlap="1">
            <wp:simplePos x="0" y="0"/>
            <wp:positionH relativeFrom="column">
              <wp:posOffset>99695</wp:posOffset>
            </wp:positionH>
            <wp:positionV relativeFrom="paragraph">
              <wp:posOffset>23495</wp:posOffset>
            </wp:positionV>
            <wp:extent cx="5080000" cy="2686685"/>
            <wp:effectExtent l="4445" t="4445" r="20955" b="1397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520.70</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hint="eastAsia" w:ascii="仿宋" w:hAnsi="仿宋" w:eastAsia="仿宋"/>
          <w:color w:val="000000"/>
          <w:sz w:val="32"/>
          <w:szCs w:val="32"/>
          <w:lang w:val="en-US" w:eastAsia="zh-CN"/>
        </w:rPr>
        <w:t>16.83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9.6</w:t>
      </w:r>
      <w:r>
        <w:rPr>
          <w:rFonts w:ascii="仿宋" w:hAnsi="仿宋" w:eastAsia="仿宋"/>
          <w:color w:val="000000"/>
          <w:sz w:val="32"/>
          <w:szCs w:val="32"/>
        </w:rPr>
        <w:t>%</w:t>
      </w:r>
      <w:r>
        <w:rPr>
          <w:rFonts w:hint="eastAsia" w:ascii="仿宋" w:hAnsi="仿宋" w:eastAsia="仿宋"/>
          <w:color w:val="000000"/>
          <w:sz w:val="32"/>
          <w:szCs w:val="32"/>
        </w:rPr>
        <w:t>。主要变动原因是人员增加。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rPr>
          <w:rFonts w:hint="eastAsia" w:eastAsiaTheme="minorEastAsia"/>
          <w:lang w:eastAsia="zh-CN"/>
        </w:rPr>
        <w:drawing>
          <wp:anchor distT="0" distB="0" distL="114300" distR="114300" simplePos="0" relativeHeight="251674624" behindDoc="0" locked="0" layoutInCell="1" allowOverlap="1">
            <wp:simplePos x="0" y="0"/>
            <wp:positionH relativeFrom="column">
              <wp:posOffset>99695</wp:posOffset>
            </wp:positionH>
            <wp:positionV relativeFrom="paragraph">
              <wp:posOffset>60960</wp:posOffset>
            </wp:positionV>
            <wp:extent cx="5080000" cy="3296285"/>
            <wp:effectExtent l="4445" t="4445" r="20955" b="1397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520.70</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16.83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9.6</w:t>
      </w:r>
      <w:r>
        <w:rPr>
          <w:rFonts w:ascii="仿宋" w:hAnsi="仿宋" w:eastAsia="仿宋"/>
          <w:color w:val="000000"/>
          <w:sz w:val="32"/>
          <w:szCs w:val="32"/>
        </w:rPr>
        <w:t>%</w:t>
      </w:r>
      <w:r>
        <w:rPr>
          <w:rFonts w:hint="eastAsia" w:ascii="仿宋" w:hAnsi="仿宋" w:eastAsia="仿宋"/>
          <w:color w:val="000000"/>
          <w:sz w:val="32"/>
          <w:szCs w:val="32"/>
        </w:rPr>
        <w:t>。主要变动原因是人员增加。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rPr>
          <w:rFonts w:hint="eastAsia" w:eastAsiaTheme="minorEastAsia"/>
          <w:lang w:eastAsia="zh-CN"/>
        </w:rPr>
        <w:drawing>
          <wp:anchor distT="0" distB="0" distL="114300" distR="114300" simplePos="0" relativeHeight="251675648" behindDoc="0" locked="0" layoutInCell="1" allowOverlap="1">
            <wp:simplePos x="0" y="0"/>
            <wp:positionH relativeFrom="column">
              <wp:posOffset>213995</wp:posOffset>
            </wp:positionH>
            <wp:positionV relativeFrom="paragraph">
              <wp:posOffset>50800</wp:posOffset>
            </wp:positionV>
            <wp:extent cx="5080000" cy="2973070"/>
            <wp:effectExtent l="4445" t="4445" r="20955" b="1333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520.70</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398.56万元，占</w:t>
      </w:r>
      <w:r>
        <w:rPr>
          <w:rFonts w:hint="eastAsia" w:ascii="仿宋" w:hAnsi="仿宋" w:eastAsia="仿宋"/>
          <w:color w:val="000000" w:themeColor="text1"/>
          <w:sz w:val="32"/>
          <w:szCs w:val="32"/>
          <w:lang w:val="en-US" w:eastAsia="zh-CN"/>
          <w14:textFill>
            <w14:solidFill>
              <w14:schemeClr w14:val="tx1"/>
            </w14:solidFill>
          </w14:textFill>
        </w:rPr>
        <w:t>76.5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支出66.23万元，占</w:t>
      </w:r>
      <w:r>
        <w:rPr>
          <w:rFonts w:hint="eastAsia" w:ascii="仿宋" w:hAnsi="仿宋" w:eastAsia="仿宋"/>
          <w:color w:val="000000" w:themeColor="text1"/>
          <w:sz w:val="32"/>
          <w:szCs w:val="32"/>
          <w:lang w:val="en-US" w:eastAsia="zh-CN"/>
          <w14:textFill>
            <w14:solidFill>
              <w14:schemeClr w14:val="tx1"/>
            </w14:solidFill>
          </w14:textFill>
        </w:rPr>
        <w:t>12.7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；医疗卫生支出19.82万元，占</w:t>
      </w:r>
      <w:r>
        <w:rPr>
          <w:rFonts w:hint="eastAsia" w:ascii="仿宋" w:hAnsi="仿宋" w:eastAsia="仿宋"/>
          <w:color w:val="000000" w:themeColor="text1"/>
          <w:sz w:val="32"/>
          <w:szCs w:val="32"/>
          <w:lang w:val="en-US" w:eastAsia="zh-CN"/>
          <w14:textFill>
            <w14:solidFill>
              <w14:schemeClr w14:val="tx1"/>
            </w14:solidFill>
          </w14:textFill>
        </w:rPr>
        <w:t>3.8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；住房保障支出36.1万元，占</w:t>
      </w:r>
      <w:r>
        <w:rPr>
          <w:rFonts w:hint="eastAsia" w:ascii="仿宋" w:hAnsi="仿宋" w:eastAsia="仿宋"/>
          <w:color w:val="000000" w:themeColor="text1"/>
          <w:sz w:val="32"/>
          <w:szCs w:val="32"/>
          <w:lang w:val="en-US" w:eastAsia="zh-CN"/>
          <w14:textFill>
            <w14:solidFill>
              <w14:schemeClr w14:val="tx1"/>
            </w14:solidFill>
          </w14:textFill>
        </w:rPr>
        <w:t>6.9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420" w:firstLineChars="200"/>
        <w:rPr>
          <w:rFonts w:ascii="仿宋" w:hAnsi="仿宋" w:eastAsia="仿宋"/>
          <w:color w:val="000000"/>
          <w:sz w:val="32"/>
          <w:szCs w:val="32"/>
        </w:rPr>
      </w:pPr>
      <w:r>
        <w:rPr>
          <w:rFonts w:hint="eastAsia" w:eastAsiaTheme="minorEastAsia"/>
          <w:lang w:eastAsia="zh-CN"/>
        </w:rPr>
        <w:drawing>
          <wp:anchor distT="0" distB="0" distL="114300" distR="114300" simplePos="0" relativeHeight="251676672" behindDoc="0" locked="0" layoutInCell="1" allowOverlap="1">
            <wp:simplePos x="0" y="0"/>
            <wp:positionH relativeFrom="column">
              <wp:posOffset>130175</wp:posOffset>
            </wp:positionH>
            <wp:positionV relativeFrom="paragraph">
              <wp:posOffset>55245</wp:posOffset>
            </wp:positionV>
            <wp:extent cx="5080000" cy="2903855"/>
            <wp:effectExtent l="6350" t="6350" r="19050" b="2349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color w:val="000000"/>
          <w:sz w:val="32"/>
          <w:szCs w:val="32"/>
          <w:lang w:val="en-US" w:eastAsia="zh-CN"/>
        </w:rPr>
        <w:t>520.70</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398.56</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机关事业单位基本养老保险</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66.23</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事业单位医疗保险</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19.82</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4.住房公积金：</w:t>
      </w:r>
      <w:r>
        <w:rPr>
          <w:rFonts w:hint="eastAsia" w:ascii="仿宋" w:hAnsi="仿宋" w:eastAsia="仿宋"/>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36.1</w:t>
      </w:r>
      <w:r>
        <w:rPr>
          <w:rFonts w:hint="eastAsia" w:ascii="仿宋" w:hAnsi="仿宋" w:eastAsia="仿宋"/>
          <w:color w:val="000000"/>
          <w:sz w:val="32"/>
          <w:szCs w:val="32"/>
        </w:rPr>
        <w:t>万元，完成预算100%。</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8年一般公共预算财政拨款基本支出369.87万元，其中：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themeColor="text1"/>
          <w:sz w:val="32"/>
          <w:szCs w:val="32"/>
          <w14:textFill>
            <w14:solidFill>
              <w14:schemeClr w14:val="tx1"/>
            </w14:solidFill>
          </w14:textFill>
        </w:rPr>
        <w:t>398.56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41.34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8年“三公”经费财政拨款支出决算为0.4</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；公务接待费支出决算0.4</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eastAsiaTheme="minorEastAsia"/>
          <w:lang w:eastAsia="zh-CN"/>
        </w:rPr>
        <w:drawing>
          <wp:anchor distT="0" distB="0" distL="114300" distR="114300" simplePos="0" relativeHeight="251677696" behindDoc="0" locked="0" layoutInCell="1" allowOverlap="1">
            <wp:simplePos x="0" y="0"/>
            <wp:positionH relativeFrom="column">
              <wp:posOffset>106045</wp:posOffset>
            </wp:positionH>
            <wp:positionV relativeFrom="paragraph">
              <wp:posOffset>99060</wp:posOffset>
            </wp:positionV>
            <wp:extent cx="5080000" cy="3315335"/>
            <wp:effectExtent l="4445" t="4445" r="20955" b="1397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0.4</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7年减少0.0</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。主要原因是贯彻执行中央八项规定。</w:t>
      </w:r>
    </w:p>
    <w:p>
      <w:pPr>
        <w:numPr>
          <w:ilvl w:val="0"/>
          <w:numId w:val="2"/>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125</w:t>
      </w:r>
      <w:r>
        <w:rPr>
          <w:rFonts w:hint="eastAsia" w:ascii="仿宋_GB2312" w:eastAsia="仿宋_GB2312"/>
          <w:color w:val="000000"/>
          <w:sz w:val="32"/>
          <w:szCs w:val="32"/>
        </w:rPr>
        <w:t>人次（不包括陪同人员），共计支出0.4</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万元，具体内容包括：级来校指导工作、开展业务活动等工作餐支出0.4</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p>
    <w:p>
      <w:pPr>
        <w:spacing w:line="600" w:lineRule="exact"/>
        <w:ind w:firstLine="640"/>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bookmarkStart w:id="75" w:name="_GoBack"/>
      <w:bookmarkEnd w:id="7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3"/>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根据预算绩效管理要求，本部门按要求对2018年部门整体支出开展绩效自评，从评价情况来看全面完成了预算执行，达到了预期效果。</w:t>
      </w:r>
      <w:r>
        <w:rPr>
          <w:rFonts w:ascii="仿宋_GB2312" w:hAnsi="仿宋_GB2312" w:eastAsia="仿宋_GB2312" w:cs="仿宋_GB2312"/>
          <w:sz w:val="32"/>
          <w:szCs w:val="32"/>
        </w:rPr>
        <w:t xml:space="preserve"> </w:t>
      </w:r>
    </w:p>
    <w:p>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本单位2018年度无项目执行情况。</w:t>
      </w: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本部门按要求对2018年部门整体支出绩效评价情况开展自评，《开江县</w:t>
      </w:r>
      <w:r>
        <w:rPr>
          <w:rFonts w:hint="eastAsia" w:ascii="仿宋_GB2312" w:hAnsi="仿宋_GB2312" w:eastAsia="仿宋_GB2312" w:cs="仿宋_GB2312"/>
          <w:sz w:val="32"/>
          <w:szCs w:val="32"/>
          <w:lang w:eastAsia="zh-CN"/>
        </w:rPr>
        <w:t>示范幼儿园</w:t>
      </w:r>
      <w:r>
        <w:rPr>
          <w:rFonts w:hint="eastAsia" w:ascii="仿宋_GB2312" w:hAnsi="仿宋_GB2312" w:eastAsia="仿宋_GB2312" w:cs="仿宋_GB2312"/>
          <w:sz w:val="32"/>
          <w:szCs w:val="32"/>
        </w:rPr>
        <w:t>小学2018年部门整体支出绩效评价报告》见附件。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8年，本</w:t>
      </w:r>
      <w:r>
        <w:rPr>
          <w:rFonts w:ascii="仿宋_GB2312" w:eastAsia="仿宋_GB2312"/>
          <w:color w:val="000000"/>
          <w:sz w:val="32"/>
          <w:szCs w:val="32"/>
        </w:rPr>
        <w:t>单位无此项支出</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日，本单位无国有资产占有使用情况。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96613"/>
      <w:bookmarkStart w:id="56" w:name="_Toc15377225"/>
    </w:p>
    <w:p>
      <w:pPr>
        <w:autoSpaceDE w:val="0"/>
        <w:autoSpaceDN w:val="0"/>
        <w:adjustRightInd w:val="0"/>
        <w:spacing w:line="600" w:lineRule="exact"/>
        <w:ind w:firstLine="883" w:firstLineChars="200"/>
        <w:jc w:val="left"/>
        <w:outlineLvl w:val="2"/>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rPr>
      </w:pPr>
      <w:bookmarkStart w:id="60" w:name="_Toc15396616"/>
      <w:r>
        <w:rPr>
          <w:rFonts w:hint="eastAsia" w:ascii="黑体" w:hAnsi="黑体" w:eastAsia="黑体" w:cs="方正小标宋简体"/>
          <w:sz w:val="36"/>
          <w:szCs w:val="36"/>
        </w:rPr>
        <w:t>开江县</w:t>
      </w:r>
      <w:r>
        <w:rPr>
          <w:rFonts w:hint="eastAsia" w:ascii="黑体" w:hAnsi="黑体" w:eastAsia="黑体" w:cs="方正小标宋简体"/>
          <w:sz w:val="36"/>
          <w:szCs w:val="36"/>
          <w:lang w:eastAsia="zh-CN"/>
        </w:rPr>
        <w:t>示范幼儿园</w:t>
      </w:r>
      <w:r>
        <w:rPr>
          <w:rFonts w:hint="eastAsia" w:ascii="黑体" w:hAnsi="黑体" w:eastAsia="黑体" w:cs="方正小标宋简体"/>
          <w:sz w:val="36"/>
          <w:szCs w:val="36"/>
        </w:rPr>
        <w:t>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widowControl/>
        <w:spacing w:line="480" w:lineRule="auto"/>
        <w:ind w:firstLine="480"/>
        <w:rPr>
          <w:rFonts w:ascii="宋体" w:hAnsi="宋体" w:cs="宋体"/>
          <w:color w:val="333333"/>
          <w:kern w:val="0"/>
          <w:sz w:val="28"/>
          <w:szCs w:val="28"/>
          <w:lang w:val="en"/>
        </w:rPr>
      </w:pPr>
      <w:r>
        <w:rPr>
          <w:rFonts w:hint="eastAsia" w:ascii="宋体" w:hAnsi="宋体" w:cs="宋体"/>
          <w:color w:val="333333"/>
          <w:kern w:val="0"/>
          <w:sz w:val="28"/>
          <w:szCs w:val="28"/>
          <w:lang w:val="en"/>
        </w:rPr>
        <w:t>我校是一所</w:t>
      </w:r>
      <w:r>
        <w:rPr>
          <w:rFonts w:hint="eastAsia" w:ascii="宋体" w:hAnsi="宋体" w:cs="宋体"/>
          <w:color w:val="333333"/>
          <w:kern w:val="0"/>
          <w:sz w:val="28"/>
          <w:szCs w:val="28"/>
          <w:lang w:val="en" w:eastAsia="zh-CN"/>
        </w:rPr>
        <w:t>城镇公立幼儿园</w:t>
      </w:r>
      <w:r>
        <w:rPr>
          <w:rFonts w:hint="eastAsia" w:ascii="宋体" w:hAnsi="宋体" w:cs="宋体"/>
          <w:color w:val="333333"/>
          <w:kern w:val="0"/>
          <w:sz w:val="28"/>
          <w:szCs w:val="28"/>
          <w:lang w:val="en"/>
        </w:rPr>
        <w:t>，创办于1952年9月，</w:t>
      </w:r>
      <w:r>
        <w:rPr>
          <w:rFonts w:hint="eastAsia" w:ascii="宋体" w:hAnsi="宋体" w:cs="宋体"/>
          <w:color w:val="333333"/>
          <w:kern w:val="0"/>
          <w:sz w:val="28"/>
          <w:szCs w:val="28"/>
          <w:lang w:val="en" w:eastAsia="zh-CN"/>
        </w:rPr>
        <w:t>开江县新宁镇龙门街</w:t>
      </w:r>
      <w:r>
        <w:rPr>
          <w:rFonts w:hint="eastAsia" w:ascii="宋体" w:hAnsi="宋体" w:cs="宋体"/>
          <w:color w:val="333333"/>
          <w:kern w:val="0"/>
          <w:sz w:val="28"/>
          <w:szCs w:val="28"/>
          <w:lang w:val="en-US" w:eastAsia="zh-CN"/>
        </w:rPr>
        <w:t>90号</w:t>
      </w:r>
      <w:r>
        <w:rPr>
          <w:rFonts w:hint="eastAsia" w:ascii="宋体" w:hAnsi="宋体" w:cs="宋体"/>
          <w:color w:val="333333"/>
          <w:kern w:val="0"/>
          <w:sz w:val="28"/>
          <w:szCs w:val="28"/>
          <w:lang w:val="en"/>
        </w:rPr>
        <w:t>，辖区目前有</w:t>
      </w:r>
      <w:r>
        <w:rPr>
          <w:rFonts w:hint="eastAsia" w:ascii="宋体" w:hAnsi="宋体" w:cs="宋体"/>
          <w:color w:val="333333"/>
          <w:kern w:val="0"/>
          <w:sz w:val="28"/>
          <w:szCs w:val="28"/>
          <w:lang w:val="en-US" w:eastAsia="zh-CN"/>
        </w:rPr>
        <w:t>7个社区</w:t>
      </w:r>
      <w:r>
        <w:rPr>
          <w:rFonts w:hint="eastAsia" w:ascii="宋体" w:hAnsi="宋体" w:cs="宋体"/>
          <w:color w:val="333333"/>
          <w:kern w:val="0"/>
          <w:sz w:val="28"/>
          <w:szCs w:val="28"/>
          <w:lang w:val="en"/>
        </w:rPr>
        <w:t>。</w:t>
      </w:r>
    </w:p>
    <w:p>
      <w:pPr>
        <w:widowControl/>
        <w:spacing w:line="480" w:lineRule="auto"/>
        <w:ind w:firstLine="480"/>
        <w:rPr>
          <w:rFonts w:hint="eastAsia" w:ascii="宋体" w:hAnsi="宋体" w:cs="宋体"/>
          <w:color w:val="333333"/>
          <w:kern w:val="0"/>
          <w:sz w:val="28"/>
          <w:szCs w:val="28"/>
          <w:lang w:val="en"/>
        </w:rPr>
      </w:pPr>
      <w:r>
        <w:rPr>
          <w:rFonts w:hint="eastAsia" w:ascii="宋体" w:hAnsi="宋体" w:cs="宋体"/>
          <w:color w:val="333333"/>
          <w:kern w:val="0"/>
          <w:sz w:val="28"/>
          <w:szCs w:val="28"/>
          <w:lang w:val="en"/>
        </w:rPr>
        <w:t>单位职责主要是</w:t>
      </w:r>
      <w:r>
        <w:rPr>
          <w:rFonts w:hint="eastAsia" w:ascii="宋体" w:hAnsi="宋体" w:cs="宋体"/>
          <w:color w:val="333333"/>
          <w:kern w:val="0"/>
          <w:sz w:val="28"/>
          <w:szCs w:val="28"/>
          <w:lang w:val="en" w:eastAsia="zh-CN"/>
        </w:rPr>
        <w:t>学前保育</w:t>
      </w:r>
      <w:r>
        <w:rPr>
          <w:rFonts w:hint="eastAsia" w:ascii="宋体" w:hAnsi="宋体" w:cs="宋体"/>
          <w:color w:val="333333"/>
          <w:kern w:val="0"/>
          <w:sz w:val="28"/>
          <w:szCs w:val="28"/>
          <w:lang w:val="en"/>
        </w:rPr>
        <w:t>教育，促进</w:t>
      </w:r>
      <w:r>
        <w:rPr>
          <w:rFonts w:hint="eastAsia" w:ascii="宋体" w:hAnsi="宋体" w:cs="宋体"/>
          <w:color w:val="333333"/>
          <w:kern w:val="0"/>
          <w:sz w:val="28"/>
          <w:szCs w:val="28"/>
          <w:lang w:val="en" w:eastAsia="zh-CN"/>
        </w:rPr>
        <w:t>幼儿</w:t>
      </w:r>
      <w:r>
        <w:rPr>
          <w:rFonts w:hint="eastAsia" w:ascii="宋体" w:hAnsi="宋体" w:cs="宋体"/>
          <w:color w:val="333333"/>
          <w:kern w:val="0"/>
          <w:sz w:val="28"/>
          <w:szCs w:val="28"/>
          <w:lang w:val="en"/>
        </w:rPr>
        <w:t>教育事业发展。</w:t>
      </w:r>
    </w:p>
    <w:p>
      <w:pPr>
        <w:widowControl/>
        <w:spacing w:line="480" w:lineRule="auto"/>
        <w:ind w:firstLine="480"/>
        <w:rPr>
          <w:rFonts w:ascii="宋体" w:hAnsi="宋体" w:cs="宋体"/>
          <w:color w:val="333333"/>
          <w:kern w:val="0"/>
          <w:sz w:val="28"/>
          <w:szCs w:val="28"/>
          <w:lang w:val="en"/>
        </w:rPr>
      </w:pPr>
      <w:r>
        <w:rPr>
          <w:rFonts w:hint="eastAsia" w:ascii="宋体" w:hAnsi="宋体" w:cs="宋体"/>
          <w:color w:val="333333"/>
          <w:kern w:val="0"/>
          <w:sz w:val="28"/>
          <w:szCs w:val="28"/>
          <w:lang w:val="en"/>
        </w:rPr>
        <w:t>我</w:t>
      </w:r>
      <w:r>
        <w:rPr>
          <w:rFonts w:hint="eastAsia" w:ascii="宋体" w:hAnsi="宋体" w:cs="宋体"/>
          <w:color w:val="333333"/>
          <w:kern w:val="0"/>
          <w:sz w:val="28"/>
          <w:szCs w:val="28"/>
          <w:lang w:val="en" w:eastAsia="zh-CN"/>
        </w:rPr>
        <w:t>园</w:t>
      </w:r>
      <w:r>
        <w:rPr>
          <w:rFonts w:hint="eastAsia" w:ascii="宋体" w:hAnsi="宋体" w:cs="宋体"/>
          <w:color w:val="333333"/>
          <w:kern w:val="0"/>
          <w:sz w:val="28"/>
          <w:szCs w:val="28"/>
          <w:lang w:val="en"/>
        </w:rPr>
        <w:t>是独立核算的财政全额拨款事业单位，执行事业单位会计制度，编制部门给我</w:t>
      </w:r>
      <w:r>
        <w:rPr>
          <w:rFonts w:hint="eastAsia" w:ascii="宋体" w:hAnsi="宋体" w:cs="宋体"/>
          <w:color w:val="333333"/>
          <w:kern w:val="0"/>
          <w:sz w:val="28"/>
          <w:szCs w:val="28"/>
          <w:lang w:val="en" w:eastAsia="zh-CN"/>
        </w:rPr>
        <w:t>园</w:t>
      </w:r>
      <w:r>
        <w:rPr>
          <w:rFonts w:hint="eastAsia" w:ascii="宋体" w:hAnsi="宋体" w:cs="宋体"/>
          <w:color w:val="333333"/>
          <w:kern w:val="0"/>
          <w:sz w:val="28"/>
          <w:szCs w:val="28"/>
          <w:lang w:val="en"/>
        </w:rPr>
        <w:t>核定事业编制</w:t>
      </w:r>
      <w:r>
        <w:rPr>
          <w:rFonts w:hint="eastAsia" w:ascii="宋体" w:hAnsi="宋体" w:cs="宋体"/>
          <w:color w:val="333333"/>
          <w:kern w:val="0"/>
          <w:sz w:val="28"/>
          <w:szCs w:val="28"/>
          <w:lang w:val="en-US" w:eastAsia="zh-CN"/>
        </w:rPr>
        <w:t>50</w:t>
      </w:r>
      <w:r>
        <w:rPr>
          <w:rFonts w:hint="eastAsia" w:ascii="宋体" w:hAnsi="宋体" w:cs="宋体"/>
          <w:color w:val="333333"/>
          <w:kern w:val="0"/>
          <w:sz w:val="28"/>
          <w:szCs w:val="28"/>
          <w:lang w:val="en"/>
        </w:rPr>
        <w:t>个，2018年末我校共有在职教职员工</w:t>
      </w:r>
      <w:r>
        <w:rPr>
          <w:rFonts w:hint="eastAsia" w:ascii="宋体" w:hAnsi="宋体" w:cs="宋体"/>
          <w:color w:val="333333"/>
          <w:kern w:val="0"/>
          <w:sz w:val="28"/>
          <w:szCs w:val="28"/>
          <w:lang w:val="en-US" w:eastAsia="zh-CN"/>
        </w:rPr>
        <w:t>48</w:t>
      </w:r>
      <w:r>
        <w:rPr>
          <w:rFonts w:hint="eastAsia" w:ascii="宋体" w:hAnsi="宋体" w:cs="宋体"/>
          <w:color w:val="333333"/>
          <w:kern w:val="0"/>
          <w:sz w:val="28"/>
          <w:szCs w:val="28"/>
          <w:lang w:val="en"/>
        </w:rPr>
        <w:t>人，退休人,</w:t>
      </w:r>
      <w:r>
        <w:rPr>
          <w:rFonts w:hint="eastAsia" w:ascii="宋体" w:hAnsi="宋体" w:cs="宋体"/>
          <w:color w:val="333333"/>
          <w:kern w:val="0"/>
          <w:sz w:val="28"/>
          <w:szCs w:val="28"/>
          <w:lang w:val="en-US" w:eastAsia="zh-CN"/>
        </w:rPr>
        <w:t>21</w:t>
      </w:r>
      <w:r>
        <w:rPr>
          <w:rFonts w:hint="eastAsia" w:ascii="宋体" w:hAnsi="宋体" w:cs="宋体"/>
          <w:color w:val="333333"/>
          <w:kern w:val="0"/>
          <w:sz w:val="28"/>
          <w:szCs w:val="28"/>
          <w:lang w:val="en"/>
        </w:rPr>
        <w:t>人。</w:t>
      </w:r>
    </w:p>
    <w:p>
      <w:pPr>
        <w:widowControl/>
        <w:spacing w:line="480" w:lineRule="auto"/>
        <w:ind w:firstLine="480"/>
        <w:rPr>
          <w:rFonts w:hint="eastAsia" w:ascii="宋体" w:hAnsi="宋体" w:cs="宋体"/>
          <w:color w:val="333333"/>
          <w:kern w:val="0"/>
          <w:sz w:val="28"/>
          <w:szCs w:val="28"/>
          <w:lang w:val="en"/>
        </w:rPr>
      </w:pPr>
      <w:r>
        <w:rPr>
          <w:rFonts w:hint="eastAsia" w:ascii="宋体" w:hAnsi="宋体" w:cs="宋体"/>
          <w:color w:val="333333"/>
          <w:kern w:val="0"/>
          <w:sz w:val="28"/>
          <w:szCs w:val="28"/>
          <w:lang w:val="en"/>
        </w:rPr>
        <w:t>单位内设机构：</w:t>
      </w:r>
      <w:r>
        <w:rPr>
          <w:rFonts w:hint="eastAsia" w:ascii="宋体" w:hAnsi="宋体" w:cs="宋体"/>
          <w:color w:val="333333"/>
          <w:kern w:val="0"/>
          <w:sz w:val="28"/>
          <w:szCs w:val="28"/>
          <w:lang w:val="en" w:eastAsia="zh-CN"/>
        </w:rPr>
        <w:t>园务处</w:t>
      </w:r>
      <w:r>
        <w:rPr>
          <w:rFonts w:hint="eastAsia" w:ascii="宋体" w:hAnsi="宋体" w:cs="宋体"/>
          <w:color w:val="333333"/>
          <w:kern w:val="0"/>
          <w:sz w:val="28"/>
          <w:szCs w:val="28"/>
          <w:lang w:val="en"/>
        </w:rPr>
        <w:t>、政教处、财务室、、工会等5个科室。</w:t>
      </w:r>
    </w:p>
    <w:p>
      <w:pPr>
        <w:widowControl/>
        <w:spacing w:line="480" w:lineRule="auto"/>
        <w:ind w:firstLine="480"/>
        <w:rPr>
          <w:rFonts w:ascii="宋体" w:hAnsi="宋体" w:cs="宋体"/>
          <w:color w:val="333333"/>
          <w:kern w:val="0"/>
          <w:sz w:val="28"/>
          <w:szCs w:val="28"/>
          <w:lang w:val="en"/>
        </w:rPr>
      </w:pPr>
      <w:r>
        <w:rPr>
          <w:rFonts w:hint="eastAsia" w:ascii="宋体" w:hAnsi="宋体" w:cs="宋体"/>
          <w:color w:val="333333"/>
          <w:kern w:val="0"/>
          <w:sz w:val="28"/>
          <w:szCs w:val="28"/>
          <w:lang w:val="en"/>
        </w:rPr>
        <w:t>我校共有</w:t>
      </w:r>
      <w:r>
        <w:rPr>
          <w:rFonts w:hint="eastAsia" w:ascii="宋体" w:hAnsi="宋体" w:cs="宋体"/>
          <w:color w:val="333333"/>
          <w:kern w:val="0"/>
          <w:sz w:val="28"/>
          <w:szCs w:val="28"/>
          <w:lang w:val="en-US" w:eastAsia="zh-CN"/>
        </w:rPr>
        <w:t>13</w:t>
      </w:r>
      <w:r>
        <w:rPr>
          <w:rFonts w:hint="eastAsia" w:ascii="宋体" w:hAnsi="宋体" w:cs="宋体"/>
          <w:color w:val="333333"/>
          <w:kern w:val="0"/>
          <w:sz w:val="28"/>
          <w:szCs w:val="28"/>
          <w:lang w:val="en"/>
        </w:rPr>
        <w:t>个教学班，</w:t>
      </w:r>
      <w:r>
        <w:rPr>
          <w:rFonts w:hint="eastAsia" w:ascii="宋体" w:hAnsi="宋体" w:cs="宋体"/>
          <w:color w:val="333333"/>
          <w:kern w:val="0"/>
          <w:sz w:val="28"/>
          <w:szCs w:val="28"/>
          <w:lang w:val="en-US" w:eastAsia="zh-CN"/>
        </w:rPr>
        <w:t>455</w:t>
      </w:r>
      <w:r>
        <w:rPr>
          <w:rFonts w:hint="eastAsia" w:ascii="宋体" w:hAnsi="宋体" w:cs="宋体"/>
          <w:color w:val="333333"/>
          <w:kern w:val="0"/>
          <w:sz w:val="28"/>
          <w:szCs w:val="28"/>
          <w:lang w:val="en"/>
        </w:rPr>
        <w:t>名学生。</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val="en"/>
        </w:rPr>
      </w:pPr>
      <w:r>
        <w:rPr>
          <w:rFonts w:hint="eastAsia" w:ascii="仿宋" w:hAnsi="仿宋" w:eastAsia="仿宋" w:cs="仿宋_GB2312"/>
          <w:sz w:val="32"/>
          <w:szCs w:val="32"/>
          <w:lang w:val="en"/>
        </w:rPr>
        <w:t>2018年度我校总收入：</w:t>
      </w:r>
      <w:r>
        <w:rPr>
          <w:rFonts w:hint="eastAsia" w:ascii="仿宋" w:hAnsi="仿宋" w:eastAsia="仿宋"/>
          <w:color w:val="000000"/>
          <w:sz w:val="32"/>
          <w:szCs w:val="32"/>
          <w:lang w:val="en-US" w:eastAsia="zh-CN"/>
        </w:rPr>
        <w:t>520.70</w:t>
      </w:r>
      <w:r>
        <w:rPr>
          <w:rFonts w:hint="eastAsia" w:ascii="仿宋" w:hAnsi="仿宋" w:eastAsia="仿宋" w:cs="仿宋_GB2312"/>
          <w:sz w:val="32"/>
          <w:szCs w:val="32"/>
          <w:lang w:val="en"/>
        </w:rPr>
        <w:t>万元（财政补助收入</w:t>
      </w:r>
      <w:r>
        <w:rPr>
          <w:rFonts w:hint="eastAsia" w:ascii="仿宋" w:hAnsi="仿宋" w:eastAsia="仿宋"/>
          <w:color w:val="000000"/>
          <w:sz w:val="32"/>
          <w:szCs w:val="32"/>
          <w:lang w:val="en-US" w:eastAsia="zh-CN"/>
        </w:rPr>
        <w:t>520.70</w:t>
      </w:r>
      <w:r>
        <w:rPr>
          <w:rFonts w:hint="eastAsia" w:ascii="仿宋" w:hAnsi="仿宋" w:eastAsia="仿宋" w:cs="仿宋_GB2312"/>
          <w:sz w:val="32"/>
          <w:szCs w:val="32"/>
          <w:lang w:val="en"/>
        </w:rPr>
        <w:t>万元），结转上年资金0万元，全年总支出</w:t>
      </w:r>
      <w:r>
        <w:rPr>
          <w:rFonts w:hint="eastAsia" w:ascii="仿宋" w:hAnsi="仿宋" w:eastAsia="仿宋"/>
          <w:color w:val="000000"/>
          <w:sz w:val="32"/>
          <w:szCs w:val="32"/>
          <w:lang w:val="en-US" w:eastAsia="zh-CN"/>
        </w:rPr>
        <w:t>520.70</w:t>
      </w:r>
      <w:r>
        <w:rPr>
          <w:rFonts w:hint="eastAsia" w:ascii="仿宋" w:hAnsi="仿宋" w:eastAsia="仿宋" w:cs="仿宋_GB2312"/>
          <w:sz w:val="32"/>
          <w:szCs w:val="32"/>
          <w:lang w:val="en"/>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hint="eastAsia" w:ascii="仿宋" w:hAnsi="仿宋" w:eastAsia="仿宋" w:cs="仿宋_GB2312"/>
          <w:sz w:val="32"/>
          <w:szCs w:val="32"/>
          <w:lang w:val="en"/>
        </w:rPr>
      </w:pPr>
      <w:r>
        <w:rPr>
          <w:rFonts w:hint="eastAsia" w:ascii="仿宋" w:hAnsi="仿宋" w:eastAsia="仿宋" w:cs="仿宋_GB2312"/>
          <w:sz w:val="32"/>
          <w:szCs w:val="32"/>
          <w:lang w:val="en"/>
        </w:rPr>
        <w:t>教育支出</w:t>
      </w:r>
      <w:r>
        <w:rPr>
          <w:rFonts w:hint="eastAsia" w:ascii="仿宋" w:hAnsi="仿宋" w:eastAsia="仿宋"/>
          <w:color w:val="000000" w:themeColor="text1"/>
          <w:sz w:val="32"/>
          <w:szCs w:val="32"/>
          <w14:textFill>
            <w14:solidFill>
              <w14:schemeClr w14:val="tx1"/>
            </w14:solidFill>
          </w14:textFill>
        </w:rPr>
        <w:t>398.56</w:t>
      </w:r>
      <w:r>
        <w:rPr>
          <w:rFonts w:hint="eastAsia" w:ascii="仿宋" w:hAnsi="仿宋" w:eastAsia="仿宋" w:cs="仿宋_GB2312"/>
          <w:sz w:val="32"/>
          <w:szCs w:val="32"/>
          <w:lang w:val="en"/>
        </w:rPr>
        <w:t>万元，社会保障和就业支出（基本养老保险）</w:t>
      </w:r>
      <w:r>
        <w:rPr>
          <w:rFonts w:hint="eastAsia" w:ascii="仿宋" w:hAnsi="仿宋" w:eastAsia="仿宋"/>
          <w:color w:val="000000" w:themeColor="text1"/>
          <w:sz w:val="32"/>
          <w:szCs w:val="32"/>
          <w14:textFill>
            <w14:solidFill>
              <w14:schemeClr w14:val="tx1"/>
            </w14:solidFill>
          </w14:textFill>
        </w:rPr>
        <w:t>66.23</w:t>
      </w:r>
      <w:r>
        <w:rPr>
          <w:rFonts w:hint="eastAsia" w:ascii="仿宋" w:hAnsi="仿宋" w:eastAsia="仿宋" w:cs="仿宋_GB2312"/>
          <w:sz w:val="32"/>
          <w:szCs w:val="32"/>
          <w:lang w:val="en"/>
        </w:rPr>
        <w:t>万元，医疗卫生支出（基本医疗保险）</w:t>
      </w:r>
      <w:r>
        <w:rPr>
          <w:rFonts w:hint="eastAsia" w:ascii="仿宋" w:hAnsi="仿宋" w:eastAsia="仿宋"/>
          <w:color w:val="000000" w:themeColor="text1"/>
          <w:sz w:val="32"/>
          <w:szCs w:val="32"/>
          <w14:textFill>
            <w14:solidFill>
              <w14:schemeClr w14:val="tx1"/>
            </w14:solidFill>
          </w14:textFill>
        </w:rPr>
        <w:t>19.82</w:t>
      </w:r>
      <w:r>
        <w:rPr>
          <w:rFonts w:hint="eastAsia" w:ascii="仿宋" w:hAnsi="仿宋" w:eastAsia="仿宋" w:cs="仿宋_GB2312"/>
          <w:sz w:val="32"/>
          <w:szCs w:val="32"/>
          <w:lang w:val="en"/>
        </w:rPr>
        <w:t>万元，住房保障支出（住房公积金）</w:t>
      </w:r>
      <w:r>
        <w:rPr>
          <w:rFonts w:hint="eastAsia" w:ascii="仿宋" w:hAnsi="仿宋" w:eastAsia="仿宋"/>
          <w:color w:val="000000" w:themeColor="text1"/>
          <w:sz w:val="32"/>
          <w:szCs w:val="32"/>
          <w14:textFill>
            <w14:solidFill>
              <w14:schemeClr w14:val="tx1"/>
            </w14:solidFill>
          </w14:textFill>
        </w:rPr>
        <w:t>36.1</w:t>
      </w:r>
      <w:r>
        <w:rPr>
          <w:rFonts w:hint="eastAsia" w:ascii="仿宋" w:hAnsi="仿宋" w:eastAsia="仿宋" w:cs="仿宋_GB2312"/>
          <w:sz w:val="32"/>
          <w:szCs w:val="32"/>
          <w:lang w:val="en"/>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根据预算绩效管理要求，</w:t>
      </w:r>
      <w:r>
        <w:rPr>
          <w:rFonts w:hint="eastAsia" w:ascii="仿宋" w:hAnsi="仿宋" w:eastAsia="仿宋" w:cs="仿宋_GB2312"/>
          <w:sz w:val="32"/>
          <w:szCs w:val="32"/>
          <w:lang w:eastAsia="zh-CN"/>
        </w:rPr>
        <w:t>示范幼儿园</w:t>
      </w:r>
      <w:r>
        <w:rPr>
          <w:rFonts w:hint="eastAsia" w:ascii="仿宋" w:hAnsi="仿宋" w:eastAsia="仿宋" w:cs="仿宋_GB2312"/>
          <w:sz w:val="32"/>
          <w:szCs w:val="32"/>
        </w:rPr>
        <w:t>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绩效评价，我们认为，2018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eastAsia="zh-CN"/>
        </w:rPr>
        <w:t>幼儿园</w:t>
      </w:r>
      <w:r>
        <w:rPr>
          <w:rFonts w:hint="eastAsia" w:ascii="仿宋" w:hAnsi="仿宋" w:eastAsia="仿宋" w:cs="仿宋_GB2312"/>
          <w:sz w:val="32"/>
          <w:szCs w:val="32"/>
        </w:rPr>
        <w:t>的固定资产管理还有待加强，下年度将按照标准逐步完善。</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4、部门整体预算执行率未达到</w:t>
      </w:r>
      <w:r>
        <w:rPr>
          <w:rFonts w:ascii="仿宋_GB2312" w:hAnsi="仿宋_GB2312" w:eastAsia="仿宋_GB2312" w:cs="仿宋_GB2312"/>
          <w:sz w:val="32"/>
          <w:szCs w:val="32"/>
          <w:lang w:val="en"/>
        </w:rPr>
        <w:t>95%</w:t>
      </w:r>
      <w:r>
        <w:rPr>
          <w:rFonts w:hint="eastAsia" w:ascii="仿宋_GB2312" w:hAnsi="仿宋_GB2312" w:eastAsia="仿宋_GB2312" w:cs="仿宋_GB2312"/>
          <w:sz w:val="32"/>
          <w:szCs w:val="32"/>
          <w:lang w:val="en"/>
        </w:rPr>
        <w:t>，预算执行有待提升。</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5、尚未针对绩效考评制定比较明确的实施细则，有待进</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1D1E9"/>
    <w:multiLevelType w:val="singleLevel"/>
    <w:tmpl w:val="8D71D1E9"/>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43A7"/>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65A00"/>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299A"/>
    <w:rsid w:val="002F1818"/>
    <w:rsid w:val="002F567B"/>
    <w:rsid w:val="003216A9"/>
    <w:rsid w:val="0037013F"/>
    <w:rsid w:val="00380C92"/>
    <w:rsid w:val="00381D83"/>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13736"/>
    <w:rsid w:val="00520DA0"/>
    <w:rsid w:val="005664BB"/>
    <w:rsid w:val="0057481D"/>
    <w:rsid w:val="0058486E"/>
    <w:rsid w:val="005D1C8B"/>
    <w:rsid w:val="005D5CED"/>
    <w:rsid w:val="005F1A4C"/>
    <w:rsid w:val="006038E0"/>
    <w:rsid w:val="00605688"/>
    <w:rsid w:val="006070AF"/>
    <w:rsid w:val="00607E6C"/>
    <w:rsid w:val="006101B1"/>
    <w:rsid w:val="00614E44"/>
    <w:rsid w:val="00622830"/>
    <w:rsid w:val="00630AEF"/>
    <w:rsid w:val="006325F8"/>
    <w:rsid w:val="00634C9A"/>
    <w:rsid w:val="00643D7F"/>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DF6"/>
    <w:rsid w:val="007D312A"/>
    <w:rsid w:val="007D3F19"/>
    <w:rsid w:val="007E23B0"/>
    <w:rsid w:val="007E400F"/>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0F73"/>
    <w:rsid w:val="008B768C"/>
    <w:rsid w:val="008C4DB1"/>
    <w:rsid w:val="008C4EAF"/>
    <w:rsid w:val="008C5176"/>
    <w:rsid w:val="008C7FD0"/>
    <w:rsid w:val="008E1DE7"/>
    <w:rsid w:val="008E707C"/>
    <w:rsid w:val="00900B08"/>
    <w:rsid w:val="00902155"/>
    <w:rsid w:val="00902FA3"/>
    <w:rsid w:val="00923564"/>
    <w:rsid w:val="0092392E"/>
    <w:rsid w:val="009315F9"/>
    <w:rsid w:val="00945A44"/>
    <w:rsid w:val="00946945"/>
    <w:rsid w:val="00951248"/>
    <w:rsid w:val="0095152F"/>
    <w:rsid w:val="00954C49"/>
    <w:rsid w:val="0097099F"/>
    <w:rsid w:val="00971997"/>
    <w:rsid w:val="00971FFC"/>
    <w:rsid w:val="00973589"/>
    <w:rsid w:val="0097563A"/>
    <w:rsid w:val="0098660A"/>
    <w:rsid w:val="009931C3"/>
    <w:rsid w:val="009B2C43"/>
    <w:rsid w:val="009B4EAE"/>
    <w:rsid w:val="009B7573"/>
    <w:rsid w:val="009C22F4"/>
    <w:rsid w:val="009C2E98"/>
    <w:rsid w:val="009C614B"/>
    <w:rsid w:val="009D3447"/>
    <w:rsid w:val="009D4711"/>
    <w:rsid w:val="009F1185"/>
    <w:rsid w:val="009F18CD"/>
    <w:rsid w:val="009F2A13"/>
    <w:rsid w:val="00A04EB0"/>
    <w:rsid w:val="00A13CC1"/>
    <w:rsid w:val="00A16847"/>
    <w:rsid w:val="00A237D8"/>
    <w:rsid w:val="00A268C4"/>
    <w:rsid w:val="00A30344"/>
    <w:rsid w:val="00A307CD"/>
    <w:rsid w:val="00A40A00"/>
    <w:rsid w:val="00A4142F"/>
    <w:rsid w:val="00A56DF2"/>
    <w:rsid w:val="00A67AB5"/>
    <w:rsid w:val="00A81558"/>
    <w:rsid w:val="00A91760"/>
    <w:rsid w:val="00A93B00"/>
    <w:rsid w:val="00A93C21"/>
    <w:rsid w:val="00AC3C6A"/>
    <w:rsid w:val="00AD5620"/>
    <w:rsid w:val="00AD7C1B"/>
    <w:rsid w:val="00AE16BA"/>
    <w:rsid w:val="00AE1EBE"/>
    <w:rsid w:val="00B03C9D"/>
    <w:rsid w:val="00B060AE"/>
    <w:rsid w:val="00B10517"/>
    <w:rsid w:val="00B14E76"/>
    <w:rsid w:val="00B16179"/>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37463"/>
    <w:rsid w:val="00C42709"/>
    <w:rsid w:val="00C533CC"/>
    <w:rsid w:val="00C5751C"/>
    <w:rsid w:val="00C61BFC"/>
    <w:rsid w:val="00C62B85"/>
    <w:rsid w:val="00C65438"/>
    <w:rsid w:val="00C91CBB"/>
    <w:rsid w:val="00CC09B6"/>
    <w:rsid w:val="00CC666F"/>
    <w:rsid w:val="00CC741D"/>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0411"/>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646B"/>
    <w:rsid w:val="00EF77C6"/>
    <w:rsid w:val="00F05438"/>
    <w:rsid w:val="00F1361C"/>
    <w:rsid w:val="00F1362B"/>
    <w:rsid w:val="00F160C7"/>
    <w:rsid w:val="00F36D8F"/>
    <w:rsid w:val="00F417B1"/>
    <w:rsid w:val="00F602DF"/>
    <w:rsid w:val="00F81FD9"/>
    <w:rsid w:val="00F841AA"/>
    <w:rsid w:val="00FA23E8"/>
    <w:rsid w:val="00FD3CC1"/>
    <w:rsid w:val="00FF1E02"/>
    <w:rsid w:val="00FF30B4"/>
    <w:rsid w:val="05890A9D"/>
    <w:rsid w:val="08FE05B2"/>
    <w:rsid w:val="0B640325"/>
    <w:rsid w:val="0EA4632D"/>
    <w:rsid w:val="10C055FF"/>
    <w:rsid w:val="137D38AE"/>
    <w:rsid w:val="160A626D"/>
    <w:rsid w:val="16BB723D"/>
    <w:rsid w:val="17147481"/>
    <w:rsid w:val="18FE0626"/>
    <w:rsid w:val="240371BF"/>
    <w:rsid w:val="29FD04D3"/>
    <w:rsid w:val="319F7F4E"/>
    <w:rsid w:val="35726185"/>
    <w:rsid w:val="386A118B"/>
    <w:rsid w:val="48843C7A"/>
    <w:rsid w:val="4D360996"/>
    <w:rsid w:val="511A198D"/>
    <w:rsid w:val="5A416D85"/>
    <w:rsid w:val="5C924E66"/>
    <w:rsid w:val="64641569"/>
    <w:rsid w:val="659A2E12"/>
    <w:rsid w:val="723A215C"/>
    <w:rsid w:val="74B07714"/>
    <w:rsid w:val="788E44BB"/>
    <w:rsid w:val="788E5C63"/>
    <w:rsid w:val="7AF1065A"/>
    <w:rsid w:val="7C3823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5" Type="http://schemas.microsoft.com/office/2011/relationships/chartColorStyle" Target="colors3.xml"/><Relationship Id="rId4" Type="http://schemas.microsoft.com/office/2011/relationships/chartStyle" Target="style3.xml"/><Relationship Id="rId3" Type="http://schemas.openxmlformats.org/officeDocument/2006/relationships/image" Target="../media/image2.png"/><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5" Type="http://schemas.microsoft.com/office/2011/relationships/chartColorStyle" Target="colors4.xml"/><Relationship Id="rId4" Type="http://schemas.microsoft.com/office/2011/relationships/chartStyle" Target="style4.xml"/><Relationship Id="rId3" Type="http://schemas.openxmlformats.org/officeDocument/2006/relationships/image" Target="../media/image2.png"/><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3.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4.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altLang="en-US" sz="2200" b="1"/>
              <a:t>收入支出决算总体情况</a:t>
            </a:r>
            <a:endParaRPr altLang="en-US" sz="2200" b="1"/>
          </a:p>
        </c:rich>
      </c:tx>
      <c:layout>
        <c:manualLayout>
          <c:xMode val="edge"/>
          <c:yMode val="edge"/>
          <c:x val="0.237375"/>
          <c:y val="0.036560693641618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2">
                <a:shade val="65000"/>
              </a:schemeClr>
            </a:solidFill>
            <a:ln>
              <a:noFill/>
            </a:ln>
            <a:effectLst/>
          </c:spPr>
          <c:invertIfNegative val="0"/>
          <c:dLbls>
            <c:delete val="1"/>
          </c:dLbls>
          <c:cat>
            <c:strRef>
              <c:f>Sheet1!$A$2:$A$5</c:f>
              <c:strCache>
                <c:ptCount val="4"/>
                <c:pt idx="0">
                  <c:v>2017年</c:v>
                </c:pt>
                <c:pt idx="1">
                  <c:v>2018年</c:v>
                </c:pt>
              </c:strCache>
            </c:strRef>
          </c:cat>
          <c:val>
            <c:numRef>
              <c:f>Sheet1!$B$2:$B$5</c:f>
              <c:numCache>
                <c:formatCode>General</c:formatCode>
                <c:ptCount val="4"/>
              </c:numCache>
            </c:numRef>
          </c:val>
        </c:ser>
        <c:ser>
          <c:idx val="1"/>
          <c:order val="1"/>
          <c:tx>
            <c:strRef>
              <c:f>Sheet1!$C$1</c:f>
              <c:strCache>
                <c:ptCount val="1"/>
                <c:pt idx="0">
                  <c:v>系列 2</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c:v>
                </c:pt>
                <c:pt idx="1">
                  <c:v>2018年</c:v>
                </c:pt>
              </c:strCache>
            </c:strRef>
          </c:cat>
          <c:val>
            <c:numRef>
              <c:f>Sheet1!$C$2:$C$5</c:f>
              <c:numCache>
                <c:formatCode>General</c:formatCode>
                <c:ptCount val="4"/>
                <c:pt idx="0">
                  <c:v>503.83</c:v>
                </c:pt>
                <c:pt idx="1">
                  <c:v>520.7</c:v>
                </c:pt>
              </c:numCache>
            </c:numRef>
          </c:val>
        </c:ser>
        <c:ser>
          <c:idx val="2"/>
          <c:order val="2"/>
          <c:tx>
            <c:strRef>
              <c:f>Sheet1!$D$1</c:f>
              <c:strCache>
                <c:ptCount val="1"/>
                <c:pt idx="0">
                  <c:v/>
                </c:pt>
              </c:strCache>
            </c:strRef>
          </c:tx>
          <c:spPr>
            <a:solidFill>
              <a:schemeClr val="accent2">
                <a:tint val="65000"/>
              </a:schemeClr>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c:v>
                </c:pt>
                <c:pt idx="1">
                  <c:v>2018年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10"/>
        <c:axId val="110397476"/>
        <c:axId val="499886375"/>
      </c:barChart>
      <c:catAx>
        <c:axId val="110397476"/>
        <c:scaling>
          <c:orientation val="minMax"/>
        </c:scaling>
        <c:delete val="0"/>
        <c:axPos val="b"/>
        <c:numFmt formatCode="General" sourceLinked="1"/>
        <c:majorTickMark val="none"/>
        <c:minorTickMark val="none"/>
        <c:tickLblPos val="nextTo"/>
        <c:spPr>
          <a:noFill/>
          <a:ln w="9525" cap="flat" cmpd="sng" algn="ctr">
            <a:solidFill>
              <a:schemeClr val="bg1">
                <a:lumMod val="9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crossAx val="499886375"/>
        <c:crosses val="autoZero"/>
        <c:auto val="1"/>
        <c:lblAlgn val="ctr"/>
        <c:lblOffset val="100"/>
        <c:noMultiLvlLbl val="0"/>
      </c:catAx>
      <c:valAx>
        <c:axId val="499886375"/>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110397476"/>
        <c:crosses val="autoZero"/>
        <c:crossBetween val="between"/>
      </c:valAx>
      <c:spPr>
        <a:noFill/>
        <a:ln>
          <a:noFill/>
        </a:ln>
        <a:effectLst/>
      </c:spPr>
    </c:plotArea>
    <c:plotVisOnly val="1"/>
    <c:dispBlanksAs val="gap"/>
    <c:showDLblsOverMax val="0"/>
  </c:chart>
  <c:spPr>
    <a:solidFill>
      <a:schemeClr val="tx2">
        <a:lumMod val="20000"/>
        <a:lumOff val="80000"/>
      </a:schemeClr>
    </a:solidFill>
    <a:ln w="9525" cap="flat" cmpd="sng" algn="ctr">
      <a:solidFill>
        <a:schemeClr val="tx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forceAA="0"/>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a:sp3d>
              <a:extrusionClr>
                <a:srgbClr val="FFFFFF"/>
              </a:extrusionClr>
              <a:contourClr>
                <a:srgbClr val="FFFFFF"/>
              </a:contourClr>
            </a:sp3d>
          </c:spPr>
          <c:explosion val="0"/>
          <c:dPt>
            <c:idx val="0"/>
            <c:bubble3D val="0"/>
            <c:spPr>
              <a:solidFill>
                <a:schemeClr val="accent1">
                  <a:shade val="58000"/>
                </a:schemeClr>
              </a:solidFill>
              <a:ln>
                <a:noFill/>
              </a:ln>
              <a:effectLst>
                <a:outerShdw blurRad="254000" sx="102000" sy="102000" algn="ctr" rotWithShape="0">
                  <a:prstClr val="black">
                    <a:alpha val="20000"/>
                  </a:prstClr>
                </a:outerShdw>
              </a:effectLst>
              <a:sp3d>
                <a:extrusionClr>
                  <a:srgbClr val="FFFFFF"/>
                </a:extrusionClr>
                <a:contourClr>
                  <a:srgbClr val="FFFFFF"/>
                </a:contourClr>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a:sp3d>
                <a:extrusionClr>
                  <a:srgbClr val="FFFFFF"/>
                </a:extrusionClr>
                <a:contourClr>
                  <a:srgbClr val="FFFFFF"/>
                </a:contourClr>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extrusionClr>
                  <a:srgbClr val="FFFFFF"/>
                </a:extrusionClr>
                <a:contourClr>
                  <a:srgbClr val="FFFFFF"/>
                </a:contourClr>
              </a:sp3d>
            </c:spPr>
          </c:dPt>
          <c:dPt>
            <c:idx val="3"/>
            <c:bubble3D val="0"/>
            <c:explosion val="0"/>
            <c:spPr>
              <a:solidFill>
                <a:schemeClr val="accent1">
                  <a:tint val="58000"/>
                </a:schemeClr>
              </a:solidFill>
              <a:ln>
                <a:noFill/>
              </a:ln>
              <a:effectLst>
                <a:outerShdw blurRad="254000" sx="102000" sy="102000" algn="ctr" rotWithShape="0">
                  <a:prstClr val="black">
                    <a:alpha val="20000"/>
                  </a:prstClr>
                </a:outerShdw>
              </a:effectLst>
              <a:sp3d>
                <a:extrusionClr>
                  <a:srgbClr val="FFFFFF"/>
                </a:extrusionClr>
                <a:contourClr>
                  <a:srgbClr val="FFFFFF"/>
                </a:contourClr>
              </a:sp3d>
            </c:spPr>
          </c:dPt>
          <c:dLbls>
            <c:delete val="1"/>
          </c:dLbls>
          <c:cat>
            <c:strRef>
              <c:f>Sheet1!$A$2:$A$5</c:f>
              <c:strCache>
                <c:ptCount val="4"/>
                <c:pt idx="0">
                  <c:v>类别 1</c:v>
                </c:pt>
                <c:pt idx="1">
                  <c:v>类别2</c:v>
                </c:pt>
                <c:pt idx="2">
                  <c:v>类别3</c:v>
                </c:pt>
                <c:pt idx="3">
                  <c:v>类别4</c:v>
                </c:pt>
              </c:strCache>
            </c:strRef>
          </c:cat>
          <c:val>
            <c:numRef>
              <c:f>Sheet1!$B$2:$B$5</c:f>
              <c:numCache>
                <c:formatCode>General</c:formatCode>
                <c:ptCount val="4"/>
                <c:pt idx="0">
                  <c:v>100</c:v>
                </c:pt>
              </c:numCache>
            </c:numRef>
          </c:val>
        </c:ser>
        <c:ser>
          <c:idx val="1"/>
          <c:order val="1"/>
          <c:tx>
            <c:strRef>
              <c:f>Sheet1!$C$1</c:f>
              <c:strCache>
                <c:ptCount val="1"/>
                <c:pt idx="0">
                  <c:v/>
                </c:pt>
              </c:strCache>
            </c:strRef>
          </c:tx>
          <c:spPr/>
          <c:explosion val="0"/>
          <c:dPt>
            <c:idx val="0"/>
            <c:bubble3D val="0"/>
            <c:spPr>
              <a:solidFill>
                <a:schemeClr val="accent1">
                  <a:shade val="58000"/>
                </a:schemeClr>
              </a:solidFill>
              <a:ln>
                <a:noFill/>
              </a:ln>
              <a:effectLst>
                <a:outerShdw blurRad="254000" sx="102000" sy="102000" algn="ctr" rotWithShape="0">
                  <a:prstClr val="black">
                    <a:alpha val="20000"/>
                  </a:prstClr>
                </a:outerShdw>
              </a:effectLst>
            </c:spPr>
          </c:dPt>
          <c:dPt>
            <c:idx val="1"/>
            <c:bubble3D val="0"/>
            <c:spPr>
              <a:solidFill>
                <a:schemeClr val="accent1">
                  <a:shade val="86000"/>
                </a:schemeClr>
              </a:solidFill>
              <a:ln>
                <a:noFill/>
              </a:ln>
              <a:effectLst>
                <a:outerShdw blurRad="254000" sx="102000" sy="102000" algn="ctr" rotWithShape="0">
                  <a:prstClr val="black">
                    <a:alpha val="20000"/>
                  </a:prstClr>
                </a:outerShdw>
              </a:effectLst>
            </c:spPr>
          </c:dPt>
          <c:dPt>
            <c:idx val="2"/>
            <c:bubble3D val="0"/>
            <c:spPr>
              <a:solidFill>
                <a:schemeClr val="accent1">
                  <a:tint val="86000"/>
                </a:schemeClr>
              </a:solidFill>
              <a:ln>
                <a:noFill/>
              </a:ln>
              <a:effectLst>
                <a:outerShdw blurRad="254000" sx="102000" sy="102000" algn="ctr" rotWithShape="0">
                  <a:prstClr val="black">
                    <a:alpha val="20000"/>
                  </a:prstClr>
                </a:outerShdw>
              </a:effectLst>
            </c:spPr>
          </c:dPt>
          <c:dPt>
            <c:idx val="3"/>
            <c:bubble3D val="0"/>
            <c:spPr>
              <a:solidFill>
                <a:schemeClr val="accent1">
                  <a:tint val="58000"/>
                </a:schemeClr>
              </a:solidFill>
              <a:ln>
                <a:noFill/>
              </a:ln>
              <a:effectLst>
                <a:outerShdw blurRad="254000" sx="102000" sy="102000" algn="ctr" rotWithShape="0">
                  <a:prstClr val="black">
                    <a:alpha val="20000"/>
                  </a:prstClr>
                </a:outerShdw>
              </a:effectLst>
            </c:spPr>
          </c:dPt>
          <c:dLbls>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类别 1</c:v>
                </c:pt>
                <c:pt idx="1">
                  <c:v>类别2</c:v>
                </c:pt>
                <c:pt idx="2">
                  <c:v>类别3</c:v>
                </c:pt>
                <c:pt idx="3">
                  <c:v>类别4</c:v>
                </c:pt>
              </c:strCache>
            </c:strRef>
          </c:cat>
          <c:val>
            <c:numRef>
              <c:f>Sheet1!$C$2:$C$5</c:f>
              <c:numCache>
                <c:formatCode>General</c:formatCode>
                <c:ptCount val="4"/>
              </c:numCache>
            </c:numRef>
          </c:val>
        </c:ser>
        <c:ser>
          <c:idx val="2"/>
          <c:order val="2"/>
          <c:tx>
            <c:strRef>
              <c:f>Sheet1!$D$1</c:f>
              <c:strCache>
                <c:ptCount val="1"/>
                <c:pt idx="0">
                  <c:v/>
                </c:pt>
              </c:strCache>
            </c:strRef>
          </c:tx>
          <c:spPr/>
          <c:explosion val="0"/>
          <c:dPt>
            <c:idx val="0"/>
            <c:bubble3D val="0"/>
            <c:spPr>
              <a:solidFill>
                <a:schemeClr val="accent1">
                  <a:shade val="58000"/>
                </a:schemeClr>
              </a:solidFill>
              <a:ln>
                <a:noFill/>
              </a:ln>
              <a:effectLst>
                <a:outerShdw blurRad="254000" sx="102000" sy="102000" algn="ctr" rotWithShape="0">
                  <a:prstClr val="black">
                    <a:alpha val="20000"/>
                  </a:prstClr>
                </a:outerShdw>
              </a:effectLst>
            </c:spPr>
          </c:dPt>
          <c:dPt>
            <c:idx val="1"/>
            <c:bubble3D val="0"/>
            <c:spPr>
              <a:solidFill>
                <a:schemeClr val="accent1">
                  <a:shade val="86000"/>
                </a:schemeClr>
              </a:solidFill>
              <a:ln>
                <a:noFill/>
              </a:ln>
              <a:effectLst>
                <a:outerShdw blurRad="254000" sx="102000" sy="102000" algn="ctr" rotWithShape="0">
                  <a:prstClr val="black">
                    <a:alpha val="20000"/>
                  </a:prstClr>
                </a:outerShdw>
              </a:effectLst>
            </c:spPr>
          </c:dPt>
          <c:dPt>
            <c:idx val="2"/>
            <c:bubble3D val="0"/>
            <c:spPr>
              <a:solidFill>
                <a:schemeClr val="accent1">
                  <a:tint val="86000"/>
                </a:schemeClr>
              </a:solidFill>
              <a:ln>
                <a:noFill/>
              </a:ln>
              <a:effectLst>
                <a:outerShdw blurRad="254000" sx="102000" sy="102000" algn="ctr" rotWithShape="0">
                  <a:prstClr val="black">
                    <a:alpha val="20000"/>
                  </a:prstClr>
                </a:outerShdw>
              </a:effectLst>
            </c:spPr>
          </c:dPt>
          <c:dPt>
            <c:idx val="3"/>
            <c:bubble3D val="0"/>
            <c:spPr>
              <a:solidFill>
                <a:schemeClr val="accent1">
                  <a:tint val="58000"/>
                </a:schemeClr>
              </a:solidFill>
              <a:ln>
                <a:noFill/>
              </a:ln>
              <a:effectLst>
                <a:outerShdw blurRad="254000" sx="102000" sy="102000" algn="ctr" rotWithShape="0">
                  <a:prstClr val="black">
                    <a:alpha val="20000"/>
                  </a:prstClr>
                </a:outerShdw>
              </a:effectLst>
            </c:spPr>
          </c:dPt>
          <c:dLbls>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类别 1</c:v>
                </c:pt>
                <c:pt idx="1">
                  <c:v>类别2</c:v>
                </c:pt>
                <c:pt idx="2">
                  <c:v>类别3</c:v>
                </c:pt>
                <c:pt idx="3">
                  <c:v>类别4</c:v>
                </c:pt>
              </c:strCache>
            </c:strRef>
          </c:cat>
          <c:val>
            <c:numRef>
              <c:f>Sheet1!$D$2:$D$5</c:f>
              <c:numCache>
                <c:formatCode>General</c:formatCode>
                <c:ptCount val="4"/>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solidFill>
      <a:srgbClr val="FFC000"/>
    </a:soli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sz="2200" b="1"/>
              <a:t>财政拨款收入支出总计变动情况</a:t>
            </a:r>
            <a:endParaRPr sz="2200" b="1"/>
          </a:p>
        </c:rich>
      </c:tx>
      <c:layout/>
      <c:overlay val="0"/>
      <c:spPr>
        <a:noFill/>
        <a:ln>
          <a:noFill/>
        </a:ln>
        <a:effectLst/>
      </c:spPr>
    </c:title>
    <c:autoTitleDeleted val="0"/>
    <c:plotArea>
      <c:layout>
        <c:manualLayout>
          <c:layoutTarget val="inner"/>
          <c:xMode val="edge"/>
          <c:yMode val="edge"/>
          <c:x val="0.068825"/>
          <c:y val="0.193796956270468"/>
          <c:w val="0.9018"/>
          <c:h val="0.713427085340012"/>
        </c:manualLayout>
      </c:layout>
      <c:barChart>
        <c:barDir val="col"/>
        <c:grouping val="clustered"/>
        <c:varyColors val="0"/>
        <c:ser>
          <c:idx val="0"/>
          <c:order val="0"/>
          <c:tx>
            <c:strRef>
              <c:f>Sheet1!$B$1</c:f>
              <c:strCache>
                <c:ptCount val="1"/>
                <c:pt idx="0">
                  <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Arial" panose="020B0604020202020204" pitchFamily="7" charset="0"/>
                    <a:ea typeface="+mn-ea"/>
                    <a:cs typeface="Arial" panose="020B0604020202020204" pitchFamily="7"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c:v>
                </c:pt>
                <c:pt idx="1">
                  <c:v>2018年</c:v>
                </c:pt>
              </c:strCache>
            </c:strRef>
          </c:cat>
          <c:val>
            <c:numRef>
              <c:f>Sheet1!$B$2:$B$5</c:f>
              <c:numCache>
                <c:formatCode>General</c:formatCode>
                <c:ptCount val="4"/>
              </c:numCache>
            </c:numRef>
          </c:val>
        </c:ser>
        <c:ser>
          <c:idx val="1"/>
          <c:order val="1"/>
          <c:tx>
            <c:strRef>
              <c:f>Sheet1!$C$1</c:f>
              <c:strCache>
                <c:ptCount val="1"/>
                <c:pt idx="0">
                  <c:v>系列 2</c:v>
                </c:pt>
              </c:strCache>
            </c:strRef>
          </c:tx>
          <c:spPr>
            <a:solidFill>
              <a:srgbClr val="ED7D31"/>
            </a:solidFill>
            <a:ln w="12700" cap="flat" cmpd="sng" algn="ctr">
              <a:solidFill>
                <a:srgbClr val="ED7D31">
                  <a:shade val="50000"/>
                </a:srgbClr>
              </a:solidFill>
              <a:prstDash val="solid"/>
              <a:miter lim="800000"/>
            </a:ln>
            <a:effectLst/>
            <a:sp3d>
              <a:extrusionClr>
                <a:srgbClr val="FFFFFF"/>
              </a:extrusionClr>
              <a:contourClr>
                <a:srgbClr val="FFFFFF"/>
              </a:contourClr>
            </a:sp3d>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c:v>
                </c:pt>
                <c:pt idx="1">
                  <c:v>2018年</c:v>
                </c:pt>
              </c:strCache>
            </c:strRef>
          </c:cat>
          <c:val>
            <c:numRef>
              <c:f>Sheet1!$C$2:$C$5</c:f>
              <c:numCache>
                <c:formatCode>General</c:formatCode>
                <c:ptCount val="4"/>
                <c:pt idx="0">
                  <c:v>503.83</c:v>
                </c:pt>
                <c:pt idx="1">
                  <c:v>520.7</c:v>
                </c:pt>
              </c:numCache>
            </c:numRef>
          </c:val>
        </c:ser>
        <c:ser>
          <c:idx val="2"/>
          <c:order val="2"/>
          <c:tx>
            <c:strRef>
              <c:f>Sheet1!$D$1</c:f>
              <c:strCache>
                <c:ptCount val="1"/>
                <c:pt idx="0">
                  <c:v>系列 3</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c:v>
                </c:pt>
                <c:pt idx="1">
                  <c:v>2018年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10"/>
        <c:axId val="624908988"/>
        <c:axId val="580977659"/>
      </c:barChart>
      <c:catAx>
        <c:axId val="624908988"/>
        <c:scaling>
          <c:orientation val="minMax"/>
        </c:scaling>
        <c:delete val="0"/>
        <c:axPos val="b"/>
        <c:numFmt formatCode="General" sourceLinked="1"/>
        <c:majorTickMark val="none"/>
        <c:minorTickMark val="none"/>
        <c:tickLblPos val="nextTo"/>
        <c:spPr>
          <a:noFill/>
          <a:ln w="9525" cap="flat" cmpd="sng" algn="ctr">
            <a:solidFill>
              <a:schemeClr val="bg1">
                <a:lumMod val="9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crossAx val="580977659"/>
        <c:crosses val="autoZero"/>
        <c:auto val="1"/>
        <c:lblAlgn val="ctr"/>
        <c:lblOffset val="100"/>
        <c:noMultiLvlLbl val="0"/>
      </c:catAx>
      <c:valAx>
        <c:axId val="580977659"/>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624908988"/>
        <c:crosses val="autoZero"/>
        <c:crossBetween val="between"/>
      </c:valAx>
      <c:spPr>
        <a:noFill/>
        <a:ln>
          <a:noFill/>
        </a:ln>
        <a:effectLst/>
      </c:spPr>
    </c:plotArea>
    <c:plotVisOnly val="1"/>
    <c:dispBlanksAs val="gap"/>
    <c:showDLblsOverMax val="0"/>
  </c:chart>
  <c:spPr>
    <a:solidFill>
      <a:srgbClr val="5B9BD5">
        <a:lumMod val="40000"/>
        <a:lumOff val="60000"/>
      </a:srgbClr>
    </a:solidFill>
    <a:ln w="9525" cap="flat" cmpd="sng" algn="ctr">
      <a:solidFill>
        <a:schemeClr val="bg1">
          <a:lumMod val="9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rPr sz="1600" b="1"/>
              <a:t>一般公共预算财政拨款支出决算变动情况</a:t>
            </a:r>
            <a:endParaRPr sz="1600"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Arial" panose="020B0604020202020204" pitchFamily="7" charset="0"/>
                    <a:ea typeface="+mn-ea"/>
                    <a:cs typeface="Arial" panose="020B0604020202020204" pitchFamily="7"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c:v>
                </c:pt>
                <c:pt idx="1">
                  <c:v>2018年</c:v>
                </c:pt>
              </c:strCache>
            </c:strRef>
          </c:cat>
          <c:val>
            <c:numRef>
              <c:f>Sheet1!$B$2:$B$5</c:f>
              <c:numCache>
                <c:formatCode>General</c:formatCode>
                <c:ptCount val="4"/>
              </c:numCache>
            </c:numRef>
          </c:val>
        </c:ser>
        <c:ser>
          <c:idx val="1"/>
          <c:order val="1"/>
          <c:tx>
            <c:strRef>
              <c:f>Sheet1!$C$1</c:f>
              <c:strCache>
                <c:ptCount val="1"/>
                <c:pt idx="0">
                  <c:v>系列 2</c:v>
                </c:pt>
              </c:strCache>
            </c:strRef>
          </c:tx>
          <c:spPr>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a:sp3d>
              <a:extrusionClr>
                <a:srgbClr val="FFFFFF"/>
              </a:extrusionClr>
              <a:contourClr>
                <a:srgbClr val="FFFFFF"/>
              </a:contourClr>
            </a:sp3d>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c:v>
                </c:pt>
                <c:pt idx="1">
                  <c:v>2018年</c:v>
                </c:pt>
              </c:strCache>
            </c:strRef>
          </c:cat>
          <c:val>
            <c:numRef>
              <c:f>Sheet1!$C$2:$C$5</c:f>
              <c:numCache>
                <c:formatCode>General</c:formatCode>
                <c:ptCount val="4"/>
                <c:pt idx="0">
                  <c:v>503.83</c:v>
                </c:pt>
                <c:pt idx="1">
                  <c:v>520.7</c:v>
                </c:pt>
              </c:numCache>
            </c:numRef>
          </c:val>
        </c:ser>
        <c:ser>
          <c:idx val="2"/>
          <c:order val="2"/>
          <c:tx>
            <c:strRef>
              <c:f>Sheet1!$D$1</c:f>
              <c:strCache>
                <c:ptCount val="1"/>
                <c:pt idx="0">
                  <c:v/>
                </c:pt>
              </c:strCache>
            </c:strRef>
          </c:tx>
          <c:spPr>
            <a:blipFill rotWithShape="1">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2017年</c:v>
                </c:pt>
                <c:pt idx="1">
                  <c:v>2018年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10"/>
        <c:axId val="624908988"/>
        <c:axId val="580977659"/>
      </c:barChart>
      <c:catAx>
        <c:axId val="624908988"/>
        <c:scaling>
          <c:orientation val="minMax"/>
        </c:scaling>
        <c:delete val="0"/>
        <c:axPos val="b"/>
        <c:numFmt formatCode="General" sourceLinked="1"/>
        <c:majorTickMark val="none"/>
        <c:minorTickMark val="none"/>
        <c:tickLblPos val="nextTo"/>
        <c:spPr>
          <a:noFill/>
          <a:ln w="9525" cap="flat" cmpd="sng" algn="ctr">
            <a:solidFill>
              <a:schemeClr val="bg1">
                <a:lumMod val="9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crossAx val="580977659"/>
        <c:crosses val="autoZero"/>
        <c:auto val="1"/>
        <c:lblAlgn val="ctr"/>
        <c:lblOffset val="100"/>
        <c:noMultiLvlLbl val="0"/>
      </c:catAx>
      <c:valAx>
        <c:axId val="580977659"/>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624908988"/>
        <c:crosses val="autoZero"/>
        <c:crossBetween val="between"/>
      </c:valAx>
      <c:spPr>
        <a:noFill/>
        <a:ln>
          <a:noFill/>
        </a:ln>
        <a:effectLst/>
      </c:spPr>
    </c:plotArea>
    <c:plotVisOnly val="1"/>
    <c:dispBlanksAs val="gap"/>
    <c:showDLblsOverMax val="0"/>
  </c:chart>
  <c:spPr>
    <a:solidFill>
      <a:srgbClr val="F79646">
        <a:lumMod val="40000"/>
        <a:lumOff val="60000"/>
      </a:srgbClr>
    </a:solidFill>
    <a:ln w="9525" cap="flat" cmpd="sng" algn="ctr">
      <a:solidFill>
        <a:schemeClr val="bg1">
          <a:lumMod val="9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normalizeH="0" baseline="0">
                <a:solidFill>
                  <a:schemeClr val="dk1"/>
                </a:solidFill>
                <a:latin typeface="+mn-lt"/>
                <a:ea typeface="+mn-ea"/>
                <a:cs typeface="+mn-cs"/>
              </a:defRPr>
            </a:pPr>
            <a:r>
              <a:rPr sz="1800">
                <a:solidFill>
                  <a:schemeClr val="dk1"/>
                </a:solidFill>
                <a:latin typeface="+mn-lt"/>
                <a:ea typeface="+mn-ea"/>
                <a:cs typeface="+mn-cs"/>
              </a:rPr>
              <a:t>一般公共预算财政拨款支出决算结构</a:t>
            </a:r>
            <a:endParaRPr sz="1800">
              <a:solidFill>
                <a:schemeClr val="dk1"/>
              </a:solidFill>
              <a:latin typeface="+mn-lt"/>
              <a:ea typeface="+mn-ea"/>
              <a:cs typeface="+mn-cs"/>
            </a:endParaRPr>
          </a:p>
        </c:rich>
      </c:tx>
      <c:layout>
        <c:manualLayout>
          <c:xMode val="edge"/>
          <c:yMode val="edge"/>
          <c:x val="0.124375"/>
          <c:y val="0.03"/>
        </c:manualLayout>
      </c:layout>
      <c:overlay val="0"/>
      <c:spPr>
        <a:solidFill>
          <a:sysClr val="window" lastClr="FFFFFF"/>
        </a:solidFill>
        <a:ln w="12700" cap="flat" cmpd="sng" algn="ctr">
          <a:solidFill>
            <a:srgbClr val="5B9BD5"/>
          </a:solidFill>
          <a:prstDash val="solid"/>
          <a:miter lim="800000"/>
        </a:ln>
        <a:effectLst/>
        <a:sp3d>
          <a:extrusionClr>
            <a:srgbClr val="FFFFFF"/>
          </a:extrusionClr>
          <a:contourClr>
            <a:srgbClr val="FFFFFF"/>
          </a:contourClr>
        </a:sp3d>
      </c:spPr>
    </c:title>
    <c:autoTitleDeleted val="0"/>
    <c:plotArea>
      <c:layout>
        <c:manualLayout>
          <c:layoutTarget val="inner"/>
          <c:xMode val="edge"/>
          <c:yMode val="edge"/>
          <c:x val="0.080875"/>
          <c:y val="0.143"/>
          <c:w val="0.61525"/>
          <c:h val="0.820333333333333"/>
        </c:manualLayout>
      </c:layout>
      <c:pieChart>
        <c:varyColors val="1"/>
        <c:ser>
          <c:idx val="0"/>
          <c:order val="0"/>
          <c:tx>
            <c:strRef>
              <c:f>Sheet1!$B$1</c:f>
              <c:strCache>
                <c:ptCount val="1"/>
                <c:pt idx="0">
                  <c:v>系列 1</c:v>
                </c:pt>
              </c:strCache>
            </c:strRef>
          </c:tx>
          <c:spPr/>
          <c:explosion val="0"/>
          <c:dPt>
            <c:idx val="0"/>
            <c:bubble3D val="0"/>
            <c:spPr>
              <a:solidFill>
                <a:srgbClr val="ED7D31"/>
              </a:solidFill>
              <a:ln w="12700" cap="flat" cmpd="sng" algn="ctr">
                <a:solidFill>
                  <a:srgbClr val="ED7D31">
                    <a:shade val="50000"/>
                  </a:srgbClr>
                </a:solidFill>
                <a:prstDash val="solid"/>
                <a:miter lim="800000"/>
              </a:ln>
              <a:effectLst/>
              <a:sp3d>
                <a:extrusionClr>
                  <a:srgbClr val="FFFFFF"/>
                </a:extrusionClr>
                <a:contourClr>
                  <a:srgbClr val="FFFFFF"/>
                </a:contourClr>
              </a:sp3d>
            </c:spPr>
          </c:dPt>
          <c:dPt>
            <c:idx val="1"/>
            <c:bubble3D val="0"/>
            <c:spPr>
              <a:solidFill>
                <a:srgbClr val="70AD47"/>
              </a:solidFill>
              <a:ln w="12700" cap="flat" cmpd="sng" algn="ctr">
                <a:solidFill>
                  <a:srgbClr val="70AD47">
                    <a:shade val="50000"/>
                  </a:srgbClr>
                </a:solidFill>
                <a:prstDash val="solid"/>
                <a:miter lim="800000"/>
              </a:ln>
              <a:effectLst/>
              <a:sp3d>
                <a:extrusionClr>
                  <a:srgbClr val="FFFFFF"/>
                </a:extrusionClr>
                <a:contourClr>
                  <a:srgbClr val="FFFFFF"/>
                </a:contourClr>
              </a:sp3d>
            </c:spPr>
          </c:dPt>
          <c:dPt>
            <c:idx val="2"/>
            <c:bubble3D val="0"/>
            <c:spPr>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a:sp3d>
                <a:extrusionClr>
                  <a:srgbClr val="FFFFFF"/>
                </a:extrusionClr>
                <a:contourClr>
                  <a:srgbClr val="FFFFFF"/>
                </a:contourClr>
              </a:sp3d>
            </c:spPr>
          </c:dPt>
          <c:dPt>
            <c:idx val="3"/>
            <c:bubble3D val="0"/>
            <c:spPr>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a:sp3d>
                <a:extrusionClr>
                  <a:srgbClr val="FFFFFF"/>
                </a:extrusionClr>
                <a:contourClr>
                  <a:srgbClr val="FFFFFF"/>
                </a:contourClr>
              </a:sp3d>
            </c:spPr>
          </c:dPt>
          <c:dLbls>
            <c:delete val="1"/>
          </c:dLbls>
          <c:cat>
            <c:strRef>
              <c:f>Sheet1!$A$2:$A$5</c:f>
              <c:strCache>
                <c:ptCount val="4"/>
                <c:pt idx="0">
                  <c:v>教育支出</c:v>
                </c:pt>
                <c:pt idx="1">
                  <c:v>社会保障和就业支出</c:v>
                </c:pt>
                <c:pt idx="2">
                  <c:v>医疗卫生支出</c:v>
                </c:pt>
                <c:pt idx="3">
                  <c:v>住房保障支出</c:v>
                </c:pt>
              </c:strCache>
            </c:strRef>
          </c:cat>
          <c:val>
            <c:numRef>
              <c:f>Sheet1!$B$2:$B$5</c:f>
              <c:numCache>
                <c:formatCode>General</c:formatCode>
                <c:ptCount val="4"/>
                <c:pt idx="0">
                  <c:v>398.56</c:v>
                </c:pt>
                <c:pt idx="1">
                  <c:v>66.23</c:v>
                </c:pt>
                <c:pt idx="2">
                  <c:v>19.82</c:v>
                </c:pt>
                <c:pt idx="3">
                  <c:v>36.1</c:v>
                </c:pt>
              </c:numCache>
            </c:numRef>
          </c:val>
        </c:ser>
        <c:ser>
          <c:idx val="1"/>
          <c:order val="1"/>
          <c:tx>
            <c:strRef>
              <c:f>Sheet1!$C$1</c:f>
              <c:strCache>
                <c:ptCount val="1"/>
                <c:pt idx="0">
                  <c:v/>
                </c:pt>
              </c:strCache>
            </c:strRef>
          </c:tx>
          <c:spPr/>
          <c:explosion val="0"/>
          <c:dPt>
            <c:idx val="0"/>
            <c:bubble3D val="0"/>
            <c:spPr>
              <a:gradFill>
                <a:gsLst>
                  <a:gs pos="100000">
                    <a:schemeClr val="accent3">
                      <a:tint val="58000"/>
                      <a:lumMod val="60000"/>
                      <a:lumOff val="40000"/>
                    </a:schemeClr>
                  </a:gs>
                  <a:gs pos="0">
                    <a:schemeClr val="accent3">
                      <a:tint val="58000"/>
                    </a:schemeClr>
                  </a:gs>
                </a:gsLst>
                <a:lin ang="5400000" scaled="0"/>
              </a:gradFill>
              <a:ln w="19050">
                <a:solidFill>
                  <a:schemeClr val="lt1"/>
                </a:solidFill>
              </a:ln>
              <a:effectLst/>
            </c:spPr>
          </c:dPt>
          <c:dPt>
            <c:idx val="1"/>
            <c:bubble3D val="0"/>
            <c:spPr>
              <a:gradFill>
                <a:gsLst>
                  <a:gs pos="100000">
                    <a:schemeClr val="accent3">
                      <a:tint val="86000"/>
                      <a:lumMod val="60000"/>
                      <a:lumOff val="40000"/>
                    </a:schemeClr>
                  </a:gs>
                  <a:gs pos="0">
                    <a:schemeClr val="accent3">
                      <a:tint val="86000"/>
                    </a:schemeClr>
                  </a:gs>
                </a:gsLst>
                <a:lin ang="5400000" scaled="0"/>
              </a:gradFill>
              <a:ln w="19050">
                <a:solidFill>
                  <a:schemeClr val="lt1"/>
                </a:solidFill>
              </a:ln>
              <a:effectLst/>
            </c:spPr>
          </c:dPt>
          <c:dPt>
            <c:idx val="2"/>
            <c:bubble3D val="0"/>
            <c:spPr>
              <a:gradFill>
                <a:gsLst>
                  <a:gs pos="100000">
                    <a:schemeClr val="accent3">
                      <a:shade val="86000"/>
                      <a:lumMod val="60000"/>
                      <a:lumOff val="40000"/>
                    </a:schemeClr>
                  </a:gs>
                  <a:gs pos="0">
                    <a:schemeClr val="accent3">
                      <a:shade val="86000"/>
                    </a:schemeClr>
                  </a:gs>
                </a:gsLst>
                <a:lin ang="5400000" scaled="0"/>
              </a:gradFill>
              <a:ln w="19050">
                <a:solidFill>
                  <a:schemeClr val="lt1"/>
                </a:solidFill>
              </a:ln>
              <a:effectLst/>
            </c:spPr>
          </c:dPt>
          <c:dPt>
            <c:idx val="3"/>
            <c:bubble3D val="0"/>
            <c:spPr>
              <a:gradFill>
                <a:gsLst>
                  <a:gs pos="100000">
                    <a:schemeClr val="accent3">
                      <a:shade val="58000"/>
                      <a:lumMod val="60000"/>
                      <a:lumOff val="40000"/>
                    </a:schemeClr>
                  </a:gs>
                  <a:gs pos="0">
                    <a:schemeClr val="accent3">
                      <a:shade val="58000"/>
                    </a:schemeClr>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教育支出</c:v>
                </c:pt>
                <c:pt idx="1">
                  <c:v>社会保障和就业支出</c:v>
                </c:pt>
                <c:pt idx="2">
                  <c:v>医疗卫生支出</c:v>
                </c:pt>
                <c:pt idx="3">
                  <c:v>住房保障支出</c:v>
                </c:pt>
              </c:strCache>
            </c:strRef>
          </c:cat>
          <c:val>
            <c:numRef>
              <c:f>Sheet1!$C$2:$C$5</c:f>
              <c:numCache>
                <c:formatCode>General</c:formatCode>
                <c:ptCount val="4"/>
              </c:numCache>
            </c:numRef>
          </c:val>
        </c:ser>
        <c:ser>
          <c:idx val="2"/>
          <c:order val="2"/>
          <c:tx>
            <c:strRef>
              <c:f>Sheet1!$D$1</c:f>
              <c:strCache>
                <c:ptCount val="1"/>
                <c:pt idx="0">
                  <c:v/>
                </c:pt>
              </c:strCache>
            </c:strRef>
          </c:tx>
          <c:spPr/>
          <c:explosion val="0"/>
          <c:dPt>
            <c:idx val="0"/>
            <c:bubble3D val="0"/>
            <c:spPr>
              <a:gradFill>
                <a:gsLst>
                  <a:gs pos="100000">
                    <a:schemeClr val="accent3">
                      <a:tint val="58000"/>
                      <a:lumMod val="60000"/>
                      <a:lumOff val="40000"/>
                    </a:schemeClr>
                  </a:gs>
                  <a:gs pos="0">
                    <a:schemeClr val="accent3">
                      <a:tint val="58000"/>
                    </a:schemeClr>
                  </a:gs>
                </a:gsLst>
                <a:lin ang="5400000" scaled="0"/>
              </a:gradFill>
              <a:ln w="19050">
                <a:solidFill>
                  <a:schemeClr val="lt1"/>
                </a:solidFill>
              </a:ln>
              <a:effectLst/>
            </c:spPr>
          </c:dPt>
          <c:dPt>
            <c:idx val="1"/>
            <c:bubble3D val="0"/>
            <c:spPr>
              <a:gradFill>
                <a:gsLst>
                  <a:gs pos="100000">
                    <a:schemeClr val="accent3">
                      <a:tint val="86000"/>
                      <a:lumMod val="60000"/>
                      <a:lumOff val="40000"/>
                    </a:schemeClr>
                  </a:gs>
                  <a:gs pos="0">
                    <a:schemeClr val="accent3">
                      <a:tint val="86000"/>
                    </a:schemeClr>
                  </a:gs>
                </a:gsLst>
                <a:lin ang="5400000" scaled="0"/>
              </a:gradFill>
              <a:ln w="19050">
                <a:solidFill>
                  <a:schemeClr val="lt1"/>
                </a:solidFill>
              </a:ln>
              <a:effectLst/>
            </c:spPr>
          </c:dPt>
          <c:dPt>
            <c:idx val="2"/>
            <c:bubble3D val="0"/>
            <c:spPr>
              <a:gradFill>
                <a:gsLst>
                  <a:gs pos="100000">
                    <a:schemeClr val="accent3">
                      <a:shade val="86000"/>
                      <a:lumMod val="60000"/>
                      <a:lumOff val="40000"/>
                    </a:schemeClr>
                  </a:gs>
                  <a:gs pos="0">
                    <a:schemeClr val="accent3">
                      <a:shade val="86000"/>
                    </a:schemeClr>
                  </a:gs>
                </a:gsLst>
                <a:lin ang="5400000" scaled="0"/>
              </a:gradFill>
              <a:ln w="19050">
                <a:solidFill>
                  <a:schemeClr val="lt1"/>
                </a:solidFill>
              </a:ln>
              <a:effectLst/>
            </c:spPr>
          </c:dPt>
          <c:dPt>
            <c:idx val="3"/>
            <c:bubble3D val="0"/>
            <c:spPr>
              <a:gradFill>
                <a:gsLst>
                  <a:gs pos="100000">
                    <a:schemeClr val="accent3">
                      <a:shade val="58000"/>
                      <a:lumMod val="60000"/>
                      <a:lumOff val="40000"/>
                    </a:schemeClr>
                  </a:gs>
                  <a:gs pos="0">
                    <a:schemeClr val="accent3">
                      <a:shade val="58000"/>
                    </a:schemeClr>
                  </a:gs>
                </a:gsLst>
                <a:lin ang="5400000" scaled="0"/>
              </a:gra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dk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教育支出</c:v>
                </c:pt>
                <c:pt idx="1">
                  <c:v>社会保障和就业支出</c:v>
                </c:pt>
                <c:pt idx="2">
                  <c:v>医疗卫生支出</c:v>
                </c:pt>
                <c:pt idx="3">
                  <c:v>住房保障支出</c:v>
                </c:pt>
              </c:strCache>
            </c:strRef>
          </c:cat>
          <c:val>
            <c:numRef>
              <c:f>Sheet1!$D$2:$D$5</c:f>
              <c:numCache>
                <c:formatCode>General</c:formatCode>
                <c:ptCount val="4"/>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solidFill>
          <a:schemeClr val="lt1">
            <a:alpha val="50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ysClr val="window" lastClr="FFFFFF"/>
    </a:solidFill>
    <a:ln w="12700" cap="flat" cmpd="sng" algn="ctr">
      <a:solidFill>
        <a:srgbClr val="A5A5A5"/>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baseline="0">
                <a:solidFill>
                  <a:schemeClr val="dk1">
                    <a:lumMod val="75000"/>
                    <a:lumOff val="25000"/>
                  </a:schemeClr>
                </a:solidFill>
                <a:latin typeface="+mn-lt"/>
                <a:ea typeface="+mn-ea"/>
                <a:cs typeface="+mn-cs"/>
              </a:defRPr>
            </a:pPr>
            <a:r>
              <a:rPr sz="2200"/>
              <a:t>三公经费财政拨款支出结构</a:t>
            </a:r>
            <a:endParaRPr sz="2200"/>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a:solidFill>
              <a:srgbClr val="ED7D31"/>
            </a:solidFill>
          </c:spPr>
          <c:explosion val="0"/>
          <c:dPt>
            <c:idx val="0"/>
            <c:bubble3D val="0"/>
            <c:spPr>
              <a:solidFill>
                <a:srgbClr val="5B9BD5"/>
              </a:solidFill>
              <a:ln w="12700" cap="flat" cmpd="sng" algn="ctr">
                <a:solidFill>
                  <a:srgbClr val="5B9BD5">
                    <a:shade val="50000"/>
                  </a:srgbClr>
                </a:solidFill>
                <a:prstDash val="solid"/>
                <a:miter lim="800000"/>
              </a:ln>
              <a:effectLst>
                <a:outerShdw blurRad="254000" sx="102000" sy="102000" algn="ctr" rotWithShape="0">
                  <a:prstClr val="black">
                    <a:alpha val="20000"/>
                  </a:prstClr>
                </a:outerShdw>
              </a:effectLst>
              <a:sp3d>
                <a:extrusionClr>
                  <a:srgbClr val="FFFFFF"/>
                </a:extrusionClr>
                <a:contourClr>
                  <a:srgbClr val="FFFFFF"/>
                </a:contourClr>
              </a:sp3d>
            </c:spPr>
          </c:dPt>
          <c:dPt>
            <c:idx val="1"/>
            <c:bubble3D val="0"/>
            <c:spPr>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a:sp3d>
                <a:extrusionClr>
                  <a:srgbClr val="FFFFFF"/>
                </a:extrusionClr>
                <a:contourClr>
                  <a:srgbClr val="FFFFFF"/>
                </a:contourClr>
              </a:sp3d>
            </c:spPr>
          </c:dPt>
          <c:dPt>
            <c:idx val="2"/>
            <c:bubble3D val="0"/>
            <c:spPr>
              <a:solidFill>
                <a:srgbClr val="ED7D31"/>
              </a:solidFill>
              <a:ln w="6350" cap="flat" cmpd="sng" algn="ctr">
                <a:solidFill>
                  <a:srgbClr val="ED7D31"/>
                </a:solidFill>
                <a:prstDash val="solid"/>
                <a:miter lim="800000"/>
              </a:ln>
              <a:effectLst>
                <a:outerShdw blurRad="254000" sx="102000" sy="102000" algn="ctr" rotWithShape="0">
                  <a:prstClr val="black">
                    <a:alpha val="20000"/>
                  </a:prstClr>
                </a:outerShdw>
              </a:effectLst>
              <a:sp3d>
                <a:extrusionClr>
                  <a:srgbClr val="FFFFFF"/>
                </a:extrusionClr>
                <a:contourClr>
                  <a:srgbClr val="FFFFFF"/>
                </a:contourClr>
              </a:sp3d>
            </c:spPr>
          </c:dPt>
          <c:dPt>
            <c:idx val="3"/>
            <c:bubble3D val="0"/>
            <c:spPr>
              <a:solidFill>
                <a:srgbClr val="ED7D31"/>
              </a:solidFill>
              <a:ln>
                <a:noFill/>
              </a:ln>
              <a:effectLst>
                <a:outerShdw blurRad="254000" sx="102000" sy="102000" algn="ctr" rotWithShape="0">
                  <a:prstClr val="black">
                    <a:alpha val="20000"/>
                  </a:prstClr>
                </a:outerShdw>
              </a:effectLst>
            </c:spPr>
          </c:dPt>
          <c:dLbls>
            <c:delete val="1"/>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c:v>
                </c:pt>
                <c:pt idx="2">
                  <c:v>0.45</c:v>
                </c:pt>
              </c:numCache>
            </c:numRef>
          </c:val>
        </c:ser>
        <c:ser>
          <c:idx val="1"/>
          <c:order val="1"/>
          <c:tx>
            <c:strRef>
              <c:f>Sheet1!$C$1</c:f>
              <c:strCache>
                <c:ptCount val="1"/>
                <c:pt idx="0">
                  <c:v>系列 2</c:v>
                </c:pt>
              </c:strCache>
            </c:strRef>
          </c:tx>
          <c:spPr/>
          <c:explosion val="0"/>
          <c:dPt>
            <c:idx val="0"/>
            <c:bubble3D val="0"/>
            <c:spPr>
              <a:solidFill>
                <a:schemeClr val="accent1">
                  <a:shade val="58000"/>
                </a:schemeClr>
              </a:solidFill>
              <a:ln>
                <a:noFill/>
              </a:ln>
              <a:effectLst>
                <a:outerShdw blurRad="254000" sx="102000" sy="102000" algn="ctr" rotWithShape="0">
                  <a:prstClr val="black">
                    <a:alpha val="20000"/>
                  </a:prstClr>
                </a:outerShdw>
              </a:effectLst>
            </c:spPr>
          </c:dPt>
          <c:dPt>
            <c:idx val="1"/>
            <c:bubble3D val="0"/>
            <c:spPr>
              <a:solidFill>
                <a:schemeClr val="accent1">
                  <a:shade val="86000"/>
                </a:schemeClr>
              </a:solidFill>
              <a:ln>
                <a:noFill/>
              </a:ln>
              <a:effectLst>
                <a:outerShdw blurRad="254000" sx="102000" sy="102000" algn="ctr" rotWithShape="0">
                  <a:prstClr val="black">
                    <a:alpha val="20000"/>
                  </a:prstClr>
                </a:outerShdw>
              </a:effectLst>
            </c:spPr>
          </c:dPt>
          <c:dPt>
            <c:idx val="2"/>
            <c:bubble3D val="0"/>
            <c:spPr>
              <a:solidFill>
                <a:schemeClr val="accent1">
                  <a:tint val="86000"/>
                </a:schemeClr>
              </a:solidFill>
              <a:ln>
                <a:noFill/>
              </a:ln>
              <a:effectLst>
                <a:outerShdw blurRad="254000" sx="102000" sy="102000" algn="ctr" rotWithShape="0">
                  <a:prstClr val="black">
                    <a:alpha val="20000"/>
                  </a:prstClr>
                </a:outerShdw>
              </a:effectLst>
            </c:spPr>
          </c:dPt>
          <c:dPt>
            <c:idx val="3"/>
            <c:bubble3D val="0"/>
            <c:spPr>
              <a:solidFill>
                <a:schemeClr val="accent1">
                  <a:tint val="58000"/>
                </a:schemeClr>
              </a:solidFill>
              <a:ln>
                <a:noFill/>
              </a:ln>
              <a:effectLst>
                <a:outerShdw blurRad="254000" sx="102000" sy="102000" algn="ctr" rotWithShape="0">
                  <a:prstClr val="black">
                    <a:alpha val="20000"/>
                  </a:prstClr>
                </a:outerShdw>
              </a:effectLst>
            </c:spPr>
          </c:dPt>
          <c:dLbls>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c:explosion val="0"/>
          <c:dPt>
            <c:idx val="0"/>
            <c:bubble3D val="0"/>
            <c:spPr>
              <a:solidFill>
                <a:schemeClr val="accent1">
                  <a:shade val="58000"/>
                </a:schemeClr>
              </a:solidFill>
              <a:ln>
                <a:noFill/>
              </a:ln>
              <a:effectLst>
                <a:outerShdw blurRad="254000" sx="102000" sy="102000" algn="ctr" rotWithShape="0">
                  <a:prstClr val="black">
                    <a:alpha val="20000"/>
                  </a:prstClr>
                </a:outerShdw>
              </a:effectLst>
            </c:spPr>
          </c:dPt>
          <c:dPt>
            <c:idx val="1"/>
            <c:bubble3D val="0"/>
            <c:spPr>
              <a:solidFill>
                <a:schemeClr val="accent1">
                  <a:shade val="86000"/>
                </a:schemeClr>
              </a:solidFill>
              <a:ln>
                <a:noFill/>
              </a:ln>
              <a:effectLst>
                <a:outerShdw blurRad="254000" sx="102000" sy="102000" algn="ctr" rotWithShape="0">
                  <a:prstClr val="black">
                    <a:alpha val="20000"/>
                  </a:prstClr>
                </a:outerShdw>
              </a:effectLst>
            </c:spPr>
          </c:dPt>
          <c:dPt>
            <c:idx val="2"/>
            <c:bubble3D val="0"/>
            <c:spPr>
              <a:solidFill>
                <a:schemeClr val="accent1">
                  <a:tint val="86000"/>
                </a:schemeClr>
              </a:solidFill>
              <a:ln>
                <a:noFill/>
              </a:ln>
              <a:effectLst>
                <a:outerShdw blurRad="254000" sx="102000" sy="102000" algn="ctr" rotWithShape="0">
                  <a:prstClr val="black">
                    <a:alpha val="20000"/>
                  </a:prstClr>
                </a:outerShdw>
              </a:effectLst>
            </c:spPr>
          </c:dPt>
          <c:dPt>
            <c:idx val="3"/>
            <c:bubble3D val="0"/>
            <c:spPr>
              <a:solidFill>
                <a:schemeClr val="accent1">
                  <a:tint val="58000"/>
                </a:schemeClr>
              </a:solidFill>
              <a:ln>
                <a:noFill/>
              </a:ln>
              <a:effectLst>
                <a:outerShdw blurRad="254000" sx="102000" sy="102000" algn="ctr" rotWithShape="0">
                  <a:prstClr val="black">
                    <a:alpha val="20000"/>
                  </a:prstClr>
                </a:outerShdw>
              </a:effectLst>
            </c:spPr>
          </c:dPt>
          <c:dLbls>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forceAA="0"/>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Sheet1!$D$2:$D$5</c:f>
              <c:numCache>
                <c:formatCode>General</c:formatCode>
                <c:ptCount val="4"/>
                <c:pt idx="0">
                  <c:v>2</c:v>
                </c:pt>
                <c:pt idx="1">
                  <c:v>2</c:v>
                </c:pt>
                <c:pt idx="2">
                  <c:v>3</c:v>
                </c:pt>
                <c:pt idx="3">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ayout/>
      <c:overlay val="0"/>
      <c:spPr>
        <a:solidFill>
          <a:schemeClr val="lt1">
            <a:lumMod val="95000"/>
            <a:alpha val="39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solidFill>
      <a:sysClr val="window" lastClr="FFFFFF"/>
    </a:soli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3">
  <a:schemeClr val="accent3"/>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337A9-B7E8-45CF-89B2-34C4CEDBF6E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5163</Words>
  <Characters>2740</Characters>
  <Lines>22</Lines>
  <Paragraphs>15</Paragraphs>
  <TotalTime>3</TotalTime>
  <ScaleCrop>false</ScaleCrop>
  <LinksUpToDate>false</LinksUpToDate>
  <CharactersWithSpaces>7888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蔡华川</cp:lastModifiedBy>
  <cp:lastPrinted>2019-08-01T00:48:00Z</cp:lastPrinted>
  <dcterms:modified xsi:type="dcterms:W3CDTF">2019-09-25T02:34:15Z</dcterms:modified>
  <dc:title>四川省***</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