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outlineLvl w:val="0"/>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开江县长田乡中心小学</w:t>
      </w:r>
    </w:p>
    <w:p>
      <w:pPr>
        <w:keepNext w:val="0"/>
        <w:keepLines w:val="0"/>
        <w:pageBreakBefore w:val="0"/>
        <w:widowControl w:val="0"/>
        <w:kinsoku/>
        <w:wordWrap/>
        <w:overflowPunct/>
        <w:topLinePunct w:val="0"/>
        <w:autoSpaceDE/>
        <w:autoSpaceDN/>
        <w:bidi w:val="0"/>
        <w:snapToGrid w:val="0"/>
        <w:spacing w:line="578" w:lineRule="exact"/>
        <w:jc w:val="center"/>
        <w:textAlignment w:val="auto"/>
        <w:rPr>
          <w:rFonts w:hint="eastAsia" w:ascii="黑体" w:hAnsi="黑体" w:eastAsia="黑体"/>
          <w:b w:val="0"/>
        </w:rPr>
      </w:pPr>
      <w:r>
        <w:rPr>
          <w:rFonts w:hint="eastAsia" w:ascii="方正小标宋简体" w:hAnsi="方正小标宋简体" w:eastAsia="方正小标宋简体" w:cs="方正小标宋简体"/>
          <w:sz w:val="44"/>
          <w:szCs w:val="44"/>
        </w:rPr>
        <w:t>2018年度部门决算分析报告</w:t>
      </w:r>
      <w:bookmarkEnd w:id="0"/>
      <w:bookmarkStart w:id="1" w:name="_Toc15396599"/>
      <w:bookmarkStart w:id="2" w:name="_Toc15377196"/>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
      <w:bookmarkEnd w:id="2"/>
    </w:p>
    <w:p>
      <w:pPr>
        <w:pStyle w:val="3"/>
        <w:rPr>
          <w:rStyle w:val="25"/>
          <w:rFonts w:ascii="仿宋" w:hAnsi="仿宋" w:eastAsia="仿宋"/>
          <w:b w:val="0"/>
          <w:bCs w:val="0"/>
        </w:rPr>
      </w:pPr>
      <w:bookmarkStart w:id="3" w:name="_Toc15396600"/>
      <w:bookmarkStart w:id="4"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3"/>
      <w:bookmarkEnd w:id="4"/>
    </w:p>
    <w:p>
      <w:pPr>
        <w:pStyle w:val="3"/>
        <w:rPr>
          <w:rFonts w:hint="eastAsia" w:ascii="仿宋" w:hAnsi="仿宋" w:eastAsia="仿宋"/>
          <w:b w:val="0"/>
          <w:bCs w:val="0"/>
          <w:color w:val="000000"/>
          <w:sz w:val="32"/>
          <w:szCs w:val="32"/>
        </w:rPr>
      </w:pPr>
      <w:bookmarkStart w:id="5" w:name="_Toc15377200"/>
      <w:bookmarkStart w:id="6" w:name="_Toc15396601"/>
      <w:r>
        <w:rPr>
          <w:rFonts w:hint="eastAsia" w:ascii="仿宋" w:hAnsi="仿宋" w:eastAsia="仿宋"/>
          <w:b w:val="0"/>
          <w:bCs w:val="0"/>
          <w:color w:val="000000"/>
          <w:sz w:val="32"/>
          <w:szCs w:val="32"/>
        </w:rPr>
        <w:t>（一）主要职能。</w:t>
      </w:r>
    </w:p>
    <w:p>
      <w:pPr>
        <w:pStyle w:val="3"/>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负责贯彻执行国家和省有关教育行业的法律、法规和方针、政策，根据国民经济和社会发展需要，拟定学校教育教学的开展，认真实施义务教育。</w:t>
      </w:r>
    </w:p>
    <w:p>
      <w:pPr>
        <w:pStyle w:val="3"/>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（二）201</w:t>
      </w:r>
      <w:r>
        <w:rPr>
          <w:rFonts w:hint="eastAsia" w:ascii="仿宋" w:hAnsi="仿宋" w:eastAsia="仿宋"/>
          <w:b w:val="0"/>
          <w:bCs w:val="0"/>
          <w:color w:val="000000"/>
          <w:sz w:val="32"/>
          <w:szCs w:val="32"/>
          <w:lang w:val="en-US" w:eastAsia="zh-CN"/>
        </w:rPr>
        <w:t>8</w:t>
      </w:r>
      <w:r>
        <w:rPr>
          <w:rFonts w:hint="eastAsia" w:ascii="仿宋" w:hAnsi="仿宋" w:eastAsia="仿宋"/>
          <w:b w:val="0"/>
          <w:bCs w:val="0"/>
          <w:color w:val="000000"/>
          <w:sz w:val="32"/>
          <w:szCs w:val="32"/>
        </w:rPr>
        <w:t>年重点工作完成情况。</w:t>
      </w:r>
    </w:p>
    <w:p>
      <w:pPr>
        <w:pStyle w:val="3"/>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 xml:space="preserve">1、教育教学质量进一步提高，办学条件得到改善。办学水平和办学质量得到社会和教育行政部门的认可，为地方教育事业发展做出了贡献。  </w:t>
      </w:r>
    </w:p>
    <w:p>
      <w:pPr>
        <w:pStyle w:val="3"/>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 xml:space="preserve">2、学校争取专项资金使办学条件得到进一步改善，校园文化建设基本完成。 </w:t>
      </w:r>
    </w:p>
    <w:p>
      <w:pPr>
        <w:pStyle w:val="3"/>
        <w:rPr>
          <w:rStyle w:val="25"/>
          <w:b w:val="0"/>
          <w:bCs w:val="0"/>
        </w:rPr>
      </w:pPr>
      <w:r>
        <w:rPr>
          <w:rFonts w:hint="eastAsia" w:ascii="仿宋" w:hAnsi="仿宋" w:eastAsia="仿宋"/>
          <w:bCs/>
          <w:color w:val="000000"/>
          <w:sz w:val="32"/>
          <w:szCs w:val="32"/>
        </w:rPr>
        <w:t xml:space="preserve"> </w:t>
      </w: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5"/>
      <w:bookmarkEnd w:id="6"/>
    </w:p>
    <w:p>
      <w:pPr>
        <w:pStyle w:val="5"/>
        <w:adjustRightInd w:val="0"/>
        <w:snapToGrid w:val="0"/>
        <w:spacing w:before="93" w:line="600" w:lineRule="exact"/>
        <w:ind w:firstLine="672" w:firstLineChars="210"/>
        <w:rPr>
          <w:rFonts w:hint="eastAsia" w:ascii="仿宋" w:hAnsi="仿宋" w:eastAsia="仿宋" w:cstheme="majorBidi"/>
          <w:b w:val="0"/>
          <w:bCs w:val="0"/>
          <w:color w:val="000000"/>
          <w:kern w:val="2"/>
          <w:sz w:val="32"/>
          <w:szCs w:val="32"/>
          <w:lang w:val="en-US" w:eastAsia="zh-CN" w:bidi="ar-SA"/>
        </w:rPr>
      </w:pPr>
      <w:r>
        <w:rPr>
          <w:rFonts w:hint="eastAsia" w:ascii="仿宋" w:hAnsi="仿宋" w:eastAsia="仿宋" w:cstheme="majorBidi"/>
          <w:b w:val="0"/>
          <w:bCs w:val="0"/>
          <w:color w:val="000000"/>
          <w:kern w:val="2"/>
          <w:sz w:val="32"/>
          <w:szCs w:val="32"/>
          <w:lang w:val="en-US" w:eastAsia="zh-CN" w:bidi="ar-SA"/>
        </w:rPr>
        <w:t>2018年末单位机构数1，预算单位数1。机构无变动情况。2018年末财政供养人数为在职人员34人。</w:t>
      </w:r>
    </w:p>
    <w:p>
      <w:pPr>
        <w:widowControl/>
        <w:jc w:val="left"/>
        <w:rPr>
          <w:rFonts w:hint="eastAsia" w:ascii="仿宋" w:hAnsi="仿宋" w:eastAsia="仿宋" w:cstheme="majorBidi"/>
          <w:b w:val="0"/>
          <w:bCs w:val="0"/>
          <w:color w:val="000000"/>
          <w:kern w:val="2"/>
          <w:sz w:val="32"/>
          <w:szCs w:val="32"/>
          <w:lang w:val="en-US" w:eastAsia="zh-CN" w:bidi="ar-SA"/>
        </w:rPr>
      </w:pPr>
      <w:r>
        <w:rPr>
          <w:rFonts w:hint="eastAsia" w:ascii="仿宋" w:hAnsi="仿宋" w:eastAsia="仿宋" w:cstheme="majorBidi"/>
          <w:b w:val="0"/>
          <w:bCs w:val="0"/>
          <w:color w:val="000000"/>
          <w:kern w:val="2"/>
          <w:sz w:val="32"/>
          <w:szCs w:val="32"/>
          <w:lang w:val="en-US" w:eastAsia="zh-CN" w:bidi="ar-SA"/>
        </w:rPr>
        <w:br w:type="page"/>
      </w:r>
    </w:p>
    <w:p>
      <w:pPr>
        <w:pStyle w:val="2"/>
        <w:ind w:right="440"/>
        <w:jc w:val="right"/>
      </w:pPr>
      <w:bookmarkStart w:id="55" w:name="_GoBack"/>
      <w:bookmarkEnd w:id="55"/>
      <w:bookmarkStart w:id="7" w:name="_Toc15377204"/>
      <w:bookmarkStart w:id="8"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7"/>
      <w:bookmarkEnd w:id="8"/>
    </w:p>
    <w:p>
      <w:pPr>
        <w:pStyle w:val="23"/>
        <w:numPr>
          <w:ilvl w:val="0"/>
          <w:numId w:val="1"/>
        </w:numPr>
        <w:spacing w:line="600" w:lineRule="exact"/>
        <w:ind w:firstLineChars="0"/>
        <w:outlineLvl w:val="1"/>
        <w:rPr>
          <w:rStyle w:val="25"/>
          <w:rFonts w:ascii="黑体" w:hAnsi="黑体" w:eastAsia="黑体"/>
          <w:b w:val="0"/>
        </w:rPr>
      </w:pPr>
      <w:bookmarkStart w:id="9" w:name="_Toc15377205"/>
      <w:bookmarkStart w:id="10"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9"/>
      <w:bookmarkEnd w:id="10"/>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492.22</w:t>
      </w:r>
      <w:r>
        <w:rPr>
          <w:rFonts w:hint="eastAsia" w:ascii="仿宋" w:hAnsi="仿宋" w:eastAsia="仿宋"/>
          <w:color w:val="000000"/>
          <w:sz w:val="32"/>
          <w:szCs w:val="32"/>
        </w:rPr>
        <w:t>万元。与2017年相比，收、支总计减少</w:t>
      </w:r>
      <w:r>
        <w:rPr>
          <w:rFonts w:hint="eastAsia" w:ascii="仿宋" w:hAnsi="仿宋" w:eastAsia="仿宋"/>
          <w:color w:val="000000"/>
          <w:sz w:val="32"/>
          <w:szCs w:val="32"/>
          <w:lang w:val="en-US" w:eastAsia="zh-CN"/>
        </w:rPr>
        <w:t>43.61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keepNext w:val="0"/>
        <w:keepLines w:val="0"/>
        <w:widowControl w:val="0"/>
        <w:suppressLineNumbers w:val="0"/>
        <w:spacing w:before="0" w:beforeAutospacing="0" w:after="0" w:afterAutospacing="0"/>
        <w:ind w:left="0" w:right="0"/>
        <w:jc w:val="center"/>
      </w:pPr>
      <w:r>
        <w:drawing>
          <wp:anchor distT="0" distB="0" distL="114300" distR="114300" simplePos="0" relativeHeight="251685888" behindDoc="0" locked="0" layoutInCell="1" allowOverlap="1">
            <wp:simplePos x="0" y="0"/>
            <wp:positionH relativeFrom="column">
              <wp:posOffset>513715</wp:posOffset>
            </wp:positionH>
            <wp:positionV relativeFrom="paragraph">
              <wp:posOffset>555625</wp:posOffset>
            </wp:positionV>
            <wp:extent cx="4632960" cy="2743200"/>
            <wp:effectExtent l="4445" t="4445" r="10795" b="10795"/>
            <wp:wrapNone/>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方正小标宋简体" w:hAnsi="方正小标宋简体" w:eastAsia="方正小标宋简体" w:cs="方正小标宋简体"/>
          <w:color w:val="000000"/>
          <w:kern w:val="2"/>
          <w:sz w:val="36"/>
          <w:szCs w:val="36"/>
          <w:lang w:val="en-US" w:eastAsia="zh-CN" w:bidi="ar"/>
        </w:rPr>
        <w:t>一般公共预算财政拨款支出决算总体情况</w:t>
      </w: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spacing w:line="600" w:lineRule="exact"/>
        <w:ind w:firstLine="420" w:firstLineChars="200"/>
        <w:jc w:val="left"/>
      </w:pPr>
    </w:p>
    <w:p>
      <w:pPr>
        <w:pStyle w:val="23"/>
        <w:numPr>
          <w:ilvl w:val="0"/>
          <w:numId w:val="1"/>
        </w:numPr>
        <w:spacing w:line="600" w:lineRule="exact"/>
        <w:ind w:firstLineChars="0"/>
        <w:outlineLvl w:val="1"/>
        <w:rPr>
          <w:rStyle w:val="25"/>
          <w:rFonts w:ascii="黑体" w:hAnsi="黑体" w:eastAsia="黑体"/>
          <w:b w:val="0"/>
        </w:rPr>
      </w:pPr>
      <w:bookmarkStart w:id="11" w:name="_Toc15377206"/>
      <w:bookmarkStart w:id="12"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11"/>
      <w:bookmarkEnd w:id="12"/>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492.22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489.22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方正小标宋简体" w:hAnsi="方正小标宋简体" w:eastAsia="方正小标宋简体" w:cs="方正小标宋简体"/>
          <w:color w:val="000000"/>
          <w:kern w:val="2"/>
          <w:sz w:val="36"/>
          <w:szCs w:val="36"/>
          <w:lang w:val="en-US" w:eastAsia="zh-CN" w:bidi="ar"/>
        </w:rPr>
      </w:pPr>
      <w:r>
        <w:rPr>
          <w:rFonts w:hint="eastAsia" w:ascii="仿宋" w:hAnsi="仿宋" w:eastAsia="仿宋"/>
          <w:color w:val="000000" w:themeColor="text1"/>
          <w:sz w:val="32"/>
          <w:szCs w:val="32"/>
          <w14:textFill>
            <w14:solidFill>
              <w14:schemeClr w14:val="tx1"/>
            </w14:solidFill>
          </w14:textFill>
        </w:rPr>
        <w:t>（图2：收入决算结构图）（饼状图）</w:t>
      </w:r>
    </w:p>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color w:val="000000"/>
          <w:kern w:val="2"/>
          <w:sz w:val="36"/>
          <w:szCs w:val="36"/>
          <w:lang w:val="en-US" w:eastAsia="zh-CN" w:bidi="ar"/>
        </w:rPr>
      </w:pPr>
      <w:r>
        <w:rPr>
          <w:rFonts w:hint="eastAsia" w:ascii="方正小标宋简体" w:hAnsi="方正小标宋简体" w:eastAsia="方正小标宋简体" w:cs="方正小标宋简体"/>
          <w:color w:val="000000"/>
          <w:kern w:val="2"/>
          <w:sz w:val="36"/>
          <w:szCs w:val="36"/>
          <w:lang w:val="en-US" w:eastAsia="zh-CN" w:bidi="ar"/>
        </w:rPr>
        <w:t>收入决算总体情况</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313055</wp:posOffset>
            </wp:positionH>
            <wp:positionV relativeFrom="paragraph">
              <wp:posOffset>127000</wp:posOffset>
            </wp:positionV>
            <wp:extent cx="4610100" cy="3871595"/>
            <wp:effectExtent l="5080" t="4445" r="17780" b="10160"/>
            <wp:wrapNone/>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color w:val="000000"/>
          <w:kern w:val="2"/>
          <w:sz w:val="36"/>
          <w:szCs w:val="36"/>
          <w:lang w:val="en-US" w:eastAsia="zh-CN" w:bidi="ar"/>
        </w:rPr>
      </w:pPr>
    </w:p>
    <w:p>
      <w:pPr>
        <w:spacing w:line="600" w:lineRule="exact"/>
        <w:ind w:firstLine="420" w:firstLineChars="200"/>
      </w:pPr>
    </w:p>
    <w:p>
      <w:pPr>
        <w:spacing w:line="600" w:lineRule="exact"/>
        <w:ind w:firstLine="420" w:firstLineChars="200"/>
      </w:pPr>
    </w:p>
    <w:p>
      <w:pPr>
        <w:spacing w:line="600" w:lineRule="exact"/>
        <w:ind w:firstLine="420" w:firstLineChars="200"/>
      </w:pPr>
    </w:p>
    <w:p>
      <w:pPr>
        <w:pStyle w:val="23"/>
        <w:numPr>
          <w:ilvl w:val="0"/>
          <w:numId w:val="0"/>
        </w:numPr>
        <w:spacing w:line="600" w:lineRule="exact"/>
        <w:ind w:left="640" w:leftChars="0"/>
        <w:outlineLvl w:val="1"/>
        <w:rPr>
          <w:rStyle w:val="25"/>
          <w:rFonts w:ascii="黑体" w:hAnsi="黑体" w:eastAsia="黑体"/>
          <w:b w:val="0"/>
        </w:rPr>
      </w:pPr>
      <w:bookmarkStart w:id="13" w:name="_Toc15377207"/>
      <w:bookmarkStart w:id="14" w:name="_Toc15396605"/>
    </w:p>
    <w:p>
      <w:pPr>
        <w:pStyle w:val="23"/>
        <w:numPr>
          <w:ilvl w:val="0"/>
          <w:numId w:val="0"/>
        </w:numPr>
        <w:spacing w:line="600" w:lineRule="exact"/>
        <w:ind w:left="640" w:leftChars="0"/>
        <w:outlineLvl w:val="1"/>
        <w:rPr>
          <w:rStyle w:val="25"/>
          <w:rFonts w:ascii="黑体" w:hAnsi="黑体" w:eastAsia="黑体"/>
          <w:b w:val="0"/>
        </w:rPr>
      </w:pPr>
    </w:p>
    <w:p>
      <w:pPr>
        <w:pStyle w:val="23"/>
        <w:numPr>
          <w:ilvl w:val="0"/>
          <w:numId w:val="0"/>
        </w:numPr>
        <w:spacing w:line="600" w:lineRule="exact"/>
        <w:ind w:left="640" w:leftChars="0"/>
        <w:outlineLvl w:val="1"/>
        <w:rPr>
          <w:rStyle w:val="25"/>
          <w:rFonts w:ascii="黑体" w:hAnsi="黑体" w:eastAsia="黑体"/>
          <w:b w:val="0"/>
        </w:rPr>
      </w:pPr>
    </w:p>
    <w:p>
      <w:pPr>
        <w:pStyle w:val="23"/>
        <w:numPr>
          <w:ilvl w:val="0"/>
          <w:numId w:val="0"/>
        </w:numPr>
        <w:spacing w:line="600" w:lineRule="exact"/>
        <w:ind w:left="640" w:leftChars="0"/>
        <w:outlineLvl w:val="1"/>
        <w:rPr>
          <w:rStyle w:val="25"/>
          <w:rFonts w:ascii="黑体" w:hAnsi="黑体" w:eastAsia="黑体"/>
          <w:b w:val="0"/>
        </w:rPr>
      </w:pPr>
    </w:p>
    <w:p>
      <w:pPr>
        <w:pStyle w:val="23"/>
        <w:numPr>
          <w:ilvl w:val="0"/>
          <w:numId w:val="0"/>
        </w:numPr>
        <w:spacing w:line="600" w:lineRule="exact"/>
        <w:ind w:left="640" w:leftChars="0"/>
        <w:outlineLvl w:val="1"/>
        <w:rPr>
          <w:rStyle w:val="25"/>
          <w:rFonts w:ascii="黑体" w:hAnsi="黑体" w:eastAsia="黑体"/>
          <w:b w:val="0"/>
        </w:rPr>
      </w:pPr>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13"/>
      <w:bookmarkEnd w:id="1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492.21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478.21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jc w:val="center"/>
        <w:rPr>
          <w:rFonts w:hint="eastAsia" w:ascii="黑体" w:hAnsi="黑体" w:eastAsia="黑体"/>
          <w:color w:val="000000"/>
          <w:sz w:val="32"/>
          <w:szCs w:val="32"/>
        </w:rPr>
      </w:pPr>
    </w:p>
    <w:p>
      <w:pPr>
        <w:spacing w:line="600" w:lineRule="exact"/>
        <w:jc w:val="center"/>
        <w:rPr>
          <w:rFonts w:hint="eastAsia" w:ascii="仿宋" w:hAnsi="仿宋" w:eastAsia="仿宋"/>
          <w:color w:val="000000"/>
          <w:sz w:val="32"/>
          <w:szCs w:val="32"/>
        </w:rPr>
      </w:pPr>
      <w:r>
        <w:rPr>
          <w:rFonts w:hint="eastAsia" w:ascii="黑体" w:hAnsi="黑体" w:eastAsia="黑体"/>
          <w:color w:val="000000"/>
          <w:sz w:val="32"/>
          <w:szCs w:val="32"/>
        </w:rPr>
        <w:t>支</w:t>
      </w:r>
      <w:r>
        <w:rPr>
          <w:rStyle w:val="25"/>
          <w:rFonts w:hint="eastAsia" w:ascii="黑体" w:hAnsi="黑体" w:eastAsia="黑体"/>
          <w:b w:val="0"/>
        </w:rPr>
        <w:t>出决算</w:t>
      </w:r>
      <w:r>
        <w:rPr>
          <w:rStyle w:val="25"/>
          <w:rFonts w:hint="eastAsia" w:ascii="黑体" w:hAnsi="黑体" w:eastAsia="黑体"/>
          <w:b w:val="0"/>
          <w:lang w:val="en-US" w:eastAsia="zh-CN"/>
        </w:rPr>
        <w:t>总体</w:t>
      </w:r>
      <w:r>
        <w:rPr>
          <w:rStyle w:val="25"/>
          <w:rFonts w:hint="eastAsia" w:ascii="黑体" w:hAnsi="黑体" w:eastAsia="黑体"/>
          <w:b w:val="0"/>
        </w:rPr>
        <w:t>情况</w:t>
      </w:r>
    </w:p>
    <w:p>
      <w:pPr>
        <w:spacing w:line="600" w:lineRule="exact"/>
        <w:ind w:firstLine="1600" w:firstLineChars="5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rPr>
          <w:rFonts w:ascii="仿宋_GB2312" w:eastAsia="仿宋_GB2312"/>
          <w:color w:val="FF0000"/>
          <w:sz w:val="32"/>
          <w:szCs w:val="32"/>
        </w:rPr>
      </w:pPr>
      <w:r>
        <w:rPr>
          <w:rFonts w:hint="eastAsia"/>
          <w:lang w:val="en-US" w:eastAsia="zh-CN"/>
        </w:rPr>
        <w:t xml:space="preserve"> </w:t>
      </w:r>
    </w:p>
    <w:p>
      <w:pPr>
        <w:spacing w:line="600" w:lineRule="exact"/>
        <w:ind w:firstLine="420" w:firstLineChars="200"/>
        <w:outlineLvl w:val="1"/>
        <w:rPr>
          <w:rFonts w:hint="eastAsia" w:ascii="黑体" w:hAnsi="黑体" w:eastAsia="黑体"/>
          <w:color w:val="000000"/>
          <w:sz w:val="32"/>
          <w:szCs w:val="32"/>
        </w:rPr>
      </w:pPr>
      <w:bookmarkStart w:id="15" w:name="_Toc15396606"/>
      <w:bookmarkStart w:id="16" w:name="_Toc15377208"/>
      <w:r>
        <w:drawing>
          <wp:anchor distT="0" distB="0" distL="114300" distR="114300" simplePos="0" relativeHeight="251684864" behindDoc="0" locked="0" layoutInCell="1" allowOverlap="1">
            <wp:simplePos x="0" y="0"/>
            <wp:positionH relativeFrom="column">
              <wp:posOffset>505460</wp:posOffset>
            </wp:positionH>
            <wp:positionV relativeFrom="paragraph">
              <wp:posOffset>110490</wp:posOffset>
            </wp:positionV>
            <wp:extent cx="4632960" cy="3415030"/>
            <wp:effectExtent l="4445" t="4445" r="10795" b="952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15"/>
      <w:bookmarkEnd w:id="16"/>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492.22</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7年相比，财政拨款收、支总计减少</w:t>
      </w:r>
      <w:r>
        <w:rPr>
          <w:rFonts w:hint="eastAsia" w:ascii="仿宋" w:hAnsi="仿宋" w:eastAsia="仿宋"/>
          <w:color w:val="000000"/>
          <w:sz w:val="32"/>
          <w:szCs w:val="32"/>
          <w:lang w:val="en-US" w:eastAsia="zh-CN"/>
        </w:rPr>
        <w:t>43.61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jc w:val="center"/>
        <w:rPr>
          <w:rFonts w:hint="eastAsia" w:ascii="仿宋" w:hAnsi="仿宋" w:eastAsia="仿宋"/>
          <w:color w:val="000000"/>
          <w:sz w:val="32"/>
          <w:szCs w:val="32"/>
          <w:lang w:val="en-US" w:eastAsia="zh-CN"/>
        </w:rPr>
      </w:pPr>
      <w:r>
        <w:rPr>
          <w:rFonts w:hint="eastAsia" w:ascii="黑体" w:hAnsi="黑体" w:eastAsia="黑体"/>
          <w:color w:val="000000"/>
          <w:sz w:val="32"/>
          <w:szCs w:val="32"/>
        </w:rPr>
        <w:t>财</w:t>
      </w:r>
      <w:r>
        <w:rPr>
          <w:rStyle w:val="25"/>
          <w:rFonts w:hint="eastAsia" w:ascii="黑体" w:hAnsi="黑体" w:eastAsia="黑体"/>
          <w:b w:val="0"/>
        </w:rPr>
        <w:t>政拨款收入支出决算总体情况</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86912" behindDoc="0" locked="0" layoutInCell="1" allowOverlap="1">
            <wp:simplePos x="0" y="0"/>
            <wp:positionH relativeFrom="column">
              <wp:posOffset>465455</wp:posOffset>
            </wp:positionH>
            <wp:positionV relativeFrom="paragraph">
              <wp:posOffset>175895</wp:posOffset>
            </wp:positionV>
            <wp:extent cx="4632960" cy="2660650"/>
            <wp:effectExtent l="4445" t="4445" r="10795" b="17145"/>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17" w:name="_Toc15396607"/>
      <w:bookmarkStart w:id="18"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17"/>
      <w:bookmarkEnd w:id="18"/>
    </w:p>
    <w:p>
      <w:pPr>
        <w:spacing w:line="600" w:lineRule="exact"/>
        <w:ind w:firstLine="643" w:firstLineChars="200"/>
        <w:outlineLvl w:val="2"/>
        <w:rPr>
          <w:rFonts w:ascii="仿宋" w:hAnsi="仿宋" w:eastAsia="仿宋"/>
          <w:b/>
          <w:color w:val="000000"/>
          <w:sz w:val="32"/>
          <w:szCs w:val="32"/>
        </w:rPr>
      </w:pPr>
      <w:bookmarkStart w:id="19" w:name="_Toc15377210"/>
      <w:r>
        <w:rPr>
          <w:rFonts w:hint="eastAsia" w:ascii="仿宋" w:hAnsi="仿宋" w:eastAsia="仿宋"/>
          <w:b/>
          <w:color w:val="000000"/>
          <w:sz w:val="32"/>
          <w:szCs w:val="32"/>
        </w:rPr>
        <w:t>（一）一般公共预算财政拨款支出决算总体情况</w:t>
      </w:r>
      <w:bookmarkEnd w:id="19"/>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492.22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43.61</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r>
        <w:rPr>
          <w:rFonts w:hint="eastAsia" w:ascii="仿宋" w:hAnsi="仿宋" w:eastAsia="仿宋"/>
          <w:color w:val="000000"/>
          <w:sz w:val="32"/>
          <w:szCs w:val="32"/>
          <w:lang w:val="en-US" w:eastAsia="zh-CN"/>
        </w:rPr>
        <w:t xml:space="preserve">       </w:t>
      </w:r>
    </w:p>
    <w:p>
      <w:pPr>
        <w:spacing w:line="600" w:lineRule="exact"/>
        <w:rPr>
          <w:rFonts w:hint="eastAsia" w:ascii="仿宋" w:hAnsi="仿宋" w:eastAsia="仿宋"/>
          <w:color w:val="000000"/>
          <w:sz w:val="32"/>
          <w:szCs w:val="32"/>
          <w:lang w:val="en-US" w:eastAsia="zh-CN"/>
        </w:rPr>
      </w:pPr>
      <w:r>
        <w:drawing>
          <wp:anchor distT="0" distB="0" distL="114300" distR="114300" simplePos="0" relativeHeight="251687936" behindDoc="0" locked="0" layoutInCell="1" allowOverlap="1">
            <wp:simplePos x="0" y="0"/>
            <wp:positionH relativeFrom="column">
              <wp:posOffset>461010</wp:posOffset>
            </wp:positionH>
            <wp:positionV relativeFrom="paragraph">
              <wp:posOffset>197485</wp:posOffset>
            </wp:positionV>
            <wp:extent cx="4632960" cy="2743200"/>
            <wp:effectExtent l="4445" t="4445" r="10795" b="1079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rPr>
          <w:rFonts w:hint="eastAsia" w:ascii="仿宋" w:hAnsi="仿宋" w:eastAsia="仿宋"/>
          <w:color w:val="000000"/>
          <w:sz w:val="32"/>
          <w:szCs w:val="32"/>
          <w:lang w:val="en-US" w:eastAsia="zh-CN"/>
        </w:rPr>
      </w:pPr>
    </w:p>
    <w:p>
      <w:pPr>
        <w:spacing w:line="600" w:lineRule="exact"/>
        <w:outlineLvl w:val="2"/>
        <w:rPr>
          <w:rFonts w:ascii="仿宋" w:hAnsi="仿宋" w:eastAsia="仿宋"/>
          <w:color w:val="000000"/>
          <w:sz w:val="32"/>
          <w:szCs w:val="32"/>
        </w:rPr>
      </w:pPr>
      <w:bookmarkStart w:id="20" w:name="_Toc15377211"/>
      <w:r>
        <w:rPr>
          <w:rFonts w:hint="eastAsia" w:ascii="仿宋" w:hAnsi="仿宋" w:eastAsia="仿宋"/>
          <w:b/>
          <w:color w:val="000000"/>
          <w:sz w:val="32"/>
          <w:szCs w:val="32"/>
        </w:rPr>
        <w:t>（二）一般公共预算财政拨款支出决算结构情况</w:t>
      </w:r>
      <w:bookmarkEnd w:id="20"/>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489.22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489.21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390.4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54.35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15.54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28.92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jc w:val="center"/>
        <w:rPr>
          <w:rFonts w:hint="eastAsia" w:ascii="仿宋" w:hAnsi="仿宋" w:eastAsia="仿宋"/>
          <w:b/>
          <w:color w:val="000000"/>
          <w:sz w:val="32"/>
          <w:szCs w:val="32"/>
          <w:lang w:val="en-US" w:eastAsia="zh-CN"/>
        </w:rPr>
      </w:pPr>
      <w:r>
        <w:rPr>
          <w:rFonts w:hint="eastAsia" w:ascii="仿宋" w:hAnsi="仿宋" w:eastAsia="仿宋"/>
          <w:b/>
          <w:color w:val="000000"/>
          <w:sz w:val="32"/>
          <w:szCs w:val="32"/>
        </w:rPr>
        <w:t>一般公共预算财政拨款支出决算结构</w:t>
      </w:r>
      <w:r>
        <w:rPr>
          <w:rFonts w:hint="eastAsia" w:ascii="仿宋" w:hAnsi="仿宋" w:eastAsia="仿宋"/>
          <w:b/>
          <w:color w:val="000000"/>
          <w:sz w:val="32"/>
          <w:szCs w:val="32"/>
          <w:lang w:val="en-US" w:eastAsia="zh-CN"/>
        </w:rPr>
        <w:t>情况</w:t>
      </w:r>
    </w:p>
    <w:p>
      <w:pPr>
        <w:spacing w:line="600" w:lineRule="exact"/>
        <w:ind w:firstLine="640" w:firstLineChars="200"/>
        <w:rPr>
          <w:rFonts w:hint="eastAsia" w:ascii="仿宋" w:hAnsi="仿宋" w:eastAsia="仿宋"/>
          <w:b/>
          <w:color w:val="000000"/>
          <w:sz w:val="32"/>
          <w:szCs w:val="32"/>
          <w:lang w:val="en-US" w:eastAsia="zh-CN"/>
        </w:rPr>
      </w:pPr>
      <w:r>
        <w:rPr>
          <w:rFonts w:hint="eastAsia" w:ascii="仿宋" w:hAnsi="仿宋" w:eastAsia="仿宋"/>
          <w:color w:val="000000"/>
          <w:sz w:val="32"/>
          <w:szCs w:val="32"/>
        </w:rPr>
        <w:t>（图6：一般公共预算财政拨款支出决算结构）（饼状图）</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7456" behindDoc="0" locked="0" layoutInCell="1" allowOverlap="1">
            <wp:simplePos x="0" y="0"/>
            <wp:positionH relativeFrom="column">
              <wp:posOffset>309880</wp:posOffset>
            </wp:positionH>
            <wp:positionV relativeFrom="paragraph">
              <wp:posOffset>186690</wp:posOffset>
            </wp:positionV>
            <wp:extent cx="4724400" cy="3345180"/>
            <wp:effectExtent l="5080" t="4445" r="10160" b="18415"/>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21" w:name="_Toc15377212"/>
      <w:r>
        <w:rPr>
          <w:rFonts w:hint="eastAsia" w:ascii="仿宋" w:hAnsi="仿宋" w:eastAsia="仿宋"/>
          <w:b/>
          <w:color w:val="000000"/>
          <w:sz w:val="32"/>
          <w:szCs w:val="32"/>
        </w:rPr>
        <w:t>（三）一般公共预算财政拨款支出决算具体情况</w:t>
      </w:r>
      <w:bookmarkEnd w:id="21"/>
    </w:p>
    <w:p>
      <w:pPr>
        <w:spacing w:line="600" w:lineRule="exact"/>
        <w:ind w:firstLine="643" w:firstLineChars="200"/>
        <w:outlineLvl w:val="2"/>
        <w:rPr>
          <w:rFonts w:ascii="仿宋" w:hAnsi="仿宋" w:eastAsia="仿宋"/>
          <w:color w:val="FF0000"/>
          <w:sz w:val="32"/>
          <w:szCs w:val="32"/>
        </w:rPr>
      </w:pPr>
      <w:bookmarkStart w:id="22" w:name="_Toc15378460"/>
      <w:bookmarkStart w:id="23" w:name="_Toc15377444"/>
      <w:bookmarkStart w:id="24"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489.22</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22"/>
      <w:bookmarkEnd w:id="23"/>
      <w:bookmarkEnd w:id="24"/>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390.4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54.35</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15.54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28.92</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25" w:name="_Toc15377214"/>
      <w:bookmarkStart w:id="26"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25"/>
      <w:bookmarkEnd w:id="26"/>
      <w:r>
        <w:rPr>
          <w:rStyle w:val="25"/>
          <w:rFonts w:ascii="黑体" w:hAnsi="黑体" w:eastAsia="黑体"/>
          <w:b w:val="0"/>
        </w:rPr>
        <w:tab/>
      </w:r>
    </w:p>
    <w:p>
      <w:pPr>
        <w:spacing w:line="600" w:lineRule="exact"/>
        <w:ind w:firstLine="645"/>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489.22</w:t>
      </w:r>
      <w:r>
        <w:rPr>
          <w:rFonts w:hint="eastAsia" w:ascii="仿宋" w:hAnsi="仿宋" w:eastAsia="仿宋"/>
          <w:color w:val="000000"/>
          <w:sz w:val="32"/>
          <w:szCs w:val="32"/>
        </w:rPr>
        <w:t>万元，其中：人员经费</w:t>
      </w:r>
      <w:r>
        <w:rPr>
          <w:rFonts w:hint="eastAsia" w:ascii="仿宋" w:hAnsi="仿宋" w:eastAsia="仿宋"/>
          <w:color w:val="000000"/>
          <w:sz w:val="32"/>
          <w:szCs w:val="32"/>
          <w:lang w:val="en-US" w:eastAsia="zh-CN"/>
        </w:rPr>
        <w:t>439.68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42.54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27" w:name="_Toc15396609"/>
      <w:bookmarkStart w:id="28"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27"/>
      <w:bookmarkEnd w:id="28"/>
    </w:p>
    <w:p>
      <w:pPr>
        <w:spacing w:line="600" w:lineRule="exact"/>
        <w:ind w:firstLine="640"/>
        <w:outlineLvl w:val="2"/>
        <w:rPr>
          <w:rFonts w:ascii="仿宋" w:hAnsi="仿宋" w:eastAsia="仿宋"/>
          <w:b/>
          <w:color w:val="000000"/>
          <w:sz w:val="32"/>
          <w:szCs w:val="32"/>
        </w:rPr>
      </w:pPr>
      <w:bookmarkStart w:id="29" w:name="_Toc15377216"/>
      <w:r>
        <w:rPr>
          <w:rFonts w:hint="eastAsia" w:ascii="仿宋" w:hAnsi="仿宋" w:eastAsia="仿宋"/>
          <w:b/>
          <w:color w:val="000000"/>
          <w:sz w:val="32"/>
          <w:szCs w:val="32"/>
        </w:rPr>
        <w:t>（一）“三公”经费财政拨款支出决算总体情况说明</w:t>
      </w:r>
      <w:bookmarkEnd w:id="2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7减少</w:t>
      </w:r>
      <w:r>
        <w:rPr>
          <w:rFonts w:hint="eastAsia" w:ascii="仿宋_GB2312" w:eastAsia="仿宋_GB2312"/>
          <w:color w:val="000000"/>
          <w:sz w:val="32"/>
          <w:szCs w:val="32"/>
          <w:lang w:val="en-US" w:eastAsia="zh-CN"/>
        </w:rPr>
        <w:t>0.02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厉行节约</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30" w:name="_Toc15377217"/>
      <w:r>
        <w:rPr>
          <w:rFonts w:hint="eastAsia" w:ascii="仿宋" w:hAnsi="仿宋" w:eastAsia="仿宋"/>
          <w:b/>
          <w:color w:val="000000"/>
          <w:sz w:val="32"/>
          <w:szCs w:val="32"/>
        </w:rPr>
        <w:t>（二）“三公”经费财政拨款支出决算具体情况说明</w:t>
      </w:r>
      <w:bookmarkEnd w:id="3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：“三公”经费财政拨款支出结构）（饼状图）</w: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firstLineChars="200"/>
        <w:rPr>
          <w:rFonts w:ascii="仿宋_GB2312" w:eastAsia="仿宋_GB2312"/>
          <w:b/>
          <w:color w:val="000000"/>
          <w:sz w:val="32"/>
          <w:szCs w:val="32"/>
        </w:rPr>
      </w:pPr>
      <w:r>
        <w:rPr>
          <w:rFonts w:ascii="仿宋" w:hAnsi="仿宋" w:eastAsia="仿宋"/>
          <w:color w:val="000000"/>
          <w:sz w:val="32"/>
          <w:szCs w:val="32"/>
        </w:rPr>
        <w:pict>
          <v:shape id="_x0000_s1026" o:spid="_x0000_s1026" o:spt="75" type="#_x0000_t75" style="position:absolute;left:0pt;margin-left:-0.75pt;margin-top:-328.95pt;height:265.6pt;width:427.15pt;z-index:251681792;mso-width-relative:page;mso-height-relative:page;" o:ole="t" filled="f" o:preferrelative="t" stroked="f" coordsize="21600,21600">
            <v:path/>
            <v:fill on="f" focussize="0,0"/>
            <v:stroke on="f" joinstyle="miter"/>
            <v:imagedata r:id="rId13" o:title=""/>
            <o:lock v:ext="edit" aspectratio="t"/>
          </v:shape>
          <o:OLEObject Type="Embed" ProgID="Excel.Sheet.8" ShapeID="_x0000_s1026" DrawAspect="Content" ObjectID="_1468075725" r:id="rId12">
            <o:LockedField>false</o:LockedField>
          </o:OLEObject>
        </w:pict>
      </w:r>
      <w:r>
        <w:rPr>
          <w:rFonts w:hint="eastAsia" w:ascii="仿宋" w:hAnsi="仿宋" w:eastAsia="仿宋"/>
          <w:color w:val="000000"/>
          <w:sz w:val="32"/>
          <w:szCs w:val="32"/>
          <w:lang w:val="en-US" w:eastAsia="zh-CN"/>
        </w:rPr>
        <w:t xml:space="preserve">   </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0.18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7减少</w:t>
      </w:r>
      <w:r>
        <w:rPr>
          <w:rFonts w:hint="eastAsia" w:ascii="仿宋_GB2312" w:eastAsia="仿宋_GB2312"/>
          <w:color w:val="000000"/>
          <w:sz w:val="32"/>
          <w:szCs w:val="32"/>
          <w:lang w:val="en-US" w:eastAsia="zh-CN"/>
        </w:rPr>
        <w:t>0.02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厉行节约</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批次，1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2人次（不包括陪同人员），共计支出0.</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万元，具体内容包括：级来校指导工作、开展业务活动等工作餐支出0.</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31" w:name="_Toc15377218"/>
      <w:bookmarkStart w:id="32"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31"/>
      <w:bookmarkEnd w:id="3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33" w:name="_Toc15396611"/>
      <w:bookmarkStart w:id="34" w:name="_Toc15377219"/>
      <w:r>
        <w:rPr>
          <w:rStyle w:val="25"/>
          <w:rFonts w:hint="eastAsia" w:ascii="黑体" w:hAnsi="黑体" w:eastAsia="黑体"/>
          <w:b w:val="0"/>
        </w:rPr>
        <w:t>国有资本经营预算支出决算情况说明</w:t>
      </w:r>
      <w:bookmarkEnd w:id="33"/>
      <w:bookmarkEnd w:id="3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根据预算绩效管理要求，本部门按要求对2018年部门整体支出开展绩效自评，从评价情况来看全面完成了预算执行，达到了预期效果。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本单位2018年度无项目执行情况。</w:t>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本部门按要求对2018年部门整体支出绩效评价情况开展自评，《开江县</w:t>
      </w:r>
      <w:r>
        <w:rPr>
          <w:rFonts w:hint="eastAsia" w:ascii="仿宋_GB2312" w:hAnsi="仿宋_GB2312" w:eastAsia="仿宋_GB2312" w:cs="仿宋_GB2312"/>
          <w:sz w:val="32"/>
          <w:szCs w:val="32"/>
          <w:lang w:val="en-US" w:eastAsia="zh-CN"/>
        </w:rPr>
        <w:t>长田乡</w:t>
      </w:r>
      <w:r>
        <w:rPr>
          <w:rFonts w:hint="eastAsia" w:ascii="仿宋_GB2312" w:hAnsi="仿宋_GB2312" w:eastAsia="仿宋_GB2312" w:cs="仿宋_GB2312"/>
          <w:sz w:val="32"/>
          <w:szCs w:val="32"/>
        </w:rPr>
        <w:t>中心小学2018年部门整体支出绩效评价报告》见附件。</w:t>
      </w: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960" w:firstLineChars="3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960" w:firstLineChars="3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numPr>
          <w:ilvl w:val="0"/>
          <w:numId w:val="0"/>
        </w:numPr>
        <w:spacing w:line="600" w:lineRule="exact"/>
        <w:jc w:val="both"/>
        <w:outlineLvl w:val="0"/>
        <w:rPr>
          <w:rStyle w:val="24"/>
          <w:rFonts w:ascii="黑体" w:hAnsi="黑体" w:eastAsia="黑体"/>
          <w:b w:val="0"/>
        </w:rPr>
      </w:pPr>
      <w:bookmarkStart w:id="35" w:name="_Toc15396613"/>
      <w:bookmarkStart w:id="36" w:name="_Toc15377225"/>
    </w:p>
    <w:p>
      <w:pPr>
        <w:numPr>
          <w:ilvl w:val="0"/>
          <w:numId w:val="0"/>
        </w:numPr>
        <w:tabs>
          <w:tab w:val="left" w:pos="2680"/>
          <w:tab w:val="center" w:pos="5532"/>
        </w:tabs>
        <w:spacing w:line="600" w:lineRule="exact"/>
        <w:jc w:val="left"/>
        <w:outlineLvl w:val="0"/>
        <w:rPr>
          <w:rFonts w:hint="eastAsia" w:ascii="黑体" w:hAnsi="黑体" w:eastAsia="黑体"/>
          <w:b/>
          <w:color w:val="000000"/>
          <w:sz w:val="44"/>
          <w:szCs w:val="44"/>
          <w:lang w:eastAsia="zh-CN"/>
        </w:rPr>
      </w:pPr>
      <w:r>
        <w:rPr>
          <w:rFonts w:hint="eastAsia" w:ascii="黑体" w:hAnsi="黑体" w:eastAsia="黑体"/>
          <w:b/>
          <w:color w:val="000000"/>
          <w:sz w:val="44"/>
          <w:szCs w:val="44"/>
          <w:lang w:eastAsia="zh-CN"/>
        </w:rPr>
        <w:tab/>
      </w:r>
    </w:p>
    <w:p>
      <w:pPr>
        <w:numPr>
          <w:ilvl w:val="0"/>
          <w:numId w:val="0"/>
        </w:numPr>
        <w:tabs>
          <w:tab w:val="left" w:pos="2680"/>
          <w:tab w:val="center" w:pos="5532"/>
        </w:tabs>
        <w:spacing w:line="600" w:lineRule="exact"/>
        <w:jc w:val="left"/>
        <w:outlineLvl w:val="0"/>
        <w:rPr>
          <w:rFonts w:hint="eastAsia" w:ascii="黑体" w:hAnsi="黑体" w:eastAsia="黑体"/>
          <w:b/>
          <w:color w:val="000000"/>
          <w:sz w:val="44"/>
          <w:szCs w:val="44"/>
          <w:lang w:eastAsia="zh-CN"/>
        </w:rPr>
      </w:pPr>
    </w:p>
    <w:p>
      <w:pPr>
        <w:numPr>
          <w:ilvl w:val="0"/>
          <w:numId w:val="0"/>
        </w:numPr>
        <w:tabs>
          <w:tab w:val="left" w:pos="2680"/>
          <w:tab w:val="center" w:pos="5532"/>
        </w:tabs>
        <w:spacing w:line="600" w:lineRule="exact"/>
        <w:jc w:val="left"/>
        <w:outlineLvl w:val="0"/>
        <w:rPr>
          <w:rFonts w:hint="eastAsia" w:ascii="黑体" w:hAnsi="黑体" w:eastAsia="黑体"/>
          <w:b/>
          <w:color w:val="000000"/>
          <w:sz w:val="44"/>
          <w:szCs w:val="44"/>
          <w:lang w:eastAsia="zh-CN"/>
        </w:rPr>
      </w:pPr>
    </w:p>
    <w:p>
      <w:pPr>
        <w:numPr>
          <w:ilvl w:val="0"/>
          <w:numId w:val="0"/>
        </w:numPr>
        <w:tabs>
          <w:tab w:val="left" w:pos="2680"/>
          <w:tab w:val="center" w:pos="5532"/>
        </w:tabs>
        <w:spacing w:line="600" w:lineRule="exact"/>
        <w:jc w:val="center"/>
        <w:outlineLvl w:val="0"/>
        <w:rPr>
          <w:rStyle w:val="24"/>
          <w:rFonts w:ascii="黑体" w:hAnsi="黑体" w:eastAsia="黑体"/>
          <w:b w:val="0"/>
        </w:rPr>
      </w:pPr>
      <w:r>
        <w:rPr>
          <w:rFonts w:hint="eastAsia" w:ascii="黑体" w:hAnsi="黑体" w:eastAsia="黑体"/>
          <w:b/>
          <w:color w:val="000000"/>
          <w:sz w:val="44"/>
          <w:szCs w:val="44"/>
          <w:lang w:val="en-US" w:eastAsia="zh-CN"/>
        </w:rPr>
        <w:t xml:space="preserve">第三部分 </w:t>
      </w:r>
      <w:r>
        <w:rPr>
          <w:rFonts w:hint="eastAsia" w:ascii="黑体" w:hAnsi="黑体" w:eastAsia="黑体"/>
          <w:b/>
          <w:color w:val="000000"/>
          <w:sz w:val="44"/>
          <w:szCs w:val="44"/>
        </w:rPr>
        <w:t>名</w:t>
      </w:r>
      <w:r>
        <w:rPr>
          <w:rStyle w:val="24"/>
          <w:rFonts w:hint="eastAsia" w:ascii="黑体" w:hAnsi="黑体" w:eastAsia="黑体"/>
          <w:b w:val="0"/>
        </w:rPr>
        <w:t>词解释</w:t>
      </w:r>
      <w:bookmarkEnd w:id="35"/>
      <w:bookmarkEnd w:id="3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r>
        <w:rPr>
          <w:rFonts w:ascii="仿宋_GB2312" w:eastAsia="仿宋_GB2312"/>
          <w:sz w:val="32"/>
          <w:szCs w:val="32"/>
        </w:rPr>
        <w:t>32.</w:t>
      </w:r>
      <w:r>
        <w:rPr>
          <w:rFonts w:hint="eastAsia" w:ascii="仿宋_GB2312" w:eastAsia="仿宋_GB2312"/>
          <w:sz w:val="32"/>
          <w:szCs w:val="32"/>
        </w:rPr>
        <w:t>……。</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both"/>
        <w:outlineLvl w:val="0"/>
        <w:rPr>
          <w:rFonts w:hint="eastAsia" w:ascii="黑体" w:hAnsi="黑体" w:eastAsia="黑体"/>
          <w:color w:val="000000"/>
          <w:sz w:val="44"/>
          <w:szCs w:val="44"/>
        </w:rPr>
      </w:pPr>
      <w:bookmarkStart w:id="37" w:name="_Toc15396614"/>
      <w:bookmarkStart w:id="38" w:name="_Toc15377226"/>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37"/>
    </w:p>
    <w:p>
      <w:pPr>
        <w:spacing w:line="600" w:lineRule="exact"/>
        <w:jc w:val="center"/>
        <w:outlineLvl w:val="0"/>
        <w:rPr>
          <w:rStyle w:val="24"/>
        </w:rPr>
      </w:pPr>
    </w:p>
    <w:p>
      <w:pPr>
        <w:pStyle w:val="3"/>
        <w:rPr>
          <w:rStyle w:val="24"/>
          <w:rFonts w:ascii="仿宋" w:hAnsi="仿宋" w:eastAsia="仿宋"/>
          <w:b w:val="0"/>
          <w:bCs w:val="0"/>
          <w:sz w:val="32"/>
          <w:szCs w:val="32"/>
        </w:rPr>
      </w:pPr>
      <w:bookmarkStart w:id="39" w:name="_Toc15396615"/>
      <w:r>
        <w:rPr>
          <w:rStyle w:val="24"/>
          <w:rFonts w:hint="eastAsia" w:ascii="仿宋" w:hAnsi="仿宋" w:eastAsia="仿宋"/>
          <w:b w:val="0"/>
          <w:bCs w:val="0"/>
          <w:sz w:val="32"/>
          <w:szCs w:val="32"/>
        </w:rPr>
        <w:t>附件1</w:t>
      </w:r>
      <w:bookmarkEnd w:id="39"/>
    </w:p>
    <w:p>
      <w:pPr>
        <w:spacing w:line="600" w:lineRule="exact"/>
        <w:jc w:val="center"/>
        <w:outlineLvl w:val="0"/>
        <w:rPr>
          <w:rFonts w:hint="eastAsia" w:ascii="黑体" w:hAnsi="黑体" w:eastAsia="黑体" w:cs="方正小标宋简体"/>
          <w:sz w:val="36"/>
          <w:szCs w:val="36"/>
        </w:rPr>
      </w:pPr>
      <w:bookmarkStart w:id="4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val="en-US" w:eastAsia="zh-CN"/>
        </w:rPr>
        <w:t>长田</w:t>
      </w:r>
      <w:r>
        <w:rPr>
          <w:rFonts w:hint="eastAsia" w:ascii="黑体" w:hAnsi="黑体" w:eastAsia="黑体" w:cs="方正小标宋简体"/>
          <w:sz w:val="36"/>
          <w:szCs w:val="36"/>
        </w:rPr>
        <w:t>乡中心小学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部门2018年部门整体支出绩效评价报告</w:t>
      </w:r>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我校是一所农村义务教育学校，位于</w:t>
      </w:r>
      <w:r>
        <w:rPr>
          <w:rFonts w:hint="eastAsia" w:ascii="宋体" w:hAnsi="宋体" w:cs="宋体"/>
          <w:color w:val="333333"/>
          <w:kern w:val="0"/>
          <w:sz w:val="28"/>
          <w:szCs w:val="28"/>
          <w:lang w:val="en-US" w:eastAsia="zh-CN"/>
        </w:rPr>
        <w:t>长田乡长红街266</w:t>
      </w:r>
      <w:r>
        <w:rPr>
          <w:rFonts w:hint="eastAsia" w:ascii="宋体" w:hAnsi="宋体" w:cs="宋体"/>
          <w:color w:val="333333"/>
          <w:kern w:val="0"/>
          <w:sz w:val="28"/>
          <w:szCs w:val="28"/>
          <w:lang w:val="en"/>
        </w:rPr>
        <w:t>号</w:t>
      </w:r>
      <w:r>
        <w:rPr>
          <w:rFonts w:hint="eastAsia" w:ascii="宋体" w:hAnsi="宋体" w:cs="宋体"/>
          <w:color w:val="333333"/>
          <w:kern w:val="0"/>
          <w:sz w:val="28"/>
          <w:szCs w:val="28"/>
          <w:lang w:val="en" w:eastAsia="zh-CN"/>
        </w:rPr>
        <w:t>。</w:t>
      </w:r>
      <w:r>
        <w:rPr>
          <w:rFonts w:hint="eastAsia" w:ascii="宋体" w:hAnsi="宋体" w:cs="宋体"/>
          <w:color w:val="333333"/>
          <w:kern w:val="0"/>
          <w:sz w:val="28"/>
          <w:szCs w:val="28"/>
          <w:lang w:val="en"/>
        </w:rPr>
        <w:t>单位职责主要是实施小学义务教育，促进教育事业发展。</w:t>
      </w:r>
    </w:p>
    <w:p>
      <w:pPr>
        <w:widowControl/>
        <w:spacing w:line="480" w:lineRule="auto"/>
        <w:ind w:firstLine="480"/>
        <w:rPr>
          <w:rFonts w:ascii="宋体" w:hAnsi="宋体" w:cs="宋体"/>
          <w:color w:val="333333"/>
          <w:kern w:val="0"/>
          <w:sz w:val="28"/>
          <w:szCs w:val="28"/>
          <w:lang w:val="en"/>
        </w:rPr>
      </w:pPr>
      <w:r>
        <w:rPr>
          <w:rFonts w:hint="eastAsia" w:ascii="宋体" w:hAnsi="宋体" w:cs="宋体"/>
          <w:color w:val="333333"/>
          <w:kern w:val="0"/>
          <w:sz w:val="28"/>
          <w:szCs w:val="28"/>
          <w:lang w:val="en"/>
        </w:rPr>
        <w:t>我校是独立核算的财政全额拨款事业单位，执行事业单位会计制度，编制部门给我校核定事业编制</w:t>
      </w:r>
      <w:r>
        <w:rPr>
          <w:rFonts w:hint="eastAsia" w:ascii="宋体" w:hAnsi="宋体" w:cs="宋体"/>
          <w:color w:val="333333"/>
          <w:kern w:val="0"/>
          <w:sz w:val="28"/>
          <w:szCs w:val="28"/>
          <w:lang w:val="en-US" w:eastAsia="zh-CN"/>
        </w:rPr>
        <w:t>39</w:t>
      </w:r>
      <w:r>
        <w:rPr>
          <w:rFonts w:hint="eastAsia" w:ascii="宋体" w:hAnsi="宋体" w:cs="宋体"/>
          <w:color w:val="333333"/>
          <w:kern w:val="0"/>
          <w:sz w:val="28"/>
          <w:szCs w:val="28"/>
          <w:lang w:val="en"/>
        </w:rPr>
        <w:t>个，2018年末我校共有在职教职员工</w:t>
      </w:r>
      <w:r>
        <w:rPr>
          <w:rFonts w:hint="eastAsia" w:ascii="宋体" w:hAnsi="宋体" w:cs="宋体"/>
          <w:color w:val="333333"/>
          <w:kern w:val="0"/>
          <w:sz w:val="28"/>
          <w:szCs w:val="28"/>
          <w:lang w:val="en-US" w:eastAsia="zh-CN"/>
        </w:rPr>
        <w:t>34</w:t>
      </w:r>
      <w:r>
        <w:rPr>
          <w:rFonts w:hint="eastAsia" w:ascii="宋体" w:hAnsi="宋体" w:cs="宋体"/>
          <w:color w:val="333333"/>
          <w:kern w:val="0"/>
          <w:sz w:val="28"/>
          <w:szCs w:val="28"/>
          <w:lang w:val="en"/>
        </w:rPr>
        <w:t>人，退休</w:t>
      </w:r>
      <w:r>
        <w:rPr>
          <w:rFonts w:hint="eastAsia" w:ascii="宋体" w:hAnsi="宋体" w:cs="宋体"/>
          <w:color w:val="333333"/>
          <w:kern w:val="0"/>
          <w:sz w:val="28"/>
          <w:szCs w:val="28"/>
          <w:lang w:val="en-US" w:eastAsia="zh-CN"/>
        </w:rPr>
        <w:t>31</w:t>
      </w:r>
      <w:r>
        <w:rPr>
          <w:rFonts w:hint="eastAsia" w:ascii="宋体" w:hAnsi="宋体" w:cs="宋体"/>
          <w:color w:val="333333"/>
          <w:kern w:val="0"/>
          <w:sz w:val="28"/>
          <w:szCs w:val="28"/>
          <w:lang w:val="en"/>
        </w:rPr>
        <w:t>人。</w:t>
      </w:r>
    </w:p>
    <w:p>
      <w:pPr>
        <w:widowControl/>
        <w:spacing w:line="480" w:lineRule="auto"/>
        <w:ind w:firstLine="480"/>
        <w:rPr>
          <w:rFonts w:hint="eastAsia" w:ascii="宋体" w:hAnsi="宋体" w:cs="宋体"/>
          <w:color w:val="333333"/>
          <w:kern w:val="0"/>
          <w:sz w:val="28"/>
          <w:szCs w:val="28"/>
          <w:lang w:val="en"/>
        </w:rPr>
      </w:pPr>
      <w:r>
        <w:rPr>
          <w:rFonts w:hint="eastAsia" w:ascii="宋体" w:hAnsi="宋体" w:cs="宋体"/>
          <w:color w:val="333333"/>
          <w:kern w:val="0"/>
          <w:sz w:val="28"/>
          <w:szCs w:val="28"/>
          <w:lang w:val="en"/>
        </w:rPr>
        <w:t>单位内设机构：教务处、政教处、财务室、大队部、工会等5个科室。</w:t>
      </w:r>
    </w:p>
    <w:p>
      <w:pPr>
        <w:widowControl/>
        <w:spacing w:line="480" w:lineRule="auto"/>
        <w:ind w:firstLine="480"/>
        <w:rPr>
          <w:rFonts w:ascii="宋体" w:hAnsi="宋体" w:cs="宋体"/>
          <w:color w:val="333333"/>
          <w:kern w:val="0"/>
          <w:sz w:val="28"/>
          <w:szCs w:val="28"/>
          <w:lang w:val="en"/>
        </w:rPr>
      </w:pPr>
      <w:r>
        <w:rPr>
          <w:rFonts w:hint="eastAsia" w:ascii="宋体" w:hAnsi="宋体" w:cs="宋体"/>
          <w:color w:val="333333"/>
          <w:kern w:val="0"/>
          <w:sz w:val="28"/>
          <w:szCs w:val="28"/>
          <w:lang w:val="en"/>
        </w:rPr>
        <w:t>我校共有</w:t>
      </w:r>
      <w:r>
        <w:rPr>
          <w:rFonts w:hint="eastAsia" w:ascii="宋体" w:hAnsi="宋体" w:cs="宋体"/>
          <w:color w:val="333333"/>
          <w:kern w:val="0"/>
          <w:sz w:val="28"/>
          <w:szCs w:val="28"/>
          <w:lang w:val="en-US" w:eastAsia="zh-CN"/>
        </w:rPr>
        <w:t>12</w:t>
      </w:r>
      <w:r>
        <w:rPr>
          <w:rFonts w:hint="eastAsia" w:ascii="宋体" w:hAnsi="宋体" w:cs="宋体"/>
          <w:color w:val="333333"/>
          <w:kern w:val="0"/>
          <w:sz w:val="28"/>
          <w:szCs w:val="28"/>
          <w:lang w:val="en"/>
        </w:rPr>
        <w:t>个教学班，</w:t>
      </w:r>
      <w:r>
        <w:rPr>
          <w:rFonts w:hint="eastAsia" w:ascii="宋体" w:hAnsi="宋体" w:cs="宋体"/>
          <w:color w:val="333333"/>
          <w:kern w:val="0"/>
          <w:sz w:val="28"/>
          <w:szCs w:val="28"/>
          <w:lang w:val="en-US" w:eastAsia="zh-CN"/>
        </w:rPr>
        <w:t>433</w:t>
      </w:r>
      <w:r>
        <w:rPr>
          <w:rFonts w:hint="eastAsia" w:ascii="宋体" w:hAnsi="宋体" w:cs="宋体"/>
          <w:color w:val="333333"/>
          <w:kern w:val="0"/>
          <w:sz w:val="28"/>
          <w:szCs w:val="28"/>
          <w:lang w:val="en"/>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hint="eastAsia" w:ascii="仿宋" w:hAnsi="仿宋" w:eastAsia="仿宋" w:cs="仿宋_GB2312"/>
          <w:sz w:val="32"/>
          <w:szCs w:val="32"/>
          <w:lang w:val="en"/>
        </w:rPr>
      </w:pPr>
      <w:r>
        <w:rPr>
          <w:rFonts w:hint="eastAsia" w:ascii="仿宋" w:hAnsi="仿宋" w:eastAsia="仿宋" w:cs="仿宋_GB2312"/>
          <w:sz w:val="32"/>
          <w:szCs w:val="32"/>
          <w:lang w:val="en"/>
        </w:rPr>
        <w:t>2018年度我校总收入：</w:t>
      </w:r>
      <w:r>
        <w:rPr>
          <w:rFonts w:hint="eastAsia" w:ascii="仿宋" w:hAnsi="仿宋" w:eastAsia="仿宋" w:cs="仿宋_GB2312"/>
          <w:sz w:val="32"/>
          <w:szCs w:val="32"/>
          <w:lang w:val="en-US" w:eastAsia="zh-CN"/>
        </w:rPr>
        <w:t>492.22</w:t>
      </w:r>
      <w:r>
        <w:rPr>
          <w:rFonts w:hint="eastAsia" w:ascii="仿宋" w:hAnsi="仿宋" w:eastAsia="仿宋" w:cs="仿宋_GB2312"/>
          <w:sz w:val="32"/>
          <w:szCs w:val="32"/>
          <w:lang w:val="en"/>
        </w:rPr>
        <w:t>万元（财政补助收入</w:t>
      </w:r>
      <w:r>
        <w:rPr>
          <w:rFonts w:hint="eastAsia" w:ascii="仿宋" w:hAnsi="仿宋" w:eastAsia="仿宋" w:cs="仿宋_GB2312"/>
          <w:sz w:val="32"/>
          <w:szCs w:val="32"/>
          <w:lang w:val="en-US" w:eastAsia="zh-CN"/>
        </w:rPr>
        <w:t>492.22</w:t>
      </w:r>
      <w:r>
        <w:rPr>
          <w:rFonts w:hint="eastAsia" w:ascii="仿宋" w:hAnsi="仿宋" w:eastAsia="仿宋" w:cs="仿宋_GB2312"/>
          <w:sz w:val="32"/>
          <w:szCs w:val="32"/>
          <w:lang w:val="en"/>
        </w:rPr>
        <w:t>万元），结转上年资金</w:t>
      </w:r>
      <w:r>
        <w:rPr>
          <w:rFonts w:hint="eastAsia" w:ascii="仿宋" w:hAnsi="仿宋" w:eastAsia="仿宋" w:cs="仿宋_GB2312"/>
          <w:sz w:val="32"/>
          <w:szCs w:val="32"/>
          <w:lang w:val="en-US" w:eastAsia="zh-CN"/>
        </w:rPr>
        <w:t>84.67</w:t>
      </w:r>
      <w:r>
        <w:rPr>
          <w:rFonts w:hint="eastAsia" w:ascii="仿宋" w:hAnsi="仿宋" w:eastAsia="仿宋" w:cs="仿宋_GB2312"/>
          <w:sz w:val="32"/>
          <w:szCs w:val="32"/>
          <w:lang w:val="en"/>
        </w:rPr>
        <w:t>万元，全年总支出</w:t>
      </w:r>
      <w:r>
        <w:rPr>
          <w:rFonts w:hint="eastAsia" w:ascii="仿宋" w:hAnsi="仿宋" w:eastAsia="仿宋" w:cs="仿宋_GB2312"/>
          <w:sz w:val="32"/>
          <w:szCs w:val="32"/>
          <w:lang w:val="en-US" w:eastAsia="zh-CN"/>
        </w:rPr>
        <w:t>492.22</w:t>
      </w:r>
      <w:r>
        <w:rPr>
          <w:rFonts w:hint="eastAsia" w:ascii="仿宋" w:hAnsi="仿宋" w:eastAsia="仿宋" w:cs="仿宋_GB2312"/>
          <w:sz w:val="32"/>
          <w:szCs w:val="32"/>
          <w:lang w:val="en"/>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rPr>
        <w:t>教育支出</w:t>
      </w:r>
      <w:r>
        <w:rPr>
          <w:rFonts w:hint="eastAsia" w:ascii="仿宋" w:hAnsi="仿宋" w:eastAsia="仿宋" w:cs="仿宋_GB2312"/>
          <w:sz w:val="32"/>
          <w:szCs w:val="32"/>
          <w:lang w:val="en-US" w:eastAsia="zh-CN"/>
        </w:rPr>
        <w:t>390.4</w:t>
      </w:r>
      <w:r>
        <w:rPr>
          <w:rFonts w:hint="eastAsia" w:ascii="仿宋" w:hAnsi="仿宋" w:eastAsia="仿宋" w:cs="仿宋_GB2312"/>
          <w:sz w:val="32"/>
          <w:szCs w:val="32"/>
          <w:lang w:val="en"/>
        </w:rPr>
        <w:t>万元，社会保障和就业支出（基本养老保险</w:t>
      </w:r>
      <w:r>
        <w:rPr>
          <w:rFonts w:hint="eastAsia" w:ascii="仿宋" w:hAnsi="仿宋" w:eastAsia="仿宋" w:cs="仿宋_GB2312"/>
          <w:sz w:val="32"/>
          <w:szCs w:val="32"/>
          <w:lang w:val="en-US" w:eastAsia="zh-CN"/>
        </w:rPr>
        <w:t>54.35</w:t>
      </w:r>
      <w:r>
        <w:rPr>
          <w:rFonts w:hint="eastAsia" w:ascii="仿宋" w:hAnsi="仿宋" w:eastAsia="仿宋" w:cs="仿宋_GB2312"/>
          <w:sz w:val="32"/>
          <w:szCs w:val="32"/>
          <w:lang w:val="en"/>
        </w:rPr>
        <w:t>万元，医疗卫生支出（基本医疗保险）</w:t>
      </w:r>
      <w:r>
        <w:rPr>
          <w:rFonts w:hint="eastAsia" w:ascii="仿宋" w:hAnsi="仿宋" w:eastAsia="仿宋" w:cs="仿宋_GB2312"/>
          <w:sz w:val="32"/>
          <w:szCs w:val="32"/>
          <w:lang w:val="en-US" w:eastAsia="zh-CN"/>
        </w:rPr>
        <w:t>15.54</w:t>
      </w:r>
      <w:r>
        <w:rPr>
          <w:rFonts w:hint="eastAsia" w:ascii="仿宋" w:hAnsi="仿宋" w:eastAsia="仿宋" w:cs="仿宋_GB2312"/>
          <w:sz w:val="32"/>
          <w:szCs w:val="32"/>
          <w:lang w:val="en"/>
        </w:rPr>
        <w:t>万元，住房保障支出（住房公积金）</w:t>
      </w:r>
      <w:r>
        <w:rPr>
          <w:rFonts w:hint="eastAsia" w:ascii="仿宋" w:hAnsi="仿宋" w:eastAsia="仿宋" w:cs="仿宋_GB2312"/>
          <w:sz w:val="32"/>
          <w:szCs w:val="32"/>
          <w:lang w:val="en-US" w:eastAsia="zh-CN"/>
        </w:rPr>
        <w:t>28.92</w:t>
      </w:r>
      <w:r>
        <w:rPr>
          <w:rFonts w:hint="eastAsia" w:ascii="仿宋" w:hAnsi="仿宋" w:eastAsia="仿宋" w:cs="仿宋_GB2312"/>
          <w:sz w:val="32"/>
          <w:szCs w:val="32"/>
          <w:lang w:val="en"/>
        </w:rPr>
        <w:t>万元。其中基本支出</w:t>
      </w:r>
      <w:r>
        <w:rPr>
          <w:rFonts w:hint="eastAsia" w:ascii="仿宋" w:hAnsi="仿宋" w:eastAsia="仿宋" w:cs="仿宋_GB2312"/>
          <w:sz w:val="32"/>
          <w:szCs w:val="32"/>
          <w:lang w:val="en-US" w:eastAsia="zh-CN"/>
        </w:rPr>
        <w:t>478.22</w:t>
      </w:r>
      <w:r>
        <w:rPr>
          <w:rFonts w:hint="eastAsia" w:ascii="仿宋" w:hAnsi="仿宋" w:eastAsia="仿宋" w:cs="仿宋_GB2312"/>
          <w:sz w:val="32"/>
          <w:szCs w:val="32"/>
          <w:lang w:val="en"/>
        </w:rPr>
        <w:t>万元，项目支出</w:t>
      </w:r>
      <w:r>
        <w:rPr>
          <w:rFonts w:hint="eastAsia" w:ascii="仿宋" w:hAnsi="仿宋" w:eastAsia="仿宋" w:cs="仿宋_GB2312"/>
          <w:sz w:val="32"/>
          <w:szCs w:val="32"/>
          <w:lang w:val="en-US" w:eastAsia="zh-CN"/>
        </w:rPr>
        <w:t>14</w:t>
      </w:r>
      <w:r>
        <w:rPr>
          <w:rFonts w:hint="eastAsia" w:ascii="仿宋" w:hAnsi="仿宋" w:eastAsia="仿宋" w:cs="仿宋_GB2312"/>
          <w:sz w:val="32"/>
          <w:szCs w:val="32"/>
          <w:lang w:val="en"/>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根据预算绩效管理要求，</w:t>
      </w:r>
      <w:r>
        <w:rPr>
          <w:rFonts w:hint="eastAsia" w:ascii="仿宋" w:hAnsi="仿宋" w:eastAsia="仿宋" w:cs="仿宋_GB2312"/>
          <w:sz w:val="32"/>
          <w:szCs w:val="32"/>
          <w:lang w:val="en-US" w:eastAsia="zh-CN"/>
        </w:rPr>
        <w:t>长田乡中</w:t>
      </w:r>
      <w:r>
        <w:rPr>
          <w:rFonts w:hint="eastAsia" w:ascii="仿宋" w:hAnsi="仿宋" w:eastAsia="仿宋" w:cs="仿宋_GB2312"/>
          <w:sz w:val="32"/>
          <w:szCs w:val="32"/>
        </w:rPr>
        <w:t>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通过绩效评价，我们认为，2018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，预算执行有待提升。</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both"/>
        <w:outlineLvl w:val="0"/>
        <w:rPr>
          <w:rFonts w:hint="eastAsia" w:ascii="黑体" w:hAnsi="黑体" w:eastAsia="黑体" w:cs="方正小标宋简体"/>
          <w:sz w:val="36"/>
          <w:szCs w:val="36"/>
        </w:rPr>
      </w:pPr>
    </w:p>
    <w:bookmarkEnd w:id="40"/>
    <w:p>
      <w:pPr>
        <w:spacing w:line="600" w:lineRule="exact"/>
        <w:jc w:val="center"/>
        <w:outlineLvl w:val="0"/>
        <w:rPr>
          <w:rStyle w:val="24"/>
          <w:rFonts w:ascii="黑体" w:hAnsi="黑体" w:eastAsia="黑体"/>
          <w:b w:val="0"/>
        </w:rPr>
      </w:pPr>
      <w:bookmarkStart w:id="4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38"/>
      <w:bookmarkEnd w:id="4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4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42"/>
    </w:p>
    <w:p>
      <w:pPr>
        <w:pStyle w:val="3"/>
        <w:rPr>
          <w:rFonts w:ascii="仿宋" w:hAnsi="仿宋" w:eastAsia="仿宋"/>
          <w:color w:val="000000"/>
        </w:rPr>
      </w:pPr>
      <w:bookmarkStart w:id="4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43"/>
    </w:p>
    <w:p>
      <w:pPr>
        <w:pStyle w:val="3"/>
        <w:rPr>
          <w:rFonts w:ascii="仿宋" w:hAnsi="仿宋" w:eastAsia="仿宋"/>
          <w:color w:val="000000"/>
        </w:rPr>
      </w:pPr>
      <w:bookmarkStart w:id="4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44"/>
    </w:p>
    <w:p>
      <w:pPr>
        <w:pStyle w:val="3"/>
        <w:rPr>
          <w:rFonts w:ascii="仿宋" w:hAnsi="仿宋" w:eastAsia="仿宋"/>
          <w:b w:val="0"/>
          <w:color w:val="000000"/>
        </w:rPr>
      </w:pPr>
      <w:bookmarkStart w:id="4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45"/>
    </w:p>
    <w:p>
      <w:pPr>
        <w:pStyle w:val="3"/>
        <w:rPr>
          <w:rFonts w:ascii="仿宋" w:hAnsi="仿宋" w:eastAsia="仿宋"/>
          <w:color w:val="000000"/>
        </w:rPr>
      </w:pPr>
      <w:bookmarkStart w:id="4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46"/>
    </w:p>
    <w:p>
      <w:pPr>
        <w:pStyle w:val="3"/>
        <w:rPr>
          <w:rFonts w:ascii="仿宋" w:hAnsi="仿宋" w:eastAsia="仿宋"/>
          <w:color w:val="000000"/>
        </w:rPr>
      </w:pPr>
      <w:bookmarkStart w:id="4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47"/>
    </w:p>
    <w:p>
      <w:pPr>
        <w:pStyle w:val="3"/>
        <w:rPr>
          <w:rFonts w:ascii="仿宋" w:hAnsi="仿宋" w:eastAsia="仿宋"/>
          <w:color w:val="000000"/>
        </w:rPr>
      </w:pPr>
      <w:bookmarkStart w:id="4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48"/>
    </w:p>
    <w:p>
      <w:pPr>
        <w:pStyle w:val="3"/>
        <w:rPr>
          <w:rFonts w:ascii="仿宋" w:hAnsi="仿宋" w:eastAsia="仿宋"/>
          <w:color w:val="000000"/>
        </w:rPr>
      </w:pPr>
      <w:bookmarkStart w:id="4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49"/>
    </w:p>
    <w:p>
      <w:pPr>
        <w:pStyle w:val="3"/>
        <w:rPr>
          <w:rFonts w:ascii="仿宋" w:hAnsi="仿宋" w:eastAsia="仿宋"/>
          <w:color w:val="000000"/>
        </w:rPr>
      </w:pPr>
      <w:bookmarkStart w:id="5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50"/>
    </w:p>
    <w:p>
      <w:pPr>
        <w:pStyle w:val="3"/>
        <w:rPr>
          <w:rFonts w:ascii="仿宋" w:hAnsi="仿宋" w:eastAsia="仿宋"/>
          <w:color w:val="000000"/>
        </w:rPr>
      </w:pPr>
      <w:bookmarkStart w:id="5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51"/>
    </w:p>
    <w:p>
      <w:pPr>
        <w:pStyle w:val="3"/>
        <w:rPr>
          <w:rFonts w:ascii="仿宋" w:hAnsi="仿宋" w:eastAsia="仿宋"/>
          <w:color w:val="000000"/>
        </w:rPr>
      </w:pPr>
      <w:bookmarkStart w:id="5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52"/>
    </w:p>
    <w:p>
      <w:pPr>
        <w:pStyle w:val="3"/>
        <w:rPr>
          <w:rFonts w:ascii="仿宋" w:hAnsi="仿宋" w:eastAsia="仿宋"/>
          <w:color w:val="000000"/>
        </w:rPr>
      </w:pPr>
      <w:bookmarkStart w:id="5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53"/>
    </w:p>
    <w:p>
      <w:pPr>
        <w:pStyle w:val="3"/>
        <w:rPr>
          <w:rFonts w:ascii="仿宋" w:hAnsi="仿宋" w:eastAsia="仿宋"/>
          <w:color w:val="000000" w:themeColor="text1"/>
          <w14:textFill>
            <w14:solidFill>
              <w14:schemeClr w14:val="tx1"/>
            </w14:solidFill>
          </w14:textFill>
        </w:rPr>
      </w:pPr>
      <w:bookmarkStart w:id="5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5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972611"/>
    <w:rsid w:val="0985628F"/>
    <w:rsid w:val="0BCB7815"/>
    <w:rsid w:val="0DE35256"/>
    <w:rsid w:val="0E911E3E"/>
    <w:rsid w:val="10C055FF"/>
    <w:rsid w:val="13FD64E9"/>
    <w:rsid w:val="14445945"/>
    <w:rsid w:val="14E1026C"/>
    <w:rsid w:val="16870E8C"/>
    <w:rsid w:val="16BB723D"/>
    <w:rsid w:val="1ADB69E0"/>
    <w:rsid w:val="1B4272A9"/>
    <w:rsid w:val="23C74A4A"/>
    <w:rsid w:val="240371BF"/>
    <w:rsid w:val="28413587"/>
    <w:rsid w:val="29FD04D3"/>
    <w:rsid w:val="2B0B084E"/>
    <w:rsid w:val="2C1A2F15"/>
    <w:rsid w:val="319F7F4E"/>
    <w:rsid w:val="3658099A"/>
    <w:rsid w:val="38D205E2"/>
    <w:rsid w:val="3B2E7867"/>
    <w:rsid w:val="3C0649E1"/>
    <w:rsid w:val="3CEB5440"/>
    <w:rsid w:val="40DC16CE"/>
    <w:rsid w:val="411C73BD"/>
    <w:rsid w:val="43B155E4"/>
    <w:rsid w:val="43D50EF5"/>
    <w:rsid w:val="44087BCB"/>
    <w:rsid w:val="45C2183B"/>
    <w:rsid w:val="473D40DB"/>
    <w:rsid w:val="485F61E5"/>
    <w:rsid w:val="4A5B620F"/>
    <w:rsid w:val="4B815D1E"/>
    <w:rsid w:val="4C5B7E25"/>
    <w:rsid w:val="4CFF2E54"/>
    <w:rsid w:val="4E644FDD"/>
    <w:rsid w:val="5085265F"/>
    <w:rsid w:val="50FB74F4"/>
    <w:rsid w:val="5131606E"/>
    <w:rsid w:val="51F315E2"/>
    <w:rsid w:val="5ADD5B62"/>
    <w:rsid w:val="5B74773F"/>
    <w:rsid w:val="5C7C36A2"/>
    <w:rsid w:val="5D95427D"/>
    <w:rsid w:val="602C0E80"/>
    <w:rsid w:val="60F80A54"/>
    <w:rsid w:val="69774BC2"/>
    <w:rsid w:val="69A3334B"/>
    <w:rsid w:val="7670404D"/>
    <w:rsid w:val="76BD2465"/>
    <w:rsid w:val="774275CC"/>
    <w:rsid w:val="774D4F11"/>
    <w:rsid w:val="7865193D"/>
    <w:rsid w:val="78CC7BA8"/>
    <w:rsid w:val="7CAB21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Book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Book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Book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Book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Book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04550438596491"/>
          <c:y val="0.0951388888888889"/>
          <c:w val="0.759320175438597"/>
          <c:h val="0.827083333333333"/>
        </c:manualLayout>
      </c:layout>
      <c:barChart>
        <c:barDir val="col"/>
        <c:grouping val="stacked"/>
        <c:varyColors val="0"/>
        <c:ser>
          <c:idx val="0"/>
          <c:order val="0"/>
          <c:invertIfNegative val="0"/>
          <c:dLbls>
            <c:delete val="1"/>
          </c:dLbls>
          <c:cat>
            <c:strRef>
              <c:f>[Book12.xlsx]Sheet1!$A$1:$B$1</c:f>
              <c:strCache>
                <c:ptCount val="2"/>
                <c:pt idx="0">
                  <c:v>2017年一般公共预算财政拨款</c:v>
                </c:pt>
                <c:pt idx="1">
                  <c:v>2018年一般公共预算财政拨款</c:v>
                </c:pt>
              </c:strCache>
            </c:strRef>
          </c:cat>
          <c:val>
            <c:numRef>
              <c:f>[Book12.xlsx]Sheet1!$A$2:$B$2</c:f>
              <c:numCache>
                <c:formatCode>General</c:formatCode>
                <c:ptCount val="2"/>
                <c:pt idx="0">
                  <c:v>535.83</c:v>
                </c:pt>
                <c:pt idx="1">
                  <c:v>492.22</c:v>
                </c:pt>
              </c:numCache>
            </c:numRef>
          </c:val>
        </c:ser>
        <c:dLbls>
          <c:showLegendKey val="0"/>
          <c:showVal val="0"/>
          <c:showCatName val="0"/>
          <c:showSerName val="0"/>
          <c:showPercent val="0"/>
          <c:showBubbleSize val="0"/>
        </c:dLbls>
        <c:gapWidth val="150"/>
        <c:overlap val="100"/>
        <c:axId val="140768768"/>
        <c:axId val="140770304"/>
      </c:barChart>
      <c:catAx>
        <c:axId val="140768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70304"/>
        <c:crosses val="autoZero"/>
        <c:auto val="1"/>
        <c:lblAlgn val="ctr"/>
        <c:lblOffset val="100"/>
        <c:noMultiLvlLbl val="0"/>
      </c:catAx>
      <c:valAx>
        <c:axId val="140770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6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[Book2.xlsx]Sheet1!$F$8:$G$8</c:f>
              <c:strCache>
                <c:ptCount val="2"/>
                <c:pt idx="0">
                  <c:v>一般性公共预算财政拨款</c:v>
                </c:pt>
                <c:pt idx="1">
                  <c:v>政府性基金预算财政拨款</c:v>
                </c:pt>
              </c:strCache>
            </c:strRef>
          </c:cat>
          <c:val>
            <c:numRef>
              <c:f>[Book2.xlsx]Sheet1!$F$9:$G$9</c:f>
              <c:numCache>
                <c:formatCode>General</c:formatCode>
                <c:ptCount val="2"/>
                <c:pt idx="0">
                  <c:v>489.22</c:v>
                </c:pt>
                <c:pt idx="1">
                  <c:v>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[Book3.xlsx]Sheet1!$A$1:$B$1</c:f>
              <c:strCache>
                <c:ptCount val="2"/>
                <c:pt idx="0">
                  <c:v>2018年基本支出</c:v>
                </c:pt>
                <c:pt idx="1">
                  <c:v>2018年项目支出</c:v>
                </c:pt>
              </c:strCache>
            </c:strRef>
          </c:cat>
          <c:val>
            <c:numRef>
              <c:f>[Book3.xlsx]Sheet1!$A$2:$B$2</c:f>
              <c:numCache>
                <c:formatCode>General</c:formatCode>
                <c:ptCount val="2"/>
                <c:pt idx="0">
                  <c:v>478.21</c:v>
                </c:pt>
                <c:pt idx="1">
                  <c:v>14</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8410087719298"/>
          <c:y val="0.0372315035799523"/>
          <c:w val="0.759320175438597"/>
          <c:h val="0.821718377088306"/>
        </c:manualLayout>
      </c:layout>
      <c:barChart>
        <c:barDir val="col"/>
        <c:grouping val="stacked"/>
        <c:varyColors val="0"/>
        <c:ser>
          <c:idx val="0"/>
          <c:order val="0"/>
          <c:invertIfNegative val="0"/>
          <c:dLbls>
            <c:delete val="1"/>
          </c:dLbls>
          <c:cat>
            <c:strRef>
              <c:f>[Book12.xlsx]Sheet1!$A$1:$B$1</c:f>
              <c:strCache>
                <c:ptCount val="2"/>
                <c:pt idx="0">
                  <c:v>2017年一般公共预算财政拨款</c:v>
                </c:pt>
                <c:pt idx="1">
                  <c:v>2018年一般公共预算财政拨款</c:v>
                </c:pt>
              </c:strCache>
            </c:strRef>
          </c:cat>
          <c:val>
            <c:numRef>
              <c:f>[Book12.xlsx]Sheet1!$A$2:$B$2</c:f>
              <c:numCache>
                <c:formatCode>General</c:formatCode>
                <c:ptCount val="2"/>
                <c:pt idx="0">
                  <c:v>535.83</c:v>
                </c:pt>
                <c:pt idx="1">
                  <c:v>492.22</c:v>
                </c:pt>
              </c:numCache>
            </c:numRef>
          </c:val>
        </c:ser>
        <c:dLbls>
          <c:showLegendKey val="0"/>
          <c:showVal val="0"/>
          <c:showCatName val="0"/>
          <c:showSerName val="0"/>
          <c:showPercent val="0"/>
          <c:showBubbleSize val="0"/>
        </c:dLbls>
        <c:gapWidth val="150"/>
        <c:overlap val="100"/>
        <c:axId val="140768768"/>
        <c:axId val="140770304"/>
      </c:barChart>
      <c:catAx>
        <c:axId val="140768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70304"/>
        <c:crosses val="autoZero"/>
        <c:auto val="1"/>
        <c:lblAlgn val="ctr"/>
        <c:lblOffset val="100"/>
        <c:noMultiLvlLbl val="0"/>
      </c:catAx>
      <c:valAx>
        <c:axId val="140770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6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delete val="1"/>
          </c:dLbls>
          <c:cat>
            <c:strRef>
              <c:f>[Book12.xlsx]Sheet1!$A$1:$B$1</c:f>
              <c:strCache>
                <c:ptCount val="2"/>
                <c:pt idx="0">
                  <c:v>2017年一般公共预算财政拨款</c:v>
                </c:pt>
                <c:pt idx="1">
                  <c:v>2018年一般公共预算财政拨款</c:v>
                </c:pt>
              </c:strCache>
            </c:strRef>
          </c:cat>
          <c:val>
            <c:numRef>
              <c:f>[Book12.xlsx]Sheet1!$A$2:$B$2</c:f>
              <c:numCache>
                <c:formatCode>General</c:formatCode>
                <c:ptCount val="2"/>
                <c:pt idx="0">
                  <c:v>535.83</c:v>
                </c:pt>
                <c:pt idx="1">
                  <c:v>492.22</c:v>
                </c:pt>
              </c:numCache>
            </c:numRef>
          </c:val>
        </c:ser>
        <c:dLbls>
          <c:showLegendKey val="0"/>
          <c:showVal val="0"/>
          <c:showCatName val="0"/>
          <c:showSerName val="0"/>
          <c:showPercent val="0"/>
          <c:showBubbleSize val="0"/>
        </c:dLbls>
        <c:gapWidth val="150"/>
        <c:overlap val="100"/>
        <c:axId val="140768768"/>
        <c:axId val="140770304"/>
      </c:barChart>
      <c:catAx>
        <c:axId val="140768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70304"/>
        <c:crosses val="autoZero"/>
        <c:auto val="1"/>
        <c:lblAlgn val="ctr"/>
        <c:lblOffset val="100"/>
        <c:noMultiLvlLbl val="0"/>
      </c:catAx>
      <c:valAx>
        <c:axId val="140770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076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0651475284339458"/>
                  <c:y val="-0.103871755613882"/>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1"/>
              <c:layout>
                <c:manualLayout>
                  <c:x val="-0.00464654418197725"/>
                  <c:y val="0.0208202099737533"/>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2"/>
              <c:layout>
                <c:manualLayout>
                  <c:x val="-0.0218340988626422"/>
                  <c:y val="-0.00194262175561388"/>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3"/>
              <c:layout>
                <c:manualLayout>
                  <c:x val="0.0993895450568679"/>
                  <c:y val="-0.00554753572470108"/>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[Book4.xlsx]Sheet1!$A$1:$D$1</c:f>
              <c:strCache>
                <c:ptCount val="4"/>
                <c:pt idx="0">
                  <c:v>教育支出</c:v>
                </c:pt>
                <c:pt idx="1">
                  <c:v>社会保障和就业支出</c:v>
                </c:pt>
                <c:pt idx="2">
                  <c:v>医疗卫生支出</c:v>
                </c:pt>
                <c:pt idx="3">
                  <c:v>住房保障支出</c:v>
                </c:pt>
              </c:strCache>
            </c:strRef>
          </c:cat>
          <c:val>
            <c:numRef>
              <c:f>[Book4.xlsx]Sheet1!$A$2:$D$2</c:f>
              <c:numCache>
                <c:formatCode>General</c:formatCode>
                <c:ptCount val="4"/>
                <c:pt idx="0">
                  <c:v>390.4</c:v>
                </c:pt>
                <c:pt idx="1">
                  <c:v>54.35</c:v>
                </c:pt>
                <c:pt idx="2">
                  <c:v>15.54</c:v>
                </c:pt>
                <c:pt idx="3">
                  <c:v>28.92</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1441</Words>
  <Characters>8219</Characters>
  <Lines>1</Lines>
  <Paragraphs>1</Paragraphs>
  <TotalTime>9</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秋叶</cp:lastModifiedBy>
  <cp:lastPrinted>2019-08-01T00:48:00Z</cp:lastPrinted>
  <dcterms:modified xsi:type="dcterms:W3CDTF">2019-09-25T00:51:01Z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