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1" w:name="_Toc15396475"/>
      <w:bookmarkStart w:id="2" w:name="_Toc15396597"/>
      <w:bookmarkStart w:id="3" w:name="_Toc15377193"/>
      <w:bookmarkStart w:id="4" w:name="_Toc15377425"/>
      <w:bookmarkStart w:id="5" w:name="_Toc15378441"/>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bookmarkStart w:id="6" w:name="_Toc15377194"/>
      <w:bookmarkStart w:id="7" w:name="_Toc15396476"/>
      <w:bookmarkStart w:id="8" w:name="_Toc15378442"/>
      <w:bookmarkStart w:id="9" w:name="_Toc15377426"/>
      <w:bookmarkStart w:id="10" w:name="_Toc15396598"/>
    </w:p>
    <w:bookmarkEnd w:id="0"/>
    <w:p>
      <w:pPr>
        <w:adjustRightInd w:val="0"/>
        <w:snapToGrid w:val="0"/>
        <w:spacing w:line="360" w:lineRule="auto"/>
        <w:jc w:val="center"/>
        <w:outlineLvl w:val="0"/>
        <w:rPr>
          <w:rFonts w:hint="eastAsia" w:ascii="方正小标宋简体" w:hAnsi="宋体" w:eastAsia="方正小标宋简体"/>
          <w:color w:val="000000"/>
          <w:sz w:val="56"/>
          <w:szCs w:val="56"/>
          <w:lang w:eastAsia="zh-CN"/>
        </w:rPr>
      </w:pPr>
      <w:bookmarkStart w:id="11" w:name="_Toc15306268"/>
      <w:r>
        <w:rPr>
          <w:rFonts w:hint="eastAsia" w:ascii="方正小标宋简体" w:hAnsi="宋体" w:eastAsia="方正小标宋简体"/>
          <w:color w:val="000000"/>
          <w:sz w:val="56"/>
          <w:szCs w:val="56"/>
          <w:lang w:eastAsia="zh-CN"/>
        </w:rPr>
        <w:t>四川省开江县沙坝初级中学</w:t>
      </w:r>
    </w:p>
    <w:p>
      <w:pPr>
        <w:adjustRightInd w:val="0"/>
        <w:snapToGrid w:val="0"/>
        <w:spacing w:line="360" w:lineRule="auto"/>
        <w:jc w:val="center"/>
        <w:outlineLvl w:val="0"/>
        <w:rPr>
          <w:rFonts w:hint="eastAsia" w:ascii="方正小标宋简体" w:hAnsi="宋体" w:eastAsia="方正小标宋简体"/>
          <w:color w:val="000000"/>
          <w:sz w:val="56"/>
          <w:szCs w:val="56"/>
          <w:lang w:val="en-US" w:eastAsia="zh-CN"/>
        </w:rPr>
      </w:pPr>
      <w:r>
        <w:rPr>
          <w:rFonts w:hint="eastAsia" w:ascii="方正小标宋简体" w:hAnsi="宋体" w:eastAsia="方正小标宋简体"/>
          <w:color w:val="000000"/>
          <w:sz w:val="56"/>
          <w:szCs w:val="56"/>
          <w:lang w:eastAsia="zh-CN"/>
        </w:rPr>
        <w:t>部门决算</w:t>
      </w:r>
      <w:bookmarkEnd w:id="6"/>
      <w:bookmarkEnd w:id="7"/>
      <w:bookmarkEnd w:id="8"/>
      <w:bookmarkEnd w:id="9"/>
      <w:bookmarkEnd w:id="10"/>
      <w:bookmarkEnd w:id="11"/>
      <w:r>
        <w:rPr>
          <w:rFonts w:hint="eastAsia" w:ascii="方正小标宋简体" w:hAnsi="宋体" w:eastAsia="方正小标宋简体"/>
          <w:color w:val="000000"/>
          <w:sz w:val="56"/>
          <w:szCs w:val="56"/>
          <w:lang w:eastAsia="zh-CN"/>
        </w:rPr>
        <w:t>公开</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23</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lang w:val="en-US" w:eastAsia="zh-CN"/>
        </w:rPr>
        <w:t>6</w:t>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hint="eastAsia" w:eastAsia="仿宋" w:cstheme="minorBidi"/>
          <w:lang w:val="en-US" w:eastAsia="zh-CN"/>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lang w:val="en-US" w:eastAsia="zh-CN"/>
        </w:rPr>
        <w:t>1</w:t>
      </w:r>
      <w:r>
        <w:fldChar w:fldCharType="end"/>
      </w:r>
      <w:r>
        <w:rPr>
          <w:rFonts w:hint="eastAsia"/>
          <w:lang w:val="en-US" w:eastAsia="zh-CN"/>
        </w:rPr>
        <w:t>7</w:t>
      </w:r>
    </w:p>
    <w:p>
      <w:pPr>
        <w:pStyle w:val="11"/>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hint="eastAsia" w:ascii="仿宋" w:hAnsi="仿宋" w:eastAsia="仿宋" w:cstheme="minorBidi"/>
          <w:sz w:val="28"/>
          <w:szCs w:val="28"/>
          <w:lang w:val="en-US" w:eastAsia="zh-CN"/>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lang w:val="en-US" w:eastAsia="zh-CN"/>
        </w:rPr>
        <w:t>2</w:t>
      </w:r>
      <w:r>
        <w:fldChar w:fldCharType="end"/>
      </w:r>
      <w:r>
        <w:rPr>
          <w:rFonts w:hint="eastAsia"/>
          <w:lang w:val="en-US" w:eastAsia="zh-CN"/>
        </w:rPr>
        <w:t>0</w:t>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bookmarkStart w:id="18" w:name="_Toc15377199"/>
      <w:bookmarkStart w:id="19" w:name="_Toc15378446"/>
      <w:r>
        <w:rPr>
          <w:rFonts w:hint="eastAsia" w:ascii="仿宋" w:hAnsi="仿宋" w:eastAsia="仿宋"/>
          <w:bCs/>
          <w:color w:val="000000"/>
          <w:sz w:val="32"/>
          <w:szCs w:val="32"/>
        </w:rPr>
        <w:t>（一）主要职能</w:t>
      </w:r>
      <w:bookmarkEnd w:id="16"/>
      <w:bookmarkEnd w:id="17"/>
      <w:r>
        <w:rPr>
          <w:rFonts w:hint="eastAsia" w:ascii="仿宋" w:hAnsi="仿宋" w:eastAsia="仿宋"/>
          <w:bCs/>
          <w:color w:val="000000"/>
          <w:sz w:val="32"/>
          <w:szCs w:val="32"/>
          <w:lang w:eastAsia="zh-CN"/>
        </w:rPr>
        <w:t>：</w:t>
      </w:r>
      <w:r>
        <w:rPr>
          <w:rFonts w:hint="eastAsia" w:ascii="宋体" w:hAnsi="宋体" w:eastAsia="宋体" w:cs="宋体"/>
          <w:bCs/>
          <w:color w:val="000000"/>
          <w:sz w:val="28"/>
          <w:szCs w:val="28"/>
          <w:lang w:eastAsia="zh-CN"/>
        </w:rPr>
        <w:t>实施初中义务教育，促进基础教育发展。</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23"/>
        <w:rPr>
          <w:rFonts w:hint="default"/>
          <w:sz w:val="28"/>
          <w:szCs w:val="28"/>
          <w:lang w:eastAsia="zh-CN"/>
        </w:rPr>
      </w:pPr>
      <w:r>
        <w:rPr>
          <w:rFonts w:hint="eastAsia"/>
          <w:sz w:val="28"/>
          <w:szCs w:val="28"/>
        </w:rPr>
        <w:t>201</w:t>
      </w:r>
      <w:r>
        <w:rPr>
          <w:rFonts w:hint="eastAsia"/>
          <w:sz w:val="28"/>
          <w:szCs w:val="28"/>
          <w:lang w:val="en-US" w:eastAsia="zh-CN"/>
        </w:rPr>
        <w:t>8</w:t>
      </w:r>
      <w:r>
        <w:rPr>
          <w:rFonts w:hint="eastAsia"/>
          <w:sz w:val="28"/>
          <w:szCs w:val="28"/>
        </w:rPr>
        <w:t>年，在县委、</w:t>
      </w:r>
      <w:r>
        <w:rPr>
          <w:rFonts w:hint="eastAsia"/>
          <w:sz w:val="28"/>
          <w:szCs w:val="28"/>
          <w:lang w:val="en-US" w:eastAsia="zh-CN"/>
        </w:rPr>
        <w:t>县</w:t>
      </w:r>
      <w:r>
        <w:rPr>
          <w:rFonts w:hint="eastAsia"/>
          <w:sz w:val="28"/>
          <w:szCs w:val="28"/>
        </w:rPr>
        <w:t>政府的坚强领导和县教科局的关心指导下，我校秉承“</w:t>
      </w:r>
      <w:r>
        <w:rPr>
          <w:rFonts w:hint="eastAsia"/>
          <w:sz w:val="28"/>
          <w:szCs w:val="28"/>
          <w:lang w:eastAsia="zh-CN"/>
        </w:rPr>
        <w:t>发展是硬道理，质量是硬指标</w:t>
      </w:r>
      <w:r>
        <w:rPr>
          <w:rFonts w:hint="eastAsia"/>
          <w:sz w:val="28"/>
          <w:szCs w:val="28"/>
        </w:rPr>
        <w:t>”的办学理念，圆满的完成上级赋予的教育教学任务。</w:t>
      </w:r>
      <w:r>
        <w:rPr>
          <w:rFonts w:hint="default"/>
          <w:sz w:val="28"/>
          <w:szCs w:val="28"/>
        </w:rPr>
        <w:t>坚持“德、智、体、美、劳”全面发展；积极进行教育思想、教学内容、教学方法和教育手段的改革；为</w:t>
      </w:r>
      <w:r>
        <w:rPr>
          <w:rFonts w:hint="eastAsia"/>
          <w:sz w:val="28"/>
          <w:szCs w:val="28"/>
          <w:lang w:eastAsia="zh-CN"/>
        </w:rPr>
        <w:t>高中</w:t>
      </w:r>
      <w:r>
        <w:rPr>
          <w:rFonts w:hint="default"/>
          <w:sz w:val="28"/>
          <w:szCs w:val="28"/>
        </w:rPr>
        <w:t>输送合格的新生</w:t>
      </w:r>
      <w:r>
        <w:rPr>
          <w:rFonts w:hint="eastAsia"/>
          <w:sz w:val="28"/>
          <w:szCs w:val="28"/>
          <w:lang w:eastAsia="zh-CN"/>
        </w:rPr>
        <w:t>。</w:t>
      </w:r>
      <w:r>
        <w:rPr>
          <w:rFonts w:hint="default"/>
          <w:sz w:val="28"/>
          <w:szCs w:val="28"/>
        </w:rPr>
        <w:t>积极开展以普及为主的课外群体活动和体育传统项目运动队的训练；开展以预防为主、防治结合的卫生保健工作，做好常见病、多发病的预防和矫治。加强美育。通过各学科和各种课外活动培养学生具有健康的审美观点。有计划、有目的地进行劳动教育，并认真执行勤工俭学、勤工办学的方针，积极地有步骤地创造条件改善学校校舍和教学、体育、卫生、生活等方面地设备，切实加强学校管理工作。</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3"/>
        <w:numPr>
          <w:ilvl w:val="0"/>
          <w:numId w:val="1"/>
        </w:numPr>
        <w:rPr>
          <w:rStyle w:val="25"/>
          <w:rFonts w:hint="eastAsia" w:ascii="黑体" w:hAnsi="黑体" w:eastAsia="黑体"/>
          <w:b w:val="0"/>
          <w:bCs w:val="0"/>
        </w:rPr>
      </w:pPr>
      <w:bookmarkStart w:id="20" w:name="_Toc15396601"/>
      <w:bookmarkStart w:id="21" w:name="_Toc15377200"/>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700" w:firstLineChars="25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本单位编制人数</w:t>
      </w:r>
      <w:r>
        <w:rPr>
          <w:rFonts w:hint="eastAsia" w:cs="Times New Roman"/>
          <w:kern w:val="2"/>
          <w:sz w:val="28"/>
          <w:szCs w:val="28"/>
          <w:lang w:val="en-US" w:eastAsia="zh-CN" w:bidi="ar-SA"/>
        </w:rPr>
        <w:t>20</w:t>
      </w:r>
      <w:r>
        <w:rPr>
          <w:rFonts w:hint="eastAsia" w:ascii="Times New Roman" w:hAnsi="Times New Roman" w:eastAsia="宋体" w:cs="Times New Roman"/>
          <w:kern w:val="2"/>
          <w:sz w:val="28"/>
          <w:szCs w:val="28"/>
          <w:lang w:val="en-US" w:eastAsia="zh-CN" w:bidi="ar-SA"/>
        </w:rPr>
        <w:t>人，其中事业行政编制0人，财政补助</w:t>
      </w:r>
      <w:r>
        <w:rPr>
          <w:rFonts w:hint="eastAsia" w:cs="Times New Roman"/>
          <w:kern w:val="2"/>
          <w:sz w:val="28"/>
          <w:szCs w:val="28"/>
          <w:lang w:val="en-US" w:eastAsia="zh-CN" w:bidi="ar-SA"/>
        </w:rPr>
        <w:t>24</w:t>
      </w:r>
      <w:r>
        <w:rPr>
          <w:rFonts w:hint="eastAsia" w:ascii="Times New Roman" w:hAnsi="Times New Roman" w:eastAsia="宋体" w:cs="Times New Roman"/>
          <w:kern w:val="2"/>
          <w:sz w:val="28"/>
          <w:szCs w:val="28"/>
          <w:lang w:val="en-US" w:eastAsia="zh-CN" w:bidi="ar-SA"/>
        </w:rPr>
        <w:t>人；其中在职</w:t>
      </w:r>
      <w:r>
        <w:rPr>
          <w:rFonts w:hint="eastAsia" w:cs="Times New Roman"/>
          <w:kern w:val="2"/>
          <w:sz w:val="28"/>
          <w:szCs w:val="28"/>
          <w:lang w:val="en-US" w:eastAsia="zh-CN" w:bidi="ar-SA"/>
        </w:rPr>
        <w:t>19</w:t>
      </w:r>
      <w:r>
        <w:rPr>
          <w:rFonts w:hint="eastAsia" w:ascii="Times New Roman" w:hAnsi="Times New Roman" w:eastAsia="宋体" w:cs="Times New Roman"/>
          <w:kern w:val="2"/>
          <w:sz w:val="28"/>
          <w:szCs w:val="28"/>
          <w:lang w:val="en-US" w:eastAsia="zh-CN" w:bidi="ar-SA"/>
        </w:rPr>
        <w:t>人，遗属</w:t>
      </w:r>
      <w:r>
        <w:rPr>
          <w:rFonts w:hint="eastAsia" w:cs="Times New Roman"/>
          <w:kern w:val="2"/>
          <w:sz w:val="28"/>
          <w:szCs w:val="28"/>
          <w:lang w:val="en-US" w:eastAsia="zh-CN" w:bidi="ar-SA"/>
        </w:rPr>
        <w:t>5</w:t>
      </w:r>
      <w:r>
        <w:rPr>
          <w:rFonts w:hint="eastAsia" w:ascii="Times New Roman" w:hAnsi="Times New Roman" w:eastAsia="宋体" w:cs="Times New Roman"/>
          <w:kern w:val="2"/>
          <w:sz w:val="28"/>
          <w:szCs w:val="28"/>
          <w:lang w:val="en-US" w:eastAsia="zh-CN" w:bidi="ar-SA"/>
        </w:rPr>
        <w:t>人，学生</w:t>
      </w:r>
      <w:r>
        <w:rPr>
          <w:rFonts w:hint="eastAsia" w:cs="Times New Roman"/>
          <w:kern w:val="2"/>
          <w:sz w:val="28"/>
          <w:szCs w:val="28"/>
          <w:lang w:val="en-US" w:eastAsia="zh-CN" w:bidi="ar-SA"/>
        </w:rPr>
        <w:t>172</w:t>
      </w:r>
      <w:r>
        <w:rPr>
          <w:rFonts w:hint="eastAsia" w:ascii="Times New Roman" w:hAnsi="Times New Roman" w:eastAsia="宋体" w:cs="Times New Roman"/>
          <w:kern w:val="2"/>
          <w:sz w:val="28"/>
          <w:szCs w:val="28"/>
          <w:lang w:val="en-US" w:eastAsia="zh-CN" w:bidi="ar-SA"/>
        </w:rPr>
        <w:t>人。</w:t>
      </w:r>
    </w:p>
    <w:p>
      <w:pPr>
        <w:pStyle w:val="5"/>
        <w:adjustRightInd w:val="0"/>
        <w:snapToGrid w:val="0"/>
        <w:spacing w:before="93" w:line="600" w:lineRule="exact"/>
        <w:ind w:firstLine="588" w:firstLineChars="21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开江县</w:t>
      </w:r>
      <w:r>
        <w:rPr>
          <w:rFonts w:hint="eastAsia" w:ascii="Times New Roman" w:eastAsia="宋体" w:cs="Times New Roman"/>
          <w:kern w:val="2"/>
          <w:sz w:val="28"/>
          <w:szCs w:val="28"/>
          <w:lang w:val="en-US" w:eastAsia="zh-CN" w:bidi="ar-SA"/>
        </w:rPr>
        <w:t>沙坝</w:t>
      </w:r>
      <w:r>
        <w:rPr>
          <w:rFonts w:hint="eastAsia" w:ascii="Times New Roman" w:hAnsi="Times New Roman" w:eastAsia="宋体" w:cs="Times New Roman"/>
          <w:kern w:val="2"/>
          <w:sz w:val="28"/>
          <w:szCs w:val="28"/>
          <w:lang w:val="en-US" w:eastAsia="zh-CN" w:bidi="ar-SA"/>
        </w:rPr>
        <w:t>初级中学无下属二级单位。</w:t>
      </w:r>
    </w:p>
    <w:p>
      <w:pPr>
        <w:numPr>
          <w:ilvl w:val="0"/>
          <w:numId w:val="0"/>
        </w:numPr>
        <w:rPr>
          <w:rFonts w:hint="default" w:ascii="Times New Roman" w:hAnsi="Times New Roman" w:eastAsia="宋体" w:cs="Times New Roman"/>
          <w:kern w:val="2"/>
          <w:sz w:val="28"/>
          <w:szCs w:val="28"/>
          <w:lang w:val="en-US" w:eastAsia="zh-CN" w:bidi="ar-SA"/>
        </w:rPr>
      </w:pPr>
    </w:p>
    <w:p>
      <w:pPr>
        <w:widowControl/>
        <w:jc w:val="left"/>
        <w:rPr>
          <w:rFonts w:hint="eastAsia"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br w:type="page"/>
      </w:r>
      <w:bookmarkStart w:id="22" w:name="_Toc15377204"/>
      <w:bookmarkStart w:id="23" w:name="_Toc15396602"/>
    </w:p>
    <w:p>
      <w:pPr>
        <w:pStyle w:val="2"/>
        <w:ind w:right="440"/>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2"/>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560" w:firstLineChars="200"/>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2018年度收入总计</w:t>
      </w:r>
      <w:r>
        <w:rPr>
          <w:rFonts w:hint="eastAsia" w:cs="Times New Roman"/>
          <w:kern w:val="2"/>
          <w:sz w:val="28"/>
          <w:szCs w:val="28"/>
          <w:lang w:val="en-US" w:eastAsia="zh-CN" w:bidi="ar-SA"/>
        </w:rPr>
        <w:t>302.16</w:t>
      </w:r>
      <w:r>
        <w:rPr>
          <w:rFonts w:hint="eastAsia" w:ascii="Times New Roman" w:hAnsi="Times New Roman" w:eastAsia="宋体" w:cs="Times New Roman"/>
          <w:kern w:val="2"/>
          <w:sz w:val="28"/>
          <w:szCs w:val="28"/>
          <w:lang w:val="en-US" w:eastAsia="zh-CN" w:bidi="ar-SA"/>
        </w:rPr>
        <w:t>万元。与2017年相比，收入总计增加</w:t>
      </w:r>
      <w:r>
        <w:rPr>
          <w:rFonts w:hint="eastAsia" w:cs="Times New Roman"/>
          <w:kern w:val="2"/>
          <w:sz w:val="28"/>
          <w:szCs w:val="28"/>
          <w:lang w:val="en-US" w:eastAsia="zh-CN" w:bidi="ar-SA"/>
        </w:rPr>
        <w:t>19.63</w:t>
      </w:r>
      <w:r>
        <w:rPr>
          <w:rFonts w:hint="eastAsia" w:ascii="Times New Roman" w:hAnsi="Times New Roman" w:eastAsia="宋体" w:cs="Times New Roman"/>
          <w:kern w:val="2"/>
          <w:sz w:val="28"/>
          <w:szCs w:val="28"/>
          <w:lang w:val="en-US" w:eastAsia="zh-CN" w:bidi="ar-SA"/>
        </w:rPr>
        <w:t>万元，增长</w:t>
      </w:r>
      <w:r>
        <w:rPr>
          <w:rFonts w:hint="eastAsia" w:cs="Times New Roman"/>
          <w:kern w:val="2"/>
          <w:sz w:val="28"/>
          <w:szCs w:val="28"/>
          <w:lang w:val="en-US" w:eastAsia="zh-CN" w:bidi="ar-SA"/>
        </w:rPr>
        <w:t>6.5</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，主要变动原因是人员</w:t>
      </w:r>
      <w:r>
        <w:rPr>
          <w:rFonts w:hint="eastAsia" w:cs="Times New Roman"/>
          <w:kern w:val="2"/>
          <w:sz w:val="28"/>
          <w:szCs w:val="28"/>
          <w:lang w:val="en-US" w:eastAsia="zh-CN" w:bidi="ar-SA"/>
        </w:rPr>
        <w:t>、绩效</w:t>
      </w:r>
      <w:r>
        <w:rPr>
          <w:rFonts w:hint="eastAsia" w:ascii="Times New Roman" w:hAnsi="Times New Roman" w:eastAsia="宋体" w:cs="Times New Roman"/>
          <w:kern w:val="2"/>
          <w:sz w:val="28"/>
          <w:szCs w:val="28"/>
          <w:lang w:val="en-US" w:eastAsia="zh-CN" w:bidi="ar-SA"/>
        </w:rPr>
        <w:t>增加。支出总计</w:t>
      </w:r>
      <w:r>
        <w:rPr>
          <w:rFonts w:hint="eastAsia" w:cs="Times New Roman"/>
          <w:kern w:val="2"/>
          <w:sz w:val="28"/>
          <w:szCs w:val="28"/>
          <w:lang w:val="en-US" w:eastAsia="zh-CN" w:bidi="ar-SA"/>
        </w:rPr>
        <w:t>290.67</w:t>
      </w:r>
      <w:r>
        <w:rPr>
          <w:rFonts w:hint="eastAsia" w:ascii="Times New Roman" w:hAnsi="Times New Roman" w:eastAsia="宋体" w:cs="Times New Roman"/>
          <w:kern w:val="2"/>
          <w:sz w:val="28"/>
          <w:szCs w:val="28"/>
          <w:lang w:val="en-US" w:eastAsia="zh-CN" w:bidi="ar-SA"/>
        </w:rPr>
        <w:t>万元，与2017年相比，支出总计增加209.18万元，增长</w:t>
      </w:r>
      <w:r>
        <w:rPr>
          <w:rFonts w:hint="eastAsia" w:cs="Times New Roman"/>
          <w:kern w:val="2"/>
          <w:sz w:val="28"/>
          <w:szCs w:val="28"/>
          <w:lang w:val="en-US" w:eastAsia="zh-CN" w:bidi="ar-SA"/>
        </w:rPr>
        <w:t>34.25</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。，主要变动原因为年末结转和结余增加。</w:t>
      </w:r>
    </w:p>
    <w:p>
      <w:pPr>
        <w:spacing w:line="600" w:lineRule="exact"/>
        <w:ind w:firstLine="640" w:firstLineChars="200"/>
        <w:jc w:val="left"/>
        <w:rPr>
          <w:rFonts w:ascii="仿宋_GB2312" w:eastAsia="仿宋_GB2312"/>
          <w:color w:val="000000"/>
          <w:sz w:val="32"/>
          <w:szCs w:val="32"/>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58240" behindDoc="0" locked="0" layoutInCell="1" allowOverlap="1">
            <wp:simplePos x="0" y="0"/>
            <wp:positionH relativeFrom="column">
              <wp:posOffset>-100330</wp:posOffset>
            </wp:positionH>
            <wp:positionV relativeFrom="paragraph">
              <wp:posOffset>351155</wp:posOffset>
            </wp:positionV>
            <wp:extent cx="5488305" cy="3780155"/>
            <wp:effectExtent l="4445" t="4445" r="12700" b="635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3"/>
        <w:numPr>
          <w:ilvl w:val="0"/>
          <w:numId w:val="2"/>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560" w:firstLineChars="200"/>
        <w:outlineLvl w:val="1"/>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201</w:t>
      </w:r>
      <w:r>
        <w:rPr>
          <w:rFonts w:hint="eastAsia" w:ascii="Times New Roman" w:hAnsi="Times New Roman" w:eastAsia="宋体" w:cs="Times New Roman"/>
          <w:kern w:val="2"/>
          <w:sz w:val="28"/>
          <w:szCs w:val="28"/>
          <w:lang w:val="en-US" w:eastAsia="zh-CN" w:bidi="ar-SA"/>
        </w:rPr>
        <w:t>8年本年收入合计</w:t>
      </w:r>
      <w:r>
        <w:rPr>
          <w:rFonts w:hint="eastAsia" w:cs="Times New Roman"/>
          <w:kern w:val="2"/>
          <w:sz w:val="28"/>
          <w:szCs w:val="28"/>
          <w:lang w:val="en-US" w:eastAsia="zh-CN" w:bidi="ar-SA"/>
        </w:rPr>
        <w:t>302.16</w:t>
      </w:r>
      <w:r>
        <w:rPr>
          <w:rFonts w:hint="eastAsia" w:ascii="Times New Roman" w:hAnsi="Times New Roman" w:eastAsia="宋体" w:cs="Times New Roman"/>
          <w:kern w:val="2"/>
          <w:sz w:val="28"/>
          <w:szCs w:val="28"/>
          <w:lang w:val="en-US" w:eastAsia="zh-CN" w:bidi="ar-SA"/>
        </w:rPr>
        <w:t>万元，其中：一般公共预算财政拨款收入</w:t>
      </w:r>
      <w:r>
        <w:rPr>
          <w:rFonts w:hint="eastAsia" w:cs="Times New Roman"/>
          <w:kern w:val="2"/>
          <w:sz w:val="28"/>
          <w:szCs w:val="28"/>
          <w:lang w:val="en-US" w:eastAsia="zh-CN" w:bidi="ar-SA"/>
        </w:rPr>
        <w:t>302.16</w:t>
      </w:r>
      <w:r>
        <w:rPr>
          <w:rFonts w:hint="eastAsia" w:ascii="Times New Roman" w:hAnsi="Times New Roman" w:eastAsia="宋体" w:cs="Times New Roman"/>
          <w:kern w:val="2"/>
          <w:sz w:val="28"/>
          <w:szCs w:val="28"/>
          <w:lang w:val="en-US" w:eastAsia="zh-CN" w:bidi="ar-SA"/>
        </w:rPr>
        <w:t>万元，占100</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w:t>
      </w:r>
    </w:p>
    <w:p>
      <w:pPr>
        <w:spacing w:line="600" w:lineRule="exact"/>
        <w:ind w:firstLine="640" w:firstLineChars="200"/>
        <w:rPr>
          <w:rFonts w:hint="eastAsia" w:ascii="仿宋_GB2312" w:eastAsia="仿宋"/>
          <w:color w:val="FF0000"/>
          <w:sz w:val="32"/>
          <w:szCs w:val="32"/>
          <w:lang w:eastAsia="zh-CN"/>
        </w:rPr>
      </w:pPr>
      <w:r>
        <w:rPr>
          <w:rFonts w:hint="eastAsia" w:ascii="黑体" w:hAnsi="黑体" w:eastAsia="黑体"/>
          <w:color w:val="000000"/>
          <w:sz w:val="32"/>
          <w:szCs w:val="32"/>
        </w:rPr>
        <w:drawing>
          <wp:anchor distT="0" distB="0" distL="114300" distR="114300" simplePos="0" relativeHeight="251660288" behindDoc="1" locked="0" layoutInCell="1" allowOverlap="1">
            <wp:simplePos x="0" y="0"/>
            <wp:positionH relativeFrom="column">
              <wp:posOffset>-17780</wp:posOffset>
            </wp:positionH>
            <wp:positionV relativeFrom="paragraph">
              <wp:posOffset>4805045</wp:posOffset>
            </wp:positionV>
            <wp:extent cx="5080000" cy="3810000"/>
            <wp:effectExtent l="4445" t="4445" r="20955" b="14605"/>
            <wp:wrapTight wrapText="bothSides">
              <wp:wrapPolygon>
                <wp:start x="-19" y="-25"/>
                <wp:lineTo x="-19" y="21575"/>
                <wp:lineTo x="21527" y="21575"/>
                <wp:lineTo x="21527" y="-25"/>
                <wp:lineTo x="-19" y="-25"/>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eastAsia="仿宋"/>
          <w:color w:val="FF0000"/>
          <w:sz w:val="32"/>
          <w:szCs w:val="32"/>
          <w:lang w:eastAsia="zh-CN"/>
        </w:rPr>
        <w:drawing>
          <wp:anchor distT="0" distB="0" distL="114300" distR="114300" simplePos="0" relativeHeight="251659264" behindDoc="1" locked="0" layoutInCell="1" allowOverlap="1">
            <wp:simplePos x="0" y="0"/>
            <wp:positionH relativeFrom="column">
              <wp:posOffset>-5080</wp:posOffset>
            </wp:positionH>
            <wp:positionV relativeFrom="paragraph">
              <wp:posOffset>-919480</wp:posOffset>
            </wp:positionV>
            <wp:extent cx="5080000" cy="3810000"/>
            <wp:effectExtent l="4445" t="4445" r="20955" b="14605"/>
            <wp:wrapTight wrapText="bothSides">
              <wp:wrapPolygon>
                <wp:start x="-19" y="-25"/>
                <wp:lineTo x="-19" y="21575"/>
                <wp:lineTo x="21527" y="21575"/>
                <wp:lineTo x="21527" y="-25"/>
                <wp:lineTo x="-19" y="-25"/>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3"/>
        <w:numPr>
          <w:ilvl w:val="0"/>
          <w:numId w:val="2"/>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201</w:t>
      </w:r>
      <w:r>
        <w:rPr>
          <w:rFonts w:hint="eastAsia" w:ascii="Times New Roman" w:hAnsi="Times New Roman" w:eastAsia="宋体" w:cs="Times New Roman"/>
          <w:kern w:val="2"/>
          <w:sz w:val="28"/>
          <w:szCs w:val="28"/>
          <w:lang w:val="en-US" w:eastAsia="zh-CN" w:bidi="ar-SA"/>
        </w:rPr>
        <w:t>8年本年支出合计</w:t>
      </w:r>
      <w:r>
        <w:rPr>
          <w:rFonts w:hint="eastAsia" w:cs="Times New Roman"/>
          <w:kern w:val="2"/>
          <w:sz w:val="28"/>
          <w:szCs w:val="28"/>
          <w:lang w:val="en-US" w:eastAsia="zh-CN" w:bidi="ar-SA"/>
        </w:rPr>
        <w:t>290.67</w:t>
      </w:r>
      <w:r>
        <w:rPr>
          <w:rFonts w:hint="eastAsia" w:ascii="Times New Roman" w:hAnsi="Times New Roman" w:eastAsia="宋体" w:cs="Times New Roman"/>
          <w:kern w:val="2"/>
          <w:sz w:val="28"/>
          <w:szCs w:val="28"/>
          <w:lang w:val="en-US" w:eastAsia="zh-CN" w:bidi="ar-SA"/>
        </w:rPr>
        <w:t>万元，其中：基本支出</w:t>
      </w:r>
      <w:r>
        <w:rPr>
          <w:rFonts w:hint="eastAsia" w:cs="Times New Roman"/>
          <w:kern w:val="2"/>
          <w:sz w:val="28"/>
          <w:szCs w:val="28"/>
          <w:lang w:val="en-US" w:eastAsia="zh-CN" w:bidi="ar-SA"/>
        </w:rPr>
        <w:t>288.67</w:t>
      </w:r>
      <w:r>
        <w:rPr>
          <w:rFonts w:hint="eastAsia" w:ascii="Times New Roman" w:hAnsi="Times New Roman" w:eastAsia="宋体" w:cs="Times New Roman"/>
          <w:kern w:val="2"/>
          <w:sz w:val="28"/>
          <w:szCs w:val="28"/>
          <w:lang w:val="en-US" w:eastAsia="zh-CN" w:bidi="ar-SA"/>
        </w:rPr>
        <w:t>万元，占99</w:t>
      </w:r>
      <w:r>
        <w:rPr>
          <w:rFonts w:hint="eastAsia" w:cs="Times New Roman"/>
          <w:kern w:val="2"/>
          <w:sz w:val="28"/>
          <w:szCs w:val="28"/>
          <w:lang w:val="en-US" w:eastAsia="zh-CN" w:bidi="ar-SA"/>
        </w:rPr>
        <w:t>31</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；项目支出2万元，占0.</w:t>
      </w:r>
      <w:r>
        <w:rPr>
          <w:rFonts w:hint="eastAsia" w:cs="Times New Roman"/>
          <w:kern w:val="2"/>
          <w:sz w:val="28"/>
          <w:szCs w:val="28"/>
          <w:lang w:val="en-US" w:eastAsia="zh-CN" w:bidi="ar-SA"/>
        </w:rPr>
        <w:t>69</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3360" behindDoc="0" locked="0" layoutInCell="1" allowOverlap="1">
            <wp:simplePos x="0" y="0"/>
            <wp:positionH relativeFrom="column">
              <wp:posOffset>118745</wp:posOffset>
            </wp:positionH>
            <wp:positionV relativeFrom="paragraph">
              <wp:posOffset>1966595</wp:posOffset>
            </wp:positionV>
            <wp:extent cx="5488305" cy="3780155"/>
            <wp:effectExtent l="4445" t="4445" r="12700" b="635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560" w:firstLineChars="200"/>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2018年度收入总计</w:t>
      </w:r>
      <w:r>
        <w:rPr>
          <w:rFonts w:hint="eastAsia" w:cs="Times New Roman"/>
          <w:kern w:val="2"/>
          <w:sz w:val="28"/>
          <w:szCs w:val="28"/>
          <w:lang w:val="en-US" w:eastAsia="zh-CN" w:bidi="ar-SA"/>
        </w:rPr>
        <w:t>302.16</w:t>
      </w:r>
      <w:r>
        <w:rPr>
          <w:rFonts w:hint="eastAsia" w:ascii="Times New Roman" w:hAnsi="Times New Roman" w:eastAsia="宋体" w:cs="Times New Roman"/>
          <w:kern w:val="2"/>
          <w:sz w:val="28"/>
          <w:szCs w:val="28"/>
          <w:lang w:val="en-US" w:eastAsia="zh-CN" w:bidi="ar-SA"/>
        </w:rPr>
        <w:t>万元。与2017年相比，收入总计增加</w:t>
      </w:r>
      <w:r>
        <w:rPr>
          <w:rFonts w:hint="eastAsia" w:cs="Times New Roman"/>
          <w:kern w:val="2"/>
          <w:sz w:val="28"/>
          <w:szCs w:val="28"/>
          <w:lang w:val="en-US" w:eastAsia="zh-CN" w:bidi="ar-SA"/>
        </w:rPr>
        <w:t>19.63</w:t>
      </w:r>
      <w:r>
        <w:rPr>
          <w:rFonts w:hint="eastAsia" w:ascii="Times New Roman" w:hAnsi="Times New Roman" w:eastAsia="宋体" w:cs="Times New Roman"/>
          <w:kern w:val="2"/>
          <w:sz w:val="28"/>
          <w:szCs w:val="28"/>
          <w:lang w:val="en-US" w:eastAsia="zh-CN" w:bidi="ar-SA"/>
        </w:rPr>
        <w:t>万元，增长</w:t>
      </w:r>
      <w:r>
        <w:rPr>
          <w:rFonts w:hint="eastAsia" w:cs="Times New Roman"/>
          <w:kern w:val="2"/>
          <w:sz w:val="28"/>
          <w:szCs w:val="28"/>
          <w:lang w:val="en-US" w:eastAsia="zh-CN" w:bidi="ar-SA"/>
        </w:rPr>
        <w:t>6.5</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，主要变动原因是人员</w:t>
      </w:r>
      <w:r>
        <w:rPr>
          <w:rFonts w:hint="eastAsia" w:cs="Times New Roman"/>
          <w:kern w:val="2"/>
          <w:sz w:val="28"/>
          <w:szCs w:val="28"/>
          <w:lang w:val="en-US" w:eastAsia="zh-CN" w:bidi="ar-SA"/>
        </w:rPr>
        <w:t>、绩效</w:t>
      </w:r>
      <w:r>
        <w:rPr>
          <w:rFonts w:hint="eastAsia" w:ascii="Times New Roman" w:hAnsi="Times New Roman" w:eastAsia="宋体" w:cs="Times New Roman"/>
          <w:kern w:val="2"/>
          <w:sz w:val="28"/>
          <w:szCs w:val="28"/>
          <w:lang w:val="en-US" w:eastAsia="zh-CN" w:bidi="ar-SA"/>
        </w:rPr>
        <w:t>增加。支出总计</w:t>
      </w:r>
      <w:r>
        <w:rPr>
          <w:rFonts w:hint="eastAsia" w:cs="Times New Roman"/>
          <w:kern w:val="2"/>
          <w:sz w:val="28"/>
          <w:szCs w:val="28"/>
          <w:lang w:val="en-US" w:eastAsia="zh-CN" w:bidi="ar-SA"/>
        </w:rPr>
        <w:t>290.67</w:t>
      </w:r>
      <w:r>
        <w:rPr>
          <w:rFonts w:hint="eastAsia" w:ascii="Times New Roman" w:hAnsi="Times New Roman" w:eastAsia="宋体" w:cs="Times New Roman"/>
          <w:kern w:val="2"/>
          <w:sz w:val="28"/>
          <w:szCs w:val="28"/>
          <w:lang w:val="en-US" w:eastAsia="zh-CN" w:bidi="ar-SA"/>
        </w:rPr>
        <w:t>万元，与2017年相比，支出总计增加209.18万元，增长</w:t>
      </w:r>
      <w:r>
        <w:rPr>
          <w:rFonts w:hint="eastAsia" w:cs="Times New Roman"/>
          <w:kern w:val="2"/>
          <w:sz w:val="28"/>
          <w:szCs w:val="28"/>
          <w:lang w:val="en-US" w:eastAsia="zh-CN" w:bidi="ar-SA"/>
        </w:rPr>
        <w:t>34.25</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。，主要变动原因为年末结转和结余增加。</w:t>
      </w:r>
    </w:p>
    <w:p>
      <w:pPr>
        <w:spacing w:line="600" w:lineRule="exact"/>
        <w:ind w:firstLine="640" w:firstLineChars="200"/>
        <w:jc w:val="left"/>
        <w:rPr>
          <w:rFonts w:ascii="仿宋_GB2312" w:eastAsia="仿宋_GB2312"/>
          <w:color w:val="00000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201</w:t>
      </w:r>
      <w:r>
        <w:rPr>
          <w:rFonts w:hint="eastAsia" w:ascii="Times New Roman" w:hAnsi="Times New Roman" w:eastAsia="宋体" w:cs="Times New Roman"/>
          <w:kern w:val="2"/>
          <w:sz w:val="28"/>
          <w:szCs w:val="28"/>
          <w:lang w:val="en-US" w:eastAsia="zh-CN" w:bidi="ar-SA"/>
        </w:rPr>
        <w:t>8年一般公共预算财政拨款支出</w:t>
      </w:r>
      <w:r>
        <w:rPr>
          <w:rFonts w:hint="eastAsia" w:cs="Times New Roman"/>
          <w:kern w:val="2"/>
          <w:sz w:val="28"/>
          <w:szCs w:val="28"/>
          <w:lang w:val="en-US" w:eastAsia="zh-CN" w:bidi="ar-SA"/>
        </w:rPr>
        <w:t>290.67</w:t>
      </w:r>
      <w:r>
        <w:rPr>
          <w:rFonts w:hint="eastAsia" w:ascii="Times New Roman" w:hAnsi="Times New Roman" w:eastAsia="宋体" w:cs="Times New Roman"/>
          <w:kern w:val="2"/>
          <w:sz w:val="28"/>
          <w:szCs w:val="28"/>
          <w:lang w:val="en-US" w:eastAsia="zh-CN" w:bidi="ar-SA"/>
        </w:rPr>
        <w:t>万元，占本年支出合计的100</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。与</w:t>
      </w:r>
      <w:r>
        <w:rPr>
          <w:rFonts w:hint="default" w:ascii="Times New Roman" w:hAnsi="Times New Roman" w:eastAsia="宋体" w:cs="Times New Roman"/>
          <w:kern w:val="2"/>
          <w:sz w:val="28"/>
          <w:szCs w:val="28"/>
          <w:lang w:val="en-US" w:eastAsia="zh-CN" w:bidi="ar-SA"/>
        </w:rPr>
        <w:t>201</w:t>
      </w:r>
      <w:r>
        <w:rPr>
          <w:rFonts w:hint="eastAsia" w:ascii="Times New Roman" w:hAnsi="Times New Roman" w:eastAsia="宋体" w:cs="Times New Roman"/>
          <w:kern w:val="2"/>
          <w:sz w:val="28"/>
          <w:szCs w:val="28"/>
          <w:lang w:val="en-US" w:eastAsia="zh-CN" w:bidi="ar-SA"/>
        </w:rPr>
        <w:t>7年相比，一般公共预算财政拨款增加</w:t>
      </w:r>
      <w:r>
        <w:rPr>
          <w:rFonts w:hint="eastAsia" w:cs="Times New Roman"/>
          <w:kern w:val="2"/>
          <w:sz w:val="28"/>
          <w:szCs w:val="28"/>
          <w:lang w:val="en-US" w:eastAsia="zh-CN" w:bidi="ar-SA"/>
        </w:rPr>
        <w:t>19.63</w:t>
      </w:r>
      <w:r>
        <w:rPr>
          <w:rFonts w:hint="eastAsia" w:ascii="Times New Roman" w:hAnsi="Times New Roman" w:eastAsia="宋体" w:cs="Times New Roman"/>
          <w:kern w:val="2"/>
          <w:sz w:val="28"/>
          <w:szCs w:val="28"/>
          <w:lang w:val="en-US" w:eastAsia="zh-CN" w:bidi="ar-SA"/>
        </w:rPr>
        <w:t>万元，增长</w:t>
      </w:r>
      <w:r>
        <w:rPr>
          <w:rFonts w:hint="eastAsia" w:cs="Times New Roman"/>
          <w:kern w:val="2"/>
          <w:sz w:val="28"/>
          <w:szCs w:val="28"/>
          <w:lang w:val="en-US" w:eastAsia="zh-CN" w:bidi="ar-SA"/>
        </w:rPr>
        <w:t>6.5</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。主要变动原因是人员</w:t>
      </w:r>
      <w:r>
        <w:rPr>
          <w:rFonts w:hint="eastAsia" w:cs="Times New Roman"/>
          <w:kern w:val="2"/>
          <w:sz w:val="28"/>
          <w:szCs w:val="28"/>
          <w:lang w:val="en-US" w:eastAsia="zh-CN" w:bidi="ar-SA"/>
        </w:rPr>
        <w:t>、绩效</w:t>
      </w:r>
      <w:r>
        <w:rPr>
          <w:rFonts w:hint="eastAsia" w:ascii="Times New Roman" w:hAnsi="Times New Roman" w:eastAsia="宋体" w:cs="Times New Roman"/>
          <w:kern w:val="2"/>
          <w:sz w:val="28"/>
          <w:szCs w:val="28"/>
          <w:lang w:val="en-US" w:eastAsia="zh-CN" w:bidi="ar-SA"/>
        </w:rPr>
        <w:t>增加。</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2336" behindDoc="0" locked="0" layoutInCell="1" allowOverlap="1">
            <wp:simplePos x="0" y="0"/>
            <wp:positionH relativeFrom="column">
              <wp:posOffset>61595</wp:posOffset>
            </wp:positionH>
            <wp:positionV relativeFrom="page">
              <wp:posOffset>2039620</wp:posOffset>
            </wp:positionV>
            <wp:extent cx="5080000" cy="3810000"/>
            <wp:effectExtent l="4445" t="4445" r="20955"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3" w:firstLineChars="200"/>
        <w:rPr>
          <w:rFonts w:ascii="仿宋" w:hAnsi="仿宋" w:eastAsia="仿宋"/>
          <w:b/>
          <w:color w:val="000000"/>
          <w:sz w:val="32"/>
          <w:szCs w:val="32"/>
        </w:rPr>
      </w:pPr>
      <w:bookmarkStart w:id="35" w:name="_Toc15377211"/>
      <w:r>
        <w:rPr>
          <w:rFonts w:hint="eastAsia" w:ascii="仿宋" w:hAnsi="仿宋" w:eastAsia="仿宋"/>
          <w:b/>
          <w:color w:val="000000"/>
          <w:sz w:val="32"/>
          <w:szCs w:val="32"/>
        </w:rPr>
        <w:t>（</w:t>
      </w:r>
      <w:r>
        <w:rPr>
          <w:rFonts w:hint="eastAsia" w:ascii="仿宋" w:hAnsi="仿宋" w:eastAsia="仿宋"/>
          <w:b/>
          <w:color w:val="000000"/>
          <w:sz w:val="32"/>
          <w:szCs w:val="32"/>
          <w:lang w:eastAsia="zh-CN"/>
        </w:rPr>
        <w:t>二</w:t>
      </w:r>
      <w:r>
        <w:rPr>
          <w:rFonts w:hint="eastAsia" w:ascii="仿宋" w:hAnsi="仿宋" w:eastAsia="仿宋"/>
          <w:b/>
          <w:color w:val="000000"/>
          <w:sz w:val="32"/>
          <w:szCs w:val="32"/>
        </w:rPr>
        <w:t>）一般公共预算财政拨款支出决算结构情况</w:t>
      </w:r>
      <w:bookmarkEnd w:id="35"/>
    </w:p>
    <w:p>
      <w:pPr>
        <w:spacing w:line="600" w:lineRule="atLeast"/>
        <w:ind w:firstLine="560" w:firstLineChars="200"/>
        <w:rPr>
          <w:rFonts w:hint="eastAsia"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201</w:t>
      </w:r>
      <w:r>
        <w:rPr>
          <w:rFonts w:hint="eastAsia" w:ascii="Times New Roman" w:hAnsi="Times New Roman" w:eastAsia="宋体" w:cs="Times New Roman"/>
          <w:kern w:val="2"/>
          <w:sz w:val="28"/>
          <w:szCs w:val="28"/>
          <w:lang w:val="en-US" w:eastAsia="zh-CN" w:bidi="ar-SA"/>
        </w:rPr>
        <w:t>8年一般公共预算财政拨款支出</w:t>
      </w:r>
      <w:r>
        <w:rPr>
          <w:rFonts w:hint="eastAsia" w:cs="Times New Roman"/>
          <w:kern w:val="2"/>
          <w:sz w:val="28"/>
          <w:szCs w:val="28"/>
          <w:lang w:val="en-US" w:eastAsia="zh-CN" w:bidi="ar-SA"/>
        </w:rPr>
        <w:t>290.67</w:t>
      </w:r>
      <w:r>
        <w:rPr>
          <w:rFonts w:hint="eastAsia" w:ascii="Times New Roman" w:hAnsi="Times New Roman" w:eastAsia="宋体" w:cs="Times New Roman"/>
          <w:kern w:val="2"/>
          <w:sz w:val="28"/>
          <w:szCs w:val="28"/>
          <w:lang w:val="en-US" w:eastAsia="zh-CN" w:bidi="ar-SA"/>
        </w:rPr>
        <w:t>万元，主要用于以下方面:教育支出</w:t>
      </w:r>
      <w:r>
        <w:rPr>
          <w:rFonts w:hint="eastAsia" w:cs="Times New Roman"/>
          <w:kern w:val="2"/>
          <w:sz w:val="28"/>
          <w:szCs w:val="28"/>
          <w:lang w:val="en-US" w:eastAsia="zh-CN" w:bidi="ar-SA"/>
        </w:rPr>
        <w:t>235.06</w:t>
      </w:r>
      <w:r>
        <w:rPr>
          <w:rFonts w:hint="eastAsia" w:ascii="Times New Roman" w:hAnsi="Times New Roman" w:eastAsia="宋体" w:cs="Times New Roman"/>
          <w:kern w:val="2"/>
          <w:sz w:val="28"/>
          <w:szCs w:val="28"/>
          <w:lang w:val="en-US" w:eastAsia="zh-CN" w:bidi="ar-SA"/>
        </w:rPr>
        <w:t>万元（其中工资福利支出:</w:t>
      </w:r>
      <w:r>
        <w:rPr>
          <w:rFonts w:hint="eastAsia" w:cs="Times New Roman"/>
          <w:kern w:val="2"/>
          <w:sz w:val="28"/>
          <w:szCs w:val="28"/>
          <w:lang w:val="en-US" w:eastAsia="zh-CN" w:bidi="ar-SA"/>
        </w:rPr>
        <w:t>131.38</w:t>
      </w:r>
      <w:r>
        <w:rPr>
          <w:rFonts w:hint="eastAsia" w:ascii="Times New Roman" w:hAnsi="Times New Roman" w:eastAsia="宋体" w:cs="Times New Roman"/>
          <w:kern w:val="2"/>
          <w:sz w:val="28"/>
          <w:szCs w:val="28"/>
          <w:lang w:val="en-US" w:eastAsia="zh-CN" w:bidi="ar-SA"/>
        </w:rPr>
        <w:t>万元、商品和服务支出：</w:t>
      </w:r>
      <w:r>
        <w:rPr>
          <w:rFonts w:hint="eastAsia" w:cs="Times New Roman"/>
          <w:kern w:val="2"/>
          <w:sz w:val="28"/>
          <w:szCs w:val="28"/>
          <w:lang w:val="en-US" w:eastAsia="zh-CN" w:bidi="ar-SA"/>
        </w:rPr>
        <w:t>31.35</w:t>
      </w:r>
      <w:r>
        <w:rPr>
          <w:rFonts w:hint="eastAsia" w:ascii="Times New Roman" w:hAnsi="Times New Roman" w:eastAsia="宋体" w:cs="Times New Roman"/>
          <w:kern w:val="2"/>
          <w:sz w:val="28"/>
          <w:szCs w:val="28"/>
          <w:lang w:val="en-US" w:eastAsia="zh-CN" w:bidi="ar-SA"/>
        </w:rPr>
        <w:t>万元、对个人和家庭的补助：</w:t>
      </w:r>
      <w:r>
        <w:rPr>
          <w:rFonts w:hint="eastAsia" w:cs="Times New Roman"/>
          <w:kern w:val="2"/>
          <w:sz w:val="28"/>
          <w:szCs w:val="28"/>
          <w:lang w:val="en-US" w:eastAsia="zh-CN" w:bidi="ar-SA"/>
        </w:rPr>
        <w:t>62.33</w:t>
      </w:r>
      <w:r>
        <w:rPr>
          <w:rFonts w:hint="eastAsia" w:ascii="Times New Roman" w:hAnsi="Times New Roman" w:eastAsia="宋体" w:cs="Times New Roman"/>
          <w:kern w:val="2"/>
          <w:sz w:val="28"/>
          <w:szCs w:val="28"/>
          <w:lang w:val="en-US" w:eastAsia="zh-CN" w:bidi="ar-SA"/>
        </w:rPr>
        <w:t>万元，资本性支出</w:t>
      </w:r>
      <w:r>
        <w:rPr>
          <w:rFonts w:hint="eastAsia" w:cs="Times New Roman"/>
          <w:kern w:val="2"/>
          <w:sz w:val="28"/>
          <w:szCs w:val="28"/>
          <w:lang w:val="en-US" w:eastAsia="zh-CN" w:bidi="ar-SA"/>
        </w:rPr>
        <w:t>10</w:t>
      </w:r>
      <w:r>
        <w:rPr>
          <w:rFonts w:hint="eastAsia" w:ascii="Times New Roman" w:hAnsi="Times New Roman" w:eastAsia="宋体" w:cs="Times New Roman"/>
          <w:kern w:val="2"/>
          <w:sz w:val="28"/>
          <w:szCs w:val="28"/>
          <w:lang w:val="en-US" w:eastAsia="zh-CN" w:bidi="ar-SA"/>
        </w:rPr>
        <w:t>万元）占</w:t>
      </w:r>
      <w:r>
        <w:rPr>
          <w:rFonts w:hint="eastAsia" w:cs="Times New Roman"/>
          <w:kern w:val="2"/>
          <w:sz w:val="28"/>
          <w:szCs w:val="28"/>
          <w:lang w:val="en-US" w:eastAsia="zh-CN" w:bidi="ar-SA"/>
        </w:rPr>
        <w:t>80.87</w:t>
      </w:r>
      <w:r>
        <w:rPr>
          <w:rFonts w:hint="eastAsia" w:ascii="Times New Roman" w:hAnsi="Times New Roman" w:eastAsia="宋体" w:cs="Times New Roman"/>
          <w:kern w:val="2"/>
          <w:sz w:val="28"/>
          <w:szCs w:val="28"/>
          <w:lang w:val="en-US" w:eastAsia="zh-CN" w:bidi="ar-SA"/>
        </w:rPr>
        <w:t>%；</w:t>
      </w:r>
      <w:r>
        <w:rPr>
          <w:rFonts w:hint="eastAsia" w:cs="Times New Roman"/>
          <w:kern w:val="2"/>
          <w:sz w:val="28"/>
          <w:szCs w:val="28"/>
          <w:lang w:val="en-US" w:eastAsia="zh-CN" w:bidi="ar-SA"/>
        </w:rPr>
        <w:t>教育附加安排的支出：2万元，占0.69%；</w:t>
      </w:r>
      <w:r>
        <w:rPr>
          <w:rFonts w:hint="eastAsia" w:ascii="Times New Roman" w:hAnsi="Times New Roman" w:eastAsia="宋体" w:cs="Times New Roman"/>
          <w:kern w:val="2"/>
          <w:sz w:val="28"/>
          <w:szCs w:val="28"/>
          <w:lang w:val="en-US" w:eastAsia="zh-CN" w:bidi="ar-SA"/>
        </w:rPr>
        <w:t>社会保障和就业支出</w:t>
      </w:r>
      <w:r>
        <w:rPr>
          <w:rFonts w:hint="eastAsia" w:cs="Times New Roman"/>
          <w:kern w:val="2"/>
          <w:sz w:val="28"/>
          <w:szCs w:val="28"/>
          <w:lang w:val="en-US" w:eastAsia="zh-CN" w:bidi="ar-SA"/>
        </w:rPr>
        <w:t>31.29</w:t>
      </w:r>
      <w:r>
        <w:rPr>
          <w:rFonts w:hint="eastAsia" w:ascii="Times New Roman" w:hAnsi="Times New Roman" w:eastAsia="宋体" w:cs="Times New Roman"/>
          <w:kern w:val="2"/>
          <w:sz w:val="28"/>
          <w:szCs w:val="28"/>
          <w:lang w:val="en-US" w:eastAsia="zh-CN" w:bidi="ar-SA"/>
        </w:rPr>
        <w:t>万元，占</w:t>
      </w:r>
      <w:r>
        <w:rPr>
          <w:rFonts w:hint="eastAsia" w:cs="Times New Roman"/>
          <w:kern w:val="2"/>
          <w:sz w:val="28"/>
          <w:szCs w:val="28"/>
          <w:lang w:val="en-US" w:eastAsia="zh-CN" w:bidi="ar-SA"/>
        </w:rPr>
        <w:t>10.76</w:t>
      </w:r>
      <w:r>
        <w:rPr>
          <w:rFonts w:hint="eastAsia" w:ascii="Times New Roman" w:hAnsi="Times New Roman" w:eastAsia="宋体" w:cs="Times New Roman"/>
          <w:kern w:val="2"/>
          <w:sz w:val="28"/>
          <w:szCs w:val="28"/>
          <w:lang w:val="en-US" w:eastAsia="zh-CN" w:bidi="ar-SA"/>
        </w:rPr>
        <w:t>%；医疗卫生支出</w:t>
      </w:r>
      <w:r>
        <w:rPr>
          <w:rFonts w:hint="eastAsia" w:cs="Times New Roman"/>
          <w:kern w:val="2"/>
          <w:sz w:val="28"/>
          <w:szCs w:val="28"/>
          <w:lang w:val="en-US" w:eastAsia="zh-CN" w:bidi="ar-SA"/>
        </w:rPr>
        <w:t>8.05</w:t>
      </w:r>
      <w:r>
        <w:rPr>
          <w:rFonts w:hint="eastAsia" w:ascii="Times New Roman" w:hAnsi="Times New Roman" w:eastAsia="宋体" w:cs="Times New Roman"/>
          <w:kern w:val="2"/>
          <w:sz w:val="28"/>
          <w:szCs w:val="28"/>
          <w:lang w:val="en-US" w:eastAsia="zh-CN" w:bidi="ar-SA"/>
        </w:rPr>
        <w:t>万元，占2.7</w:t>
      </w:r>
      <w:r>
        <w:rPr>
          <w:rFonts w:hint="eastAsia" w:cs="Times New Roman"/>
          <w:kern w:val="2"/>
          <w:sz w:val="28"/>
          <w:szCs w:val="28"/>
          <w:lang w:val="en-US" w:eastAsia="zh-CN" w:bidi="ar-SA"/>
        </w:rPr>
        <w:t>7</w:t>
      </w:r>
      <w:r>
        <w:rPr>
          <w:rFonts w:hint="eastAsia" w:ascii="Times New Roman" w:hAnsi="Times New Roman" w:eastAsia="宋体" w:cs="Times New Roman"/>
          <w:kern w:val="2"/>
          <w:sz w:val="28"/>
          <w:szCs w:val="28"/>
          <w:lang w:val="en-US" w:eastAsia="zh-CN" w:bidi="ar-SA"/>
        </w:rPr>
        <w:t>%；住房保障支出</w:t>
      </w:r>
      <w:r>
        <w:rPr>
          <w:rFonts w:hint="eastAsia" w:cs="Times New Roman"/>
          <w:kern w:val="2"/>
          <w:sz w:val="28"/>
          <w:szCs w:val="28"/>
          <w:lang w:val="en-US" w:eastAsia="zh-CN" w:bidi="ar-SA"/>
        </w:rPr>
        <w:t>14.27</w:t>
      </w:r>
      <w:r>
        <w:rPr>
          <w:rFonts w:hint="eastAsia" w:ascii="Times New Roman" w:hAnsi="Times New Roman" w:eastAsia="宋体" w:cs="Times New Roman"/>
          <w:kern w:val="2"/>
          <w:sz w:val="28"/>
          <w:szCs w:val="28"/>
          <w:lang w:val="en-US" w:eastAsia="zh-CN" w:bidi="ar-SA"/>
        </w:rPr>
        <w:t>万元，占</w:t>
      </w:r>
      <w:r>
        <w:rPr>
          <w:rFonts w:hint="eastAsia" w:cs="Times New Roman"/>
          <w:kern w:val="2"/>
          <w:sz w:val="28"/>
          <w:szCs w:val="28"/>
          <w:lang w:val="en-US" w:eastAsia="zh-CN" w:bidi="ar-SA"/>
        </w:rPr>
        <w:t>4.91</w:t>
      </w:r>
      <w:r>
        <w:rPr>
          <w:rFonts w:hint="eastAsia" w:ascii="Times New Roman" w:hAnsi="Times New Roman" w:eastAsia="宋体" w:cs="Times New Roman"/>
          <w:kern w:val="2"/>
          <w:sz w:val="28"/>
          <w:szCs w:val="28"/>
          <w:lang w:val="en-US" w:eastAsia="zh-CN" w:bidi="ar-SA"/>
        </w:rPr>
        <w:t>%。</w:t>
      </w:r>
    </w:p>
    <w:p>
      <w:pPr>
        <w:spacing w:line="600" w:lineRule="atLeast"/>
        <w:ind w:firstLine="560" w:firstLineChars="200"/>
        <w:rPr>
          <w:rFonts w:hint="eastAsia" w:ascii="宋体" w:hAnsi="宋体" w:cs="宋体"/>
          <w:color w:val="000000"/>
          <w:sz w:val="28"/>
          <w:szCs w:val="28"/>
          <w:lang w:val="en-US" w:eastAsia="zh-CN"/>
        </w:rPr>
      </w:pPr>
    </w:p>
    <w:p>
      <w:pPr>
        <w:spacing w:line="600" w:lineRule="atLeast"/>
        <w:ind w:firstLine="560" w:firstLineChars="2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290.67万元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sz w:val="32"/>
          <w:szCs w:val="32"/>
        </w:rPr>
        <w:t>其中：</w:t>
      </w:r>
      <w:bookmarkEnd w:id="37"/>
      <w:bookmarkEnd w:id="38"/>
      <w:bookmarkEnd w:id="39"/>
    </w:p>
    <w:p>
      <w:pPr>
        <w:numPr>
          <w:ilvl w:val="0"/>
          <w:numId w:val="3"/>
        </w:num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一般公共服务: 支出决算为0万元</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2.教育支出: 教育支出决算为</w:t>
      </w:r>
      <w:r>
        <w:rPr>
          <w:rFonts w:hint="eastAsia" w:cs="Times New Roman"/>
          <w:kern w:val="2"/>
          <w:sz w:val="28"/>
          <w:szCs w:val="28"/>
          <w:lang w:val="en-US" w:eastAsia="zh-CN" w:bidi="ar-SA"/>
        </w:rPr>
        <w:t>235.06</w:t>
      </w:r>
      <w:r>
        <w:rPr>
          <w:rFonts w:hint="eastAsia" w:ascii="Times New Roman" w:hAnsi="Times New Roman" w:eastAsia="宋体" w:cs="Times New Roman"/>
          <w:kern w:val="2"/>
          <w:sz w:val="28"/>
          <w:szCs w:val="28"/>
          <w:lang w:val="en-US" w:eastAsia="zh-CN" w:bidi="ar-SA"/>
        </w:rPr>
        <w:t>万元</w:t>
      </w:r>
      <w:r>
        <w:rPr>
          <w:rFonts w:hint="eastAsia"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完成预算100%。</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3.科学技术: 支出决算为0万元。</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4.文化体育与传媒: 支出决算为0万元。</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5.社会保障和就业: 支出决算为</w:t>
      </w:r>
      <w:r>
        <w:rPr>
          <w:rFonts w:hint="eastAsia" w:cs="Times New Roman"/>
          <w:kern w:val="2"/>
          <w:sz w:val="28"/>
          <w:szCs w:val="28"/>
          <w:lang w:val="en-US" w:eastAsia="zh-CN" w:bidi="ar-SA"/>
        </w:rPr>
        <w:t>31.29</w:t>
      </w:r>
      <w:r>
        <w:rPr>
          <w:rFonts w:hint="eastAsia" w:ascii="Times New Roman" w:hAnsi="Times New Roman" w:eastAsia="宋体" w:cs="Times New Roman"/>
          <w:kern w:val="2"/>
          <w:sz w:val="28"/>
          <w:szCs w:val="28"/>
          <w:lang w:val="en-US" w:eastAsia="zh-CN" w:bidi="ar-SA"/>
        </w:rPr>
        <w:t>万元，完成预算100%。</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6.医疗卫生与计划生育:事业单位医疗支出决算为</w:t>
      </w:r>
      <w:r>
        <w:rPr>
          <w:rFonts w:hint="eastAsia" w:cs="Times New Roman"/>
          <w:kern w:val="2"/>
          <w:sz w:val="28"/>
          <w:szCs w:val="28"/>
          <w:lang w:val="en-US" w:eastAsia="zh-CN" w:bidi="ar-SA"/>
        </w:rPr>
        <w:t>8.05</w:t>
      </w:r>
      <w:r>
        <w:rPr>
          <w:rFonts w:hint="eastAsia" w:ascii="Times New Roman" w:hAnsi="Times New Roman" w:eastAsia="宋体" w:cs="Times New Roman"/>
          <w:kern w:val="2"/>
          <w:sz w:val="28"/>
          <w:szCs w:val="28"/>
          <w:lang w:val="en-US" w:eastAsia="zh-CN" w:bidi="ar-SA"/>
        </w:rPr>
        <w:t>万元，完成预算100%。</w:t>
      </w:r>
    </w:p>
    <w:p>
      <w:pPr>
        <w:spacing w:line="600" w:lineRule="exact"/>
        <w:ind w:firstLine="560" w:firstLineChars="200"/>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7.住房保障支出：住房公积金支出</w:t>
      </w:r>
      <w:r>
        <w:rPr>
          <w:rFonts w:hint="eastAsia" w:cs="Times New Roman"/>
          <w:kern w:val="2"/>
          <w:sz w:val="28"/>
          <w:szCs w:val="28"/>
          <w:lang w:val="en-US" w:eastAsia="zh-CN" w:bidi="ar-SA"/>
        </w:rPr>
        <w:t>14.27</w:t>
      </w:r>
      <w:r>
        <w:rPr>
          <w:rFonts w:hint="eastAsia" w:ascii="Times New Roman" w:hAnsi="Times New Roman" w:eastAsia="宋体" w:cs="Times New Roman"/>
          <w:kern w:val="2"/>
          <w:sz w:val="28"/>
          <w:szCs w:val="28"/>
          <w:lang w:val="en-US" w:eastAsia="zh-CN" w:bidi="ar-SA"/>
        </w:rPr>
        <w:t>万元，完成预算100%。</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hint="eastAsia" w:ascii="Times New Roman" w:hAnsi="Times New Roman" w:eastAsia="宋体" w:cs="Times New Roman"/>
          <w:kern w:val="2"/>
          <w:sz w:val="28"/>
          <w:szCs w:val="28"/>
          <w:lang w:val="en-US" w:eastAsia="zh-CN" w:bidi="ar-SA"/>
        </w:rPr>
      </w:pPr>
      <w:bookmarkStart w:id="42" w:name="_Toc15396609"/>
      <w:bookmarkStart w:id="43" w:name="_Toc15377215"/>
      <w:r>
        <w:rPr>
          <w:rFonts w:hint="eastAsia" w:ascii="Times New Roman" w:hAnsi="Times New Roman" w:eastAsia="宋体" w:cs="Times New Roman"/>
          <w:kern w:val="2"/>
          <w:sz w:val="28"/>
          <w:szCs w:val="28"/>
          <w:lang w:val="en-US" w:eastAsia="zh-CN" w:bidi="ar-SA"/>
        </w:rPr>
        <w:t>2018年度一般公共预算财政拨款基本支出</w:t>
      </w:r>
      <w:r>
        <w:rPr>
          <w:rFonts w:hint="eastAsia" w:cs="Times New Roman"/>
          <w:kern w:val="2"/>
          <w:sz w:val="28"/>
          <w:szCs w:val="28"/>
          <w:lang w:val="en-US" w:eastAsia="zh-CN" w:bidi="ar-SA"/>
        </w:rPr>
        <w:t>290.67</w:t>
      </w:r>
      <w:r>
        <w:rPr>
          <w:rFonts w:hint="eastAsia" w:ascii="Times New Roman" w:hAnsi="Times New Roman" w:eastAsia="宋体" w:cs="Times New Roman"/>
          <w:kern w:val="2"/>
          <w:sz w:val="28"/>
          <w:szCs w:val="28"/>
          <w:lang w:val="en-US" w:eastAsia="zh-CN" w:bidi="ar-SA"/>
        </w:rPr>
        <w:t>万元，其中：</w:t>
      </w:r>
    </w:p>
    <w:p>
      <w:pPr>
        <w:spacing w:line="600" w:lineRule="exact"/>
        <w:ind w:firstLine="645"/>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人员经费</w:t>
      </w:r>
      <w:r>
        <w:rPr>
          <w:rFonts w:hint="eastAsia" w:cs="Times New Roman"/>
          <w:kern w:val="2"/>
          <w:sz w:val="28"/>
          <w:szCs w:val="28"/>
          <w:lang w:val="en-US" w:eastAsia="zh-CN" w:bidi="ar-SA"/>
        </w:rPr>
        <w:t>131.38</w:t>
      </w:r>
      <w:r>
        <w:rPr>
          <w:rFonts w:hint="eastAsia" w:ascii="Times New Roman" w:hAnsi="Times New Roman" w:eastAsia="宋体" w:cs="Times New Roman"/>
          <w:kern w:val="2"/>
          <w:sz w:val="28"/>
          <w:szCs w:val="28"/>
          <w:lang w:val="en-US" w:eastAsia="zh-CN" w:bidi="ar-SA"/>
        </w:rPr>
        <w:t>万元，主要包括：基本工资</w:t>
      </w:r>
      <w:r>
        <w:rPr>
          <w:rFonts w:hint="eastAsia" w:cs="Times New Roman"/>
          <w:kern w:val="2"/>
          <w:sz w:val="28"/>
          <w:szCs w:val="28"/>
          <w:lang w:val="en-US" w:eastAsia="zh-CN" w:bidi="ar-SA"/>
        </w:rPr>
        <w:t>74.85</w:t>
      </w:r>
      <w:r>
        <w:rPr>
          <w:rFonts w:hint="eastAsia" w:ascii="Times New Roman" w:hAnsi="Times New Roman" w:eastAsia="宋体" w:cs="Times New Roman"/>
          <w:kern w:val="2"/>
          <w:sz w:val="28"/>
          <w:szCs w:val="28"/>
          <w:lang w:val="en-US" w:eastAsia="zh-CN" w:bidi="ar-SA"/>
        </w:rPr>
        <w:t>万元、津贴补贴</w:t>
      </w:r>
      <w:r>
        <w:rPr>
          <w:rFonts w:hint="eastAsia" w:cs="Times New Roman"/>
          <w:kern w:val="2"/>
          <w:sz w:val="28"/>
          <w:szCs w:val="28"/>
          <w:lang w:val="en-US" w:eastAsia="zh-CN" w:bidi="ar-SA"/>
        </w:rPr>
        <w:t>1.93</w:t>
      </w:r>
      <w:r>
        <w:rPr>
          <w:rFonts w:hint="eastAsia" w:ascii="Times New Roman" w:hAnsi="Times New Roman" w:eastAsia="宋体" w:cs="Times New Roman"/>
          <w:kern w:val="2"/>
          <w:sz w:val="28"/>
          <w:szCs w:val="28"/>
          <w:lang w:val="en-US" w:eastAsia="zh-CN" w:bidi="ar-SA"/>
        </w:rPr>
        <w:t>万元、绩效工资</w:t>
      </w:r>
      <w:r>
        <w:rPr>
          <w:rFonts w:hint="eastAsia" w:cs="Times New Roman"/>
          <w:kern w:val="2"/>
          <w:sz w:val="28"/>
          <w:szCs w:val="28"/>
          <w:lang w:val="en-US" w:eastAsia="zh-CN" w:bidi="ar-SA"/>
        </w:rPr>
        <w:t>51.54</w:t>
      </w:r>
      <w:r>
        <w:rPr>
          <w:rFonts w:hint="eastAsia" w:ascii="Times New Roman" w:hAnsi="Times New Roman" w:eastAsia="宋体" w:cs="Times New Roman"/>
          <w:kern w:val="2"/>
          <w:sz w:val="28"/>
          <w:szCs w:val="28"/>
          <w:lang w:val="en-US" w:eastAsia="zh-CN" w:bidi="ar-SA"/>
        </w:rPr>
        <w:t>万元、机关事业单位基本养老保险缴费</w:t>
      </w:r>
      <w:r>
        <w:rPr>
          <w:rFonts w:hint="eastAsia" w:cs="Times New Roman"/>
          <w:kern w:val="2"/>
          <w:sz w:val="28"/>
          <w:szCs w:val="28"/>
          <w:lang w:val="en-US" w:eastAsia="zh-CN" w:bidi="ar-SA"/>
        </w:rPr>
        <w:t>24.75</w:t>
      </w:r>
      <w:r>
        <w:rPr>
          <w:rFonts w:hint="eastAsia" w:ascii="Times New Roman" w:hAnsi="Times New Roman" w:eastAsia="宋体" w:cs="Times New Roman"/>
          <w:kern w:val="2"/>
          <w:sz w:val="28"/>
          <w:szCs w:val="28"/>
          <w:lang w:val="en-US" w:eastAsia="zh-CN" w:bidi="ar-SA"/>
        </w:rPr>
        <w:t>万元、职工基本医疗保险缴费</w:t>
      </w:r>
      <w:r>
        <w:rPr>
          <w:rFonts w:hint="eastAsia" w:cs="Times New Roman"/>
          <w:kern w:val="2"/>
          <w:sz w:val="28"/>
          <w:szCs w:val="28"/>
          <w:lang w:val="en-US" w:eastAsia="zh-CN" w:bidi="ar-SA"/>
        </w:rPr>
        <w:t>8.05</w:t>
      </w:r>
      <w:r>
        <w:rPr>
          <w:rFonts w:hint="eastAsia" w:ascii="Times New Roman" w:hAnsi="Times New Roman" w:eastAsia="宋体" w:cs="Times New Roman"/>
          <w:kern w:val="2"/>
          <w:sz w:val="28"/>
          <w:szCs w:val="28"/>
          <w:lang w:val="en-US" w:eastAsia="zh-CN" w:bidi="ar-SA"/>
        </w:rPr>
        <w:t>万元，其他社会保障缴费</w:t>
      </w:r>
      <w:r>
        <w:rPr>
          <w:rFonts w:hint="eastAsia" w:cs="Times New Roman"/>
          <w:kern w:val="2"/>
          <w:sz w:val="28"/>
          <w:szCs w:val="28"/>
          <w:lang w:val="en-US" w:eastAsia="zh-CN" w:bidi="ar-SA"/>
        </w:rPr>
        <w:t>3.07</w:t>
      </w:r>
      <w:r>
        <w:rPr>
          <w:rFonts w:hint="eastAsia" w:ascii="Times New Roman" w:hAnsi="Times New Roman" w:eastAsia="宋体" w:cs="Times New Roman"/>
          <w:kern w:val="2"/>
          <w:sz w:val="28"/>
          <w:szCs w:val="28"/>
          <w:lang w:val="en-US" w:eastAsia="zh-CN" w:bidi="ar-SA"/>
        </w:rPr>
        <w:t>万元、住房公积金</w:t>
      </w:r>
      <w:r>
        <w:rPr>
          <w:rFonts w:hint="eastAsia" w:cs="Times New Roman"/>
          <w:kern w:val="2"/>
          <w:sz w:val="28"/>
          <w:szCs w:val="28"/>
          <w:lang w:val="en-US" w:eastAsia="zh-CN" w:bidi="ar-SA"/>
        </w:rPr>
        <w:t>14.27</w:t>
      </w:r>
      <w:r>
        <w:rPr>
          <w:rFonts w:hint="eastAsia" w:ascii="Times New Roman" w:hAnsi="Times New Roman" w:eastAsia="宋体" w:cs="Times New Roman"/>
          <w:kern w:val="2"/>
          <w:sz w:val="28"/>
          <w:szCs w:val="28"/>
          <w:lang w:val="en-US" w:eastAsia="zh-CN" w:bidi="ar-SA"/>
        </w:rPr>
        <w:t>万元</w:t>
      </w:r>
      <w:r>
        <w:rPr>
          <w:rFonts w:hint="eastAsia" w:cs="Times New Roman"/>
          <w:kern w:val="2"/>
          <w:sz w:val="28"/>
          <w:szCs w:val="28"/>
          <w:lang w:val="en-US" w:eastAsia="zh-CN" w:bidi="ar-SA"/>
        </w:rPr>
        <w:t>。</w:t>
      </w:r>
    </w:p>
    <w:p>
      <w:pPr>
        <w:spacing w:line="600" w:lineRule="exact"/>
        <w:ind w:firstLine="645"/>
        <w:rPr>
          <w:rFonts w:hint="eastAsia" w:ascii="宋体" w:hAnsi="宋体" w:eastAsia="宋体" w:cs="宋体"/>
          <w:color w:val="000000"/>
          <w:sz w:val="28"/>
          <w:szCs w:val="28"/>
        </w:rPr>
      </w:pPr>
      <w:r>
        <w:rPr>
          <w:rFonts w:hint="eastAsia" w:ascii="Times New Roman" w:hAnsi="Times New Roman" w:eastAsia="宋体" w:cs="Times New Roman"/>
          <w:kern w:val="2"/>
          <w:sz w:val="28"/>
          <w:szCs w:val="28"/>
          <w:lang w:val="en-US" w:eastAsia="zh-CN" w:bidi="ar-SA"/>
        </w:rPr>
        <w:t>对个人和家庭的补助支出</w:t>
      </w:r>
      <w:r>
        <w:rPr>
          <w:rFonts w:hint="eastAsia" w:cs="Times New Roman"/>
          <w:kern w:val="2"/>
          <w:sz w:val="28"/>
          <w:szCs w:val="28"/>
          <w:lang w:val="en-US" w:eastAsia="zh-CN" w:bidi="ar-SA"/>
        </w:rPr>
        <w:t>62.33</w:t>
      </w:r>
      <w:r>
        <w:rPr>
          <w:rFonts w:hint="eastAsia" w:ascii="Times New Roman" w:hAnsi="Times New Roman" w:eastAsia="宋体" w:cs="Times New Roman"/>
          <w:kern w:val="2"/>
          <w:sz w:val="28"/>
          <w:szCs w:val="28"/>
          <w:lang w:val="en-US" w:eastAsia="zh-CN" w:bidi="ar-SA"/>
        </w:rPr>
        <w:t>万元等。</w:t>
      </w:r>
      <w:r>
        <w:rPr>
          <w:rFonts w:hint="eastAsia" w:ascii="Times New Roman" w:hAnsi="Times New Roman" w:eastAsia="宋体" w:cs="Times New Roman"/>
          <w:kern w:val="2"/>
          <w:sz w:val="28"/>
          <w:szCs w:val="28"/>
          <w:lang w:val="en-US" w:eastAsia="zh-CN" w:bidi="ar-SA"/>
        </w:rPr>
        <w:br w:type="textWrapping"/>
      </w:r>
      <w:r>
        <w:rPr>
          <w:rFonts w:hint="eastAsia" w:ascii="Times New Roman" w:hAnsi="Times New Roman" w:eastAsia="宋体" w:cs="Times New Roman"/>
          <w:kern w:val="2"/>
          <w:sz w:val="28"/>
          <w:szCs w:val="28"/>
          <w:lang w:val="en-US" w:eastAsia="zh-CN" w:bidi="ar-SA"/>
        </w:rPr>
        <w:t>　　公用经费</w:t>
      </w:r>
      <w:r>
        <w:rPr>
          <w:rFonts w:hint="eastAsia" w:cs="Times New Roman"/>
          <w:kern w:val="2"/>
          <w:sz w:val="28"/>
          <w:szCs w:val="28"/>
          <w:lang w:val="en-US" w:eastAsia="zh-CN" w:bidi="ar-SA"/>
        </w:rPr>
        <w:t>31.35</w:t>
      </w:r>
      <w:r>
        <w:rPr>
          <w:rFonts w:hint="eastAsia" w:ascii="Times New Roman" w:hAnsi="Times New Roman" w:eastAsia="宋体" w:cs="Times New Roman"/>
          <w:kern w:val="2"/>
          <w:sz w:val="28"/>
          <w:szCs w:val="28"/>
          <w:lang w:val="en-US" w:eastAsia="zh-CN" w:bidi="ar-SA"/>
        </w:rPr>
        <w:t>万元，主要包括：办公费</w:t>
      </w:r>
      <w:r>
        <w:rPr>
          <w:rFonts w:hint="eastAsia" w:cs="Times New Roman"/>
          <w:kern w:val="2"/>
          <w:sz w:val="28"/>
          <w:szCs w:val="28"/>
          <w:lang w:val="en-US" w:eastAsia="zh-CN" w:bidi="ar-SA"/>
        </w:rPr>
        <w:t>5.12</w:t>
      </w:r>
      <w:r>
        <w:rPr>
          <w:rFonts w:hint="eastAsia" w:ascii="Times New Roman" w:hAnsi="Times New Roman" w:eastAsia="宋体" w:cs="Times New Roman"/>
          <w:kern w:val="2"/>
          <w:sz w:val="28"/>
          <w:szCs w:val="28"/>
          <w:lang w:val="en-US" w:eastAsia="zh-CN" w:bidi="ar-SA"/>
        </w:rPr>
        <w:t>万元、</w:t>
      </w:r>
      <w:r>
        <w:rPr>
          <w:rFonts w:hint="eastAsia" w:cs="Times New Roman"/>
          <w:kern w:val="2"/>
          <w:sz w:val="28"/>
          <w:szCs w:val="28"/>
          <w:lang w:val="en-US" w:eastAsia="zh-CN" w:bidi="ar-SA"/>
        </w:rPr>
        <w:t>印刷费0.36万元、</w:t>
      </w:r>
      <w:r>
        <w:rPr>
          <w:rFonts w:hint="eastAsia" w:ascii="Times New Roman" w:hAnsi="Times New Roman" w:eastAsia="宋体" w:cs="Times New Roman"/>
          <w:kern w:val="2"/>
          <w:sz w:val="28"/>
          <w:szCs w:val="28"/>
          <w:lang w:val="en-US" w:eastAsia="zh-CN" w:bidi="ar-SA"/>
        </w:rPr>
        <w:t>水费0.</w:t>
      </w:r>
      <w:r>
        <w:rPr>
          <w:rFonts w:hint="eastAsia" w:cs="Times New Roman"/>
          <w:kern w:val="2"/>
          <w:sz w:val="28"/>
          <w:szCs w:val="28"/>
          <w:lang w:val="en-US" w:eastAsia="zh-CN" w:bidi="ar-SA"/>
        </w:rPr>
        <w:t>21</w:t>
      </w:r>
      <w:r>
        <w:rPr>
          <w:rFonts w:hint="eastAsia" w:ascii="Times New Roman" w:hAnsi="Times New Roman" w:eastAsia="宋体" w:cs="Times New Roman"/>
          <w:kern w:val="2"/>
          <w:sz w:val="28"/>
          <w:szCs w:val="28"/>
          <w:lang w:val="en-US" w:eastAsia="zh-CN" w:bidi="ar-SA"/>
        </w:rPr>
        <w:t>万元、电费</w:t>
      </w:r>
      <w:r>
        <w:rPr>
          <w:rFonts w:hint="eastAsia" w:cs="Times New Roman"/>
          <w:kern w:val="2"/>
          <w:sz w:val="28"/>
          <w:szCs w:val="28"/>
          <w:lang w:val="en-US" w:eastAsia="zh-CN" w:bidi="ar-SA"/>
        </w:rPr>
        <w:t>1.44</w:t>
      </w:r>
      <w:r>
        <w:rPr>
          <w:rFonts w:hint="eastAsia" w:ascii="Times New Roman" w:hAnsi="Times New Roman" w:eastAsia="宋体" w:cs="Times New Roman"/>
          <w:kern w:val="2"/>
          <w:sz w:val="28"/>
          <w:szCs w:val="28"/>
          <w:lang w:val="en-US" w:eastAsia="zh-CN" w:bidi="ar-SA"/>
        </w:rPr>
        <w:t>万元、邮电费</w:t>
      </w:r>
      <w:r>
        <w:rPr>
          <w:rFonts w:hint="eastAsia" w:cs="Times New Roman"/>
          <w:kern w:val="2"/>
          <w:sz w:val="28"/>
          <w:szCs w:val="28"/>
          <w:lang w:val="en-US" w:eastAsia="zh-CN" w:bidi="ar-SA"/>
        </w:rPr>
        <w:t>0.72</w:t>
      </w:r>
      <w:r>
        <w:rPr>
          <w:rFonts w:hint="eastAsia" w:ascii="Times New Roman" w:hAnsi="Times New Roman" w:eastAsia="宋体" w:cs="Times New Roman"/>
          <w:kern w:val="2"/>
          <w:sz w:val="28"/>
          <w:szCs w:val="28"/>
          <w:lang w:val="en-US" w:eastAsia="zh-CN" w:bidi="ar-SA"/>
        </w:rPr>
        <w:t>万元、物业管理费</w:t>
      </w:r>
      <w:r>
        <w:rPr>
          <w:rFonts w:hint="eastAsia" w:cs="Times New Roman"/>
          <w:kern w:val="2"/>
          <w:sz w:val="28"/>
          <w:szCs w:val="28"/>
          <w:lang w:val="en-US" w:eastAsia="zh-CN" w:bidi="ar-SA"/>
        </w:rPr>
        <w:t>2.74</w:t>
      </w:r>
      <w:r>
        <w:rPr>
          <w:rFonts w:hint="eastAsia" w:ascii="Times New Roman" w:hAnsi="Times New Roman" w:eastAsia="宋体" w:cs="Times New Roman"/>
          <w:kern w:val="2"/>
          <w:sz w:val="28"/>
          <w:szCs w:val="28"/>
          <w:lang w:val="en-US" w:eastAsia="zh-CN" w:bidi="ar-SA"/>
        </w:rPr>
        <w:t>万元、差旅费</w:t>
      </w:r>
      <w:r>
        <w:rPr>
          <w:rFonts w:hint="eastAsia" w:cs="Times New Roman"/>
          <w:kern w:val="2"/>
          <w:sz w:val="28"/>
          <w:szCs w:val="28"/>
          <w:lang w:val="en-US" w:eastAsia="zh-CN" w:bidi="ar-SA"/>
        </w:rPr>
        <w:t>1.71</w:t>
      </w:r>
      <w:r>
        <w:rPr>
          <w:rFonts w:hint="eastAsia" w:ascii="Times New Roman" w:hAnsi="Times New Roman" w:eastAsia="宋体" w:cs="Times New Roman"/>
          <w:kern w:val="2"/>
          <w:sz w:val="28"/>
          <w:szCs w:val="28"/>
          <w:lang w:val="en-US" w:eastAsia="zh-CN" w:bidi="ar-SA"/>
        </w:rPr>
        <w:t>万元、维修（护）费</w:t>
      </w:r>
      <w:r>
        <w:rPr>
          <w:rFonts w:hint="eastAsia" w:cs="Times New Roman"/>
          <w:kern w:val="2"/>
          <w:sz w:val="28"/>
          <w:szCs w:val="28"/>
          <w:lang w:val="en-US" w:eastAsia="zh-CN" w:bidi="ar-SA"/>
        </w:rPr>
        <w:t>5.79</w:t>
      </w:r>
      <w:r>
        <w:rPr>
          <w:rFonts w:hint="eastAsia" w:ascii="Times New Roman" w:hAnsi="Times New Roman" w:eastAsia="宋体" w:cs="Times New Roman"/>
          <w:kern w:val="2"/>
          <w:sz w:val="28"/>
          <w:szCs w:val="28"/>
          <w:lang w:val="en-US" w:eastAsia="zh-CN" w:bidi="ar-SA"/>
        </w:rPr>
        <w:t>万元、培训费</w:t>
      </w:r>
      <w:r>
        <w:rPr>
          <w:rFonts w:hint="eastAsia" w:cs="Times New Roman"/>
          <w:kern w:val="2"/>
          <w:sz w:val="28"/>
          <w:szCs w:val="28"/>
          <w:lang w:val="en-US" w:eastAsia="zh-CN" w:bidi="ar-SA"/>
        </w:rPr>
        <w:t>1.35</w:t>
      </w:r>
      <w:r>
        <w:rPr>
          <w:rFonts w:hint="eastAsia" w:ascii="Times New Roman" w:hAnsi="Times New Roman" w:eastAsia="宋体" w:cs="Times New Roman"/>
          <w:kern w:val="2"/>
          <w:sz w:val="28"/>
          <w:szCs w:val="28"/>
          <w:lang w:val="en-US" w:eastAsia="zh-CN" w:bidi="ar-SA"/>
        </w:rPr>
        <w:t>万元、公务接待费</w:t>
      </w:r>
      <w:r>
        <w:rPr>
          <w:rFonts w:hint="eastAsia" w:cs="Times New Roman"/>
          <w:kern w:val="2"/>
          <w:sz w:val="28"/>
          <w:szCs w:val="28"/>
          <w:lang w:val="en-US" w:eastAsia="zh-CN" w:bidi="ar-SA"/>
        </w:rPr>
        <w:t>0.2</w:t>
      </w:r>
      <w:r>
        <w:rPr>
          <w:rFonts w:hint="eastAsia" w:ascii="Times New Roman" w:hAnsi="Times New Roman" w:eastAsia="宋体" w:cs="Times New Roman"/>
          <w:kern w:val="2"/>
          <w:sz w:val="28"/>
          <w:szCs w:val="28"/>
          <w:lang w:val="en-US" w:eastAsia="zh-CN" w:bidi="ar-SA"/>
        </w:rPr>
        <w:t>万元、专用材料费</w:t>
      </w:r>
      <w:r>
        <w:rPr>
          <w:rFonts w:hint="eastAsia" w:cs="Times New Roman"/>
          <w:kern w:val="2"/>
          <w:sz w:val="28"/>
          <w:szCs w:val="28"/>
          <w:lang w:val="en-US" w:eastAsia="zh-CN" w:bidi="ar-SA"/>
        </w:rPr>
        <w:t>2.7</w:t>
      </w:r>
      <w:r>
        <w:rPr>
          <w:rFonts w:hint="eastAsia" w:ascii="Times New Roman" w:hAnsi="Times New Roman" w:eastAsia="宋体" w:cs="Times New Roman"/>
          <w:kern w:val="2"/>
          <w:sz w:val="28"/>
          <w:szCs w:val="28"/>
          <w:lang w:val="en-US" w:eastAsia="zh-CN" w:bidi="ar-SA"/>
        </w:rPr>
        <w:t>万元、劳务费</w:t>
      </w:r>
      <w:r>
        <w:rPr>
          <w:rFonts w:hint="eastAsia" w:cs="Times New Roman"/>
          <w:kern w:val="2"/>
          <w:sz w:val="28"/>
          <w:szCs w:val="28"/>
          <w:lang w:val="en-US" w:eastAsia="zh-CN" w:bidi="ar-SA"/>
        </w:rPr>
        <w:t>5.33</w:t>
      </w:r>
      <w:r>
        <w:rPr>
          <w:rFonts w:hint="eastAsia" w:ascii="Times New Roman" w:hAnsi="Times New Roman" w:eastAsia="宋体" w:cs="Times New Roman"/>
          <w:kern w:val="2"/>
          <w:sz w:val="28"/>
          <w:szCs w:val="28"/>
          <w:lang w:val="en-US" w:eastAsia="zh-CN" w:bidi="ar-SA"/>
        </w:rPr>
        <w:t>万元、工会经费</w:t>
      </w:r>
      <w:r>
        <w:rPr>
          <w:rFonts w:hint="eastAsia" w:cs="Times New Roman"/>
          <w:kern w:val="2"/>
          <w:sz w:val="28"/>
          <w:szCs w:val="28"/>
          <w:lang w:val="en-US" w:eastAsia="zh-CN" w:bidi="ar-SA"/>
        </w:rPr>
        <w:t>0.73</w:t>
      </w:r>
      <w:r>
        <w:rPr>
          <w:rFonts w:hint="eastAsia" w:ascii="Times New Roman" w:hAnsi="Times New Roman" w:eastAsia="宋体" w:cs="Times New Roman"/>
          <w:kern w:val="2"/>
          <w:sz w:val="28"/>
          <w:szCs w:val="28"/>
          <w:lang w:val="en-US" w:eastAsia="zh-CN" w:bidi="ar-SA"/>
        </w:rPr>
        <w:t>万元</w:t>
      </w:r>
      <w:r>
        <w:rPr>
          <w:rFonts w:hint="eastAsia"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其他商品和服务支出</w:t>
      </w:r>
      <w:r>
        <w:rPr>
          <w:rFonts w:hint="eastAsia" w:cs="Times New Roman"/>
          <w:kern w:val="2"/>
          <w:sz w:val="28"/>
          <w:szCs w:val="28"/>
          <w:lang w:val="en-US" w:eastAsia="zh-CN" w:bidi="ar-SA"/>
        </w:rPr>
        <w:t>2.95</w:t>
      </w:r>
      <w:r>
        <w:rPr>
          <w:rFonts w:hint="eastAsia" w:ascii="Times New Roman" w:hAnsi="Times New Roman" w:eastAsia="宋体" w:cs="Times New Roman"/>
          <w:kern w:val="2"/>
          <w:sz w:val="28"/>
          <w:szCs w:val="28"/>
          <w:lang w:val="en-US" w:eastAsia="zh-CN" w:bidi="ar-SA"/>
        </w:rPr>
        <w:t>万元。</w:t>
      </w:r>
    </w:p>
    <w:p>
      <w:pPr>
        <w:spacing w:line="600" w:lineRule="exact"/>
        <w:ind w:firstLine="640"/>
        <w:outlineLvl w:val="1"/>
        <w:rPr>
          <w:rStyle w:val="25"/>
          <w:rFonts w:ascii="黑体" w:hAnsi="黑体" w:eastAsia="黑体"/>
          <w:b w:val="0"/>
        </w:rPr>
      </w:pPr>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2018年度“三公”经费财政拨款支出决算为</w:t>
      </w:r>
      <w:r>
        <w:rPr>
          <w:rFonts w:hint="eastAsia" w:cs="Times New Roman"/>
          <w:kern w:val="2"/>
          <w:sz w:val="28"/>
          <w:szCs w:val="28"/>
          <w:lang w:val="en-US" w:eastAsia="zh-CN" w:bidi="ar-SA"/>
        </w:rPr>
        <w:t>0.2</w:t>
      </w:r>
      <w:r>
        <w:rPr>
          <w:rFonts w:hint="eastAsia" w:ascii="Times New Roman" w:hAnsi="Times New Roman" w:eastAsia="宋体" w:cs="Times New Roman"/>
          <w:kern w:val="2"/>
          <w:sz w:val="28"/>
          <w:szCs w:val="28"/>
          <w:lang w:val="en-US" w:eastAsia="zh-CN" w:bidi="ar-SA"/>
        </w:rPr>
        <w:t>万元，完成预算100%。</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Times New Roman" w:hAnsi="Times New Roman" w:eastAsia="宋体" w:cs="Times New Roman"/>
          <w:kern w:val="2"/>
          <w:sz w:val="28"/>
          <w:szCs w:val="28"/>
          <w:lang w:val="en-US" w:eastAsia="zh-CN" w:bidi="ar-SA"/>
        </w:rPr>
      </w:pPr>
      <w:bookmarkStart w:id="46" w:name="_Toc15377218"/>
      <w:bookmarkStart w:id="47" w:name="_Toc15396610"/>
      <w:r>
        <w:rPr>
          <w:rFonts w:hint="eastAsia" w:ascii="Times New Roman" w:hAnsi="Times New Roman" w:eastAsia="宋体" w:cs="Times New Roman"/>
          <w:kern w:val="2"/>
          <w:sz w:val="28"/>
          <w:szCs w:val="28"/>
          <w:lang w:val="en-US" w:eastAsia="zh-CN" w:bidi="ar-SA"/>
        </w:rPr>
        <w:t>2018年度“三公”经费财政拨款支出决算中，因公出国（境）费支出决算0万元；公务用车购置及运行维护费支出决算0万元；公务接待费支出决算</w:t>
      </w:r>
      <w:r>
        <w:rPr>
          <w:rFonts w:hint="eastAsia" w:cs="Times New Roman"/>
          <w:kern w:val="2"/>
          <w:sz w:val="28"/>
          <w:szCs w:val="28"/>
          <w:lang w:val="en-US" w:eastAsia="zh-CN" w:bidi="ar-SA"/>
        </w:rPr>
        <w:t>0.2</w:t>
      </w:r>
      <w:r>
        <w:rPr>
          <w:rFonts w:hint="eastAsia" w:ascii="Times New Roman" w:hAnsi="Times New Roman" w:eastAsia="宋体" w:cs="Times New Roman"/>
          <w:kern w:val="2"/>
          <w:sz w:val="28"/>
          <w:szCs w:val="28"/>
          <w:lang w:val="en-US" w:eastAsia="zh-CN" w:bidi="ar-SA"/>
        </w:rPr>
        <w:t>万元，占100%。具体情况如下：</w:t>
      </w:r>
    </w:p>
    <w:p>
      <w:pPr>
        <w:spacing w:line="600" w:lineRule="atLeast"/>
        <w:ind w:firstLine="560" w:firstLineChars="200"/>
        <w:rPr>
          <w:rFonts w:hint="eastAsia" w:ascii="Times New Roman" w:hAnsi="Times New Roman" w:eastAsia="宋体" w:cs="Times New Roman"/>
          <w:kern w:val="2"/>
          <w:sz w:val="28"/>
          <w:szCs w:val="28"/>
          <w:lang w:val="en-US" w:eastAsia="zh-CN" w:bidi="ar-SA"/>
        </w:rPr>
      </w:pPr>
    </w:p>
    <w:p>
      <w:pPr>
        <w:spacing w:line="600" w:lineRule="atLeast"/>
        <w:ind w:firstLine="562" w:firstLineChars="200"/>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1.因公出国（境）经费支出0万元。</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2.公务用车购置及运行维护费支出0万元。</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3.公务接待费支出</w:t>
      </w:r>
      <w:r>
        <w:rPr>
          <w:rFonts w:hint="eastAsia" w:cs="Times New Roman"/>
          <w:kern w:val="2"/>
          <w:sz w:val="28"/>
          <w:szCs w:val="28"/>
          <w:lang w:val="en-US" w:eastAsia="zh-CN" w:bidi="ar-SA"/>
        </w:rPr>
        <w:t>0.2</w:t>
      </w:r>
      <w:r>
        <w:rPr>
          <w:rFonts w:hint="eastAsia" w:ascii="Times New Roman" w:hAnsi="Times New Roman" w:eastAsia="宋体" w:cs="Times New Roman"/>
          <w:kern w:val="2"/>
          <w:sz w:val="28"/>
          <w:szCs w:val="28"/>
          <w:lang w:val="en-US" w:eastAsia="zh-CN" w:bidi="ar-SA"/>
        </w:rPr>
        <w:t>万元。</w:t>
      </w:r>
    </w:p>
    <w:p>
      <w:pPr>
        <w:spacing w:line="600" w:lineRule="exact"/>
        <w:ind w:firstLine="640"/>
        <w:rPr>
          <w:rFonts w:hint="eastAsia" w:ascii="Times New Roman" w:hAnsi="Times New Roman" w:eastAsia="宋体"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eastAsia="宋体" w:cs="Times New Roman"/>
          <w:kern w:val="2"/>
          <w:sz w:val="28"/>
          <w:szCs w:val="28"/>
          <w:lang w:val="en-US" w:eastAsia="zh-CN" w:bidi="ar-SA"/>
        </w:rPr>
        <w:t>公务接待费支出</w:t>
      </w:r>
      <w:r>
        <w:rPr>
          <w:rFonts w:hint="eastAsia" w:cs="Times New Roman"/>
          <w:kern w:val="2"/>
          <w:sz w:val="28"/>
          <w:szCs w:val="28"/>
          <w:lang w:val="en-US" w:eastAsia="zh-CN" w:bidi="ar-SA"/>
        </w:rPr>
        <w:t>0.2</w:t>
      </w:r>
      <w:r>
        <w:rPr>
          <w:rFonts w:hint="eastAsia" w:ascii="Times New Roman" w:hAnsi="Times New Roman" w:eastAsia="宋体" w:cs="Times New Roman"/>
          <w:kern w:val="2"/>
          <w:sz w:val="28"/>
          <w:szCs w:val="28"/>
          <w:lang w:val="en-US" w:eastAsia="zh-CN" w:bidi="ar-SA"/>
        </w:rPr>
        <w:t>万元，</w:t>
      </w:r>
      <w:r>
        <w:rPr>
          <w:rFonts w:hint="eastAsia" w:ascii="Times New Roman" w:hAnsi="Times New Roman" w:eastAsia="宋体" w:cs="Times New Roman"/>
          <w:color w:val="000000" w:themeColor="text1"/>
          <w:kern w:val="2"/>
          <w:sz w:val="28"/>
          <w:szCs w:val="28"/>
          <w:lang w:val="en-US" w:eastAsia="zh-CN" w:bidi="ar-SA"/>
          <w14:textFill>
            <w14:solidFill>
              <w14:schemeClr w14:val="tx1"/>
            </w14:solidFill>
          </w14:textFill>
        </w:rPr>
        <w:t>公务接待费支出决算比2017年减少0.</w:t>
      </w:r>
      <w:r>
        <w:rPr>
          <w:rFonts w:hint="eastAsia" w:cs="Times New Roman"/>
          <w:color w:val="000000" w:themeColor="text1"/>
          <w:kern w:val="2"/>
          <w:sz w:val="28"/>
          <w:szCs w:val="28"/>
          <w:lang w:val="en-US" w:eastAsia="zh-CN" w:bidi="ar-SA"/>
          <w14:textFill>
            <w14:solidFill>
              <w14:schemeClr w14:val="tx1"/>
            </w14:solidFill>
          </w14:textFill>
        </w:rPr>
        <w:t>0</w:t>
      </w:r>
      <w:r>
        <w:rPr>
          <w:rFonts w:hint="eastAsia" w:ascii="Times New Roman" w:hAnsi="Times New Roman" w:eastAsia="宋体" w:cs="Times New Roman"/>
          <w:color w:val="000000" w:themeColor="text1"/>
          <w:kern w:val="2"/>
          <w:sz w:val="28"/>
          <w:szCs w:val="28"/>
          <w:lang w:val="en-US" w:eastAsia="zh-CN" w:bidi="ar-SA"/>
          <w14:textFill>
            <w14:solidFill>
              <w14:schemeClr w14:val="tx1"/>
            </w14:solidFill>
          </w14:textFill>
        </w:rPr>
        <w:t>2万元。</w:t>
      </w:r>
      <w:bookmarkStart w:id="55" w:name="_GoBack"/>
      <w:bookmarkEnd w:id="55"/>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201</w:t>
      </w:r>
      <w:r>
        <w:rPr>
          <w:rFonts w:hint="eastAsia" w:ascii="Times New Roman" w:hAnsi="Times New Roman" w:eastAsia="宋体" w:cs="Times New Roman"/>
          <w:kern w:val="2"/>
          <w:sz w:val="28"/>
          <w:szCs w:val="28"/>
          <w:lang w:val="en-US" w:eastAsia="zh-CN" w:bidi="ar-SA"/>
        </w:rPr>
        <w:t>8年政府性基金预算拨款支出0万元。</w:t>
      </w:r>
    </w:p>
    <w:p>
      <w:pPr>
        <w:spacing w:line="600" w:lineRule="exact"/>
        <w:ind w:firstLine="640"/>
        <w:rPr>
          <w:rFonts w:ascii="仿宋_GB2312" w:eastAsia="仿宋_GB2312"/>
          <w:color w:val="000000"/>
          <w:sz w:val="32"/>
          <w:szCs w:val="32"/>
        </w:rPr>
      </w:pPr>
    </w:p>
    <w:p>
      <w:pPr>
        <w:numPr>
          <w:ilvl w:val="0"/>
          <w:numId w:val="4"/>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2018年国有资本经营预算拨款支出0万元。</w:t>
      </w:r>
    </w:p>
    <w:p>
      <w:pPr>
        <w:pStyle w:val="23"/>
        <w:numPr>
          <w:ilvl w:val="0"/>
          <w:numId w:val="5"/>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6"/>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560" w:firstLineChars="200"/>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根据预算绩效管理要求，本部门按要求对2018年部门整体支出开展绩效自评，从评价情况来看全面完成了预算绩效执行，达到了预期效果。</w:t>
      </w:r>
    </w:p>
    <w:p>
      <w:pPr>
        <w:numPr>
          <w:ilvl w:val="0"/>
          <w:numId w:val="7"/>
        </w:numPr>
        <w:spacing w:line="580" w:lineRule="exact"/>
        <w:ind w:firstLine="643" w:firstLineChars="200"/>
        <w:rPr>
          <w:rFonts w:hint="default" w:ascii="Times New Roman" w:hAnsi="Times New Roman" w:eastAsia="宋体" w:cs="Times New Roman"/>
          <w:kern w:val="2"/>
          <w:sz w:val="28"/>
          <w:szCs w:val="28"/>
          <w:lang w:val="en-US" w:eastAsia="zh-CN" w:bidi="ar-SA"/>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Times New Roman" w:hAnsi="Times New Roman" w:eastAsia="宋体" w:cs="Times New Roman"/>
          <w:kern w:val="2"/>
          <w:sz w:val="28"/>
          <w:szCs w:val="28"/>
          <w:lang w:val="en-US" w:eastAsia="zh-CN" w:bidi="ar-SA"/>
        </w:rPr>
        <w:t>本部门在2018年度无项目执行情况。</w:t>
      </w:r>
    </w:p>
    <w:p>
      <w:pPr>
        <w:numPr>
          <w:ilvl w:val="0"/>
          <w:numId w:val="6"/>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本部门按要求对2018年部门整体支出绩效评价情况开展自评，《开江县</w:t>
      </w:r>
      <w:r>
        <w:rPr>
          <w:rFonts w:hint="eastAsia" w:cs="Times New Roman"/>
          <w:kern w:val="2"/>
          <w:sz w:val="28"/>
          <w:szCs w:val="28"/>
          <w:lang w:val="en-US" w:eastAsia="zh-CN" w:bidi="ar-SA"/>
        </w:rPr>
        <w:t>沙坝</w:t>
      </w:r>
      <w:r>
        <w:rPr>
          <w:rFonts w:hint="eastAsia" w:ascii="Times New Roman" w:hAnsi="Times New Roman" w:eastAsia="宋体" w:cs="Times New Roman"/>
          <w:kern w:val="2"/>
          <w:sz w:val="28"/>
          <w:szCs w:val="28"/>
          <w:lang w:val="en-US" w:eastAsia="zh-CN" w:bidi="ar-SA"/>
        </w:rPr>
        <w:t>初级中学2018年部门整体支出绩效评价报告》见附件。</w:t>
      </w:r>
    </w:p>
    <w:p>
      <w:pPr>
        <w:numPr>
          <w:ilvl w:val="0"/>
          <w:numId w:val="5"/>
        </w:numPr>
        <w:spacing w:line="580" w:lineRule="exact"/>
        <w:ind w:left="1429" w:leftChars="0" w:hanging="720" w:firstLineChars="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其他重要事项的情况说明</w:t>
      </w:r>
    </w:p>
    <w:p>
      <w:pPr>
        <w:numPr>
          <w:ilvl w:val="0"/>
          <w:numId w:val="8"/>
        </w:numPr>
        <w:spacing w:line="580" w:lineRule="exact"/>
        <w:ind w:left="709" w:leftChars="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、机关运行经费支出情况</w:t>
      </w:r>
    </w:p>
    <w:p>
      <w:pPr>
        <w:numPr>
          <w:ilvl w:val="0"/>
          <w:numId w:val="0"/>
        </w:numPr>
        <w:spacing w:line="580" w:lineRule="exact"/>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2018年本单位无此项支出。</w:t>
      </w:r>
    </w:p>
    <w:p>
      <w:pPr>
        <w:numPr>
          <w:ilvl w:val="0"/>
          <w:numId w:val="0"/>
        </w:numPr>
        <w:spacing w:line="580" w:lineRule="exact"/>
        <w:ind w:left="709" w:leftChars="0"/>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（二）、政府采购支出情况</w:t>
      </w:r>
    </w:p>
    <w:p>
      <w:pPr>
        <w:numPr>
          <w:ilvl w:val="0"/>
          <w:numId w:val="0"/>
        </w:numPr>
        <w:spacing w:line="580" w:lineRule="exact"/>
        <w:ind w:left="709" w:leftChars="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2018年本单位无此项支出。</w:t>
      </w:r>
    </w:p>
    <w:p>
      <w:pPr>
        <w:numPr>
          <w:ilvl w:val="0"/>
          <w:numId w:val="0"/>
        </w:numPr>
        <w:spacing w:line="580" w:lineRule="exact"/>
        <w:ind w:left="709" w:leftChars="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（三）、国有资产占有使用情况</w:t>
      </w:r>
    </w:p>
    <w:p>
      <w:pPr>
        <w:numPr>
          <w:ilvl w:val="0"/>
          <w:numId w:val="0"/>
        </w:numPr>
        <w:spacing w:line="580" w:lineRule="exact"/>
        <w:ind w:left="709" w:leftChars="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截止2018年12月31日，本单位无国有资产占有使用</w:t>
      </w:r>
    </w:p>
    <w:p>
      <w:pPr>
        <w:numPr>
          <w:ilvl w:val="0"/>
          <w:numId w:val="0"/>
        </w:numPr>
        <w:spacing w:line="580" w:lineRule="exact"/>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情况。</w:t>
      </w:r>
    </w:p>
    <w:p>
      <w:pPr>
        <w:numPr>
          <w:ilvl w:val="0"/>
          <w:numId w:val="9"/>
        </w:numPr>
        <w:spacing w:line="600" w:lineRule="exact"/>
        <w:ind w:firstLine="663" w:firstLineChars="150"/>
        <w:jc w:val="center"/>
        <w:outlineLvl w:val="0"/>
        <w:rPr>
          <w:rStyle w:val="24"/>
          <w:rFonts w:ascii="黑体" w:hAnsi="黑体" w:eastAsia="黑体"/>
          <w:b w:val="0"/>
        </w:rPr>
      </w:pPr>
      <w:bookmarkStart w:id="50" w:name="_Toc15396613"/>
      <w:bookmarkStart w:id="51"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0"/>
      <w:bookmarkEnd w:id="51"/>
    </w:p>
    <w:p>
      <w:pPr>
        <w:spacing w:line="600" w:lineRule="exact"/>
        <w:jc w:val="left"/>
        <w:rPr>
          <w:rFonts w:hint="default" w:ascii="Times New Roman" w:hAnsi="Times New Roman" w:eastAsia="宋体" w:cs="Times New Roman"/>
          <w:kern w:val="2"/>
          <w:sz w:val="28"/>
          <w:szCs w:val="28"/>
          <w:lang w:val="en-US" w:eastAsia="zh-CN" w:bidi="ar-SA"/>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2" w:name="_Toc15377226"/>
      <w:r>
        <w:rPr>
          <w:rFonts w:ascii="宋体"/>
          <w:b/>
          <w:color w:val="000000"/>
          <w:sz w:val="44"/>
          <w:szCs w:val="44"/>
        </w:rPr>
        <w:br w:type="page"/>
      </w:r>
      <w:r>
        <w:rPr>
          <w:rFonts w:hint="eastAsia" w:ascii="黑体" w:hAnsi="黑体" w:eastAsia="黑体"/>
          <w:color w:val="000000"/>
          <w:sz w:val="44"/>
          <w:szCs w:val="44"/>
        </w:rPr>
        <w:t>第</w:t>
      </w:r>
      <w:r>
        <w:rPr>
          <w:rStyle w:val="24"/>
          <w:rFonts w:hint="eastAsia" w:ascii="黑体" w:hAnsi="黑体" w:eastAsia="黑体"/>
          <w:b w:val="0"/>
        </w:rPr>
        <w:t>四部分 附件</w:t>
      </w:r>
    </w:p>
    <w:p>
      <w:pPr>
        <w:spacing w:line="600" w:lineRule="exact"/>
        <w:jc w:val="center"/>
        <w:outlineLvl w:val="0"/>
        <w:rPr>
          <w:rStyle w:val="24"/>
        </w:rPr>
      </w:pPr>
    </w:p>
    <w:p>
      <w:pPr>
        <w:pStyle w:val="3"/>
        <w:rPr>
          <w:rStyle w:val="24"/>
          <w:rFonts w:ascii="仿宋" w:hAnsi="仿宋" w:eastAsia="仿宋"/>
          <w:b w:val="0"/>
          <w:bCs w:val="0"/>
          <w:sz w:val="32"/>
          <w:szCs w:val="32"/>
        </w:rPr>
      </w:pPr>
      <w:bookmarkStart w:id="53" w:name="_Toc15396615"/>
      <w:r>
        <w:rPr>
          <w:rStyle w:val="24"/>
          <w:rFonts w:hint="eastAsia" w:ascii="仿宋" w:hAnsi="仿宋" w:eastAsia="仿宋"/>
          <w:b w:val="0"/>
          <w:bCs w:val="0"/>
          <w:sz w:val="32"/>
          <w:szCs w:val="32"/>
        </w:rPr>
        <w:t>附件1</w:t>
      </w:r>
      <w:bookmarkEnd w:id="53"/>
    </w:p>
    <w:p>
      <w:pPr>
        <w:spacing w:line="600" w:lineRule="exact"/>
        <w:jc w:val="center"/>
        <w:outlineLvl w:val="0"/>
        <w:rPr>
          <w:rFonts w:hint="eastAsia" w:ascii="黑体" w:hAnsi="黑体" w:eastAsia="黑体" w:cs="方正小标宋简体"/>
          <w:sz w:val="36"/>
          <w:szCs w:val="36"/>
          <w:lang w:eastAsia="zh-CN"/>
        </w:rPr>
      </w:pPr>
      <w:bookmarkStart w:id="54" w:name="_Toc15396616"/>
      <w:r>
        <w:rPr>
          <w:rFonts w:hint="eastAsia" w:ascii="黑体" w:hAnsi="黑体" w:eastAsia="黑体" w:cs="方正小标宋简体"/>
          <w:sz w:val="36"/>
          <w:szCs w:val="36"/>
        </w:rPr>
        <w:t>开江县</w:t>
      </w:r>
      <w:r>
        <w:rPr>
          <w:rFonts w:hint="eastAsia" w:ascii="黑体" w:hAnsi="黑体" w:eastAsia="黑体" w:cs="方正小标宋简体"/>
          <w:sz w:val="36"/>
          <w:szCs w:val="36"/>
          <w:lang w:eastAsia="zh-CN"/>
        </w:rPr>
        <w:t>宝石初级中学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部门2018年部门整体支出绩效评价报告</w:t>
      </w:r>
      <w:bookmarkEnd w:id="54"/>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一、部门（单位）概况</w:t>
      </w:r>
    </w:p>
    <w:p>
      <w:pPr>
        <w:ind w:firstLine="600" w:firstLineChars="200"/>
        <w:rPr>
          <w:rFonts w:hint="default" w:ascii="仿宋_GB2312" w:hAnsi="Calibri" w:eastAsia="仿宋_GB2312"/>
          <w:sz w:val="30"/>
          <w:szCs w:val="30"/>
        </w:rPr>
      </w:pPr>
      <w:r>
        <w:rPr>
          <w:rFonts w:hint="eastAsia" w:ascii="Calibri" w:hAnsi="Calibri" w:eastAsia="仿宋_GB2312"/>
          <w:sz w:val="30"/>
          <w:szCs w:val="30"/>
        </w:rPr>
        <w:t>达州市开江县</w:t>
      </w:r>
      <w:r>
        <w:rPr>
          <w:rFonts w:hint="eastAsia" w:ascii="Calibri" w:hAnsi="Calibri" w:eastAsia="仿宋_GB2312"/>
          <w:sz w:val="30"/>
          <w:szCs w:val="30"/>
          <w:lang w:eastAsia="zh-CN"/>
        </w:rPr>
        <w:t>宝石</w:t>
      </w:r>
      <w:r>
        <w:rPr>
          <w:rFonts w:hint="eastAsia" w:ascii="Calibri" w:hAnsi="Calibri" w:eastAsia="仿宋_GB2312"/>
          <w:sz w:val="30"/>
          <w:szCs w:val="30"/>
        </w:rPr>
        <w:t>初级中学</w:t>
      </w:r>
      <w:r>
        <w:rPr>
          <w:rFonts w:hint="eastAsia" w:ascii="仿宋_GB2312" w:hAnsi="Calibri" w:eastAsia="仿宋_GB2312"/>
          <w:sz w:val="30"/>
          <w:szCs w:val="30"/>
        </w:rPr>
        <w:t>是一所九年一贯制学校。其主要职责：努力搞好</w:t>
      </w:r>
      <w:r>
        <w:rPr>
          <w:rFonts w:hint="eastAsia" w:ascii="仿宋_GB2312" w:hAnsi="Calibri" w:eastAsia="仿宋_GB2312"/>
          <w:sz w:val="30"/>
          <w:szCs w:val="30"/>
          <w:lang w:eastAsia="zh-CN"/>
        </w:rPr>
        <w:t>宝石</w:t>
      </w:r>
      <w:r>
        <w:rPr>
          <w:rFonts w:hint="eastAsia" w:ascii="仿宋_GB2312" w:hAnsi="Calibri" w:eastAsia="仿宋_GB2312"/>
          <w:sz w:val="30"/>
          <w:szCs w:val="30"/>
        </w:rPr>
        <w:t>初级中学的教育教学教研工作，进一步提高教育教学质量，为开江县教育事业的发展贡献自己的力量。</w:t>
      </w:r>
      <w:r>
        <w:rPr>
          <w:rFonts w:hint="default" w:ascii="Calibri" w:hAnsi="Calibri" w:eastAsia="仿宋_GB2312"/>
          <w:sz w:val="30"/>
          <w:szCs w:val="30"/>
        </w:rPr>
        <w:t xml:space="preserve"> </w:t>
      </w:r>
    </w:p>
    <w:p>
      <w:pPr>
        <w:widowControl/>
        <w:spacing w:line="480" w:lineRule="auto"/>
        <w:ind w:firstLine="480"/>
        <w:rPr>
          <w:rFonts w:hint="default" w:ascii="宋体" w:hAnsi="宋体" w:cs="宋体"/>
          <w:color w:val="333333"/>
          <w:kern w:val="0"/>
          <w:sz w:val="28"/>
          <w:szCs w:val="28"/>
          <w:lang w:val="en-US"/>
        </w:rPr>
      </w:pPr>
      <w:r>
        <w:rPr>
          <w:rFonts w:hint="eastAsia" w:ascii="宋体" w:hAnsi="宋体" w:cs="宋体"/>
          <w:color w:val="333333"/>
          <w:kern w:val="0"/>
          <w:sz w:val="28"/>
          <w:szCs w:val="28"/>
          <w:lang w:val="en"/>
        </w:rPr>
        <w:t>我校是独立核算的财政全额拨款事业单位，执行事业单位会计制度，</w:t>
      </w:r>
      <w:r>
        <w:rPr>
          <w:rFonts w:hint="eastAsia" w:ascii="仿宋_GB2312" w:hAnsi="Calibri" w:eastAsia="仿宋_GB2312"/>
          <w:sz w:val="30"/>
          <w:szCs w:val="30"/>
        </w:rPr>
        <w:t>本单位编制人数</w:t>
      </w:r>
      <w:r>
        <w:rPr>
          <w:rFonts w:hint="eastAsia" w:ascii="仿宋_GB2312" w:hAnsi="Calibri" w:eastAsia="仿宋_GB2312"/>
          <w:sz w:val="30"/>
          <w:szCs w:val="30"/>
          <w:lang w:val="en-US" w:eastAsia="zh-CN"/>
        </w:rPr>
        <w:t>83</w:t>
      </w:r>
      <w:r>
        <w:rPr>
          <w:rFonts w:hint="eastAsia" w:ascii="仿宋_GB2312" w:hAnsi="Calibri" w:eastAsia="仿宋_GB2312"/>
          <w:sz w:val="30"/>
          <w:szCs w:val="30"/>
        </w:rPr>
        <w:t>人，其中事业行政编制0人，财政补助</w:t>
      </w:r>
      <w:r>
        <w:rPr>
          <w:rFonts w:hint="eastAsia" w:ascii="仿宋_GB2312" w:hAnsi="Calibri" w:eastAsia="仿宋_GB2312"/>
          <w:sz w:val="30"/>
          <w:szCs w:val="30"/>
          <w:lang w:val="en-US" w:eastAsia="zh-CN"/>
        </w:rPr>
        <w:t>72</w:t>
      </w:r>
      <w:r>
        <w:rPr>
          <w:rFonts w:hint="eastAsia" w:ascii="仿宋_GB2312" w:hAnsi="Calibri" w:eastAsia="仿宋_GB2312"/>
          <w:sz w:val="30"/>
          <w:szCs w:val="30"/>
        </w:rPr>
        <w:t>人；年末实有人数</w:t>
      </w:r>
      <w:r>
        <w:rPr>
          <w:rFonts w:hint="eastAsia" w:ascii="仿宋_GB2312" w:hAnsi="Calibri" w:eastAsia="仿宋_GB2312"/>
          <w:sz w:val="30"/>
          <w:szCs w:val="30"/>
          <w:lang w:val="en-US" w:eastAsia="zh-CN"/>
        </w:rPr>
        <w:t>72</w:t>
      </w:r>
      <w:r>
        <w:rPr>
          <w:rFonts w:hint="eastAsia" w:ascii="仿宋_GB2312" w:hAnsi="Calibri" w:eastAsia="仿宋_GB2312"/>
          <w:sz w:val="30"/>
          <w:szCs w:val="30"/>
        </w:rPr>
        <w:t>人，其中在职</w:t>
      </w:r>
      <w:r>
        <w:rPr>
          <w:rFonts w:hint="eastAsia" w:ascii="仿宋_GB2312" w:hAnsi="Calibri" w:eastAsia="仿宋_GB2312"/>
          <w:sz w:val="30"/>
          <w:szCs w:val="30"/>
          <w:lang w:val="en-US" w:eastAsia="zh-CN"/>
        </w:rPr>
        <w:t>72</w:t>
      </w:r>
      <w:r>
        <w:rPr>
          <w:rFonts w:hint="eastAsia" w:ascii="仿宋_GB2312" w:hAnsi="Calibri" w:eastAsia="仿宋_GB2312"/>
          <w:sz w:val="30"/>
          <w:szCs w:val="30"/>
        </w:rPr>
        <w:t>人</w:t>
      </w:r>
      <w:r>
        <w:rPr>
          <w:rFonts w:hint="eastAsia" w:ascii="仿宋_GB2312" w:hAnsi="Calibri" w:eastAsia="仿宋_GB2312"/>
          <w:sz w:val="30"/>
          <w:szCs w:val="30"/>
          <w:lang w:eastAsia="zh-CN"/>
        </w:rPr>
        <w:t>，遗属</w:t>
      </w:r>
      <w:r>
        <w:rPr>
          <w:rFonts w:hint="eastAsia" w:ascii="仿宋_GB2312" w:hAnsi="Calibri" w:eastAsia="仿宋_GB2312"/>
          <w:sz w:val="30"/>
          <w:szCs w:val="30"/>
          <w:lang w:val="en-US" w:eastAsia="zh-CN"/>
        </w:rPr>
        <w:t>16人。在校学生1459人。</w:t>
      </w:r>
    </w:p>
    <w:p>
      <w:pPr>
        <w:widowControl/>
        <w:spacing w:line="480" w:lineRule="auto"/>
        <w:ind w:firstLine="480"/>
        <w:rPr>
          <w:rFonts w:hint="eastAsia" w:ascii="宋体" w:hAnsi="宋体" w:cs="宋体"/>
          <w:color w:val="333333"/>
          <w:kern w:val="0"/>
          <w:sz w:val="28"/>
          <w:szCs w:val="28"/>
          <w:lang w:val="en"/>
        </w:rPr>
      </w:pPr>
      <w:r>
        <w:rPr>
          <w:rFonts w:hint="eastAsia" w:ascii="宋体" w:hAnsi="宋体" w:cs="宋体"/>
          <w:color w:val="333333"/>
          <w:kern w:val="0"/>
          <w:sz w:val="28"/>
          <w:szCs w:val="28"/>
          <w:lang w:val="en"/>
        </w:rPr>
        <w:t>单位内设机构：教务处、政教处、财务室、</w:t>
      </w:r>
      <w:r>
        <w:rPr>
          <w:rFonts w:hint="eastAsia" w:ascii="宋体" w:hAnsi="宋体" w:cs="宋体"/>
          <w:color w:val="333333"/>
          <w:kern w:val="0"/>
          <w:sz w:val="28"/>
          <w:szCs w:val="28"/>
          <w:lang w:val="en" w:eastAsia="zh-CN"/>
        </w:rPr>
        <w:t>体卫艺室</w:t>
      </w:r>
      <w:r>
        <w:rPr>
          <w:rFonts w:hint="eastAsia" w:ascii="宋体" w:hAnsi="宋体" w:cs="宋体"/>
          <w:color w:val="333333"/>
          <w:kern w:val="0"/>
          <w:sz w:val="28"/>
          <w:szCs w:val="28"/>
          <w:lang w:val="en"/>
        </w:rPr>
        <w:t>、工会等</w:t>
      </w:r>
      <w:r>
        <w:rPr>
          <w:rFonts w:hint="eastAsia" w:ascii="宋体" w:hAnsi="宋体" w:cs="宋体"/>
          <w:color w:val="333333"/>
          <w:kern w:val="0"/>
          <w:sz w:val="28"/>
          <w:szCs w:val="28"/>
          <w:lang w:val="en-US" w:eastAsia="zh-CN"/>
        </w:rPr>
        <w:t>8</w:t>
      </w:r>
      <w:r>
        <w:rPr>
          <w:rFonts w:hint="eastAsia" w:ascii="宋体" w:hAnsi="宋体" w:cs="宋体"/>
          <w:color w:val="333333"/>
          <w:kern w:val="0"/>
          <w:sz w:val="28"/>
          <w:szCs w:val="28"/>
          <w:lang w:val="en"/>
        </w:rPr>
        <w:t>个科室。</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hint="eastAsia" w:ascii="仿宋" w:hAnsi="仿宋" w:eastAsia="仿宋" w:cs="仿宋_GB2312"/>
          <w:sz w:val="32"/>
          <w:szCs w:val="32"/>
          <w:lang w:val="en"/>
        </w:rPr>
      </w:pPr>
      <w:r>
        <w:rPr>
          <w:rFonts w:hint="eastAsia" w:ascii="仿宋" w:hAnsi="仿宋" w:eastAsia="仿宋" w:cs="仿宋_GB2312"/>
          <w:sz w:val="32"/>
          <w:szCs w:val="32"/>
          <w:lang w:val="en"/>
        </w:rPr>
        <w:t>2018年度我校总收入：</w:t>
      </w:r>
      <w:r>
        <w:rPr>
          <w:rFonts w:hint="eastAsia" w:ascii="仿宋" w:hAnsi="仿宋" w:eastAsia="仿宋" w:cs="仿宋_GB2312"/>
          <w:sz w:val="32"/>
          <w:szCs w:val="32"/>
          <w:lang w:val="en-US" w:eastAsia="zh-CN"/>
        </w:rPr>
        <w:t>1205.21</w:t>
      </w:r>
      <w:r>
        <w:rPr>
          <w:rFonts w:hint="eastAsia" w:ascii="仿宋" w:hAnsi="仿宋" w:eastAsia="仿宋" w:cs="仿宋_GB2312"/>
          <w:sz w:val="32"/>
          <w:szCs w:val="32"/>
          <w:lang w:val="en"/>
        </w:rPr>
        <w:t>万元（财政补助收入</w:t>
      </w:r>
      <w:r>
        <w:rPr>
          <w:rFonts w:hint="eastAsia" w:ascii="仿宋" w:hAnsi="仿宋" w:eastAsia="仿宋" w:cs="仿宋_GB2312"/>
          <w:sz w:val="32"/>
          <w:szCs w:val="32"/>
          <w:lang w:val="en-US" w:eastAsia="zh-CN"/>
        </w:rPr>
        <w:t>1205.21</w:t>
      </w:r>
      <w:r>
        <w:rPr>
          <w:rFonts w:hint="eastAsia" w:ascii="仿宋" w:hAnsi="仿宋" w:eastAsia="仿宋" w:cs="仿宋_GB2312"/>
          <w:sz w:val="32"/>
          <w:szCs w:val="32"/>
          <w:lang w:val="en"/>
        </w:rPr>
        <w:t>万元），结转上年资金</w:t>
      </w:r>
      <w:r>
        <w:rPr>
          <w:rFonts w:hint="eastAsia" w:ascii="仿宋" w:hAnsi="仿宋" w:eastAsia="仿宋" w:cs="仿宋_GB2312"/>
          <w:sz w:val="32"/>
          <w:szCs w:val="32"/>
          <w:lang w:val="en-US" w:eastAsia="zh-CN"/>
        </w:rPr>
        <w:t>128.64</w:t>
      </w:r>
      <w:r>
        <w:rPr>
          <w:rFonts w:hint="eastAsia" w:ascii="仿宋" w:hAnsi="仿宋" w:eastAsia="仿宋" w:cs="仿宋_GB2312"/>
          <w:sz w:val="32"/>
          <w:szCs w:val="32"/>
          <w:lang w:val="en"/>
        </w:rPr>
        <w:t>万元，全年总支出</w:t>
      </w:r>
      <w:r>
        <w:rPr>
          <w:rFonts w:hint="eastAsia" w:ascii="仿宋" w:hAnsi="仿宋" w:eastAsia="仿宋" w:cs="仿宋_GB2312"/>
          <w:sz w:val="32"/>
          <w:szCs w:val="32"/>
          <w:lang w:val="en-US" w:eastAsia="zh-CN"/>
        </w:rPr>
        <w:t>1205.21</w:t>
      </w:r>
      <w:r>
        <w:rPr>
          <w:rFonts w:hint="eastAsia" w:ascii="仿宋" w:hAnsi="仿宋" w:eastAsia="仿宋" w:cs="仿宋_GB2312"/>
          <w:sz w:val="32"/>
          <w:szCs w:val="32"/>
          <w:lang w:val="en"/>
        </w:rPr>
        <w:t>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lang w:val="en"/>
        </w:rPr>
      </w:pPr>
      <w:r>
        <w:rPr>
          <w:rFonts w:hint="eastAsia" w:ascii="仿宋" w:hAnsi="仿宋" w:eastAsia="仿宋" w:cs="仿宋_GB2312"/>
          <w:sz w:val="32"/>
          <w:szCs w:val="32"/>
          <w:lang w:val="en"/>
        </w:rPr>
        <w:t>教育支出303.95万元，社会保障和就业支出（基本养老保险）40.23万元，医疗卫生支出（基本医疗保险）12.02万元，住房保障支出（住房公积金）21.68万元。其中基本支出369.87万元，项目支出8万元。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预算绩效管理要求，骑龙乡中心小学以“部门职责—工作活动”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通过绩效评价，我们认为，2018年度部门预算具有明确的用途和目标，制定了详细的执行计划，资金到位及时并严格按照财政有关规定使用。预算决策、管理、执行等日益规范，能较好地满足工作需要，取得了良好经济效益和社会效益</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1、学校的固定资产管理还有待加强，下年度将按照标准逐步完善。</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2、更加科学合理的编制预算。本年度预算完成率分值被扣4分，下一会计年度努力学习预算制度，更加合理地编制预算，使预算、决算差异更小。</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3、部分绩效指标及目标值有待进一步细化和量化。</w:t>
      </w:r>
      <w:r>
        <w:rPr>
          <w:rFonts w:ascii="仿宋_GB2312" w:hAnsi="仿宋_GB2312" w:eastAsia="仿宋_GB2312" w:cs="仿宋_GB2312"/>
          <w:sz w:val="32"/>
          <w:szCs w:val="32"/>
          <w:lang w:val="en"/>
        </w:rPr>
        <w:t>  </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4、部门整体预算执行率未达到</w:t>
      </w:r>
      <w:r>
        <w:rPr>
          <w:rFonts w:ascii="仿宋_GB2312" w:hAnsi="仿宋_GB2312" w:eastAsia="仿宋_GB2312" w:cs="仿宋_GB2312"/>
          <w:sz w:val="32"/>
          <w:szCs w:val="32"/>
          <w:lang w:val="en"/>
        </w:rPr>
        <w:t>95%</w:t>
      </w:r>
      <w:r>
        <w:rPr>
          <w:rFonts w:hint="eastAsia" w:ascii="仿宋_GB2312" w:hAnsi="仿宋_GB2312" w:eastAsia="仿宋_GB2312" w:cs="仿宋_GB2312"/>
          <w:sz w:val="32"/>
          <w:szCs w:val="32"/>
          <w:lang w:val="en"/>
        </w:rPr>
        <w:t>，预算执行有待提升。</w:t>
      </w:r>
      <w:r>
        <w:rPr>
          <w:rFonts w:ascii="仿宋_GB2312" w:hAnsi="仿宋_GB2312" w:eastAsia="仿宋_GB2312" w:cs="仿宋_GB2312"/>
          <w:sz w:val="32"/>
          <w:szCs w:val="32"/>
          <w:lang w:val="en"/>
        </w:rPr>
        <w:t> </w:t>
      </w:r>
    </w:p>
    <w:p>
      <w:pPr>
        <w:spacing w:line="58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5、尚未针对绩效考评制定比较明确的实施细则，有待进</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r>
        <w:rPr>
          <w:rFonts w:hint="eastAsia" w:ascii="仿宋" w:hAnsi="仿宋" w:eastAsia="仿宋"/>
          <w:b w:val="0"/>
          <w:color w:val="000000"/>
        </w:rPr>
        <w:t>一、收</w:t>
      </w:r>
      <w:r>
        <w:rPr>
          <w:rStyle w:val="25"/>
          <w:rFonts w:hint="eastAsia" w:ascii="仿宋" w:hAnsi="仿宋" w:eastAsia="仿宋"/>
          <w:b w:val="0"/>
          <w:bCs w:val="0"/>
        </w:rPr>
        <w:t>入支出决算总表</w:t>
      </w:r>
    </w:p>
    <w:p>
      <w:pPr>
        <w:pStyle w:val="3"/>
        <w:rPr>
          <w:rFonts w:ascii="仿宋" w:hAnsi="仿宋" w:eastAsia="仿宋"/>
          <w:color w:val="000000"/>
        </w:rPr>
      </w:pPr>
      <w:r>
        <w:rPr>
          <w:rFonts w:hint="eastAsia" w:ascii="仿宋" w:hAnsi="仿宋" w:eastAsia="仿宋"/>
          <w:b w:val="0"/>
          <w:color w:val="000000"/>
        </w:rPr>
        <w:t>二、收</w:t>
      </w:r>
      <w:r>
        <w:rPr>
          <w:rStyle w:val="25"/>
          <w:rFonts w:hint="eastAsia" w:ascii="仿宋" w:hAnsi="仿宋" w:eastAsia="仿宋"/>
          <w:b w:val="0"/>
          <w:bCs w:val="0"/>
        </w:rPr>
        <w:t>入总表</w:t>
      </w:r>
    </w:p>
    <w:p>
      <w:pPr>
        <w:pStyle w:val="3"/>
        <w:rPr>
          <w:rFonts w:ascii="仿宋" w:hAnsi="仿宋" w:eastAsia="仿宋"/>
          <w:color w:val="000000"/>
        </w:rPr>
      </w:pPr>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p>
    <w:p>
      <w:pPr>
        <w:pStyle w:val="3"/>
        <w:rPr>
          <w:rFonts w:ascii="仿宋" w:hAnsi="仿宋" w:eastAsia="仿宋"/>
          <w:b w:val="0"/>
          <w:color w:val="000000"/>
        </w:rPr>
      </w:pPr>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p>
    <w:p>
      <w:pPr>
        <w:pStyle w:val="3"/>
        <w:rPr>
          <w:rFonts w:ascii="仿宋" w:hAnsi="仿宋" w:eastAsia="仿宋"/>
          <w:color w:val="000000"/>
        </w:rPr>
      </w:pPr>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p>
    <w:p>
      <w:pPr>
        <w:pStyle w:val="3"/>
        <w:rPr>
          <w:rFonts w:ascii="仿宋" w:hAnsi="仿宋" w:eastAsia="仿宋"/>
          <w:color w:val="000000"/>
        </w:rPr>
      </w:pPr>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p>
    <w:p>
      <w:pPr>
        <w:pStyle w:val="3"/>
        <w:rPr>
          <w:rFonts w:ascii="仿宋" w:hAnsi="仿宋" w:eastAsia="仿宋"/>
          <w:color w:val="000000"/>
        </w:rPr>
      </w:pPr>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p>
    <w:p>
      <w:pPr>
        <w:pStyle w:val="3"/>
        <w:rPr>
          <w:rFonts w:ascii="仿宋" w:hAnsi="仿宋" w:eastAsia="仿宋"/>
          <w:color w:val="000000"/>
        </w:rPr>
      </w:pPr>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p>
    <w:p>
      <w:pPr>
        <w:pStyle w:val="3"/>
        <w:rPr>
          <w:rFonts w:ascii="仿宋" w:hAnsi="仿宋" w:eastAsia="仿宋"/>
          <w:color w:val="000000"/>
        </w:rPr>
      </w:pPr>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p>
    <w:p>
      <w:pPr>
        <w:pStyle w:val="3"/>
        <w:rPr>
          <w:rFonts w:ascii="仿宋" w:hAnsi="仿宋" w:eastAsia="仿宋"/>
          <w:color w:val="000000"/>
        </w:rPr>
      </w:pPr>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p>
    <w:p>
      <w:pPr>
        <w:pStyle w:val="3"/>
        <w:rPr>
          <w:rFonts w:ascii="仿宋" w:hAnsi="仿宋" w:eastAsia="仿宋"/>
          <w:color w:val="000000"/>
        </w:rPr>
      </w:pPr>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p>
    <w:p>
      <w:pPr>
        <w:pStyle w:val="3"/>
        <w:rPr>
          <w:rFonts w:ascii="仿宋" w:hAnsi="仿宋" w:eastAsia="仿宋"/>
          <w:color w:val="000000" w:themeColor="text1"/>
          <w14:textFill>
            <w14:solidFill>
              <w14:schemeClr w14:val="tx1"/>
            </w14:solidFill>
          </w14:textFill>
        </w:rPr>
      </w:pPr>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p>
    <w:bookmarkEnd w:id="52"/>
    <w:p>
      <w:pPr>
        <w:spacing w:line="580" w:lineRule="exact"/>
        <w:ind w:firstLine="640" w:firstLineChars="200"/>
        <w:rPr>
          <w:rStyle w:val="24"/>
          <w:rFonts w:ascii="仿宋" w:hAnsi="仿宋" w:eastAsia="仿宋" w:cs="仿宋_GB2312"/>
          <w:b w:val="0"/>
          <w:bCs w:val="0"/>
          <w:kern w:val="2"/>
          <w:sz w:val="32"/>
          <w:szCs w:val="32"/>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8656D6"/>
    <w:multiLevelType w:val="singleLevel"/>
    <w:tmpl w:val="AB8656D6"/>
    <w:lvl w:ilvl="0" w:tentative="0">
      <w:start w:val="1"/>
      <w:numFmt w:val="decimal"/>
      <w:lvlText w:val="%1."/>
      <w:lvlJc w:val="left"/>
      <w:pPr>
        <w:tabs>
          <w:tab w:val="left" w:pos="312"/>
        </w:tabs>
      </w:pPr>
    </w:lvl>
  </w:abstractNum>
  <w:abstractNum w:abstractNumId="1">
    <w:nsid w:val="B026C66B"/>
    <w:multiLevelType w:val="singleLevel"/>
    <w:tmpl w:val="B026C66B"/>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6883F3F"/>
    <w:multiLevelType w:val="singleLevel"/>
    <w:tmpl w:val="16883F3F"/>
    <w:lvl w:ilvl="0" w:tentative="0">
      <w:start w:val="1"/>
      <w:numFmt w:val="chineseCounting"/>
      <w:suff w:val="nothing"/>
      <w:lvlText w:val="（%1）"/>
      <w:lvlJc w:val="left"/>
      <w:rPr>
        <w:rFonts w:hint="eastAsia"/>
      </w:rPr>
    </w:lvl>
  </w:abstractNum>
  <w:abstractNum w:abstractNumId="7">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8">
    <w:nsid w:val="51F05FED"/>
    <w:multiLevelType w:val="singleLevel"/>
    <w:tmpl w:val="51F05FED"/>
    <w:lvl w:ilvl="0" w:tentative="0">
      <w:start w:val="2"/>
      <w:numFmt w:val="chineseCounting"/>
      <w:suff w:val="nothing"/>
      <w:lvlText w:val="%1、"/>
      <w:lvlJc w:val="left"/>
      <w:rPr>
        <w:rFonts w:hint="eastAsia"/>
      </w:rPr>
    </w:lvl>
  </w:abstractNum>
  <w:num w:numId="1">
    <w:abstractNumId w:val="8"/>
  </w:num>
  <w:num w:numId="2">
    <w:abstractNumId w:val="5"/>
  </w:num>
  <w:num w:numId="3">
    <w:abstractNumId w:val="0"/>
  </w:num>
  <w:num w:numId="4">
    <w:abstractNumId w:val="2"/>
  </w:num>
  <w:num w:numId="5">
    <w:abstractNumId w:val="7"/>
  </w:num>
  <w:num w:numId="6">
    <w:abstractNumId w:val="4"/>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10C055FF"/>
    <w:rsid w:val="12AA62DE"/>
    <w:rsid w:val="16BB723D"/>
    <w:rsid w:val="19691DF6"/>
    <w:rsid w:val="1AE4470E"/>
    <w:rsid w:val="1C050F8F"/>
    <w:rsid w:val="1CE46AF2"/>
    <w:rsid w:val="21387DD8"/>
    <w:rsid w:val="240371BF"/>
    <w:rsid w:val="276C35A2"/>
    <w:rsid w:val="29FD04D3"/>
    <w:rsid w:val="2A0E002C"/>
    <w:rsid w:val="2D1A72A7"/>
    <w:rsid w:val="319F7F4E"/>
    <w:rsid w:val="35117DB3"/>
    <w:rsid w:val="3D736791"/>
    <w:rsid w:val="47C07D96"/>
    <w:rsid w:val="5426691D"/>
    <w:rsid w:val="56643481"/>
    <w:rsid w:val="67AF30A0"/>
    <w:rsid w:val="7C0815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5" Type="http://schemas.microsoft.com/office/2011/relationships/chartColorStyle" Target="colors7.xml"/><Relationship Id="rId4" Type="http://schemas.microsoft.com/office/2011/relationships/chartStyle" Target="style7.xml"/><Relationship Id="rId3" Type="http://schemas.openxmlformats.org/officeDocument/2006/relationships/image" Target="../media/image1.png"/><Relationship Id="rId2" Type="http://schemas.openxmlformats.org/officeDocument/2006/relationships/themeOverride" Target="../theme/themeOverride4.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2.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3.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5" Type="http://schemas.microsoft.com/office/2011/relationships/chartColorStyle" Target="colors1.xml"/><Relationship Id="rId4" Type="http://schemas.microsoft.com/office/2011/relationships/chartStyle" Target="style1.xml"/><Relationship Id="rId3" Type="http://schemas.openxmlformats.org/officeDocument/2006/relationships/image" Target="../media/image1.png"/><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r>
              <a:rPr b="1">
                <a:solidFill>
                  <a:srgbClr val="FF0000"/>
                </a:solidFill>
              </a:rPr>
              <a:t>收入支出总计变动情况图</a:t>
            </a:r>
            <a:endParaRPr b="1">
              <a:solidFill>
                <a:srgbClr val="FF0000"/>
              </a:solidFill>
            </a:endParaRPr>
          </a:p>
        </c:rich>
      </c:tx>
      <c:layout>
        <c:manualLayout>
          <c:xMode val="edge"/>
          <c:yMode val="edge"/>
          <c:x val="0.327029370326217"/>
          <c:y val="0.0211831162717715"/>
        </c:manualLayout>
      </c:layout>
      <c:overlay val="0"/>
      <c:spPr>
        <a:noFill/>
        <a:ln>
          <a:noFill/>
        </a:ln>
        <a:effectLst/>
      </c:spPr>
    </c:title>
    <c:autoTitleDeleted val="0"/>
    <c:plotArea>
      <c:layout>
        <c:manualLayout>
          <c:layoutTarget val="inner"/>
          <c:xMode val="edge"/>
          <c:yMode val="edge"/>
          <c:x val="0.0705104584371952"/>
          <c:y val="0.087870704534756"/>
          <c:w val="0.904020808496803"/>
          <c:h val="0.725466813117841"/>
        </c:manualLayout>
      </c:layout>
      <c:barChart>
        <c:barDir val="col"/>
        <c:grouping val="clustered"/>
        <c:varyColors val="0"/>
        <c:ser>
          <c:idx val="0"/>
          <c:order val="0"/>
          <c:tx>
            <c:strRef>
              <c:f>Sheet1!$B$1</c:f>
              <c:strCache>
                <c:ptCount val="1"/>
                <c:pt idx="0">
                  <c:v>万元</c:v>
                </c:pt>
              </c:strCache>
            </c:strRef>
          </c:tx>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rgbClr val="FF0000"/>
                    </a:solidFill>
                    <a:latin typeface="Arial" panose="020B0604020202020204" pitchFamily="7" charset="0"/>
                    <a:ea typeface="+mn-ea"/>
                    <a:cs typeface="Arial" panose="020B0604020202020204" pitchFamily="7"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2017年收入</c:v>
                </c:pt>
                <c:pt idx="1">
                  <c:v>2018年收入</c:v>
                </c:pt>
                <c:pt idx="2">
                  <c:v>2017年支出</c:v>
                </c:pt>
                <c:pt idx="3">
                  <c:v>2018年支出</c:v>
                </c:pt>
              </c:strCache>
            </c:strRef>
          </c:cat>
          <c:val>
            <c:numRef>
              <c:f>Sheet1!$B$2:$B$5</c:f>
              <c:numCache>
                <c:formatCode>General</c:formatCode>
                <c:ptCount val="4"/>
                <c:pt idx="0">
                  <c:v>282.53</c:v>
                </c:pt>
                <c:pt idx="1" c:formatCode="#,##0.00">
                  <c:v>302.16</c:v>
                </c:pt>
                <c:pt idx="2">
                  <c:v>219.03</c:v>
                </c:pt>
                <c:pt idx="3">
                  <c:v>290.67</c:v>
                </c:pt>
              </c:numCache>
            </c:numRef>
          </c:val>
        </c:ser>
        <c:ser>
          <c:idx val="1"/>
          <c:order val="1"/>
          <c:tx>
            <c:strRef>
              <c:f>Sheet1!#REF!</c:f>
              <c:strCache>
                <c:ptCount val="1"/>
                <c:pt idx="0">
                  <c:v/>
                </c:pt>
              </c:strCache>
            </c:strRef>
          </c:tx>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2017年收入</c:v>
                </c:pt>
                <c:pt idx="1">
                  <c:v>2018年收入</c:v>
                </c:pt>
                <c:pt idx="2">
                  <c:v>2017年支出</c:v>
                </c:pt>
                <c:pt idx="3">
                  <c:v>2018年支出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2017年收入</c:v>
                </c:pt>
                <c:pt idx="1">
                  <c:v>2018年收入</c:v>
                </c:pt>
                <c:pt idx="2">
                  <c:v>2017年支出</c:v>
                </c:pt>
                <c:pt idx="3">
                  <c:v>2018年支出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10"/>
        <c:axId val="435323263"/>
        <c:axId val="971981176"/>
      </c:barChart>
      <c:catAx>
        <c:axId val="435323263"/>
        <c:scaling>
          <c:orientation val="minMax"/>
        </c:scaling>
        <c:delete val="0"/>
        <c:axPos val="b"/>
        <c:numFmt formatCode="General" sourceLinked="1"/>
        <c:majorTickMark val="none"/>
        <c:minorTickMark val="none"/>
        <c:tickLblPos val="nextTo"/>
        <c:spPr>
          <a:noFill/>
          <a:ln w="9525" cap="flat" cmpd="sng" algn="ctr">
            <a:solidFill>
              <a:schemeClr val="bg1">
                <a:lumMod val="9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crossAx val="971981176"/>
        <c:crosses val="autoZero"/>
        <c:auto val="1"/>
        <c:lblAlgn val="ctr"/>
        <c:lblOffset val="100"/>
        <c:noMultiLvlLbl val="0"/>
      </c:catAx>
      <c:valAx>
        <c:axId val="971981176"/>
        <c:scaling>
          <c:orientation val="minMax"/>
        </c:scaling>
        <c:delete val="0"/>
        <c:axPos val="l"/>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Arial" panose="020B0604020202020204" pitchFamily="7" charset="0"/>
                <a:ea typeface="+mn-ea"/>
                <a:cs typeface="Arial" panose="020B0604020202020204" pitchFamily="7" charset="0"/>
              </a:defRPr>
            </a:pPr>
          </a:p>
        </c:txPr>
        <c:crossAx val="435323263"/>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normalizeH="0" baseline="0">
                <a:solidFill>
                  <a:schemeClr val="dk1">
                    <a:lumMod val="50000"/>
                    <a:lumOff val="50000"/>
                  </a:schemeClr>
                </a:solidFill>
                <a:latin typeface="+mj-lt"/>
                <a:ea typeface="+mj-ea"/>
                <a:cs typeface="+mj-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万元</c:v>
                </c:pt>
              </c:strCache>
            </c:strRef>
          </c:tx>
          <c:spPr/>
          <c:explosion val="0"/>
          <c:dPt>
            <c:idx val="0"/>
            <c:bubble3D val="0"/>
            <c:spPr>
              <a:gradFill>
                <a:gsLst>
                  <a:gs pos="100000">
                    <a:schemeClr val="accent3">
                      <a:tint val="53333"/>
                      <a:lumMod val="60000"/>
                      <a:lumOff val="40000"/>
                    </a:schemeClr>
                  </a:gs>
                  <a:gs pos="0">
                    <a:schemeClr val="accent3">
                      <a:tint val="53333"/>
                    </a:schemeClr>
                  </a:gs>
                </a:gsLst>
                <a:lin ang="5400000" scaled="0"/>
              </a:gradFill>
              <a:ln w="19050">
                <a:solidFill>
                  <a:schemeClr val="lt1"/>
                </a:solidFill>
              </a:ln>
              <a:effectLst/>
            </c:spPr>
          </c:dPt>
          <c:dPt>
            <c:idx val="1"/>
            <c:bubble3D val="0"/>
            <c:spPr>
              <a:gradFill>
                <a:gsLst>
                  <a:gs pos="100000">
                    <a:schemeClr val="accent3">
                      <a:tint val="76667"/>
                      <a:lumMod val="60000"/>
                      <a:lumOff val="40000"/>
                    </a:schemeClr>
                  </a:gs>
                  <a:gs pos="0">
                    <a:schemeClr val="accent3">
                      <a:tint val="76667"/>
                    </a:schemeClr>
                  </a:gs>
                </a:gsLst>
                <a:lin ang="5400000" scaled="0"/>
              </a:gra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288.67</c:v>
                </c:pt>
                <c:pt idx="1">
                  <c:v>2</c:v>
                </c:pt>
              </c:numCache>
            </c:numRef>
          </c:val>
        </c:ser>
        <c:ser>
          <c:idx val="1"/>
          <c:order val="1"/>
          <c:tx>
            <c:strRef>
              <c:f>Sheet1!#REF!</c:f>
              <c:strCache>
                <c:ptCount val="1"/>
                <c:pt idx="0">
                  <c:v/>
                </c:pt>
              </c:strCache>
            </c:strRef>
          </c:tx>
          <c:spPr/>
          <c:explosion val="0"/>
          <c:dPt>
            <c:idx val="0"/>
            <c:bubble3D val="0"/>
            <c:spPr>
              <a:gradFill>
                <a:gsLst>
                  <a:gs pos="100000">
                    <a:schemeClr val="accent3">
                      <a:tint val="58000"/>
                      <a:lumMod val="60000"/>
                      <a:lumOff val="40000"/>
                    </a:schemeClr>
                  </a:gs>
                  <a:gs pos="0">
                    <a:schemeClr val="accent3">
                      <a:tint val="58000"/>
                    </a:schemeClr>
                  </a:gs>
                </a:gsLst>
                <a:lin ang="5400000" scaled="0"/>
              </a:gra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c:explosion val="0"/>
          <c:dPt>
            <c:idx val="0"/>
            <c:bubble3D val="0"/>
            <c:spPr>
              <a:gradFill>
                <a:gsLst>
                  <a:gs pos="100000">
                    <a:schemeClr val="accent3">
                      <a:tint val="58000"/>
                      <a:lumMod val="60000"/>
                      <a:lumOff val="40000"/>
                    </a:schemeClr>
                  </a:gs>
                  <a:gs pos="0">
                    <a:schemeClr val="accent3">
                      <a:tint val="58000"/>
                    </a:schemeClr>
                  </a:gs>
                </a:gsLst>
                <a:lin ang="5400000" scaled="0"/>
              </a:gra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852625"/>
          <c:y val="0.4355"/>
          <c:w val="0.132375"/>
          <c:h val="0.194333333333333"/>
        </c:manualLayout>
      </c:layout>
      <c:overlay val="0"/>
      <c:spPr>
        <a:solidFill>
          <a:schemeClr val="lt1">
            <a:alpha val="50000"/>
          </a:schemeClr>
        </a:solidFill>
        <a:ln>
          <a:noFill/>
        </a:ln>
        <a:effectLst/>
      </c:spPr>
      <c:txPr>
        <a:bodyPr rot="0" spcFirstLastPara="0" vertOverflow="ellipsis" vert="horz" wrap="square" anchor="ctr" anchorCtr="1" forceAA="0"/>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normalizeH="0" baseline="0">
                <a:solidFill>
                  <a:schemeClr val="dk1">
                    <a:lumMod val="50000"/>
                    <a:lumOff val="50000"/>
                  </a:schemeClr>
                </a:solidFill>
                <a:latin typeface="+mj-lt"/>
                <a:ea typeface="+mj-ea"/>
                <a:cs typeface="+mj-cs"/>
              </a:defRPr>
            </a:pPr>
            <a:r>
              <a:t>收入决算结构图</a:t>
            </a:r>
          </a:p>
        </c:rich>
      </c:tx>
      <c:layout>
        <c:manualLayout>
          <c:xMode val="edge"/>
          <c:yMode val="edge"/>
          <c:x val="0.350875"/>
          <c:y val="0.04"/>
        </c:manualLayout>
      </c:layout>
      <c:overlay val="0"/>
      <c:spPr>
        <a:noFill/>
        <a:ln>
          <a:noFill/>
        </a:ln>
        <a:effectLst/>
      </c:spPr>
    </c:title>
    <c:autoTitleDeleted val="0"/>
    <c:plotArea>
      <c:layout/>
      <c:pieChart>
        <c:varyColors val="1"/>
        <c:ser>
          <c:idx val="0"/>
          <c:order val="0"/>
          <c:tx>
            <c:strRef>
              <c:f>Sheet1!$B$1</c:f>
              <c:strCache>
                <c:ptCount val="1"/>
                <c:pt idx="0">
                  <c:v>万元</c:v>
                </c:pt>
              </c:strCache>
            </c:strRef>
          </c:tx>
          <c:spPr/>
          <c:explosion val="0"/>
          <c:dPt>
            <c:idx val="0"/>
            <c:bubble3D val="0"/>
            <c:spPr>
              <a:gradFill>
                <a:gsLst>
                  <a:gs pos="100000">
                    <a:schemeClr val="accent3">
                      <a:tint val="53333"/>
                      <a:lumMod val="60000"/>
                      <a:lumOff val="40000"/>
                    </a:schemeClr>
                  </a:gs>
                  <a:gs pos="0">
                    <a:schemeClr val="accent3">
                      <a:tint val="53333"/>
                    </a:schemeClr>
                  </a:gs>
                </a:gsLst>
                <a:lin ang="5400000" scaled="0"/>
              </a:gradFill>
              <a:ln w="19050">
                <a:solidFill>
                  <a:schemeClr val="lt1"/>
                </a:solidFill>
              </a:ln>
              <a:effectLst/>
            </c:spPr>
          </c:dPt>
          <c:dPt>
            <c:idx val="1"/>
            <c:bubble3D val="0"/>
            <c:spPr>
              <a:gradFill>
                <a:gsLst>
                  <a:gs pos="100000">
                    <a:schemeClr val="accent3">
                      <a:tint val="76667"/>
                      <a:lumMod val="60000"/>
                      <a:lumOff val="40000"/>
                    </a:schemeClr>
                  </a:gs>
                  <a:gs pos="0">
                    <a:schemeClr val="accent3">
                      <a:tint val="76667"/>
                    </a:schemeClr>
                  </a:gs>
                </a:gsLst>
                <a:lin ang="5400000" scaled="0"/>
              </a:gradFill>
              <a:ln w="19050">
                <a:solidFill>
                  <a:schemeClr val="lt1"/>
                </a:solidFill>
              </a:ln>
              <a:effectLst/>
            </c:spPr>
          </c:dPt>
          <c:dPt>
            <c:idx val="2"/>
            <c:bubble3D val="0"/>
            <c:spPr>
              <a:gradFill>
                <a:gsLst>
                  <a:gs pos="100000">
                    <a:schemeClr val="accent3">
                      <a:shade val="86000"/>
                      <a:lumMod val="60000"/>
                      <a:lumOff val="40000"/>
                    </a:schemeClr>
                  </a:gs>
                  <a:gs pos="0">
                    <a:schemeClr val="accent3">
                      <a:shade val="86000"/>
                    </a:schemeClr>
                  </a:gs>
                </a:gsLst>
                <a:lin ang="5400000" scaled="0"/>
              </a:gradFill>
              <a:ln w="19050">
                <a:solidFill>
                  <a:schemeClr val="lt1"/>
                </a:solidFill>
              </a:ln>
              <a:effectLst/>
            </c:spPr>
          </c:dPt>
          <c:dPt>
            <c:idx val="3"/>
            <c:bubble3D val="0"/>
            <c:spPr>
              <a:gradFill>
                <a:gsLst>
                  <a:gs pos="100000">
                    <a:schemeClr val="accent3">
                      <a:shade val="76667"/>
                      <a:lumMod val="60000"/>
                      <a:lumOff val="40000"/>
                    </a:schemeClr>
                  </a:gs>
                  <a:gs pos="0">
                    <a:schemeClr val="accent3">
                      <a:shade val="76667"/>
                    </a:schemeClr>
                  </a:gs>
                </a:gsLst>
                <a:lin ang="5400000" scaled="0"/>
              </a:gradFill>
              <a:ln w="19050">
                <a:solidFill>
                  <a:schemeClr val="lt1"/>
                </a:solidFill>
              </a:ln>
              <a:effectLst/>
            </c:spPr>
          </c:dPt>
          <c:dLbls>
            <c:delete val="1"/>
          </c:dLbls>
          <c:cat>
            <c:strRef>
              <c:f>Sheet1!$A$2:$A$5</c:f>
              <c:strCache>
                <c:ptCount val="4"/>
                <c:pt idx="0">
                  <c:v>一般公共财政预算拨款收入</c:v>
                </c:pt>
              </c:strCache>
            </c:strRef>
          </c:cat>
          <c:val>
            <c:numRef>
              <c:f>Sheet1!$B$2:$B$5</c:f>
              <c:numCache>
                <c:formatCode>General</c:formatCode>
                <c:ptCount val="4"/>
                <c:pt idx="0">
                  <c:v>302.16</c:v>
                </c:pt>
              </c:numCache>
            </c:numRef>
          </c:val>
        </c:ser>
        <c:ser>
          <c:idx val="1"/>
          <c:order val="1"/>
          <c:tx>
            <c:strRef>
              <c:f>Sheet1!#REF!</c:f>
              <c:strCache>
                <c:ptCount val="1"/>
                <c:pt idx="0">
                  <c:v/>
                </c:pt>
              </c:strCache>
            </c:strRef>
          </c:tx>
          <c:spPr/>
          <c:explosion val="0"/>
          <c:dPt>
            <c:idx val="0"/>
            <c:bubble3D val="0"/>
            <c:spPr>
              <a:gradFill>
                <a:gsLst>
                  <a:gs pos="100000">
                    <a:schemeClr val="accent3">
                      <a:lumMod val="60000"/>
                      <a:lumOff val="40000"/>
                    </a:schemeClr>
                  </a:gs>
                  <a:gs pos="0">
                    <a:schemeClr val="accent3"/>
                  </a:gs>
                </a:gsLst>
                <a:lin ang="5400000" scaled="0"/>
              </a:gra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一般公共财政预算拨款收入</c:v>
                </c:pt>
              </c:strCache>
            </c:strRef>
          </c:cat>
          <c:val>
            <c:numRef>
              <c:f>Sheet1!#REF!</c:f>
              <c:numCache>
                <c:formatCode>General</c:formatCode>
                <c:ptCount val="1"/>
                <c:pt idx="0">
                  <c:v>1</c:v>
                </c:pt>
              </c:numCache>
            </c:numRef>
          </c:val>
        </c:ser>
        <c:ser>
          <c:idx val="2"/>
          <c:order val="2"/>
          <c:tx>
            <c:strRef>
              <c:f>Sheet1!#REF!</c:f>
              <c:strCache>
                <c:ptCount val="1"/>
                <c:pt idx="0">
                  <c:v/>
                </c:pt>
              </c:strCache>
            </c:strRef>
          </c:tx>
          <c:spPr/>
          <c:explosion val="0"/>
          <c:dPt>
            <c:idx val="0"/>
            <c:bubble3D val="0"/>
            <c:spPr>
              <a:gradFill>
                <a:gsLst>
                  <a:gs pos="100000">
                    <a:schemeClr val="accent3">
                      <a:lumMod val="60000"/>
                      <a:lumOff val="40000"/>
                    </a:schemeClr>
                  </a:gs>
                  <a:gs pos="0">
                    <a:schemeClr val="accent3"/>
                  </a:gs>
                </a:gsLst>
                <a:lin ang="5400000" scaled="0"/>
              </a:gra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一般公共财政预算拨款收入</c:v>
                </c:pt>
              </c:strCache>
            </c:strRef>
          </c:cat>
          <c:val>
            <c:numRef>
              <c:f>Sheet1!#REF!</c:f>
              <c:numCache>
                <c:formatCode>General</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0" vertOverflow="ellipsis" vert="horz" wrap="square" anchor="ctr" anchorCtr="1" forceAA="0"/>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r>
              <a:rPr b="1">
                <a:solidFill>
                  <a:srgbClr val="FF0000"/>
                </a:solidFill>
              </a:rPr>
              <a:t>收入支出总计变动情况图</a:t>
            </a:r>
            <a:endParaRPr b="1">
              <a:solidFill>
                <a:srgbClr val="FF0000"/>
              </a:solidFill>
            </a:endParaRPr>
          </a:p>
        </c:rich>
      </c:tx>
      <c:layout>
        <c:manualLayout>
          <c:xMode val="edge"/>
          <c:yMode val="edge"/>
          <c:x val="0.327029370326217"/>
          <c:y val="0.0211831162717715"/>
        </c:manualLayout>
      </c:layout>
      <c:overlay val="0"/>
      <c:spPr>
        <a:noFill/>
        <a:ln>
          <a:noFill/>
        </a:ln>
        <a:effectLst/>
      </c:spPr>
    </c:title>
    <c:autoTitleDeleted val="0"/>
    <c:plotArea>
      <c:layout>
        <c:manualLayout>
          <c:layoutTarget val="inner"/>
          <c:xMode val="edge"/>
          <c:yMode val="edge"/>
          <c:x val="0.0705104584371952"/>
          <c:y val="0.087870704534756"/>
          <c:w val="0.904020808496803"/>
          <c:h val="0.725466813117841"/>
        </c:manualLayout>
      </c:layout>
      <c:barChart>
        <c:barDir val="col"/>
        <c:grouping val="clustered"/>
        <c:varyColors val="0"/>
        <c:ser>
          <c:idx val="0"/>
          <c:order val="0"/>
          <c:tx>
            <c:strRef>
              <c:f>Sheet1!$B$1</c:f>
              <c:strCache>
                <c:ptCount val="1"/>
                <c:pt idx="0">
                  <c:v>万元</c:v>
                </c:pt>
              </c:strCache>
            </c:strRef>
          </c:tx>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rgbClr val="FF0000"/>
                    </a:solidFill>
                    <a:latin typeface="Arial" panose="020B0604020202020204" pitchFamily="7" charset="0"/>
                    <a:ea typeface="+mn-ea"/>
                    <a:cs typeface="Arial" panose="020B0604020202020204" pitchFamily="7"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2017年收入</c:v>
                </c:pt>
                <c:pt idx="1">
                  <c:v>2018年收入</c:v>
                </c:pt>
                <c:pt idx="2">
                  <c:v>2017年支出</c:v>
                </c:pt>
                <c:pt idx="3">
                  <c:v>2018年支出</c:v>
                </c:pt>
              </c:strCache>
            </c:strRef>
          </c:cat>
          <c:val>
            <c:numRef>
              <c:f>Sheet1!$B$2:$B$5</c:f>
              <c:numCache>
                <c:formatCode>General</c:formatCode>
                <c:ptCount val="4"/>
                <c:pt idx="0">
                  <c:v>282.53</c:v>
                </c:pt>
                <c:pt idx="1" c:formatCode="#,##0.00">
                  <c:v>302.16</c:v>
                </c:pt>
                <c:pt idx="2">
                  <c:v>219.03</c:v>
                </c:pt>
                <c:pt idx="3">
                  <c:v>290.67</c:v>
                </c:pt>
              </c:numCache>
            </c:numRef>
          </c:val>
        </c:ser>
        <c:ser>
          <c:idx val="1"/>
          <c:order val="1"/>
          <c:tx>
            <c:strRef>
              <c:f>Sheet1!#REF!</c:f>
              <c:strCache>
                <c:ptCount val="1"/>
                <c:pt idx="0">
                  <c:v/>
                </c:pt>
              </c:strCache>
            </c:strRef>
          </c:tx>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2017年收入</c:v>
                </c:pt>
                <c:pt idx="1">
                  <c:v>2018年收入</c:v>
                </c:pt>
                <c:pt idx="2">
                  <c:v>2017年支出</c:v>
                </c:pt>
                <c:pt idx="3">
                  <c:v>2018年支出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2017年收入</c:v>
                </c:pt>
                <c:pt idx="1">
                  <c:v>2018年收入</c:v>
                </c:pt>
                <c:pt idx="2">
                  <c:v>2017年支出</c:v>
                </c:pt>
                <c:pt idx="3">
                  <c:v>2018年支出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10"/>
        <c:axId val="435323263"/>
        <c:axId val="971981176"/>
      </c:barChart>
      <c:catAx>
        <c:axId val="435323263"/>
        <c:scaling>
          <c:orientation val="minMax"/>
        </c:scaling>
        <c:delete val="0"/>
        <c:axPos val="b"/>
        <c:numFmt formatCode="General" sourceLinked="1"/>
        <c:majorTickMark val="none"/>
        <c:minorTickMark val="none"/>
        <c:tickLblPos val="nextTo"/>
        <c:spPr>
          <a:noFill/>
          <a:ln w="9525" cap="flat" cmpd="sng" algn="ctr">
            <a:solidFill>
              <a:schemeClr val="bg1">
                <a:lumMod val="9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crossAx val="971981176"/>
        <c:crosses val="autoZero"/>
        <c:auto val="1"/>
        <c:lblAlgn val="ctr"/>
        <c:lblOffset val="100"/>
        <c:noMultiLvlLbl val="0"/>
      </c:catAx>
      <c:valAx>
        <c:axId val="971981176"/>
        <c:scaling>
          <c:orientation val="minMax"/>
        </c:scaling>
        <c:delete val="0"/>
        <c:axPos val="l"/>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Arial" panose="020B0604020202020204" pitchFamily="7" charset="0"/>
                <a:ea typeface="+mn-ea"/>
                <a:cs typeface="Arial" panose="020B0604020202020204" pitchFamily="7" charset="0"/>
              </a:defRPr>
            </a:pPr>
          </a:p>
        </c:txPr>
        <c:crossAx val="435323263"/>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45"/>
          <c:y val="0.0231666666666667"/>
          <c:w val="0.8938"/>
          <c:h val="0.807233333333333"/>
        </c:manualLayout>
      </c:layout>
      <c:barChart>
        <c:barDir val="col"/>
        <c:grouping val="clustered"/>
        <c:varyColors val="0"/>
        <c:ser>
          <c:idx val="0"/>
          <c:order val="0"/>
          <c:tx>
            <c:strRef>
              <c:f>Sheet1!$B$1</c:f>
              <c:strCache>
                <c:ptCount val="1"/>
                <c:pt idx="0">
                  <c:v>一般公共预算财政拨款支出决算变动情况</c:v>
                </c:pt>
              </c:strCache>
            </c:strRef>
          </c:tx>
          <c:spPr>
            <a:solidFill>
              <a:schemeClr val="accent1"/>
            </a:solidFill>
            <a:ln>
              <a:noFill/>
            </a:ln>
            <a:effectLst/>
          </c:spPr>
          <c:invertIfNegative val="0"/>
          <c:dLbls>
            <c:delete val="1"/>
          </c:dLbls>
          <c:cat>
            <c:numRef>
              <c:f>Sheet1!$A$2:$A$3</c:f>
              <c:numCache>
                <c:formatCode>General</c:formatCode>
                <c:ptCount val="2"/>
                <c:pt idx="0">
                  <c:v>2017</c:v>
                </c:pt>
                <c:pt idx="1">
                  <c:v>2018</c:v>
                </c:pt>
              </c:numCache>
            </c:numRef>
          </c:cat>
          <c:val>
            <c:numRef>
              <c:f>Sheet1!$B$2:$B$3</c:f>
              <c:numCache>
                <c:formatCode>General</c:formatCode>
                <c:ptCount val="2"/>
                <c:pt idx="0">
                  <c:v>219.03</c:v>
                </c:pt>
                <c:pt idx="1">
                  <c:v>290.67</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numRef>
              <c:f>Sheet1!$A$2:$A$3</c:f>
              <c:numCache>
                <c:formatCode>General</c:formatCode>
                <c:ptCount val="2"/>
                <c:pt idx="0">
                  <c:v>2017</c:v>
                </c:pt>
                <c:pt idx="1">
                  <c:v>2018</c:v>
                </c:pt>
              </c:numCache>
            </c:num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Sheet1!$A$2:$A$3</c:f>
              <c:numCache>
                <c:formatCode>General</c:formatCode>
                <c:ptCount val="2"/>
                <c:pt idx="0">
                  <c:v>2017</c:v>
                </c:pt>
                <c:pt idx="1">
                  <c:v>2018</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736482446"/>
        <c:axId val="54447874"/>
      </c:barChart>
      <c:catAx>
        <c:axId val="73648244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447874"/>
        <c:crosses val="autoZero"/>
        <c:auto val="1"/>
        <c:lblAlgn val="ctr"/>
        <c:lblOffset val="100"/>
        <c:noMultiLvlLbl val="0"/>
      </c:catAx>
      <c:valAx>
        <c:axId val="5444787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6482446"/>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Sheet1!$A$2:$A$6</c:f>
              <c:strCache>
                <c:ptCount val="5"/>
                <c:pt idx="0">
                  <c:v>教育支出</c:v>
                </c:pt>
                <c:pt idx="1">
                  <c:v>社会保障和就业支出</c:v>
                </c:pt>
                <c:pt idx="2">
                  <c:v>医疗卫生支出</c:v>
                </c:pt>
                <c:pt idx="3">
                  <c:v>住房保障支出</c:v>
                </c:pt>
                <c:pt idx="4">
                  <c:v>教育附加安排的支出</c:v>
                </c:pt>
              </c:strCache>
            </c:strRef>
          </c:cat>
          <c:val>
            <c:numRef>
              <c:f>Sheet1!$B$2:$B$6</c:f>
              <c:numCache>
                <c:formatCode>General</c:formatCode>
                <c:ptCount val="5"/>
                <c:pt idx="0">
                  <c:v>235.06</c:v>
                </c:pt>
                <c:pt idx="1">
                  <c:v>31.29</c:v>
                </c:pt>
                <c:pt idx="2">
                  <c:v>8.05</c:v>
                </c:pt>
                <c:pt idx="3">
                  <c:v>14.27</c:v>
                </c:pt>
                <c:pt idx="4">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因公出国（境）费支出决算</c:v>
                </c:pt>
                <c:pt idx="1">
                  <c:v>公务用车购置及运行维护费支出</c:v>
                </c:pt>
                <c:pt idx="2">
                  <c:v>公务接待费支出</c:v>
                </c:pt>
              </c:strCache>
            </c:strRef>
          </c:cat>
          <c:val>
            <c:numRef>
              <c:f>Sheet1!$B$2:$B$5</c:f>
              <c:numCache>
                <c:formatCode>General</c:formatCode>
                <c:ptCount val="4"/>
                <c:pt idx="0">
                  <c:v>0</c:v>
                </c:pt>
                <c:pt idx="1">
                  <c:v>0</c:v>
                </c:pt>
                <c:pt idx="2">
                  <c:v>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Reversed" id="23">
  <a:schemeClr val="accent3"/>
</cs:colorStyle>
</file>

<file path=word/charts/colors6.xml><?xml version="1.0" encoding="utf-8"?>
<cs:colorStyle xmlns:cs="http://schemas.microsoft.com/office/drawing/2012/chartStyle" xmlns:a="http://schemas.openxmlformats.org/drawingml/2006/main" meth="withinLinearReversed" id="23">
  <a:schemeClr val="accent3"/>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基本">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基本">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12</TotalTime>
  <ScaleCrop>false</ScaleCrop>
  <LinksUpToDate>false</LinksUpToDate>
  <CharactersWithSpaces>9641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梦</cp:lastModifiedBy>
  <cp:lastPrinted>2019-08-01T00:48:00Z</cp:lastPrinted>
  <dcterms:modified xsi:type="dcterms:W3CDTF">2019-09-27T02:43:39Z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