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沙坝初级中学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2018年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</w:rPr>
        <w:t>8年“三公”经费财政拨款支出决算中，因公出国（境）费支出决算0万元，占0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146685</wp:posOffset>
            </wp:positionV>
            <wp:extent cx="5424805" cy="3373120"/>
            <wp:effectExtent l="0" t="0" r="23495" b="1778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</w:rPr>
        <w:t>7年减少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  <w:bookmarkStart w:id="2" w:name="_GoBack"/>
      <w:bookmarkEnd w:id="2"/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3F8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三公经费财政拨款支出结构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8133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Sheet1!$A$2:$A$7</c:f>
              <c:strCache>
                <c:ptCount val="3"/>
                <c:pt idx="0">
                  <c:v>因公出国费支持</c:v>
                </c:pt>
                <c:pt idx="1">
                  <c:v>公务用车购置及运行维护费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8133">
          <a:noFill/>
        </a:ln>
      </c:spPr>
    </c:plotArea>
    <c:legend>
      <c:legendPos val="r"/>
      <c:layout/>
      <c:overlay val="0"/>
      <c:spPr>
        <a:noFill/>
        <a:ln w="28133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9</TotalTime>
  <ScaleCrop>false</ScaleCrop>
  <LinksUpToDate>false</LinksUpToDate>
  <CharactersWithSpaces>485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梦</cp:lastModifiedBy>
  <dcterms:modified xsi:type="dcterms:W3CDTF">2019-09-27T02:42:09Z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