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严家初级中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学2018年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8年“三公”经费财政拨款支出决算为0.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</w:rPr>
        <w:t>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33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7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7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7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7年减少0.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44.07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000000"/>
          <w:sz w:val="32"/>
          <w:szCs w:val="32"/>
        </w:rPr>
        <w:t>批次，1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33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万元，具体内容包括：级来校指导工作、开展业务活动等工作餐支出0.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33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14775292"/>
    <w:rsid w:val="2DA82FF5"/>
    <w:rsid w:val="35F4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b/>
    </w:rPr>
  </w:style>
  <w:style w:type="character" w:customStyle="1" w:styleId="9">
    <w:name w:val="标题 1 Char"/>
    <w:basedOn w:val="6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6"/>
    <w:link w:val="3"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6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12</TotalTime>
  <ScaleCrop>false</ScaleCrop>
  <LinksUpToDate>false</LinksUpToDate>
  <CharactersWithSpaces>485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pc</cp:lastModifiedBy>
  <dcterms:modified xsi:type="dcterms:W3CDTF">2019-09-26T13:51:23Z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