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附件</w:t>
      </w:r>
    </w:p>
    <w:p>
      <w:pPr>
        <w:numPr>
          <w:ilvl w:val="0"/>
          <w:numId w:val="0"/>
        </w:numPr>
        <w:jc w:val="center"/>
        <w:rPr>
          <w:rFonts w:hint="eastAsia" w:ascii="方正小标宋简体" w:hAnsi="方正小标宋简体" w:eastAsia="方正小标宋简体" w:cs="方正小标宋简体"/>
          <w:b/>
          <w:bCs/>
          <w:sz w:val="44"/>
          <w:szCs w:val="44"/>
          <w:lang w:val="en-US" w:eastAsia="zh-CN"/>
        </w:rPr>
      </w:pPr>
      <w:bookmarkStart w:id="0" w:name="_GoBack"/>
      <w:r>
        <w:rPr>
          <w:rFonts w:hint="eastAsia" w:ascii="方正小标宋简体" w:hAnsi="方正小标宋简体" w:eastAsia="方正小标宋简体" w:cs="方正小标宋简体"/>
          <w:b/>
          <w:bCs/>
          <w:sz w:val="44"/>
          <w:szCs w:val="44"/>
          <w:lang w:val="en-US" w:eastAsia="zh-CN"/>
        </w:rPr>
        <w:t>开江县煤矿“一通三防”专项监管执法检查重点内容清单</w:t>
      </w:r>
    </w:p>
    <w:bookmarkEnd w:id="0"/>
    <w:p>
      <w:pPr>
        <w:numPr>
          <w:ilvl w:val="0"/>
          <w:numId w:val="0"/>
        </w:numPr>
        <w:ind w:firstLine="643" w:firstLineChars="200"/>
        <w:jc w:val="both"/>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煤矿名称：                                                     时间：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520"/>
        <w:gridCol w:w="1830"/>
        <w:gridCol w:w="234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7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序号</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检查项目</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存在问题</w:t>
            </w: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检查人员签字</w:t>
            </w: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1" w:type="dxa"/>
            <w:gridSpan w:val="5"/>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一、“一通三防”机构及人员配备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r>
              <w:rPr>
                <w:rFonts w:hint="eastAsia" w:ascii="方正仿宋简体" w:hAnsi="方正仿宋简体" w:eastAsia="方正仿宋简体" w:cs="方正仿宋简体"/>
                <w:color w:val="000000"/>
                <w:spacing w:val="0"/>
                <w:w w:val="100"/>
                <w:position w:val="0"/>
                <w:sz w:val="28"/>
                <w:szCs w:val="28"/>
              </w:rPr>
              <w:t>是否按规定建立专门的</w:t>
            </w:r>
            <w:r>
              <w:rPr>
                <w:rFonts w:hint="eastAsia" w:ascii="方正仿宋简体" w:hAnsi="方正仿宋简体" w:eastAsia="方正仿宋简体" w:cs="方正仿宋简体"/>
                <w:color w:val="000000"/>
                <w:spacing w:val="0"/>
                <w:w w:val="100"/>
                <w:position w:val="0"/>
                <w:sz w:val="28"/>
                <w:szCs w:val="28"/>
                <w:lang w:val="zh-CN" w:eastAsia="zh-CN" w:bidi="zh-CN"/>
              </w:rPr>
              <w:t>“一通</w:t>
            </w:r>
            <w:r>
              <w:rPr>
                <w:rFonts w:hint="eastAsia" w:ascii="方正仿宋简体" w:hAnsi="方正仿宋简体" w:eastAsia="方正仿宋简体" w:cs="方正仿宋简体"/>
                <w:color w:val="000000"/>
                <w:spacing w:val="0"/>
                <w:w w:val="100"/>
                <w:position w:val="0"/>
                <w:sz w:val="28"/>
                <w:szCs w:val="28"/>
              </w:rPr>
              <w:t>三防"管理机构和队伍，配备相应安全、技术管理人员, 人员素质和能力是否满足矿井实际需要</w:t>
            </w:r>
            <w:r>
              <w:rPr>
                <w:rFonts w:hint="eastAsia" w:ascii="方正仿宋简体" w:hAnsi="方正仿宋简体" w:eastAsia="方正仿宋简体" w:cs="方正仿宋简体"/>
                <w:color w:val="000000"/>
                <w:spacing w:val="0"/>
                <w:w w:val="100"/>
                <w:position w:val="0"/>
                <w:sz w:val="28"/>
                <w:szCs w:val="28"/>
                <w:lang w:eastAsia="zh-CN"/>
              </w:rPr>
              <w:t>。</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2</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color w:val="000000"/>
                <w:spacing w:val="0"/>
                <w:w w:val="100"/>
                <w:position w:val="0"/>
                <w:sz w:val="28"/>
                <w:szCs w:val="28"/>
                <w:lang w:val="en-US" w:eastAsia="zh-CN"/>
              </w:rPr>
            </w:pPr>
            <w:r>
              <w:rPr>
                <w:rFonts w:hint="eastAsia" w:ascii="方正仿宋简体" w:hAnsi="方正仿宋简体" w:eastAsia="方正仿宋简体" w:cs="方正仿宋简体"/>
                <w:color w:val="000000"/>
                <w:spacing w:val="0"/>
                <w:w w:val="100"/>
                <w:position w:val="0"/>
                <w:sz w:val="28"/>
                <w:szCs w:val="28"/>
                <w:lang w:val="en-US" w:eastAsia="zh-CN"/>
              </w:rPr>
              <w:t>是否设置安全生产管理机构，是否配备满足安全工作需要的专职安全生产管理人员；是否设置安全监控管理机构，是否由总工程师领导，是否配备足够的人员。</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3</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color w:val="000000"/>
                <w:spacing w:val="0"/>
                <w:w w:val="100"/>
                <w:position w:val="0"/>
                <w:sz w:val="28"/>
                <w:szCs w:val="28"/>
                <w:lang w:val="en-US" w:eastAsia="zh-CN"/>
              </w:rPr>
            </w:pPr>
            <w:r>
              <w:rPr>
                <w:rFonts w:hint="eastAsia" w:ascii="方正仿宋简体" w:hAnsi="方正仿宋简体" w:eastAsia="方正仿宋简体" w:cs="方正仿宋简体"/>
                <w:color w:val="000000"/>
                <w:spacing w:val="0"/>
                <w:w w:val="100"/>
                <w:position w:val="0"/>
                <w:sz w:val="28"/>
                <w:szCs w:val="28"/>
                <w:lang w:val="en-US" w:eastAsia="zh-CN"/>
              </w:rPr>
              <w:t>矿井是否配备足够数量的专业工程技术人员。</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4</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color w:val="000000"/>
                <w:spacing w:val="0"/>
                <w:w w:val="100"/>
                <w:position w:val="0"/>
                <w:sz w:val="28"/>
                <w:szCs w:val="28"/>
                <w:lang w:val="en-US" w:eastAsia="zh-CN"/>
              </w:rPr>
            </w:pPr>
            <w:r>
              <w:rPr>
                <w:rFonts w:hint="eastAsia" w:ascii="方正仿宋简体" w:hAnsi="方正仿宋简体" w:eastAsia="方正仿宋简体" w:cs="方正仿宋简体"/>
                <w:color w:val="000000"/>
                <w:spacing w:val="0"/>
                <w:w w:val="100"/>
                <w:position w:val="0"/>
                <w:sz w:val="28"/>
                <w:szCs w:val="28"/>
                <w:lang w:val="en-US" w:eastAsia="zh-CN"/>
              </w:rPr>
              <w:t>是否全面落实瓦斯治理的人员、资金、制度、责任及隐患整改；煤矿是否健全以总工程师为核心的技术管理体系，总工程师是否为瓦斯治理工作的第一技术负责人。</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5</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监测监控工、瓦斯检查工及放炮工等特殊工种配备是否满足要求并持证上岗。</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6</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总工程师（技术负责人）、通风副总工程师是否具备相应的专业能力，各项制度和岗位责任制是否落实。</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7</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是否明确安全培训工作的机构，是否配备专职或者兼职安全培训管理人员，是否实行一人一档。</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8</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其它需要检查的项目。</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1" w:type="dxa"/>
            <w:gridSpan w:val="5"/>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二、“一通三防”主要制度及执行情况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9</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是否建立主要负责人安全生产责任制，是否建立健全安全生产管理人员安全生产责任制，是否建立健全“一通三防”各岗位安全生产责任制。</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10</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是否建立健全“一通三防”的安全生产目标管理、投入、奖惩、技术措施审批、培训、办公会议制度。</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11</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是否严格执行本单位的安全生产规章制度，是否严格执行“一通三防”部门安全生产责任制。</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12</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低瓦斯矿井吨煤不低于15元的标准提取，安全费用是否做到专户核算，是否在规定的范围内使用。</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13</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是否建立和落实瓦斯“零超限”目标管理制度、瓦斯超限分析预警制度，瓦斯超限是否停电撤人、分析整改和追究责任。</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14</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是否建立通风瓦斯分析制度，对通风和瓦斯异常变化的，是否查明原因、采取措施；是否严格落实“一炮三检”制度。</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15</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建立和落实瓦斯防治责任、瓦斯治理及指标考核、瓦斯检查、瓦斯巡回检查、瓦斯班报日报审阅、一氧化碳检查、有害气体检查、停风管理、防尘、测风、通风仪器仪表维护调校、安全监控监测等管理制度及岗位责任制。</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16</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瓦斯检查地点是否齐全，检查次数是否符合规定，是否存在漏检、假检行为；瓦斯检查工是否执行瓦斯巡回检查制度和请示报告。</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17</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其他需要检查的项目。</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1" w:type="dxa"/>
            <w:gridSpan w:val="5"/>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三、采掘部署（升级改造煤矿不检查此项）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18</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矿井采掘部署是否合理，采掘工作面是否审批，数量是否符合《煤矿安全规程》第九十五条规定，采掘工作面布置是否避开应力集中范围。</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19</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矿井是否制度“一优三减”方案，是否按照方案执行。</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20</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同时生产水平是否超过2个、同时生产采区是否超过3个。</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21</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采掘倾斜长臂布置的，大巷是否至少超前2个区段，且是否构成通风系统后开始掘进其他巷道。</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22</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井下每一个水平到上一个水平和各个采（盘）区是否至少有2个便于行人的安全出口，并与通达地面的安全出口相连。</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23</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在未形成完整的水平或采（盘）区通风、排水、供电、通讯等系统是否存在回采巷道施工。</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24</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矿井“三量”是否符合要求、采掘接续紧张矿井是否按规定采取停产、限产、减产措施。</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25</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是否在应力集中区域布置2个及以上工作面同时进行采掘作业。</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26</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采煤工作面是否能保证2个畅通的安全出口。</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27</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是否采用国家明令的采煤方法，是否采用“剃头下山”开采。</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28</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是否存在回风井出煤或开采回风巷上部“帽子煤”。</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29</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采掘工作面是否按照《作业规程》执行。</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30</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巷道净断面是否满足行人、运输、通风和安全设施及设备安装、检修、施工的需要。</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31</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其它需要检查的项目。</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4661" w:type="dxa"/>
            <w:gridSpan w:val="5"/>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四、通风系统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32</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矿井是否有完整的独立通风系统，通风系统是否稳定可靠，采掘工作面是否实行独立通风，是否存在串联通风、角联通风及无风、微风、循环风现象。</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33</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矿井需要的风量是否按要求分别计算，并选取其中的最大值，使用防爆型柴油矿用机车是否按同时运行的最多车辆数增加巷道配风量；是否制定风量计算方法，至少5年修订1次。</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34</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是否存在矿井总风量不足，是否存在采掘工作面等主要用风地点风量不足。</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35</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各用风地点风速气体是否符合规定，采掘工作面配风量是否合理，风量是否满足安全生产要求。</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36</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矿井每年安排采掘作业计划时是否核定矿井生产和通风能力，是否按实际供风量核定矿井产量，是否超通风能力生产。</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37</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两台主要通风机是否具有同等能力，装有主要通风机的出风井口是否安设防爆门；主要 通风机房内是否安装水柱计（压力表）、电流表、电压表、轴承温度计等仪表，是否有直通矿调度室的电话，是否有反风操作系统图、司机岗位责任制和操作规程；是否制定主要 通风机停止运转的应急预案。</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38</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主要通风机、反风设施、防爆门是否按规定检查、维修；改变主要通风机转数、叶片角度或者对旋转运转级数时是否经总工程师批准。</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39</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是否做到每10天至少进行1次全面测风，对采掘工作面和其他用风地点是否按照实际需要随时测风；总进风巷、总回风巷、一翼进（回）风巷是否设置永久测风站，采掘工作面及其他用风地点是否设置临时测风站。</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40</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是否配备足够数量的通风安全检测仪表，仪表是否由具备相应资质的检验单位进行按期检验。</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41</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采（盘）区划分是否合理，改变全矿井通风系统时，是否编制通风设计及安全措施，是否由总工程师审批。</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42</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巷道贯通前是否制定贯通专项措施，是否按照贯通专项措施执行，贯通后是否停止采区内的一切工作和是否立即调整通风系统。</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43</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是否按规定（新井投产前、每3年、新水平生产、改变一翼或全矿井通风系统）测定通 风阻力，是否按规定测定主要通风机性能。</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44</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风门、反向风门、风墙、密闭、风机等主要通风设施设备是否按规定管理和设置，是否造成风流短路。</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45</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矿井通风系统图是否标明风流方向、风量和通风设施的安装地点，是否绘制通风网络图, 是否按每季度更新通风系统图，是否按每月补充修改，多煤层同时开采是否绘制分层通风系统图。</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46</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采区开采结束后45天内是否全部封闭采区及不用的巷道。</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47</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每年或矿井通风系统较大变化是否开展反风演习，主要通风机反风时的供风量是否小于正常供风量的40%。</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48</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正常工作的局部通风机否采用三专供电，备用局部通风机电源是否取自同时带电的另一电源，正常工作的局部通风机故障时备用局部通风机是否能自动启动；是否存在1台局部 通风机同时向2个及以上作业的掘进工作面供风，是否存在3台及以上局部通风机同时向1个掘进工作面供风；专用变压器是否超过向4个不同掘进工作面的局部通风机供电；采用2台局部通风机同时供风的掘进工作面是否同时实现“三专两闭锁</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49</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使用局部通风机供风的地点是否实现风电闭锁和甲烷电闭锁，是否做到每15天至少进行 一次风电闭锁和甲烷电闭锁试验，每天是否进行一次正常工作的局部通风机与备用局部通风机自动切换试验。</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50</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使用局部通风机的掘进工作面是否停风，因检修、停电、故障等原因停风时是否按照《煤矿安全规程》第一百六十五条规定执行。</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51</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采掘工作面的进风和回风是否经过采空区或者冒顶区，采煤工作面是否采用局部通风机稀释瓦斯。</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52</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与采掘无关的废旧无用的巷道是否封闭。</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53</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矿井是否设置临时通风设施，确需使用的是否制定安全措施，使用期限是否超过1个月。</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54</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其它需要检查的项目。</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1" w:type="dxa"/>
            <w:gridSpan w:val="5"/>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五、瓦斯防治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55</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是否严格按照《煤矿瓦斯等级鉴定办法》（煤安监技装〔2018） 9号）开展瓦斯等级鉴定工作，检查是否发现矿井瓦斯的实际情况明显异于矿井瓦斯等级的现象；是否存在擅自降低矿井瓦斯等级进行管理；是否存在鉴定实测数据与最近6个月以来矿井安全监控系统的监测数据、通风报表和产量报表数据相差超过10%,相差超过10%的是否进行分析原因，必要时是否重新鉴定。</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56</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是否制定瓦斯防治中长期规划和年度计划。</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57</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低瓦斯矿井的新水平、新采区是否编制瓦斯综合治理专项设计，并经煤矿 （有上级公司的由上级公司）总工程师审批。</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58</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煤矿企业是否每季度召开至少1次“一通三防”会议，分析、总结、部署瓦斯综合治理工作；矿井主要负责人、总工程师是否每月至少召开1次“一通三防”会议，至少1次 到现场检查各项瓦斯治理措施的落实情况。</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59</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是否定期开展瓦斯事故隐患排查工作，瓦斯治理是否到位。</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60</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矿长、矿总工程师、爆破工、采掘区队长、通风区队长、工程技术人员、班长、流动电 钳工、安全监测工等下井时是否携带便携式瓦斯报警仪。</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61</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通风值班人员是否审阅瓦斯班报，通风瓦斯日报是否由矿长、矿总工程师审阅签字；对重大的通风、瓦斯问题是否制定措施和及时处理。</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62</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是否按矿井瓦斯等级选用相应的煤矿许用炸药和电雷管，是否违章放炮。</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63</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井下排放积聚瓦斯是否按规定制定安全技术措施并严格执行，是否违章排放瓦斯。</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64</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瓦斯超限是否按规定进行追查处理并釆取针对性措施，是否存在瓦斯超限仍组织生产的行为。</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65</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预测预报和效果检验报告审核审批程序是否符合规定。</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66</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是否开展地质预测预报工作，掘进工作面设计前是否按规定编制地质说明书，说明工作 面瓦斯地质特征等情况，掘进的地质因素不确定时，是否采取物探、钻探等手段开展地 质探测工作，是否报矿总工程师批准。</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67</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是否按照《四川省煤矿局部防突钻孔基准线“两把锁”管理规定》(川煤监(2019) 59 号)要求执行。</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68</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施工超前探放水钻孔时出现喷孔、顶钻等动力现象的,是否按规定采取防止瓦斯超限和喷孔顶钻伤人等措施或使用远程操控钻机施工,钻孔施工时受威胁的掘进工作面以及回风流中的采掘工作面是否停止作业。</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69</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是否根据本矿实际条件增加辅助预测指标预测，是否采用物探、钻探等手段探测前方地质构造，观察分析煤体结构和采掘作业、钻孔施工中的各种现象，是否进行工作面突出危险性的综合预测。</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70</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矿井是否制定因停电和检修主要通风机停止运转或通风系统遭破坏以后恢复通风、排除瓦斯和送电的安全措施。</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71</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是否开展隐蔽致灾因素普查工作，相关结论是否真实准确。</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72</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采煤工作面隅角瓦斯治理措施是否可靠。</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73</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主要要通风机是否各有两回路直接由变（配）电所馈出的供电线路。</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74</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color w:val="auto"/>
                <w:sz w:val="28"/>
                <w:szCs w:val="28"/>
                <w:vertAlign w:val="baseline"/>
                <w:lang w:val="en-US" w:eastAsia="zh-CN"/>
              </w:rPr>
            </w:pPr>
            <w:r>
              <w:rPr>
                <w:rFonts w:hint="eastAsia" w:ascii="方正仿宋简体" w:hAnsi="方正仿宋简体" w:eastAsia="方正仿宋简体" w:cs="方正仿宋简体"/>
                <w:b w:val="0"/>
                <w:bCs w:val="0"/>
                <w:color w:val="auto"/>
                <w:sz w:val="28"/>
                <w:szCs w:val="28"/>
                <w:vertAlign w:val="baseline"/>
                <w:lang w:val="en-US" w:eastAsia="zh-CN"/>
              </w:rPr>
              <w:t>其它需要检查的项目。</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1" w:type="dxa"/>
            <w:gridSpan w:val="5"/>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六、防灭火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75</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是否按规定进行了煤层自燃倾向性鉴定。</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76</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是否按规定设置地面消防水池和井下消防管理，否满足矿井消防防尘的需要。</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77</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矿井是否制定井上、下防灭火措施。</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78</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进风井口是否安设防火铁门，不设防火门是否制定防止烟火进入矿井的安全措施。</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79</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在井下和井口房内从事电焊、气焊、喷灯等动火作业是否制定安全技术措施并按规定审批。</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80</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是否配备CO检测仪器和相应的检测管。</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81</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是否存在严禁使用国家明令淘汰的电气设备和非阻燃材料，是否存在电气失爆。</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82</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随采煤工作面的推进是否逐个封闭通至采空区的连通巷道，采区开采结束后45天内，所有与已采区相连通的巷道中是否设置密闭墙,是否全部封闭采区。</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83</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井上、下是否按规定设置消防材料库，消防材料配备是否符合规定。</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84</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是否违规使用可燃性材料。</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85</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其它需要检查的项目。</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1" w:type="dxa"/>
            <w:gridSpan w:val="5"/>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七、煤尘防治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86</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是否按规定开展煤尘爆炸危险性鉴定。</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87</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矿井是否在地面建立永久性消防防尘储水池，是否保持不少于200m3的水量。</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88</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矿井主要运输巷、带式输送机斜巷与平巷、上山与下山、采区运输巷与回风巷、采煤工作面运输巷与回风巷、掘进巷道、煤仓放煤口、溜煤眼放煤口、卸载点等地点是否敷设防尘管理，并安设支管和阀门。</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89</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是否建立防尘供水系统。</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90</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矿井每年是否制定和落实综合防尘措施、预防和隔绝煤尘爆炸措施及管理制度。</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91</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是否制定和落实清除巷道浮尘、清扫冲洗积尘、撒布岩粉、定期对主要大巷刷浆、运煤 系统喷雾降尘等综合防尘措施。</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92</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采掘工作面是否按规定采取湿式钻眼、冲洗巷帮、水炮泥、爆破喷雾、装煤岩洒水和净 化风流水幕、煤层注水等综合防尘措施。</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93</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是否落实每周至少检查1次隔爆设施的安装地点、数量、水量或者岩粉量及安装质量。</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94</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煤巷和半煤岩巷是否安设符合规定的隔爆设施。</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95</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作业场所粉尘浓度超过国家安全标准或者行业安全标准的。</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96</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是否定期开展测尘工作。</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97</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其它需要检查的项目。</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1" w:type="dxa"/>
            <w:gridSpan w:val="5"/>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八、安全监控系统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98</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安全监控系统是否按要求进行升级改造并组织验收，运行是否正常，断电是否可靠。</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99</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是否存在人为造成传感器失效失真等弄虚作假现象。</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100</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安全监控系统记录的数据是否进行修改、删除、屏蔽。</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101</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瓦斯超限后是否存在不能报警、断电现象。</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102</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安全监控系统出现故障是否及时处理，处理期间是否按规定采取安全措施。</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103</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安全监控系统及其传感器的设置种类、数量、设置地点、报警、断电、复电浓度和断电 范围是否符合《煤矿安全规程》、《煤矿安全监控系统通用技术要求》、《煤矿安全监控系统及检测仪器使用管理规范》的要求。</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104</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有硫化氢威胁的矿井采掘工作面、钻孔施工回风侧等地点是否设置硫化氢传感器。</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105</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安全监控设备是否每月至少进行1次调校、测试，甲烷传感器是否按规定进行调校并测试甲烷电闭锁功能。</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106</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安全监控设备在井下连续运行6至12个月，是否进行升井维修。</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107</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矿长和总工程师是否每天审阅安全监控日报表，是否分析变化趋势。</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108</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系统发出报警、断电、馈电异常等信息时，是否采取措施进行及时处理，是否立即向值班矿领导汇报，处理过程和结果是否进行记录。</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109</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安全监控系统显示和控制终端是否设置在矿调度室,是否能全面反映监控信息。</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110</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安全监控系统是否实现双回路，是否有备用电源，备用电源是否保持监控系统连续工作时间不小于2小时。</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111</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安全监控数掘是否按规定备份保存。</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112</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安全监控系统主机及联网主机是否实行双机热备份，当工作主机发生故障时，备份主机是否能在5min内投入使用。</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113</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监控系统与图像视频监视系统是否共用同一芯光纤，从不同井筒或者一个井筒保持一定间距的不同位置入井。</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114</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每天使用便携式光学甲烷检测仪或者便携式甲烷检测报警仪与甲烷传感器进行对照，并将记录和检查结果报值班员，当两者读书差大于标定仪器的允许时，是否以最大者为依据，是否采取安全措施并在8h内对2种设备调校完毕。</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115</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矿井安全监控系统主干线缆是否分设2条。</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116</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是否实现24小时监控值班。</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117</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其它需要检查的项目。</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1" w:type="dxa"/>
            <w:gridSpan w:val="5"/>
            <w:noWrap w:val="0"/>
            <w:vAlign w:val="top"/>
          </w:tcPr>
          <w:p>
            <w:pPr>
              <w:keepNext w:val="0"/>
              <w:keepLines w:val="0"/>
              <w:pageBreakBefore w:val="0"/>
              <w:widowControl w:val="0"/>
              <w:numPr>
                <w:ilvl w:val="0"/>
                <w:numId w:val="0"/>
              </w:numPr>
              <w:tabs>
                <w:tab w:val="left" w:pos="6618"/>
              </w:tabs>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ab/>
            </w:r>
            <w:r>
              <w:rPr>
                <w:rFonts w:hint="eastAsia" w:ascii="方正仿宋简体" w:hAnsi="方正仿宋简体" w:eastAsia="方正仿宋简体" w:cs="方正仿宋简体"/>
                <w:b/>
                <w:bCs/>
                <w:sz w:val="32"/>
                <w:szCs w:val="32"/>
                <w:vertAlign w:val="baseline"/>
                <w:lang w:val="en-US" w:eastAsia="zh-CN"/>
              </w:rPr>
              <w:t>九、其它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118</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井下防爆型电气设备是否存在失爆。</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119</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是否使用被列入国家应予淘汰的煤矿设备和工艺目录的产品或者工艺。</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120</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矿井是否按规定形成双电源、双回路供电系统，是否存在其中一回路电源未实现带电备 用。</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121</w:t>
            </w:r>
          </w:p>
        </w:tc>
        <w:tc>
          <w:tcPr>
            <w:tcW w:w="8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安全监控系统、主要提升机等各种应检定设备设施是否按期进行检定，检定不合格是否继续使用。</w:t>
            </w:r>
          </w:p>
        </w:tc>
        <w:tc>
          <w:tcPr>
            <w:tcW w:w="18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23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c>
          <w:tcPr>
            <w:tcW w:w="10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661"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执法检查人员及专家签字：</w:t>
            </w:r>
          </w:p>
        </w:tc>
      </w:tr>
    </w:tbl>
    <w:p>
      <w:pPr>
        <w:numPr>
          <w:ilvl w:val="0"/>
          <w:numId w:val="0"/>
        </w:numPr>
        <w:jc w:val="both"/>
        <w:rPr>
          <w:rFonts w:hint="default" w:ascii="方正仿宋简体" w:hAnsi="方正仿宋简体" w:eastAsia="方正仿宋简体" w:cs="方正仿宋简体"/>
          <w:b w:val="0"/>
          <w:bCs w:val="0"/>
          <w:sz w:val="10"/>
          <w:szCs w:val="10"/>
          <w:lang w:val="en-US" w:eastAsia="zh-CN"/>
        </w:rPr>
      </w:pPr>
    </w:p>
    <w:p/>
    <w:sectPr>
      <w:pgSz w:w="16838" w:h="11906" w:orient="landscape"/>
      <w:pgMar w:top="1134" w:right="1134" w:bottom="1134" w:left="1134" w:header="851" w:footer="850" w:gutter="0"/>
      <w:pgNumType w:fmt="numberInDash"/>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52F85"/>
    <w:rsid w:val="7FA52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2020-04-14T00:57:00Z</dcterms:created>
  <dc:creator>Administrator</dc:creator>
  <cp:lastModifiedBy>Administrator</cp:lastModifiedBy>
  <dcterms:modified xsi:type="dcterms:W3CDTF">2020-04-14T00:58:20Z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