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bookmarkStart w:id="1" w:name="_Toc15377193"/>
      <w:bookmarkStart w:id="2" w:name="_Toc15377425"/>
      <w:bookmarkStart w:id="3" w:name="_Toc19950054"/>
      <w:bookmarkStart w:id="4" w:name="_Toc15396475"/>
      <w:bookmarkStart w:id="5" w:name="_Toc15396597"/>
      <w:bookmarkStart w:id="6" w:name="_Toc15378441"/>
      <w:r>
        <w:rPr>
          <w:rFonts w:hint="eastAsia" w:ascii="黑体" w:hAnsi="黑体" w:eastAsia="黑体"/>
          <w:color w:val="000000"/>
          <w:sz w:val="72"/>
          <w:szCs w:val="72"/>
          <w:lang w:eastAsia="zh-CN"/>
        </w:rPr>
        <w:t>2019</w:t>
      </w:r>
      <w:r>
        <w:rPr>
          <w:rFonts w:hint="eastAsia" w:ascii="黑体" w:hAnsi="黑体" w:eastAsia="黑体"/>
          <w:color w:val="000000"/>
          <w:sz w:val="72"/>
          <w:szCs w:val="72"/>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黑体" w:hAnsi="黑体" w:eastAsia="黑体"/>
          <w:color w:val="000000"/>
          <w:sz w:val="52"/>
          <w:szCs w:val="52"/>
          <w:lang w:eastAsia="zh-CN"/>
        </w:rPr>
      </w:pPr>
      <w:r>
        <w:rPr>
          <w:rFonts w:hint="eastAsia" w:ascii="黑体" w:hAnsi="黑体" w:eastAsia="黑体"/>
          <w:color w:val="000000"/>
          <w:sz w:val="52"/>
          <w:szCs w:val="52"/>
          <w:lang w:eastAsia="zh-CN"/>
        </w:rPr>
        <w:t>开江县文化体育和旅游局</w:t>
      </w:r>
    </w:p>
    <w:p>
      <w:pPr>
        <w:adjustRightInd w:val="0"/>
        <w:snapToGrid w:val="0"/>
        <w:spacing w:line="360" w:lineRule="auto"/>
        <w:jc w:val="center"/>
        <w:outlineLvl w:val="0"/>
        <w:rPr>
          <w:rFonts w:ascii="黑体" w:hAnsi="黑体" w:eastAsia="黑体"/>
          <w:color w:val="000000"/>
          <w:sz w:val="52"/>
          <w:szCs w:val="52"/>
        </w:rPr>
      </w:pPr>
      <w:bookmarkStart w:id="7" w:name="_Toc15306268"/>
      <w:bookmarkStart w:id="8" w:name="_Toc15378442"/>
      <w:bookmarkStart w:id="9" w:name="_Toc19950056"/>
      <w:bookmarkStart w:id="10" w:name="_Toc15396476"/>
      <w:bookmarkStart w:id="11" w:name="_Toc15396598"/>
      <w:bookmarkStart w:id="12" w:name="_Toc15377426"/>
      <w:bookmarkStart w:id="13" w:name="_Toc15377194"/>
      <w:r>
        <w:rPr>
          <w:rFonts w:hint="eastAsia" w:ascii="黑体" w:hAnsi="黑体" w:eastAsia="黑体"/>
          <w:color w:val="000000"/>
          <w:sz w:val="52"/>
          <w:szCs w:val="52"/>
        </w:rPr>
        <w:t>部门决算</w:t>
      </w:r>
      <w:bookmarkEnd w:id="7"/>
      <w:bookmarkEnd w:id="8"/>
      <w:bookmarkEnd w:id="9"/>
      <w:bookmarkEnd w:id="10"/>
      <w:bookmarkEnd w:id="11"/>
      <w:bookmarkEnd w:id="12"/>
      <w:bookmarkEnd w:id="13"/>
      <w:r>
        <w:rPr>
          <w:rFonts w:hint="eastAsia" w:ascii="黑体" w:hAnsi="黑体" w:eastAsia="黑体"/>
          <w:color w:val="000000"/>
          <w:sz w:val="52"/>
          <w:szCs w:val="52"/>
        </w:rPr>
        <w:t>编制说明</w:t>
      </w:r>
    </w:p>
    <w:p>
      <w:pPr>
        <w:widowControl/>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hint="eastAsia" w:ascii="黑体" w:hAnsi="黑体" w:eastAsia="黑体"/>
          <w:color w:val="000000"/>
          <w:sz w:val="48"/>
          <w:szCs w:val="48"/>
        </w:rPr>
      </w:pPr>
    </w:p>
    <w:p>
      <w:pPr>
        <w:pStyle w:val="2"/>
        <w:rPr>
          <w:rStyle w:val="16"/>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sz w:val="32"/>
          <w:szCs w:val="32"/>
          <w:lang w:eastAsia="zh-CN"/>
        </w:rPr>
        <w:t>公开时间</w:t>
      </w:r>
      <w:r>
        <w:rPr>
          <w:rFonts w:hint="eastAsia" w:ascii="黑体" w:hAnsi="黑体" w:eastAsia="黑体"/>
          <w:color w:val="000000"/>
          <w:sz w:val="32"/>
          <w:szCs w:val="32"/>
          <w:lang w:val="en-US" w:eastAsia="zh-CN"/>
        </w:rPr>
        <w:t>2020年9月20日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"_Toc19950057" </w:instrText>
      </w:r>
      <w:r>
        <w:fldChar w:fldCharType="separate"/>
      </w:r>
      <w:r>
        <w:rPr>
          <w:rStyle w:val="16"/>
          <w:rFonts w:hint="eastAsia" w:ascii="黑体" w:hAnsi="黑体" w:eastAsia="黑体"/>
          <w:b/>
          <w:color w:val="000000" w:themeColor="text1"/>
          <w:sz w:val="30"/>
          <w:szCs w:val="30"/>
          <w14:textFill>
            <w14:solidFill>
              <w14:schemeClr w14:val="tx1"/>
            </w14:solidFill>
          </w14:textFill>
        </w:rPr>
        <w:t>第一部分</w:t>
      </w:r>
      <w:r>
        <w:rPr>
          <w:rStyle w:val="16"/>
          <w:rFonts w:ascii="黑体" w:hAnsi="黑体" w:eastAsia="黑体"/>
          <w:b/>
          <w:color w:val="000000" w:themeColor="text1"/>
          <w:sz w:val="30"/>
          <w:szCs w:val="30"/>
          <w14:textFill>
            <w14:solidFill>
              <w14:schemeClr w14:val="tx1"/>
            </w14:solidFill>
          </w14:textFill>
        </w:rPr>
        <w:t xml:space="preserve"> </w:t>
      </w:r>
      <w:r>
        <w:rPr>
          <w:rStyle w:val="16"/>
          <w:rFonts w:hint="eastAsia" w:ascii="黑体" w:hAnsi="黑体" w:eastAsia="黑体"/>
          <w:b/>
          <w:color w:val="000000" w:themeColor="text1"/>
          <w:sz w:val="30"/>
          <w:szCs w:val="30"/>
          <w14:textFill>
            <w14:solidFill>
              <w14:schemeClr w14:val="tx1"/>
            </w14:solidFill>
          </w14:textFill>
        </w:rPr>
        <w:t>部门概况</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_Toc19950057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"_Toc19950058" </w:instrText>
      </w:r>
      <w:r>
        <w:fldChar w:fldCharType="separate"/>
      </w:r>
      <w:r>
        <w:rPr>
          <w:rStyle w:val="16"/>
          <w:rFonts w:hint="eastAsia" w:ascii="黑体" w:hAnsi="黑体" w:eastAsia="黑体"/>
          <w:color w:val="000000" w:themeColor="text1"/>
          <w:sz w:val="30"/>
          <w:szCs w:val="30"/>
          <w14:textFill>
            <w14:solidFill>
              <w14:schemeClr w14:val="tx1"/>
            </w14:solidFill>
          </w14:textFill>
        </w:rPr>
        <w:t>一、基本职能及主要工作</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_Toc19950058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"_Toc19950059" </w:instrText>
      </w:r>
      <w:r>
        <w:fldChar w:fldCharType="separate"/>
      </w:r>
      <w:r>
        <w:rPr>
          <w:rStyle w:val="16"/>
          <w:rFonts w:hint="eastAsia" w:ascii="黑体" w:hAnsi="黑体" w:eastAsia="黑体"/>
          <w:color w:val="000000" w:themeColor="text1"/>
          <w:sz w:val="30"/>
          <w:szCs w:val="30"/>
          <w14:textFill>
            <w14:solidFill>
              <w14:schemeClr w14:val="tx1"/>
            </w14:solidFill>
          </w14:textFill>
        </w:rPr>
        <w:t>二、机构设置</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_Toc19950059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7</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"_Toc19950060" </w:instrText>
      </w:r>
      <w:r>
        <w:fldChar w:fldCharType="separate"/>
      </w:r>
      <w:r>
        <w:rPr>
          <w:rStyle w:val="16"/>
          <w:rFonts w:hint="eastAsia" w:ascii="黑体" w:hAnsi="黑体" w:eastAsia="黑体"/>
          <w:b/>
          <w:color w:val="000000" w:themeColor="text1"/>
          <w:sz w:val="30"/>
          <w:szCs w:val="30"/>
          <w14:textFill>
            <w14:solidFill>
              <w14:schemeClr w14:val="tx1"/>
            </w14:solidFill>
          </w14:textFill>
        </w:rPr>
        <w:t>第二部分</w:t>
      </w:r>
      <w:r>
        <w:rPr>
          <w:rStyle w:val="16"/>
          <w:rFonts w:ascii="黑体" w:hAnsi="黑体" w:eastAsia="黑体"/>
          <w:b/>
          <w:color w:val="000000" w:themeColor="text1"/>
          <w:sz w:val="30"/>
          <w:szCs w:val="30"/>
          <w14:textFill>
            <w14:solidFill>
              <w14:schemeClr w14:val="tx1"/>
            </w14:solidFill>
          </w14:textFill>
        </w:rPr>
        <w:t xml:space="preserve"> </w:t>
      </w:r>
      <w:r>
        <w:rPr>
          <w:rStyle w:val="16"/>
          <w:rFonts w:hint="eastAsia" w:ascii="黑体" w:hAnsi="黑体" w:eastAsia="黑体"/>
          <w:b/>
          <w:color w:val="000000" w:themeColor="text1"/>
          <w:sz w:val="30"/>
          <w:szCs w:val="30"/>
          <w:lang w:eastAsia="zh-CN"/>
          <w14:textFill>
            <w14:solidFill>
              <w14:schemeClr w14:val="tx1"/>
            </w14:solidFill>
          </w14:textFill>
        </w:rPr>
        <w:t>2019</w:t>
      </w:r>
      <w:r>
        <w:rPr>
          <w:rStyle w:val="16"/>
          <w:rFonts w:hint="eastAsia" w:ascii="黑体" w:hAnsi="黑体" w:eastAsia="黑体"/>
          <w:b/>
          <w:color w:val="000000" w:themeColor="text1"/>
          <w:sz w:val="30"/>
          <w:szCs w:val="30"/>
          <w14:textFill>
            <w14:solidFill>
              <w14:schemeClr w14:val="tx1"/>
            </w14:solidFill>
          </w14:textFill>
        </w:rPr>
        <w:t>年度部门决算情况说明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_Toc19950060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7</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tabs>
          <w:tab w:val="left" w:pos="1260"/>
        </w:tabs>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"_Toc19950061" </w:instrText>
      </w:r>
      <w:r>
        <w:fldChar w:fldCharType="separate"/>
      </w:r>
      <w:r>
        <w:rPr>
          <w:rStyle w:val="16"/>
          <w:rFonts w:hint="eastAsia" w:ascii="黑体" w:hAnsi="黑体" w:eastAsia="黑体"/>
          <w:color w:val="000000" w:themeColor="text1"/>
          <w:sz w:val="30"/>
          <w:szCs w:val="30"/>
          <w14:textFill>
            <w14:solidFill>
              <w14:schemeClr w14:val="tx1"/>
            </w14:solidFill>
          </w14:textFill>
        </w:rPr>
        <w:t>一、</w:t>
      </w:r>
      <w:r>
        <w:rPr>
          <w:rStyle w:val="16"/>
          <w:rFonts w:ascii="黑体" w:hAnsi="黑体" w:eastAsia="黑体"/>
          <w:color w:val="000000" w:themeColor="text1"/>
          <w:sz w:val="30"/>
          <w:szCs w:val="30"/>
          <w14:textFill>
            <w14:solidFill>
              <w14:schemeClr w14:val="tx1"/>
            </w14:solidFill>
          </w14:textFill>
        </w:rPr>
        <w:tab/>
      </w:r>
      <w:r>
        <w:rPr>
          <w:rStyle w:val="16"/>
          <w:rFonts w:hint="eastAsia" w:ascii="黑体" w:hAnsi="黑体" w:eastAsia="黑体"/>
          <w:color w:val="000000" w:themeColor="text1"/>
          <w:sz w:val="30"/>
          <w:szCs w:val="30"/>
          <w14:textFill>
            <w14:solidFill>
              <w14:schemeClr w14:val="tx1"/>
            </w14:solidFill>
          </w14:textFill>
        </w:rPr>
        <w:t>收入支出决算总体情况说明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_Toc19950061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7</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tabs>
          <w:tab w:val="left" w:pos="1260"/>
        </w:tabs>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"_Toc19950062" </w:instrText>
      </w:r>
      <w:r>
        <w:fldChar w:fldCharType="separate"/>
      </w:r>
      <w:r>
        <w:rPr>
          <w:rStyle w:val="16"/>
          <w:rFonts w:hint="eastAsia" w:ascii="黑体" w:hAnsi="黑体" w:eastAsia="黑体"/>
          <w:color w:val="000000" w:themeColor="text1"/>
          <w:sz w:val="30"/>
          <w:szCs w:val="30"/>
          <w14:textFill>
            <w14:solidFill>
              <w14:schemeClr w14:val="tx1"/>
            </w14:solidFill>
          </w14:textFill>
        </w:rPr>
        <w:t>二、</w:t>
      </w:r>
      <w:r>
        <w:rPr>
          <w:rStyle w:val="16"/>
          <w:rFonts w:ascii="黑体" w:hAnsi="黑体" w:eastAsia="黑体"/>
          <w:color w:val="000000" w:themeColor="text1"/>
          <w:sz w:val="30"/>
          <w:szCs w:val="30"/>
          <w14:textFill>
            <w14:solidFill>
              <w14:schemeClr w14:val="tx1"/>
            </w14:solidFill>
          </w14:textFill>
        </w:rPr>
        <w:tab/>
      </w:r>
      <w:r>
        <w:rPr>
          <w:rStyle w:val="16"/>
          <w:rFonts w:hint="eastAsia" w:ascii="黑体" w:hAnsi="黑体" w:eastAsia="黑体"/>
          <w:color w:val="000000" w:themeColor="text1"/>
          <w:sz w:val="30"/>
          <w:szCs w:val="30"/>
          <w14:textFill>
            <w14:solidFill>
              <w14:schemeClr w14:val="tx1"/>
            </w14:solidFill>
          </w14:textFill>
        </w:rPr>
        <w:t>收入决算情况说明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_Toc19950062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8</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tabs>
          <w:tab w:val="left" w:pos="1260"/>
        </w:tabs>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"_Toc19950064" </w:instrText>
      </w:r>
      <w:r>
        <w:fldChar w:fldCharType="separate"/>
      </w:r>
      <w:r>
        <w:rPr>
          <w:rStyle w:val="16"/>
          <w:rFonts w:hint="eastAsia" w:ascii="黑体" w:hAnsi="黑体" w:eastAsia="黑体"/>
          <w:color w:val="000000" w:themeColor="text1"/>
          <w:sz w:val="30"/>
          <w:szCs w:val="30"/>
          <w14:textFill>
            <w14:solidFill>
              <w14:schemeClr w14:val="tx1"/>
            </w14:solidFill>
          </w14:textFill>
        </w:rPr>
        <w:t>三、</w:t>
      </w:r>
      <w:r>
        <w:rPr>
          <w:rStyle w:val="16"/>
          <w:rFonts w:ascii="黑体" w:hAnsi="黑体" w:eastAsia="黑体"/>
          <w:color w:val="000000" w:themeColor="text1"/>
          <w:sz w:val="30"/>
          <w:szCs w:val="30"/>
          <w14:textFill>
            <w14:solidFill>
              <w14:schemeClr w14:val="tx1"/>
            </w14:solidFill>
          </w14:textFill>
        </w:rPr>
        <w:tab/>
      </w:r>
      <w:r>
        <w:rPr>
          <w:rStyle w:val="16"/>
          <w:rFonts w:hint="eastAsia" w:ascii="黑体" w:hAnsi="黑体" w:eastAsia="黑体"/>
          <w:color w:val="000000" w:themeColor="text1"/>
          <w:sz w:val="30"/>
          <w:szCs w:val="30"/>
          <w14:textFill>
            <w14:solidFill>
              <w14:schemeClr w14:val="tx1"/>
            </w14:solidFill>
          </w14:textFill>
        </w:rPr>
        <w:t>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_Toc19950064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8</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"_Toc19950065" </w:instrText>
      </w:r>
      <w:r>
        <w:fldChar w:fldCharType="separate"/>
      </w:r>
      <w:r>
        <w:rPr>
          <w:rStyle w:val="16"/>
          <w:rFonts w:hint="eastAsia" w:ascii="黑体" w:hAnsi="黑体" w:eastAsia="黑体"/>
          <w:color w:val="000000" w:themeColor="text1"/>
          <w:sz w:val="30"/>
          <w:szCs w:val="30"/>
          <w14:textFill>
            <w14:solidFill>
              <w14:schemeClr w14:val="tx1"/>
            </w14:solidFill>
          </w14:textFill>
        </w:rPr>
        <w:t>四、财政拨款收入支出决算总体情况说明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_Toc19950065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9</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"_Toc19950066" </w:instrText>
      </w:r>
      <w:r>
        <w:fldChar w:fldCharType="separate"/>
      </w:r>
      <w:r>
        <w:rPr>
          <w:rStyle w:val="16"/>
          <w:rFonts w:hint="eastAsia" w:ascii="黑体" w:hAnsi="黑体" w:eastAsia="黑体"/>
          <w:color w:val="000000" w:themeColor="text1"/>
          <w:sz w:val="30"/>
          <w:szCs w:val="30"/>
          <w14:textFill>
            <w14:solidFill>
              <w14:schemeClr w14:val="tx1"/>
            </w14:solidFill>
          </w14:textFill>
        </w:rPr>
        <w:t>五、一般公共预算财政拨款支出决算情况说明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_Toc19950066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10</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"_Toc19950067" </w:instrText>
      </w:r>
      <w:r>
        <w:fldChar w:fldCharType="separate"/>
      </w:r>
      <w:r>
        <w:rPr>
          <w:rStyle w:val="16"/>
          <w:rFonts w:hint="eastAsia" w:ascii="黑体" w:hAnsi="黑体" w:eastAsia="黑体"/>
          <w:color w:val="000000" w:themeColor="text1"/>
          <w:sz w:val="30"/>
          <w:szCs w:val="30"/>
          <w14:textFill>
            <w14:solidFill>
              <w14:schemeClr w14:val="tx1"/>
            </w14:solidFill>
          </w14:textFill>
        </w:rPr>
        <w:t>六、一般公共预算财政拨款基本支出决算情况说明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_Toc19950067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"_Toc19950068" </w:instrText>
      </w:r>
      <w:r>
        <w:fldChar w:fldCharType="separate"/>
      </w:r>
      <w:r>
        <w:rPr>
          <w:rStyle w:val="16"/>
          <w:rFonts w:hint="eastAsia" w:ascii="黑体" w:hAnsi="黑体" w:eastAsia="黑体"/>
          <w:color w:val="000000" w:themeColor="text1"/>
          <w:sz w:val="30"/>
          <w:szCs w:val="30"/>
          <w14:textFill>
            <w14:solidFill>
              <w14:schemeClr w14:val="tx1"/>
            </w14:solidFill>
          </w14:textFill>
        </w:rPr>
        <w:t>七、</w:t>
      </w:r>
      <w:r>
        <w:rPr>
          <w:rStyle w:val="16"/>
          <w:rFonts w:ascii="黑体" w:hAnsi="黑体" w:eastAsia="黑体"/>
          <w:color w:val="000000" w:themeColor="text1"/>
          <w:sz w:val="30"/>
          <w:szCs w:val="30"/>
          <w14:textFill>
            <w14:solidFill>
              <w14:schemeClr w14:val="tx1"/>
            </w14:solidFill>
          </w14:textFill>
        </w:rPr>
        <w:t>“</w:t>
      </w:r>
      <w:r>
        <w:rPr>
          <w:rStyle w:val="16"/>
          <w:rFonts w:hint="eastAsia" w:ascii="黑体" w:hAnsi="黑体" w:eastAsia="黑体"/>
          <w:color w:val="000000" w:themeColor="text1"/>
          <w:sz w:val="30"/>
          <w:szCs w:val="30"/>
          <w14:textFill>
            <w14:solidFill>
              <w14:schemeClr w14:val="tx1"/>
            </w14:solidFill>
          </w14:textFill>
        </w:rPr>
        <w:t>三公”经费财政拨款支出决算情况说明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_Toc19950068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"_Toc19950069" </w:instrText>
      </w:r>
      <w:r>
        <w:fldChar w:fldCharType="separate"/>
      </w:r>
      <w:r>
        <w:rPr>
          <w:rStyle w:val="16"/>
          <w:rFonts w:hint="eastAsia" w:ascii="黑体" w:hAnsi="黑体" w:eastAsia="黑体"/>
          <w:color w:val="000000" w:themeColor="text1"/>
          <w:sz w:val="30"/>
          <w:szCs w:val="30"/>
          <w14:textFill>
            <w14:solidFill>
              <w14:schemeClr w14:val="tx1"/>
            </w14:solidFill>
          </w14:textFill>
        </w:rPr>
        <w:t>八、政府性基金预算支出决算情况说明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_Toc19950069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16</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"_Toc19950070" </w:instrText>
      </w:r>
      <w:r>
        <w:fldChar w:fldCharType="separate"/>
      </w:r>
      <w:r>
        <w:rPr>
          <w:rStyle w:val="16"/>
          <w:rFonts w:hint="eastAsia" w:ascii="黑体" w:hAnsi="黑体" w:eastAsia="黑体"/>
          <w:color w:val="000000" w:themeColor="text1"/>
          <w:sz w:val="30"/>
          <w:szCs w:val="30"/>
          <w14:textFill>
            <w14:solidFill>
              <w14:schemeClr w14:val="tx1"/>
            </w14:solidFill>
          </w14:textFill>
        </w:rPr>
        <w:t>九、 国有资本经营预算支出决算情况说明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_Toc19950070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16</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tabs>
          <w:tab w:val="left" w:pos="1260"/>
        </w:tabs>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"_Toc19950071" </w:instrText>
      </w:r>
      <w:r>
        <w:fldChar w:fldCharType="separate"/>
      </w:r>
      <w:r>
        <w:rPr>
          <w:rStyle w:val="16"/>
          <w:rFonts w:hint="eastAsia" w:ascii="黑体" w:hAnsi="黑体" w:eastAsia="黑体"/>
          <w:color w:val="000000" w:themeColor="text1"/>
          <w:sz w:val="30"/>
          <w:szCs w:val="30"/>
          <w14:textFill>
            <w14:solidFill>
              <w14:schemeClr w14:val="tx1"/>
            </w14:solidFill>
          </w14:textFill>
        </w:rPr>
        <w:t>十、</w:t>
      </w:r>
      <w:r>
        <w:rPr>
          <w:rStyle w:val="16"/>
          <w:rFonts w:ascii="黑体" w:hAnsi="黑体" w:eastAsia="黑体"/>
          <w:color w:val="000000" w:themeColor="text1"/>
          <w:sz w:val="30"/>
          <w:szCs w:val="30"/>
          <w14:textFill>
            <w14:solidFill>
              <w14:schemeClr w14:val="tx1"/>
            </w14:solidFill>
          </w14:textFill>
        </w:rPr>
        <w:tab/>
      </w:r>
      <w:r>
        <w:rPr>
          <w:rStyle w:val="16"/>
          <w:rFonts w:hint="eastAsia" w:ascii="黑体" w:hAnsi="黑体" w:eastAsia="黑体"/>
          <w:color w:val="000000" w:themeColor="text1"/>
          <w:sz w:val="30"/>
          <w:szCs w:val="30"/>
          <w14:textFill>
            <w14:solidFill>
              <w14:schemeClr w14:val="tx1"/>
            </w14:solidFill>
          </w14:textFill>
        </w:rPr>
        <w:t>预算绩效情况说明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_Toc19950071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16</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1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"_Toc19950072" </w:instrText>
      </w:r>
      <w:r>
        <w:fldChar w:fldCharType="separate"/>
      </w:r>
      <w:r>
        <w:rPr>
          <w:rStyle w:val="16"/>
          <w:rFonts w:hint="eastAsia" w:ascii="黑体" w:hAnsi="黑体" w:eastAsia="黑体"/>
          <w:color w:val="000000" w:themeColor="text1"/>
          <w:sz w:val="30"/>
          <w:szCs w:val="30"/>
          <w14:textFill>
            <w14:solidFill>
              <w14:schemeClr w14:val="tx1"/>
            </w14:solidFill>
          </w14:textFill>
        </w:rPr>
        <w:t>十一、其他重要事项的情况说明</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_Toc19950072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19</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"_Toc19950073" </w:instrText>
      </w:r>
      <w:r>
        <w:fldChar w:fldCharType="separate"/>
      </w:r>
      <w:r>
        <w:rPr>
          <w:rStyle w:val="16"/>
          <w:rFonts w:hint="eastAsia" w:ascii="黑体" w:hAnsi="黑体" w:eastAsia="黑体"/>
          <w:b/>
          <w:color w:val="000000" w:themeColor="text1"/>
          <w:sz w:val="30"/>
          <w:szCs w:val="30"/>
          <w14:textFill>
            <w14:solidFill>
              <w14:schemeClr w14:val="tx1"/>
            </w14:solidFill>
          </w14:textFill>
        </w:rPr>
        <w:t>第三部分 名词解释</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_Toc19950073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20</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2"/>
        <w:rPr>
          <w:rStyle w:val="16"/>
          <w:rFonts w:ascii="黑体" w:hAnsi="黑体" w:eastAsia="黑体"/>
          <w:color w:val="000000" w:themeColor="text1"/>
          <w:sz w:val="30"/>
          <w:szCs w:val="30"/>
          <w14:textFill>
            <w14:solidFill>
              <w14:schemeClr w14:val="tx1"/>
            </w14:solidFill>
          </w14:textFill>
        </w:rPr>
      </w:pPr>
      <w:r>
        <w:fldChar w:fldCharType="begin"/>
      </w:r>
      <w:r>
        <w:instrText xml:space="preserve"> HYPERLINK \l "_Toc19950074" </w:instrText>
      </w:r>
      <w:r>
        <w:fldChar w:fldCharType="separate"/>
      </w:r>
      <w:r>
        <w:rPr>
          <w:rStyle w:val="16"/>
          <w:rFonts w:hint="eastAsia" w:ascii="黑体" w:hAnsi="黑体" w:eastAsia="黑体"/>
          <w:b/>
          <w:color w:val="000000" w:themeColor="text1"/>
          <w:sz w:val="30"/>
          <w:szCs w:val="30"/>
          <w14:textFill>
            <w14:solidFill>
              <w14:schemeClr w14:val="tx1"/>
            </w14:solidFill>
          </w14:textFill>
        </w:rPr>
        <w:t>第四部分</w:t>
      </w:r>
      <w:r>
        <w:rPr>
          <w:rStyle w:val="16"/>
          <w:rFonts w:ascii="黑体" w:hAnsi="黑体" w:eastAsia="黑体"/>
          <w:b/>
          <w:color w:val="000000" w:themeColor="text1"/>
          <w:sz w:val="30"/>
          <w:szCs w:val="30"/>
          <w14:textFill>
            <w14:solidFill>
              <w14:schemeClr w14:val="tx1"/>
            </w14:solidFill>
          </w14:textFill>
        </w:rPr>
        <w:t xml:space="preserve"> </w:t>
      </w:r>
      <w:r>
        <w:rPr>
          <w:rStyle w:val="16"/>
          <w:rFonts w:hint="eastAsia" w:ascii="黑体" w:hAnsi="黑体" w:eastAsia="黑体"/>
          <w:b/>
          <w:color w:val="000000" w:themeColor="text1"/>
          <w:sz w:val="30"/>
          <w:szCs w:val="30"/>
          <w14:textFill>
            <w14:solidFill>
              <w14:schemeClr w14:val="tx1"/>
            </w14:solidFill>
          </w14:textFill>
        </w:rPr>
        <w:t>附件</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_Toc19950074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24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2"/>
        <w:rPr>
          <w:rStyle w:val="16"/>
          <w:rFonts w:ascii="黑体" w:hAnsi="黑体" w:eastAsia="黑体"/>
          <w:color w:val="000000" w:themeColor="text1"/>
          <w:sz w:val="30"/>
          <w:szCs w:val="30"/>
          <w14:textFill>
            <w14:solidFill>
              <w14:schemeClr w14:val="tx1"/>
            </w14:solidFill>
          </w14:textFill>
        </w:rPr>
      </w:pPr>
      <w:r>
        <w:rPr>
          <w:rStyle w:val="16"/>
          <w:rFonts w:hint="eastAsia" w:ascii="黑体" w:hAnsi="黑体" w:eastAsia="黑体"/>
          <w:color w:val="000000" w:themeColor="text1"/>
          <w:sz w:val="30"/>
          <w:szCs w:val="30"/>
          <w:u w:val="none"/>
          <w14:textFill>
            <w14:solidFill>
              <w14:schemeClr w14:val="tx1"/>
            </w14:solidFill>
          </w14:textFill>
        </w:rPr>
        <w:t xml:space="preserve">    </w:t>
      </w:r>
      <w:r>
        <w:fldChar w:fldCharType="begin"/>
      </w:r>
      <w:r>
        <w:instrText xml:space="preserve"> HYPERLINK \l "_Toc19950077" </w:instrText>
      </w:r>
      <w:r>
        <w:fldChar w:fldCharType="separate"/>
      </w:r>
      <w:r>
        <w:rPr>
          <w:rStyle w:val="16"/>
          <w:rFonts w:hint="eastAsia" w:ascii="黑体" w:hAnsi="黑体" w:eastAsia="黑体"/>
          <w:color w:val="000000" w:themeColor="text1"/>
          <w:sz w:val="30"/>
          <w:szCs w:val="30"/>
          <w:lang w:eastAsia="zh-CN"/>
          <w14:textFill>
            <w14:solidFill>
              <w14:schemeClr w14:val="tx1"/>
            </w14:solidFill>
          </w14:textFill>
        </w:rPr>
        <w:t>2019</w:t>
      </w:r>
      <w:r>
        <w:rPr>
          <w:rStyle w:val="16"/>
          <w:rFonts w:hint="eastAsia" w:ascii="黑体" w:hAnsi="黑体" w:eastAsia="黑体"/>
          <w:color w:val="000000" w:themeColor="text1"/>
          <w:sz w:val="30"/>
          <w:szCs w:val="30"/>
          <w14:textFill>
            <w14:solidFill>
              <w14:schemeClr w14:val="tx1"/>
            </w14:solidFill>
          </w14:textFill>
        </w:rPr>
        <w:t>年部门整体支出绩效评价报告</w:t>
      </w:r>
      <w:r>
        <w:rPr>
          <w:rStyle w:val="16"/>
          <w:rFonts w:ascii="黑体" w:hAnsi="黑体" w:eastAsia="黑体"/>
          <w:color w:val="000000" w:themeColor="text1"/>
          <w:sz w:val="30"/>
          <w:szCs w:val="30"/>
          <w14:textFill>
            <w14:solidFill>
              <w14:schemeClr w14:val="tx1"/>
            </w14:solidFill>
          </w14:textFill>
        </w:rPr>
        <w:tab/>
      </w:r>
      <w:r>
        <w:rPr>
          <w:rStyle w:val="16"/>
          <w:rFonts w:ascii="黑体" w:hAnsi="黑体" w:eastAsia="黑体"/>
          <w:color w:val="000000" w:themeColor="text1"/>
          <w:sz w:val="30"/>
          <w:szCs w:val="30"/>
          <w14:textFill>
            <w14:solidFill>
              <w14:schemeClr w14:val="tx1"/>
            </w14:solidFill>
          </w14:textFill>
        </w:rPr>
        <w:fldChar w:fldCharType="begin"/>
      </w:r>
      <w:r>
        <w:rPr>
          <w:rStyle w:val="16"/>
          <w:rFonts w:ascii="黑体" w:hAnsi="黑体" w:eastAsia="黑体"/>
          <w:color w:val="000000" w:themeColor="text1"/>
          <w:sz w:val="30"/>
          <w:szCs w:val="30"/>
          <w14:textFill>
            <w14:solidFill>
              <w14:schemeClr w14:val="tx1"/>
            </w14:solidFill>
          </w14:textFill>
        </w:rPr>
        <w:instrText xml:space="preserve"> PAGEREF _Toc19950077 \h </w:instrText>
      </w:r>
      <w:r>
        <w:rPr>
          <w:rStyle w:val="16"/>
          <w:rFonts w:ascii="黑体" w:hAnsi="黑体" w:eastAsia="黑体"/>
          <w:color w:val="000000" w:themeColor="text1"/>
          <w:sz w:val="30"/>
          <w:szCs w:val="30"/>
          <w14:textFill>
            <w14:solidFill>
              <w14:schemeClr w14:val="tx1"/>
            </w14:solidFill>
          </w14:textFill>
        </w:rPr>
        <w:fldChar w:fldCharType="separate"/>
      </w:r>
      <w:r>
        <w:rPr>
          <w:rStyle w:val="16"/>
          <w:rFonts w:ascii="黑体" w:hAnsi="黑体" w:eastAsia="黑体"/>
          <w:color w:val="000000" w:themeColor="text1"/>
          <w:sz w:val="30"/>
          <w:szCs w:val="30"/>
          <w14:textFill>
            <w14:solidFill>
              <w14:schemeClr w14:val="tx1"/>
            </w14:solidFill>
          </w14:textFill>
        </w:rPr>
        <w:t>24</w:t>
      </w:r>
      <w:r>
        <w:rPr>
          <w:rStyle w:val="16"/>
          <w:rFonts w:ascii="黑体" w:hAnsi="黑体" w:eastAsia="黑体"/>
          <w:color w:val="000000" w:themeColor="text1"/>
          <w:sz w:val="30"/>
          <w:szCs w:val="30"/>
          <w14:textFill>
            <w14:solidFill>
              <w14:schemeClr w14:val="tx1"/>
            </w14:solidFill>
          </w14:textFill>
        </w:rPr>
        <w:fldChar w:fldCharType="end"/>
      </w:r>
      <w:r>
        <w:rPr>
          <w:rStyle w:val="16"/>
          <w:rFonts w:ascii="黑体" w:hAnsi="黑体" w:eastAsia="黑体"/>
          <w:color w:val="000000" w:themeColor="text1"/>
          <w:sz w:val="30"/>
          <w:szCs w:val="30"/>
          <w14:textFill>
            <w14:solidFill>
              <w14:schemeClr w14:val="tx1"/>
            </w14:solidFill>
          </w14:textFill>
        </w:rPr>
        <w:fldChar w:fldCharType="end"/>
      </w:r>
    </w:p>
    <w:p>
      <w:pPr>
        <w:pStyle w:val="2"/>
        <w:rPr>
          <w:rStyle w:val="16"/>
          <w:rFonts w:ascii="黑体" w:hAnsi="黑体" w:eastAsia="黑体"/>
          <w:sz w:val="30"/>
          <w:szCs w:val="30"/>
        </w:rPr>
      </w:pPr>
      <w:r>
        <w:fldChar w:fldCharType="begin"/>
      </w:r>
      <w:r>
        <w:instrText xml:space="preserve"> HYPERLINK \l "_Toc19950078" </w:instrText>
      </w:r>
      <w:r>
        <w:fldChar w:fldCharType="separate"/>
      </w:r>
      <w:r>
        <w:rPr>
          <w:rStyle w:val="16"/>
          <w:rFonts w:hint="eastAsia" w:ascii="黑体" w:hAnsi="黑体" w:eastAsia="黑体"/>
          <w:b/>
          <w:sz w:val="30"/>
          <w:szCs w:val="30"/>
        </w:rPr>
        <w:t>第五部分</w:t>
      </w:r>
      <w:r>
        <w:rPr>
          <w:rStyle w:val="16"/>
          <w:rFonts w:ascii="黑体" w:hAnsi="黑体" w:eastAsia="黑体"/>
          <w:b/>
          <w:sz w:val="30"/>
          <w:szCs w:val="30"/>
        </w:rPr>
        <w:t xml:space="preserve"> </w:t>
      </w:r>
      <w:r>
        <w:rPr>
          <w:rStyle w:val="16"/>
          <w:rFonts w:hint="eastAsia" w:ascii="黑体" w:hAnsi="黑体" w:eastAsia="黑体"/>
          <w:b/>
          <w:sz w:val="30"/>
          <w:szCs w:val="30"/>
        </w:rPr>
        <w:t>附表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_Toc19950078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"_Toc19950079" </w:instrText>
      </w:r>
      <w:r>
        <w:fldChar w:fldCharType="separate"/>
      </w:r>
      <w:r>
        <w:rPr>
          <w:rStyle w:val="16"/>
          <w:rFonts w:hint="eastAsia" w:ascii="黑体" w:hAnsi="黑体" w:eastAsia="黑体"/>
          <w:sz w:val="30"/>
          <w:szCs w:val="30"/>
        </w:rPr>
        <w:t>一、收入支出决算总表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_Toc19950079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"_Toc19950080" </w:instrText>
      </w:r>
      <w:r>
        <w:fldChar w:fldCharType="separate"/>
      </w:r>
      <w:r>
        <w:rPr>
          <w:rStyle w:val="16"/>
          <w:rFonts w:hint="eastAsia" w:ascii="黑体" w:hAnsi="黑体" w:eastAsia="黑体"/>
          <w:sz w:val="30"/>
          <w:szCs w:val="30"/>
        </w:rPr>
        <w:t>二、收入总表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_Toc19950080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"_Toc19950081" </w:instrText>
      </w:r>
      <w:r>
        <w:fldChar w:fldCharType="separate"/>
      </w:r>
      <w:r>
        <w:rPr>
          <w:rStyle w:val="16"/>
          <w:rFonts w:hint="eastAsia" w:ascii="黑体" w:hAnsi="黑体" w:eastAsia="黑体"/>
          <w:sz w:val="30"/>
          <w:szCs w:val="30"/>
        </w:rPr>
        <w:t>三、支出总表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_Toc19950081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"_Toc19950082" </w:instrText>
      </w:r>
      <w:r>
        <w:fldChar w:fldCharType="separate"/>
      </w:r>
      <w:r>
        <w:rPr>
          <w:rStyle w:val="16"/>
          <w:rFonts w:hint="eastAsia" w:ascii="黑体" w:hAnsi="黑体" w:eastAsia="黑体"/>
          <w:sz w:val="30"/>
          <w:szCs w:val="30"/>
        </w:rPr>
        <w:t>四、财政拨款收入支出决算总表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_Toc19950082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"_Toc19950083" </w:instrText>
      </w:r>
      <w:r>
        <w:fldChar w:fldCharType="separate"/>
      </w:r>
      <w:r>
        <w:rPr>
          <w:rStyle w:val="16"/>
          <w:rFonts w:hint="eastAsia" w:ascii="黑体" w:hAnsi="黑体" w:eastAsia="黑体"/>
          <w:sz w:val="30"/>
          <w:szCs w:val="30"/>
        </w:rPr>
        <w:t>五、财政拨款支出决算明细表（政府经济分类科目）</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_Toc19950083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"_Toc19950084" </w:instrText>
      </w:r>
      <w:r>
        <w:fldChar w:fldCharType="separate"/>
      </w:r>
      <w:r>
        <w:rPr>
          <w:rStyle w:val="16"/>
          <w:rFonts w:hint="eastAsia" w:ascii="黑体" w:hAnsi="黑体" w:eastAsia="黑体"/>
          <w:sz w:val="30"/>
          <w:szCs w:val="30"/>
        </w:rPr>
        <w:t>六、一般公共预算财政拨款支出决算表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_Toc19950084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"_Toc19950085" </w:instrText>
      </w:r>
      <w:r>
        <w:fldChar w:fldCharType="separate"/>
      </w:r>
      <w:r>
        <w:rPr>
          <w:rStyle w:val="16"/>
          <w:rFonts w:hint="eastAsia" w:ascii="黑体" w:hAnsi="黑体" w:eastAsia="黑体"/>
          <w:sz w:val="30"/>
          <w:szCs w:val="30"/>
        </w:rPr>
        <w:t>七、一般公共预算财政拨款支出决算明细表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_Toc19950085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"_Toc19950086" </w:instrText>
      </w:r>
      <w:r>
        <w:fldChar w:fldCharType="separate"/>
      </w:r>
      <w:r>
        <w:rPr>
          <w:rStyle w:val="16"/>
          <w:rFonts w:hint="eastAsia" w:ascii="黑体" w:hAnsi="黑体" w:eastAsia="黑体"/>
          <w:sz w:val="30"/>
          <w:szCs w:val="30"/>
        </w:rPr>
        <w:t>八、一般公共预算财政拨款基本支出决算表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_Toc19950086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"_Toc19950087" </w:instrText>
      </w:r>
      <w:r>
        <w:fldChar w:fldCharType="separate"/>
      </w:r>
      <w:r>
        <w:rPr>
          <w:rStyle w:val="16"/>
          <w:rFonts w:hint="eastAsia" w:ascii="黑体" w:hAnsi="黑体" w:eastAsia="黑体"/>
          <w:sz w:val="30"/>
          <w:szCs w:val="30"/>
        </w:rPr>
        <w:t>九、一般公共预算财政拨款项目支出决算表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_Toc19950087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"_Toc19950088" </w:instrText>
      </w:r>
      <w:r>
        <w:fldChar w:fldCharType="separate"/>
      </w:r>
      <w:r>
        <w:rPr>
          <w:rStyle w:val="16"/>
          <w:rFonts w:hint="eastAsia" w:ascii="黑体" w:hAnsi="黑体" w:eastAsia="黑体"/>
          <w:sz w:val="30"/>
          <w:szCs w:val="30"/>
        </w:rPr>
        <w:t>十、一般公共预算财政拨款“三公”经费支出决算表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_Toc19950088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"_Toc19950089" </w:instrText>
      </w:r>
      <w:r>
        <w:fldChar w:fldCharType="separate"/>
      </w:r>
      <w:r>
        <w:rPr>
          <w:rStyle w:val="16"/>
          <w:rFonts w:hint="eastAsia" w:ascii="黑体" w:hAnsi="黑体" w:eastAsia="黑体"/>
          <w:sz w:val="30"/>
          <w:szCs w:val="30"/>
        </w:rPr>
        <w:t>十一、政府性基金预算财政拨款收入支出决算表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_Toc19950089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"_Toc19950090" </w:instrText>
      </w:r>
      <w:r>
        <w:fldChar w:fldCharType="separate"/>
      </w:r>
      <w:r>
        <w:rPr>
          <w:rStyle w:val="16"/>
          <w:rFonts w:hint="eastAsia" w:ascii="黑体" w:hAnsi="黑体" w:eastAsia="黑体"/>
          <w:sz w:val="30"/>
          <w:szCs w:val="30"/>
        </w:rPr>
        <w:t>十二、政府性基金预算财政拨款“三公”经费支出决算表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_Toc19950090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Fonts w:asciiTheme="minorHAnsi" w:hAnsiTheme="minorHAnsi" w:eastAsiaTheme="minorEastAsia" w:cstheme="minorBidi"/>
          <w:szCs w:val="22"/>
        </w:rPr>
      </w:pPr>
      <w:r>
        <w:fldChar w:fldCharType="begin"/>
      </w:r>
      <w:r>
        <w:instrText xml:space="preserve"> HYPERLINK \l "_Toc19950091" </w:instrText>
      </w:r>
      <w:r>
        <w:fldChar w:fldCharType="separate"/>
      </w:r>
      <w:r>
        <w:rPr>
          <w:rStyle w:val="16"/>
          <w:rFonts w:hint="eastAsia" w:ascii="黑体" w:hAnsi="黑体" w:eastAsia="黑体"/>
          <w:sz w:val="30"/>
          <w:szCs w:val="30"/>
        </w:rPr>
        <w:t>十三、国有资本经营预算支出决算表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_Toc19950091 \h </w:instrText>
      </w:r>
      <w:r>
        <w:rPr>
          <w:rStyle w:val="16"/>
          <w:rFonts w:ascii="黑体" w:hAnsi="黑体" w:eastAsia="黑体"/>
          <w:sz w:val="30"/>
          <w:szCs w:val="30"/>
        </w:rPr>
        <w:fldChar w:fldCharType="separate"/>
      </w:r>
      <w:r>
        <w:rPr>
          <w:rStyle w:val="16"/>
          <w:rFonts w:ascii="黑体" w:hAnsi="黑体" w:eastAsia="黑体"/>
          <w:sz w:val="30"/>
          <w:szCs w:val="30"/>
        </w:rPr>
        <w:t>34</w:t>
      </w:r>
      <w:r>
        <w:rPr>
          <w:rStyle w:val="16"/>
          <w:rFonts w:ascii="黑体" w:hAnsi="黑体" w:eastAsia="黑体"/>
          <w:sz w:val="30"/>
          <w:szCs w:val="30"/>
        </w:rPr>
        <w:fldChar w:fldCharType="end"/>
      </w:r>
      <w:r>
        <w:rPr>
          <w:rStyle w:val="16"/>
          <w:rFonts w:ascii="黑体" w:hAnsi="黑体" w:eastAsia="黑体"/>
          <w:sz w:val="30"/>
          <w:szCs w:val="30"/>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4" w:name="_Toc15377196"/>
      <w:r>
        <w:rPr>
          <w:rFonts w:ascii="黑体" w:hAnsi="黑体" w:eastAsia="黑体"/>
          <w:b/>
        </w:rPr>
        <w:br w:type="page"/>
      </w:r>
    </w:p>
    <w:p>
      <w:pPr>
        <w:pStyle w:val="3"/>
        <w:jc w:val="center"/>
        <w:rPr>
          <w:rFonts w:ascii="黑体" w:eastAsia="黑体"/>
          <w:color w:val="000000"/>
          <w:sz w:val="32"/>
          <w:szCs w:val="32"/>
        </w:rPr>
      </w:pPr>
      <w:bookmarkStart w:id="15" w:name="_Toc19950057"/>
      <w:r>
        <w:rPr>
          <w:rFonts w:hint="eastAsia" w:ascii="黑体" w:hAnsi="黑体" w:eastAsia="黑体"/>
          <w:b w:val="0"/>
        </w:rPr>
        <w:t xml:space="preserve">第一部分 </w:t>
      </w:r>
      <w:r>
        <w:rPr>
          <w:rStyle w:val="25"/>
          <w:rFonts w:hint="eastAsia" w:ascii="黑体" w:hAnsi="黑体" w:eastAsia="黑体"/>
          <w:b w:val="0"/>
          <w:bCs w:val="0"/>
        </w:rPr>
        <w:t>部门概况</w:t>
      </w:r>
      <w:bookmarkEnd w:id="14"/>
      <w:bookmarkEnd w:id="15"/>
    </w:p>
    <w:p>
      <w:pPr>
        <w:pStyle w:val="4"/>
      </w:pPr>
      <w:bookmarkStart w:id="16" w:name="_Toc19950058"/>
      <w:bookmarkStart w:id="17"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6"/>
      <w:bookmarkEnd w:id="17"/>
    </w:p>
    <w:p>
      <w:pPr>
        <w:pStyle w:val="7"/>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5"/>
      <w:bookmarkStart w:id="19" w:name="_Toc15377198"/>
      <w:r>
        <w:rPr>
          <w:rFonts w:hint="eastAsia" w:ascii="仿宋" w:hAnsi="仿宋" w:eastAsia="仿宋"/>
          <w:bCs/>
          <w:color w:val="000000"/>
          <w:sz w:val="32"/>
          <w:szCs w:val="32"/>
        </w:rPr>
        <w:t>（一）主要职能。</w:t>
      </w:r>
      <w:bookmarkEnd w:id="18"/>
      <w:bookmarkEnd w:id="19"/>
      <w:bookmarkStart w:id="20" w:name="_Toc15377199"/>
      <w:bookmarkStart w:id="21" w:name="_Toc153784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 w:eastAsia="仿宋_GB2312"/>
          <w:sz w:val="32"/>
          <w:szCs w:val="32"/>
        </w:rPr>
        <w:t>开江县</w:t>
      </w:r>
      <w:r>
        <w:rPr>
          <w:rFonts w:hint="eastAsia" w:ascii="仿宋_GB2312" w:hAnsi="仿宋" w:eastAsia="仿宋_GB2312"/>
          <w:sz w:val="32"/>
          <w:szCs w:val="32"/>
          <w:lang w:eastAsia="zh-CN"/>
        </w:rPr>
        <w:t>文化体育和旅游</w:t>
      </w:r>
      <w:r>
        <w:rPr>
          <w:rFonts w:hint="eastAsia" w:ascii="仿宋_GB2312" w:hAnsi="仿宋" w:eastAsia="仿宋_GB2312"/>
          <w:sz w:val="32"/>
          <w:szCs w:val="32"/>
        </w:rPr>
        <w:t>局系开江县人民政府工作部门。其主要职责有</w:t>
      </w:r>
      <w:r>
        <w:rPr>
          <w:rFonts w:hint="eastAsia" w:ascii="仿宋" w:hAnsi="仿宋" w:eastAsia="仿宋" w:cs="仿宋"/>
          <w:sz w:val="32"/>
          <w:szCs w:val="32"/>
        </w:rPr>
        <w:t>拟订文化、体育、旅游、广播电视和文物政策措施，起草文化、体育、旅游、广播电视和文物规范性文件，负责本部门依法行政工作</w:t>
      </w:r>
      <w:r>
        <w:rPr>
          <w:rFonts w:hint="eastAsia" w:ascii="仿宋" w:hAnsi="仿宋" w:eastAsia="仿宋" w:cs="仿宋"/>
          <w:sz w:val="32"/>
          <w:szCs w:val="32"/>
          <w:lang w:eastAsia="zh-CN"/>
        </w:rPr>
        <w:t>；</w:t>
      </w:r>
      <w:r>
        <w:rPr>
          <w:rFonts w:hint="eastAsia" w:ascii="仿宋" w:hAnsi="仿宋" w:eastAsia="仿宋" w:cs="仿宋"/>
          <w:sz w:val="32"/>
          <w:szCs w:val="32"/>
        </w:rPr>
        <w:t>组织推动全县文化事业、文化产业、体育事业和旅游业发展，拟订并组织实施全县文化、体育、旅游、广播电视发展和文物保护利用规划，推进所属行业的体制机制改革和行业融合发展</w:t>
      </w:r>
      <w:r>
        <w:rPr>
          <w:rFonts w:hint="eastAsia" w:ascii="仿宋" w:hAnsi="仿宋" w:eastAsia="仿宋" w:cs="仿宋"/>
          <w:sz w:val="32"/>
          <w:szCs w:val="32"/>
          <w:lang w:eastAsia="zh-CN"/>
        </w:rPr>
        <w:t>；</w:t>
      </w:r>
      <w:r>
        <w:rPr>
          <w:rFonts w:hint="eastAsia" w:ascii="仿宋" w:hAnsi="仿宋" w:eastAsia="仿宋" w:cs="仿宋"/>
          <w:sz w:val="32"/>
          <w:szCs w:val="32"/>
        </w:rPr>
        <w:t>负责管理全县性重大文化体育旅游活动，组织全县文化和旅游整体形象推广，指导全县重点文化、体育、旅游、广播电视设施建设，促进文化、体育、旅游产业对外交流合作和国际国内市场推广，加快推进</w:t>
      </w:r>
      <w:r>
        <w:rPr>
          <w:rFonts w:hint="eastAsia" w:ascii="仿宋" w:hAnsi="仿宋" w:eastAsia="仿宋" w:cs="仿宋"/>
          <w:sz w:val="32"/>
          <w:szCs w:val="32"/>
          <w:lang w:eastAsia="zh-CN"/>
        </w:rPr>
        <w:t>全域</w:t>
      </w:r>
      <w:r>
        <w:rPr>
          <w:rFonts w:hint="eastAsia" w:ascii="仿宋" w:hAnsi="仿宋" w:eastAsia="仿宋" w:cs="仿宋"/>
          <w:sz w:val="32"/>
          <w:szCs w:val="32"/>
        </w:rPr>
        <w:t>旅游</w:t>
      </w:r>
      <w:r>
        <w:rPr>
          <w:rFonts w:hint="eastAsia" w:ascii="仿宋_GB2312" w:hAnsi="仿宋" w:eastAsia="仿宋_GB2312"/>
          <w:sz w:val="32"/>
          <w:szCs w:val="32"/>
        </w:rPr>
        <w:t>等职能职责。</w:t>
      </w:r>
    </w:p>
    <w:p>
      <w:pPr>
        <w:pStyle w:val="7"/>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19</w:t>
      </w:r>
      <w:r>
        <w:rPr>
          <w:rFonts w:hint="eastAsia" w:ascii="仿宋" w:hAnsi="仿宋" w:eastAsia="仿宋"/>
          <w:bCs/>
          <w:color w:val="000000"/>
          <w:sz w:val="32"/>
          <w:szCs w:val="32"/>
        </w:rPr>
        <w:t>年重点工作完成情况。</w:t>
      </w:r>
      <w:bookmarkEnd w:id="20"/>
      <w:bookmarkEnd w:id="21"/>
    </w:p>
    <w:p>
      <w:pPr>
        <w:spacing w:line="600" w:lineRule="exact"/>
        <w:ind w:firstLine="643" w:firstLineChars="200"/>
        <w:rPr>
          <w:rFonts w:hint="eastAsia" w:ascii="方正仿宋简体" w:eastAsia="方正仿宋简体"/>
          <w:sz w:val="32"/>
          <w:szCs w:val="32"/>
          <w:lang w:eastAsia="zh-CN"/>
        </w:rPr>
      </w:pPr>
      <w:bookmarkStart w:id="22" w:name="_Toc15377200"/>
      <w:bookmarkStart w:id="23" w:name="_Toc19950059"/>
      <w:r>
        <w:rPr>
          <w:rFonts w:hint="eastAsia" w:ascii="方正仿宋简体" w:eastAsia="方正仿宋简体"/>
          <w:b/>
          <w:sz w:val="32"/>
          <w:szCs w:val="32"/>
        </w:rPr>
        <w:t>一是大力推进28个贫困村文化室提档升级。</w:t>
      </w:r>
      <w:r>
        <w:rPr>
          <w:rFonts w:hint="eastAsia" w:ascii="方正仿宋简体" w:eastAsia="方正仿宋简体"/>
          <w:sz w:val="32"/>
          <w:szCs w:val="32"/>
        </w:rPr>
        <w:t>对照“十个一”标准安排文化惠民资金130万元，采购的文体设施设备都已配送到位，贫困村文化室建设合格率达100%，全县村级文化室建设覆盖率达86%。其中回龙乐园村、靖安荷叶坝村、灵岩白竹山村被省委宣传部等部门命名为四川省2019年“文化扶贫示范村”。</w:t>
      </w:r>
      <w:r>
        <w:rPr>
          <w:rFonts w:hint="eastAsia" w:ascii="方正仿宋简体" w:eastAsia="方正仿宋简体"/>
          <w:b/>
          <w:sz w:val="32"/>
          <w:szCs w:val="32"/>
        </w:rPr>
        <w:t>二是大力推进农村广播“村村响”、地面电视无线数字化全覆盖工程建设。</w:t>
      </w:r>
      <w:r>
        <w:rPr>
          <w:rFonts w:hint="eastAsia" w:ascii="方正仿宋简体" w:eastAsia="方正仿宋简体"/>
          <w:sz w:val="32"/>
          <w:szCs w:val="32"/>
        </w:rPr>
        <w:t>完成69个非贫困村广播“村村响”安装调试以及地面电视信号3个无线发射补点站建设，实现广播电视信号全覆盖，让县委、县政府的声音第一时间到达全县各个层面，真正实现村村响、户户通。县文体旅游局被省广播电视局表彰为四川省广播电视行业先进集体。</w:t>
      </w:r>
      <w:r>
        <w:rPr>
          <w:rFonts w:hint="eastAsia" w:ascii="方正仿宋简体" w:eastAsia="方正仿宋简体"/>
          <w:b/>
          <w:sz w:val="32"/>
          <w:szCs w:val="32"/>
        </w:rPr>
        <w:t>三是大力推进基层综合文化服务中心免费wifi工程建设。</w:t>
      </w:r>
      <w:r>
        <w:rPr>
          <w:rFonts w:hint="eastAsia" w:ascii="方正仿宋简体" w:eastAsia="方正仿宋简体"/>
          <w:sz w:val="32"/>
          <w:szCs w:val="32"/>
        </w:rPr>
        <w:t>今年规划建设160个行政村免费公共wifi网络覆盖工程，3月完成该项目的招标采购工作，现已安装调试完成160套设备并投入使用。</w:t>
      </w:r>
      <w:r>
        <w:rPr>
          <w:rFonts w:hint="eastAsia" w:ascii="方正仿宋简体" w:eastAsia="方正仿宋简体"/>
          <w:b/>
          <w:sz w:val="32"/>
          <w:szCs w:val="32"/>
        </w:rPr>
        <w:t>四是大力推进社会足球场地、自行车（马拉松）赛道体育设施建设工程。</w:t>
      </w:r>
      <w:r>
        <w:rPr>
          <w:rFonts w:hint="eastAsia" w:ascii="方正仿宋简体" w:eastAsia="方正仿宋简体"/>
          <w:sz w:val="32"/>
          <w:szCs w:val="32"/>
        </w:rPr>
        <w:t>规划建设5-11人制社会足球场地5块，现已建成5人制足球场地3块；环宝石湖自行车（马拉松）赛道建设方案已通过县规划委员会的评审；莲花世界——黄金花海山地自行车骑行道建设工程，现已建骑行道9公里。</w:t>
      </w:r>
      <w:r>
        <w:rPr>
          <w:rFonts w:hint="eastAsia" w:ascii="方正仿宋简体" w:eastAsia="方正仿宋简体"/>
          <w:b/>
          <w:sz w:val="32"/>
          <w:szCs w:val="32"/>
        </w:rPr>
        <w:t>五是大力推进文化旅游重点项目建设工程。</w:t>
      </w:r>
      <w:r>
        <w:rPr>
          <w:rFonts w:hint="eastAsia" w:ascii="方正仿宋简体" w:eastAsia="方正仿宋简体"/>
          <w:sz w:val="32"/>
          <w:szCs w:val="32"/>
        </w:rPr>
        <w:t>金山景区已完成玉金路改道、商业中心内部装修、游客中心主体建筑、大雄宝殿主体工程、千步梯主体工程，该景区已步入扫尾阶段，正积极申请国家AAAA景区验收；“稻田+”乡村嘉年华已完成外部交通导视及户外广告宣传、入口区转洞桥乡村文化广场修建，新建3个停车场、3座旅游厕、1个游客中心，“我的大奔”、二十四节气景观、创客空间、共享农庄、竹溪村大门、“天下第一担”、稻田餐厅、“天下第一锄”等创意项目及景观小品建设已全面竣工，正积极申报国家AAA级景区。开江牌坊、益尔山休闲山庄、峨城山旅游景区、大梁山生态康养度假旅游区、莲花世界等文化旅游提升工程稳步实施。其中开江县莲花世界被市委市政授予“达州市优秀乡村旅游景点”，普安镇综合文化站被市委市政府表扬为“达州市乡镇综合文化站先进集体”。</w:t>
      </w:r>
    </w:p>
    <w:p>
      <w:pPr>
        <w:pStyle w:val="4"/>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2"/>
      <w:bookmarkEnd w:id="2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我部门下属二级单位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个，其中行政单位0个，参照公务员法管理的事业单位0个，其他事业单位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我部门下属二级单位开江县</w:t>
      </w:r>
      <w:r>
        <w:rPr>
          <w:rFonts w:hint="eastAsia" w:ascii="仿宋_GB2312" w:hAnsi="仿宋_GB2312" w:eastAsia="仿宋_GB2312" w:cs="仿宋_GB2312"/>
          <w:sz w:val="32"/>
          <w:szCs w:val="32"/>
          <w:lang w:eastAsia="zh-CN"/>
        </w:rPr>
        <w:t>体育发展服务中心、</w:t>
      </w:r>
      <w:r>
        <w:rPr>
          <w:rFonts w:hint="eastAsia" w:ascii="仿宋_GB2312" w:hAnsi="仿宋_GB2312" w:eastAsia="仿宋_GB2312" w:cs="仿宋_GB2312"/>
          <w:sz w:val="32"/>
          <w:szCs w:val="32"/>
        </w:rPr>
        <w:t>开江县图书馆、开江县文化馆、开江县文物管理所均为一级预算单位，未纳入我部门</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年度部门决算编制范围。</w:t>
      </w:r>
    </w:p>
    <w:p>
      <w:pPr>
        <w:pStyle w:val="3"/>
        <w:ind w:right="440"/>
        <w:jc w:val="right"/>
      </w:pPr>
      <w:bookmarkStart w:id="24" w:name="_Toc15377204"/>
      <w:bookmarkStart w:id="25" w:name="_Toc19950060"/>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4"/>
      <w:bookmarkEnd w:id="25"/>
    </w:p>
    <w:p>
      <w:pPr>
        <w:pStyle w:val="24"/>
        <w:numPr>
          <w:ilvl w:val="0"/>
          <w:numId w:val="1"/>
        </w:numPr>
        <w:spacing w:line="600" w:lineRule="exact"/>
        <w:ind w:firstLineChars="0"/>
        <w:outlineLvl w:val="1"/>
        <w:rPr>
          <w:rStyle w:val="26"/>
          <w:rFonts w:ascii="黑体" w:hAnsi="黑体" w:eastAsia="黑体"/>
          <w:b w:val="0"/>
        </w:rPr>
      </w:pPr>
      <w:bookmarkStart w:id="26" w:name="_Toc19950061"/>
      <w:bookmarkStart w:id="27"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p>
    <w:p>
      <w:pPr>
        <w:numPr>
          <w:ilvl w:val="0"/>
          <w:numId w:val="0"/>
        </w:numPr>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万元。与</w:t>
      </w:r>
      <w:r>
        <w:rPr>
          <w:rFonts w:hint="eastAsia" w:ascii="仿宋" w:hAnsi="仿宋" w:eastAsia="仿宋"/>
          <w:color w:val="000000"/>
          <w:sz w:val="32"/>
          <w:szCs w:val="32"/>
          <w:lang w:val="en-US" w:eastAsia="zh-CN"/>
        </w:rPr>
        <w:t>2018</w:t>
      </w:r>
      <w:r>
        <w:rPr>
          <w:rFonts w:hint="eastAsia" w:ascii="仿宋" w:hAnsi="仿宋" w:eastAsia="仿宋"/>
          <w:color w:val="000000"/>
          <w:sz w:val="32"/>
          <w:szCs w:val="32"/>
        </w:rPr>
        <w:t>年相比，财政拨款收入总计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1040.94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48.99</w:t>
      </w:r>
      <w:r>
        <w:rPr>
          <w:rFonts w:ascii="仿宋" w:hAnsi="仿宋" w:eastAsia="仿宋"/>
          <w:color w:val="000000"/>
          <w:sz w:val="32"/>
          <w:szCs w:val="32"/>
        </w:rPr>
        <w:t>%</w:t>
      </w:r>
      <w:r>
        <w:rPr>
          <w:rFonts w:hint="eastAsia" w:ascii="仿宋" w:hAnsi="仿宋" w:eastAsia="仿宋"/>
          <w:color w:val="000000"/>
          <w:sz w:val="32"/>
          <w:szCs w:val="32"/>
        </w:rPr>
        <w:t>、支出总计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1040.94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2019年项目减少，无政府性基金预算财政拨款与年初结转结余支出。</w:t>
      </w:r>
    </w:p>
    <w:p>
      <w:pPr>
        <w:widowControl/>
        <w:jc w:val="left"/>
        <w:rPr>
          <w:rFonts w:ascii="黑体" w:hAnsi="黑体" w:eastAsia="黑体"/>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bookmarkStart w:id="28" w:name="_Toc15377206"/>
    </w:p>
    <w:p>
      <w:pPr>
        <w:pStyle w:val="24"/>
        <w:numPr>
          <w:ilvl w:val="0"/>
          <w:numId w:val="1"/>
        </w:numPr>
        <w:spacing w:line="600" w:lineRule="exact"/>
        <w:ind w:firstLineChars="0"/>
        <w:outlineLvl w:val="1"/>
        <w:rPr>
          <w:rStyle w:val="26"/>
          <w:rFonts w:ascii="黑体" w:hAnsi="黑体" w:eastAsia="黑体"/>
          <w:b w:val="0"/>
        </w:rPr>
      </w:pPr>
      <w:bookmarkStart w:id="29" w:name="_Toc19950062"/>
      <w:r>
        <w:rPr>
          <w:rFonts w:ascii="黑体" w:hAnsi="黑体" w:eastAsia="黑体"/>
          <w:color w:val="000000"/>
          <w:sz w:val="32"/>
          <w:szCs w:val="32"/>
        </w:rPr>
        <w:drawing>
          <wp:anchor distT="0" distB="0" distL="114300" distR="114300" simplePos="0" relativeHeight="251658240" behindDoc="0" locked="0" layoutInCell="1" allowOverlap="1">
            <wp:simplePos x="0" y="0"/>
            <wp:positionH relativeFrom="column">
              <wp:posOffset>250190</wp:posOffset>
            </wp:positionH>
            <wp:positionV relativeFrom="paragraph">
              <wp:posOffset>-7270750</wp:posOffset>
            </wp:positionV>
            <wp:extent cx="4893310" cy="2771140"/>
            <wp:effectExtent l="4445" t="4445" r="1714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8"/>
      <w:bookmarkEnd w:id="29"/>
    </w:p>
    <w:p>
      <w:pPr>
        <w:spacing w:line="600" w:lineRule="exact"/>
        <w:ind w:firstLine="640" w:firstLineChars="200"/>
        <w:outlineLvl w:val="1"/>
        <w:rPr>
          <w:rFonts w:ascii="仿宋" w:hAnsi="仿宋" w:eastAsia="仿宋"/>
          <w:color w:val="000000"/>
          <w:sz w:val="32"/>
          <w:szCs w:val="32"/>
        </w:rPr>
      </w:pPr>
      <w:bookmarkStart w:id="30" w:name="_Toc19950063"/>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10831.81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10831.81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（图2：收入决算结构图）</w:t>
      </w:r>
    </w:p>
    <w:p>
      <w:pPr>
        <w:spacing w:line="360" w:lineRule="auto"/>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0" distR="0">
            <wp:extent cx="4799330" cy="3270250"/>
            <wp:effectExtent l="4445" t="5080" r="15875"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1" w:name="_Toc15377207"/>
      <w:bookmarkStart w:id="32" w:name="_Toc19950064"/>
      <w:r>
        <w:rPr>
          <w:rFonts w:hint="eastAsia" w:ascii="黑体" w:hAnsi="黑体" w:eastAsia="黑体"/>
          <w:color w:val="000000"/>
          <w:sz w:val="32"/>
          <w:szCs w:val="32"/>
        </w:rPr>
        <w:t>支</w:t>
      </w:r>
      <w:r>
        <w:rPr>
          <w:rStyle w:val="26"/>
          <w:rFonts w:hint="eastAsia" w:ascii="黑体" w:hAnsi="黑体" w:eastAsia="黑体"/>
          <w:b w:val="0"/>
        </w:rPr>
        <w:t>出决算情况说明</w:t>
      </w:r>
      <w:bookmarkEnd w:id="31"/>
      <w:bookmarkEnd w:id="32"/>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558.56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525.25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360" w:lineRule="auto"/>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400550" cy="2644775"/>
            <wp:effectExtent l="19050" t="0" r="19050" b="2721"/>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ascii="黑体" w:hAnsi="黑体" w:eastAsia="黑体"/>
          <w:color w:val="000000"/>
          <w:sz w:val="32"/>
          <w:szCs w:val="32"/>
        </w:rPr>
      </w:pPr>
      <w:bookmarkStart w:id="33" w:name="_Toc15377208"/>
    </w:p>
    <w:p>
      <w:pPr>
        <w:spacing w:line="600" w:lineRule="exact"/>
        <w:ind w:firstLine="640" w:firstLineChars="200"/>
        <w:outlineLvl w:val="1"/>
        <w:rPr>
          <w:rStyle w:val="26"/>
          <w:rFonts w:ascii="黑体" w:hAnsi="黑体" w:eastAsia="黑体"/>
          <w:b w:val="0"/>
        </w:rPr>
      </w:pPr>
      <w:bookmarkStart w:id="34" w:name="_Toc19950065"/>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3"/>
      <w:bookmarkEnd w:id="34"/>
    </w:p>
    <w:p>
      <w:pPr>
        <w:numPr>
          <w:ilvl w:val="0"/>
          <w:numId w:val="0"/>
        </w:numPr>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年相比，财政拨款收入总计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1040.94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48.99</w:t>
      </w:r>
      <w:r>
        <w:rPr>
          <w:rFonts w:ascii="仿宋" w:hAnsi="仿宋" w:eastAsia="仿宋"/>
          <w:color w:val="000000"/>
          <w:sz w:val="32"/>
          <w:szCs w:val="32"/>
        </w:rPr>
        <w:t>%</w:t>
      </w:r>
      <w:r>
        <w:rPr>
          <w:rFonts w:hint="eastAsia" w:ascii="仿宋" w:hAnsi="仿宋" w:eastAsia="仿宋"/>
          <w:color w:val="000000"/>
          <w:sz w:val="32"/>
          <w:szCs w:val="32"/>
        </w:rPr>
        <w:t>、支出总计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1040.94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48.99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2019年项目减少，无政府性基金预算财政拨款与年初结转结余支出。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508000</wp:posOffset>
            </wp:positionH>
            <wp:positionV relativeFrom="paragraph">
              <wp:posOffset>-8058150</wp:posOffset>
            </wp:positionV>
            <wp:extent cx="4616450" cy="2475230"/>
            <wp:effectExtent l="4445" t="4445" r="8255"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p>
    <w:p>
      <w:pPr>
        <w:tabs>
          <w:tab w:val="left" w:pos="5640"/>
        </w:tabs>
        <w:spacing w:line="600" w:lineRule="exac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ab/>
      </w:r>
    </w:p>
    <w:p>
      <w:pPr>
        <w:spacing w:line="600" w:lineRule="exact"/>
        <w:ind w:firstLine="640" w:firstLineChars="200"/>
        <w:outlineLvl w:val="1"/>
        <w:rPr>
          <w:rStyle w:val="26"/>
          <w:rFonts w:ascii="黑体" w:hAnsi="黑体" w:eastAsia="黑体"/>
          <w:b w:val="0"/>
        </w:rPr>
      </w:pPr>
      <w:bookmarkStart w:id="35" w:name="_Toc15377209"/>
      <w:bookmarkStart w:id="36" w:name="_Toc19950066"/>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5"/>
      <w:bookmarkEnd w:id="36"/>
    </w:p>
    <w:p>
      <w:pPr>
        <w:spacing w:line="600" w:lineRule="exact"/>
        <w:ind w:firstLine="643" w:firstLineChars="200"/>
        <w:outlineLvl w:val="2"/>
        <w:rPr>
          <w:rFonts w:ascii="仿宋" w:hAnsi="仿宋" w:eastAsia="仿宋"/>
          <w:b/>
          <w:color w:val="000000"/>
          <w:sz w:val="32"/>
          <w:szCs w:val="32"/>
        </w:rPr>
      </w:pPr>
      <w:bookmarkStart w:id="37" w:name="_Toc15377210"/>
      <w:r>
        <w:rPr>
          <w:rFonts w:hint="eastAsia" w:ascii="仿宋" w:hAnsi="仿宋" w:eastAsia="仿宋"/>
          <w:b/>
          <w:color w:val="000000"/>
          <w:sz w:val="32"/>
          <w:szCs w:val="32"/>
        </w:rPr>
        <w:t>（一）一般公共预算财政拨款支出决算总体情况</w:t>
      </w:r>
      <w:bookmarkEnd w:id="37"/>
    </w:p>
    <w:p>
      <w:pPr>
        <w:numPr>
          <w:ilvl w:val="0"/>
          <w:numId w:val="0"/>
        </w:numPr>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1083.81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1010.93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48.26</w:t>
      </w:r>
      <w:r>
        <w:rPr>
          <w:rFonts w:ascii="仿宋" w:hAnsi="仿宋" w:eastAsia="仿宋"/>
          <w:color w:val="000000"/>
          <w:sz w:val="32"/>
          <w:szCs w:val="32"/>
        </w:rPr>
        <w:t>%</w:t>
      </w:r>
      <w:r>
        <w:rPr>
          <w:rFonts w:hint="eastAsia" w:ascii="仿宋" w:hAnsi="仿宋" w:eastAsia="仿宋"/>
          <w:color w:val="000000"/>
          <w:sz w:val="32"/>
          <w:szCs w:val="32"/>
        </w:rPr>
        <w:t>。主要变动原是</w:t>
      </w:r>
      <w:r>
        <w:rPr>
          <w:rFonts w:hint="eastAsia" w:ascii="仿宋" w:hAnsi="仿宋" w:eastAsia="仿宋"/>
          <w:color w:val="000000"/>
          <w:sz w:val="32"/>
          <w:szCs w:val="32"/>
          <w:lang w:val="en-US" w:eastAsia="zh-CN"/>
        </w:rPr>
        <w:t>2019年项目减少，无政府性基金预算财政拨款与年初结转结余支出。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margin">
              <wp:posOffset>310515</wp:posOffset>
            </wp:positionH>
            <wp:positionV relativeFrom="paragraph">
              <wp:posOffset>207010</wp:posOffset>
            </wp:positionV>
            <wp:extent cx="5266690" cy="3091180"/>
            <wp:effectExtent l="19050" t="0" r="1016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8" w:name="_Toc15377211"/>
      <w:r>
        <w:rPr>
          <w:rFonts w:hint="eastAsia" w:ascii="仿宋" w:hAnsi="仿宋" w:eastAsia="仿宋"/>
          <w:b/>
          <w:color w:val="000000"/>
          <w:sz w:val="32"/>
          <w:szCs w:val="32"/>
        </w:rPr>
        <w:t>（二）一般公共预算财政拨款支出决算结构情况</w:t>
      </w:r>
      <w:bookmarkEnd w:id="38"/>
    </w:p>
    <w:p>
      <w:pPr>
        <w:widowControl/>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1083.81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文化体育与传媒（类）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971.06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89.60</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67.54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医疗卫生支出（类）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20.37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1.88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24.84</w:t>
      </w:r>
      <w:r>
        <w:rPr>
          <w:rFonts w:hint="eastAsia" w:ascii="仿宋" w:hAnsi="仿宋" w:eastAsia="仿宋"/>
          <w:color w:val="000000" w:themeColor="text1"/>
          <w:sz w:val="32"/>
          <w:szCs w:val="32"/>
          <w14:textFill>
            <w14:solidFill>
              <w14:schemeClr w14:val="tx1"/>
            </w14:solidFill>
          </w14:textFill>
        </w:rPr>
        <w:t>万元，占1.12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421640</wp:posOffset>
            </wp:positionH>
            <wp:positionV relativeFrom="paragraph">
              <wp:posOffset>262890</wp:posOffset>
            </wp:positionV>
            <wp:extent cx="5271770" cy="3080385"/>
            <wp:effectExtent l="19050" t="0" r="24311" b="5443"/>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outlineLvl w:val="2"/>
        <w:rPr>
          <w:rFonts w:ascii="仿宋" w:hAnsi="仿宋" w:eastAsia="仿宋"/>
          <w:b/>
          <w:color w:val="000000"/>
          <w:sz w:val="32"/>
          <w:szCs w:val="32"/>
        </w:rPr>
      </w:pPr>
      <w:bookmarkStart w:id="39"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9"/>
    </w:p>
    <w:p>
      <w:pPr>
        <w:spacing w:line="600" w:lineRule="exact"/>
        <w:ind w:firstLine="643" w:firstLineChars="200"/>
        <w:outlineLvl w:val="2"/>
        <w:rPr>
          <w:rFonts w:ascii="仿宋" w:hAnsi="仿宋" w:eastAsia="仿宋"/>
          <w:b/>
          <w:color w:val="000000"/>
          <w:sz w:val="32"/>
          <w:szCs w:val="32"/>
        </w:rPr>
      </w:pPr>
      <w:bookmarkStart w:id="40" w:name="_Toc15378460"/>
      <w:bookmarkStart w:id="41" w:name="_Toc15377444"/>
      <w:bookmarkStart w:id="42" w:name="_Toc15377213"/>
      <w:r>
        <w:rPr>
          <w:rFonts w:hint="eastAsia" w:ascii="仿宋" w:hAnsi="仿宋" w:eastAsia="仿宋"/>
          <w:b/>
          <w:color w:val="000000" w:themeColor="text1"/>
          <w:sz w:val="32"/>
          <w:szCs w:val="32"/>
          <w:lang w:eastAsia="zh-CN"/>
          <w14:textFill>
            <w14:solidFill>
              <w14:schemeClr w14:val="tx1"/>
            </w14:solidFill>
          </w14:textFill>
        </w:rPr>
        <w:t>2019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1083.81</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0"/>
      <w:bookmarkEnd w:id="41"/>
      <w:bookmarkEnd w:id="42"/>
    </w:p>
    <w:p>
      <w:p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283.61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r>
        <w:rPr>
          <w:rStyle w:val="15"/>
          <w:rFonts w:hint="eastAsia" w:ascii="仿宋" w:hAnsi="仿宋" w:eastAsia="仿宋"/>
          <w:b w:val="0"/>
          <w:bCs/>
          <w:color w:val="000000"/>
          <w:sz w:val="32"/>
          <w:szCs w:val="32"/>
          <w:lang w:val="en-US" w:eastAsia="zh-CN"/>
        </w:rPr>
        <w:t xml:space="preserve">                   </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2070104</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3</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2070109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2070111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10.59</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5</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2070112</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3.45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6</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2070199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7</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20706</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2070699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8</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2070801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162.21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9</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2070899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10</w:t>
      </w:r>
      <w:r>
        <w:rPr>
          <w:rStyle w:val="15"/>
          <w:rFonts w:hint="eastAsia" w:ascii="仿宋" w:hAnsi="仿宋" w:eastAsia="仿宋"/>
          <w:bCs/>
          <w:color w:val="000000"/>
          <w:sz w:val="32"/>
          <w:szCs w:val="32"/>
        </w:rPr>
        <w:t>文化</w:t>
      </w:r>
      <w:r>
        <w:rPr>
          <w:rStyle w:val="15"/>
          <w:rFonts w:hint="eastAsia" w:ascii="仿宋" w:hAnsi="仿宋" w:eastAsia="仿宋"/>
          <w:bCs/>
          <w:color w:val="000000"/>
          <w:sz w:val="32"/>
          <w:szCs w:val="32"/>
          <w:lang w:eastAsia="zh-CN"/>
        </w:rPr>
        <w:t>旅游</w:t>
      </w:r>
      <w:r>
        <w:rPr>
          <w:rStyle w:val="15"/>
          <w:rFonts w:hint="eastAsia" w:ascii="仿宋" w:hAnsi="仿宋" w:eastAsia="仿宋"/>
          <w:bCs/>
          <w:color w:val="000000"/>
          <w:sz w:val="32"/>
          <w:szCs w:val="32"/>
        </w:rPr>
        <w:t>体育与传媒（类）</w:t>
      </w:r>
      <w:r>
        <w:rPr>
          <w:rStyle w:val="15"/>
          <w:rFonts w:hint="eastAsia" w:ascii="仿宋" w:hAnsi="仿宋" w:eastAsia="仿宋"/>
          <w:bCs/>
          <w:color w:val="000000"/>
          <w:sz w:val="32"/>
          <w:szCs w:val="32"/>
          <w:lang w:val="en-US" w:eastAsia="zh-CN"/>
        </w:rPr>
        <w:t>20799</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2079999</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373.21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jc w:val="left"/>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2</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20805</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2080505</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35.82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Fonts w:hint="default"/>
          <w:lang w:val="en-US" w:eastAsia="zh-CN"/>
        </w:rPr>
      </w:pPr>
      <w:r>
        <w:rPr>
          <w:rStyle w:val="15"/>
          <w:rFonts w:hint="eastAsia" w:ascii="仿宋" w:hAnsi="仿宋" w:eastAsia="仿宋"/>
          <w:bCs/>
          <w:color w:val="000000"/>
          <w:sz w:val="32"/>
          <w:szCs w:val="32"/>
          <w:lang w:val="en-US" w:eastAsia="zh-CN"/>
        </w:rPr>
        <w:t>2.2</w:t>
      </w:r>
      <w:r>
        <w:rPr>
          <w:rStyle w:val="15"/>
          <w:rFonts w:hint="eastAsia" w:ascii="仿宋" w:hAnsi="仿宋" w:eastAsia="仿宋"/>
          <w:bCs/>
          <w:color w:val="000000"/>
          <w:sz w:val="32"/>
          <w:szCs w:val="32"/>
        </w:rPr>
        <w:t>社会保障和就业（类）</w:t>
      </w:r>
      <w:r>
        <w:rPr>
          <w:rStyle w:val="15"/>
          <w:rFonts w:hint="eastAsia" w:ascii="仿宋" w:hAnsi="仿宋" w:eastAsia="仿宋"/>
          <w:bCs/>
          <w:color w:val="000000"/>
          <w:sz w:val="32"/>
          <w:szCs w:val="32"/>
          <w:lang w:val="en-US" w:eastAsia="zh-CN"/>
        </w:rPr>
        <w:t>20808</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2080801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31.73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3</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1</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21011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2101101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20.37</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3</w:t>
      </w:r>
      <w:r>
        <w:rPr>
          <w:rStyle w:val="15"/>
          <w:rFonts w:hint="eastAsia" w:ascii="仿宋" w:hAnsi="仿宋" w:eastAsia="仿宋"/>
          <w:bCs/>
          <w:color w:val="000000"/>
          <w:sz w:val="32"/>
          <w:szCs w:val="32"/>
        </w:rPr>
        <w:t>.</w:t>
      </w:r>
      <w:r>
        <w:rPr>
          <w:rStyle w:val="15"/>
          <w:rFonts w:hint="eastAsia" w:ascii="仿宋" w:hAnsi="仿宋" w:eastAsia="仿宋"/>
          <w:bCs/>
          <w:color w:val="000000"/>
          <w:sz w:val="32"/>
          <w:szCs w:val="32"/>
          <w:lang w:val="en-US" w:eastAsia="zh-CN"/>
        </w:rPr>
        <w:t>2</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21011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2101102</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4.96</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3.3</w:t>
      </w:r>
      <w:r>
        <w:rPr>
          <w:rStyle w:val="15"/>
          <w:rFonts w:hint="eastAsia" w:ascii="仿宋" w:hAnsi="仿宋" w:eastAsia="仿宋"/>
          <w:bCs/>
          <w:color w:val="000000"/>
          <w:sz w:val="32"/>
          <w:szCs w:val="32"/>
          <w:lang w:eastAsia="zh-CN"/>
        </w:rPr>
        <w:t>卫生健康</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val="en-US" w:eastAsia="zh-CN"/>
        </w:rPr>
        <w:t>21011</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2101103</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6.84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spacing w:line="600" w:lineRule="exact"/>
        <w:ind w:firstLine="643" w:firstLineChars="200"/>
        <w:rPr>
          <w:rStyle w:val="15"/>
          <w:rFonts w:hint="default" w:ascii="仿宋" w:hAnsi="仿宋" w:eastAsia="仿宋"/>
          <w:b w:val="0"/>
          <w:bCs/>
          <w:color w:val="000000"/>
          <w:sz w:val="32"/>
          <w:szCs w:val="32"/>
          <w:lang w:val="en-US" w:eastAsia="zh-CN"/>
        </w:rPr>
      </w:pPr>
      <w:r>
        <w:rPr>
          <w:rStyle w:val="15"/>
          <w:rFonts w:hint="eastAsia" w:ascii="仿宋" w:hAnsi="仿宋" w:eastAsia="仿宋"/>
          <w:bCs/>
          <w:color w:val="000000"/>
          <w:sz w:val="32"/>
          <w:szCs w:val="32"/>
          <w:lang w:val="en-US" w:eastAsia="zh-CN"/>
        </w:rPr>
        <w:t>4</w:t>
      </w:r>
      <w:r>
        <w:rPr>
          <w:rStyle w:val="15"/>
          <w:rFonts w:hint="eastAsia" w:ascii="仿宋" w:hAnsi="仿宋" w:eastAsia="仿宋"/>
          <w:bCs/>
          <w:color w:val="000000"/>
          <w:sz w:val="32"/>
          <w:szCs w:val="32"/>
        </w:rPr>
        <w:t>.住房保障（类）</w:t>
      </w:r>
      <w:r>
        <w:rPr>
          <w:rStyle w:val="15"/>
          <w:rFonts w:hint="eastAsia" w:ascii="仿宋" w:hAnsi="仿宋" w:eastAsia="仿宋"/>
          <w:bCs/>
          <w:color w:val="000000"/>
          <w:sz w:val="32"/>
          <w:szCs w:val="32"/>
          <w:lang w:val="en-US" w:eastAsia="zh-CN"/>
        </w:rPr>
        <w:t>21102</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val="en-US" w:eastAsia="zh-CN"/>
        </w:rPr>
        <w:t>2110201</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24.84</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基本持平。</w:t>
      </w:r>
    </w:p>
    <w:p>
      <w:pPr>
        <w:tabs>
          <w:tab w:val="right" w:pos="8306"/>
        </w:tabs>
        <w:spacing w:line="600" w:lineRule="exact"/>
        <w:ind w:firstLine="640"/>
        <w:outlineLvl w:val="1"/>
        <w:rPr>
          <w:rStyle w:val="26"/>
        </w:rPr>
      </w:pPr>
      <w:bookmarkStart w:id="43" w:name="_Toc15377214"/>
      <w:bookmarkStart w:id="44" w:name="_Toc1995006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3"/>
      <w:bookmarkEnd w:id="44"/>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558.56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510.02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48.54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5" w:name="_Toc15377215"/>
      <w:bookmarkStart w:id="46" w:name="_Toc19950068"/>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5"/>
      <w:bookmarkEnd w:id="46"/>
    </w:p>
    <w:p>
      <w:pPr>
        <w:spacing w:line="600" w:lineRule="exact"/>
        <w:ind w:firstLine="640"/>
        <w:outlineLvl w:val="2"/>
        <w:rPr>
          <w:rFonts w:ascii="仿宋" w:hAnsi="仿宋" w:eastAsia="仿宋"/>
          <w:b/>
          <w:color w:val="000000"/>
          <w:sz w:val="32"/>
          <w:szCs w:val="32"/>
        </w:rPr>
      </w:pPr>
      <w:bookmarkStart w:id="47" w:name="_Toc15377216"/>
      <w:r>
        <w:rPr>
          <w:rFonts w:hint="eastAsia" w:ascii="仿宋" w:hAnsi="仿宋" w:eastAsia="仿宋"/>
          <w:b/>
          <w:color w:val="000000"/>
          <w:sz w:val="32"/>
          <w:szCs w:val="32"/>
        </w:rPr>
        <w:t>（一）“三公”经费财政拨款支出决算总体情况说明</w:t>
      </w:r>
      <w:bookmarkEnd w:id="47"/>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年“三公”经费财政拨款支出决算为0.3</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w:t>
      </w:r>
      <w:r>
        <w:rPr>
          <w:rStyle w:val="15"/>
          <w:rFonts w:hint="eastAsia" w:ascii="仿宋" w:hAnsi="仿宋" w:eastAsia="仿宋"/>
          <w:b w:val="0"/>
          <w:bCs/>
          <w:color w:val="000000"/>
          <w:sz w:val="32"/>
          <w:szCs w:val="32"/>
          <w:lang w:eastAsia="zh-CN"/>
        </w:rPr>
        <w:t>一致</w:t>
      </w:r>
      <w:r>
        <w:rPr>
          <w:rFonts w:hint="eastAsia" w:ascii="仿宋_GB2312" w:eastAsia="仿宋_GB2312"/>
          <w:color w:val="000000"/>
          <w:sz w:val="32"/>
          <w:szCs w:val="32"/>
        </w:rPr>
        <w:t>。</w:t>
      </w:r>
    </w:p>
    <w:p>
      <w:pPr>
        <w:spacing w:line="600" w:lineRule="exact"/>
        <w:ind w:firstLine="640"/>
        <w:outlineLvl w:val="2"/>
        <w:rPr>
          <w:rFonts w:ascii="仿宋" w:hAnsi="仿宋" w:eastAsia="仿宋"/>
          <w:b/>
          <w:color w:val="000000"/>
          <w:sz w:val="32"/>
          <w:szCs w:val="32"/>
        </w:rPr>
      </w:pPr>
      <w:bookmarkStart w:id="48" w:name="_Toc15377217"/>
      <w:r>
        <w:rPr>
          <w:rFonts w:hint="eastAsia" w:ascii="仿宋" w:hAnsi="仿宋" w:eastAsia="仿宋"/>
          <w:b/>
          <w:color w:val="000000"/>
          <w:sz w:val="32"/>
          <w:szCs w:val="32"/>
        </w:rPr>
        <w:t>（二）“三公”经费财政拨款支出决算具体情况说明</w:t>
      </w:r>
      <w:bookmarkEnd w:id="48"/>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；公务接待费支出决算0.3</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264160</wp:posOffset>
            </wp:positionV>
            <wp:extent cx="4432935" cy="3493770"/>
            <wp:effectExtent l="4445" t="4445" r="20320" b="698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hint="eastAsia" w:ascii="仿宋" w:hAnsi="仿宋" w:eastAsia="仿宋"/>
          <w:color w:val="000000"/>
          <w:sz w:val="32"/>
          <w:szCs w:val="32"/>
          <w:lang w:val="en-US" w:eastAsia="zh-CN"/>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0.9</w:t>
      </w:r>
      <w:r>
        <w:rPr>
          <w:rFonts w:ascii="仿宋_GB2312" w:eastAsia="仿宋_GB2312"/>
          <w:color w:val="000000"/>
          <w:sz w:val="32"/>
          <w:szCs w:val="32"/>
        </w:rPr>
        <w:t>%</w:t>
      </w:r>
      <w:r>
        <w:rPr>
          <w:rFonts w:hint="eastAsia" w:ascii="仿宋_GB2312" w:eastAsia="仿宋_GB2312"/>
          <w:color w:val="000000"/>
          <w:sz w:val="32"/>
          <w:szCs w:val="32"/>
        </w:rPr>
        <w:t>。主要原因是严格执行“八项规定”，厉行节约。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主要用于执行公务、开展业务活动开支的交通费、住宿费、用餐费等。国内公务接待4批次，</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人次（不包括陪同人员），共计支出0.3</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6"/>
          <w:rFonts w:ascii="黑体" w:hAnsi="黑体" w:eastAsia="黑体"/>
        </w:rPr>
      </w:pPr>
      <w:bookmarkStart w:id="49" w:name="_Toc15377218"/>
      <w:bookmarkStart w:id="50" w:name="_Toc19950069"/>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51" w:name="_Toc15377219"/>
      <w:bookmarkStart w:id="52" w:name="_Toc19950070"/>
      <w:r>
        <w:rPr>
          <w:rStyle w:val="26"/>
          <w:rFonts w:hint="eastAsia" w:ascii="黑体" w:hAnsi="黑体" w:eastAsia="黑体"/>
          <w:b w:val="0"/>
        </w:rPr>
        <w:t>国有资本经营预算支出决算情况说明</w:t>
      </w:r>
      <w:bookmarkEnd w:id="51"/>
      <w:bookmarkEnd w:id="52"/>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年国有资本经营预算拨款支出0万元。</w:t>
      </w:r>
    </w:p>
    <w:p>
      <w:pPr>
        <w:pStyle w:val="24"/>
        <w:numPr>
          <w:ilvl w:val="0"/>
          <w:numId w:val="3"/>
        </w:numPr>
        <w:spacing w:line="580" w:lineRule="exact"/>
        <w:ind w:firstLineChars="0"/>
        <w:rPr>
          <w:rStyle w:val="26"/>
          <w:rFonts w:ascii="黑体" w:hAnsi="黑体" w:eastAsia="黑体"/>
          <w:b w:val="0"/>
        </w:rPr>
      </w:pPr>
      <w:bookmarkStart w:id="53" w:name="_Toc19950071"/>
      <w:r>
        <w:rPr>
          <w:rStyle w:val="26"/>
          <w:rFonts w:hint="eastAsia" w:ascii="黑体" w:hAnsi="黑体" w:eastAsia="黑体"/>
          <w:b w:val="0"/>
        </w:rPr>
        <w:t>预算绩效情况说明</w:t>
      </w:r>
      <w:bookmarkEnd w:id="53"/>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根据预算绩效管理要求，本单位在年初预算编制阶段，组织对一般公共预算财政拨款的人员经费、日常公用经费、项目支出开展了预算事前绩效评估，对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年部门整体支出开展绩效自评，从评价情况来看。我部门预算编制、执行、管理严格按照程序进行支出符合部门预算批复的用途，无截留、挤占、挪用、虚列支出等情况。</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 xml:space="preserve">年度部门决算中反映“重大节庆活动及群众文化活动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、“地面数字广播电视运行中心人员工资及经费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等6个项目绩效目标实际完成情况。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重大节庆活动及群众文化活动项目绩效目标完成情况综述。项目全年预算数20万元，执行数为20万元，完成预算的100%。通过项目实施，保障了我县文化活动的有序开展，提升开江知名度、美誉度和吸引力。</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地面数字广播电视运行中心人员工资及经费项目绩效目标完成情况综述。项目全年预算数</w:t>
      </w:r>
      <w:r>
        <w:rPr>
          <w:rFonts w:hint="eastAsia" w:ascii="仿宋_GB2312" w:hAnsi="仿宋_GB2312" w:eastAsia="仿宋_GB2312" w:cs="仿宋_GB2312"/>
          <w:sz w:val="32"/>
          <w:szCs w:val="32"/>
          <w:lang w:val="en-US" w:eastAsia="zh-CN"/>
        </w:rPr>
        <w:t>154.01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154.01</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年全县</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rPr>
        <w:t>面户户通安装任务的顺利完成。为广大偏远山区群众解决了收听收看广播电视的难题。</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市场管理罚没收费项目绩效目标完成情况综述。项目全年预算数3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万元，完成预算的100%。通过项目实施与保障进一步规范了我县文化产业市场。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家书屋补充更新（县级配套资金）项目绩效目标完全成情况综述。项目全年预算数2万元，执行数为2万元，完成预算的100%。通过项目实施，保障了全县196个行政村农家书屋，33个社区书屋的图书补充更新。满足了广大群众的文化需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公益电影放映（县级配套资金）项目绩效目标完全成情况综述。项目全年预算数4万元，执行数为4万元，完成预算的100%。通过项目实施，保障了</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年全县2352场放映任务的完成，满足了广大群众的精神文化生活。</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eastAsia="仿宋_GB2312"/>
          <w:lang w:val="en-US" w:eastAsia="zh-CN"/>
        </w:rPr>
      </w:pPr>
      <w:r>
        <w:rPr>
          <w:rFonts w:hint="eastAsia" w:eastAsia="仿宋_GB2312"/>
          <w:lang w:val="en-US" w:eastAsia="zh-CN"/>
        </w:rPr>
        <w:t>6.向上争取专项资金工作经费</w:t>
      </w:r>
      <w:r>
        <w:rPr>
          <w:rFonts w:hint="eastAsia" w:ascii="仿宋_GB2312" w:hAnsi="仿宋_GB2312" w:eastAsia="仿宋_GB2312" w:cs="仿宋_GB2312"/>
          <w:sz w:val="32"/>
          <w:szCs w:val="32"/>
        </w:rPr>
        <w:t>项目绩效目标完全成情况综述。项目全年预算数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万元，完成预算的100%。通过项目实施，保障了</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向上争取项目工作的开展。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80" w:name="_GoBack"/>
      <w:bookmarkEnd w:id="80"/>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2019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重大节庆活动及群众文化活动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开江县文化</w:t>
            </w:r>
            <w:r>
              <w:rPr>
                <w:rFonts w:hint="eastAsia" w:ascii="宋体" w:hAnsi="宋体" w:cs="宋体"/>
                <w:color w:val="000000"/>
                <w:sz w:val="24"/>
                <w:lang w:eastAsia="zh-CN"/>
              </w:rPr>
              <w:t>体育和旅游局</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193.51</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193.5</w:t>
            </w:r>
            <w:r>
              <w:rPr>
                <w:rFonts w:hint="eastAsia" w:ascii="宋体" w:hAnsi="宋体" w:cs="宋体"/>
                <w:color w:val="000000"/>
                <w:sz w:val="24"/>
              </w:rPr>
              <w:t>1万元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193.51万元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193.5</w:t>
            </w:r>
            <w:r>
              <w:rPr>
                <w:rFonts w:hint="eastAsia" w:ascii="宋体" w:hAnsi="宋体" w:cs="宋体"/>
                <w:color w:val="000000"/>
                <w:sz w:val="24"/>
              </w:rPr>
              <w:t>1万元</w:t>
            </w:r>
          </w:p>
        </w:tc>
      </w:tr>
      <w:tr>
        <w:tblPrEx>
          <w:tblCellMar>
            <w:top w:w="0" w:type="dxa"/>
            <w:left w:w="0" w:type="dxa"/>
            <w:bottom w:w="0" w:type="dxa"/>
            <w:right w:w="0" w:type="dxa"/>
          </w:tblCellMar>
        </w:tblPrEx>
        <w:trPr>
          <w:trHeight w:val="60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保障重大节庆群众文化活动的有序开展，完成</w:t>
            </w:r>
            <w:r>
              <w:rPr>
                <w:rFonts w:hint="eastAsia" w:ascii="宋体" w:hAnsi="宋体" w:cs="宋体"/>
                <w:color w:val="000000"/>
                <w:sz w:val="24"/>
                <w:lang w:eastAsia="zh-CN"/>
              </w:rPr>
              <w:t>2019</w:t>
            </w:r>
            <w:r>
              <w:rPr>
                <w:rFonts w:hint="eastAsia" w:ascii="宋体" w:hAnsi="宋体" w:cs="宋体"/>
                <w:color w:val="000000"/>
                <w:sz w:val="24"/>
              </w:rPr>
              <w:t>年户户通</w:t>
            </w:r>
            <w:r>
              <w:rPr>
                <w:rFonts w:hint="eastAsia" w:ascii="宋体" w:hAnsi="宋体" w:cs="宋体"/>
                <w:color w:val="000000"/>
                <w:sz w:val="24"/>
                <w:lang w:val="en-US" w:eastAsia="zh-CN"/>
              </w:rPr>
              <w:t>3500</w:t>
            </w:r>
            <w:r>
              <w:rPr>
                <w:rFonts w:hint="eastAsia" w:ascii="宋体" w:hAnsi="宋体" w:cs="宋体"/>
                <w:color w:val="000000"/>
                <w:sz w:val="24"/>
              </w:rPr>
              <w:t>面的安装任务、全县193个农家书屋及33个社区书屋的补充更新及</w:t>
            </w:r>
            <w:r>
              <w:rPr>
                <w:rFonts w:hint="eastAsia" w:ascii="宋体" w:hAnsi="宋体" w:cs="宋体"/>
                <w:color w:val="000000"/>
                <w:sz w:val="24"/>
                <w:lang w:eastAsia="zh-CN"/>
              </w:rPr>
              <w:t>2019</w:t>
            </w:r>
            <w:r>
              <w:rPr>
                <w:rFonts w:hint="eastAsia" w:ascii="宋体" w:hAnsi="宋体" w:cs="宋体"/>
                <w:color w:val="000000"/>
                <w:sz w:val="24"/>
              </w:rPr>
              <w:t>年公益电影2352场放映的完成。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保障重大节庆群众文化活动的有序开展，完成</w:t>
            </w:r>
            <w:r>
              <w:rPr>
                <w:rFonts w:hint="eastAsia" w:ascii="宋体" w:hAnsi="宋体" w:cs="宋体"/>
                <w:color w:val="000000"/>
                <w:sz w:val="24"/>
                <w:lang w:eastAsia="zh-CN"/>
              </w:rPr>
              <w:t>2019</w:t>
            </w:r>
            <w:r>
              <w:rPr>
                <w:rFonts w:hint="eastAsia" w:ascii="宋体" w:hAnsi="宋体" w:cs="宋体"/>
                <w:color w:val="000000"/>
                <w:sz w:val="24"/>
              </w:rPr>
              <w:t>年户户通</w:t>
            </w:r>
            <w:r>
              <w:rPr>
                <w:rFonts w:hint="eastAsia" w:ascii="宋体" w:hAnsi="宋体" w:cs="宋体"/>
                <w:color w:val="000000"/>
                <w:sz w:val="24"/>
                <w:lang w:val="en-US" w:eastAsia="zh-CN"/>
              </w:rPr>
              <w:t>3500</w:t>
            </w:r>
            <w:r>
              <w:rPr>
                <w:rFonts w:hint="eastAsia" w:ascii="宋体" w:hAnsi="宋体" w:cs="宋体"/>
                <w:color w:val="000000"/>
                <w:sz w:val="24"/>
              </w:rPr>
              <w:t>面的安装任务、全县193个农家书屋及33个社区书屋的补充更新及</w:t>
            </w:r>
            <w:r>
              <w:rPr>
                <w:rFonts w:hint="eastAsia" w:ascii="宋体" w:hAnsi="宋体" w:cs="宋体"/>
                <w:color w:val="000000"/>
                <w:sz w:val="24"/>
                <w:lang w:eastAsia="zh-CN"/>
              </w:rPr>
              <w:t>2019</w:t>
            </w:r>
            <w:r>
              <w:rPr>
                <w:rFonts w:hint="eastAsia" w:ascii="宋体" w:hAnsi="宋体" w:cs="宋体"/>
                <w:color w:val="000000"/>
                <w:sz w:val="24"/>
              </w:rPr>
              <w:t>年公益电影2352场放映的完成。</w:t>
            </w:r>
          </w:p>
        </w:tc>
      </w:tr>
      <w:tr>
        <w:tblPrEx>
          <w:tblCellMar>
            <w:top w:w="0" w:type="dxa"/>
            <w:left w:w="0" w:type="dxa"/>
            <w:bottom w:w="0" w:type="dxa"/>
            <w:right w:w="0" w:type="dxa"/>
          </w:tblCellMar>
        </w:tblPrEx>
        <w:trPr>
          <w:trHeight w:val="953"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政策依据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按照文件分配资金，保障全年工作顺利开展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通过文化惠民项目开展让全县群众受益。</w:t>
            </w:r>
          </w:p>
        </w:tc>
      </w:tr>
      <w:tr>
        <w:tblPrEx>
          <w:tblCellMar>
            <w:top w:w="0" w:type="dxa"/>
            <w:left w:w="0" w:type="dxa"/>
            <w:bottom w:w="0" w:type="dxa"/>
            <w:right w:w="0" w:type="dxa"/>
          </w:tblCellMar>
        </w:tblPrEx>
        <w:trPr>
          <w:trHeight w:val="1297"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明确性、合理性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合理、规范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按照程序进行，有序完成绩效目标。</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按预算性质分配、投入使用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合理分配、合规使用</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按照文件精神执行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取得良好的社会效益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通过文化惠民项目及特殊文化活动开展带动本地经济发展，产生经济效益。真正达到政府搭台、文化唱戏、百姓得实惠。</w:t>
            </w:r>
          </w:p>
        </w:tc>
      </w:tr>
      <w:tr>
        <w:tblPrEx>
          <w:tblCellMar>
            <w:top w:w="0" w:type="dxa"/>
            <w:left w:w="0" w:type="dxa"/>
            <w:bottom w:w="0" w:type="dxa"/>
            <w:right w:w="0" w:type="dxa"/>
          </w:tblCellMar>
        </w:tblPrEx>
        <w:trPr>
          <w:trHeight w:val="1042"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年部门整体支出绩效评价情况开展自评，《开江县文化</w:t>
      </w:r>
      <w:r>
        <w:rPr>
          <w:rFonts w:hint="eastAsia" w:ascii="仿宋_GB2312" w:hAnsi="仿宋_GB2312" w:eastAsia="仿宋_GB2312" w:cs="仿宋_GB2312"/>
          <w:sz w:val="32"/>
          <w:szCs w:val="32"/>
          <w:lang w:eastAsia="zh-CN"/>
        </w:rPr>
        <w:t>体育和旅游局2019</w:t>
      </w:r>
      <w:r>
        <w:rPr>
          <w:rFonts w:hint="eastAsia" w:ascii="仿宋_GB2312" w:hAnsi="仿宋_GB2312" w:eastAsia="仿宋_GB2312" w:cs="仿宋_GB2312"/>
          <w:sz w:val="32"/>
          <w:szCs w:val="32"/>
        </w:rPr>
        <w:t>年部门整体支出绩效评价报告》见附件1。</w:t>
      </w:r>
    </w:p>
    <w:p>
      <w:pPr>
        <w:spacing w:line="600" w:lineRule="exact"/>
        <w:ind w:firstLine="800" w:firstLineChars="250"/>
        <w:outlineLvl w:val="1"/>
        <w:rPr>
          <w:rStyle w:val="26"/>
          <w:rFonts w:ascii="黑体" w:hAnsi="黑体" w:eastAsia="黑体"/>
        </w:rPr>
      </w:pPr>
      <w:bookmarkStart w:id="54" w:name="_Toc15377221"/>
      <w:bookmarkStart w:id="55" w:name="_Toc1995007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hAnsi="仿宋_GB2312" w:eastAsia="仿宋_GB2312" w:cs="仿宋_GB2312"/>
          <w:sz w:val="32"/>
          <w:szCs w:val="32"/>
          <w:lang w:eastAsia="zh-CN"/>
        </w:rPr>
        <w:t>开江县文化体育和旅游局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48.53</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51.64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51.55</w:t>
      </w:r>
      <w:r>
        <w:rPr>
          <w:rFonts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主要原因是因文化体制改革。单位人员减少，相应人员经费、日常公用经费减少。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hint="eastAsia" w:ascii="仿宋_GB2312" w:hAnsi="仿宋_GB2312" w:eastAsia="仿宋_GB2312" w:cs="仿宋_GB2312"/>
          <w:sz w:val="32"/>
          <w:szCs w:val="32"/>
          <w:lang w:eastAsia="zh-CN"/>
        </w:rPr>
        <w:t>开江县文化体育和旅游局</w:t>
      </w:r>
      <w:r>
        <w:rPr>
          <w:rFonts w:hint="eastAsia" w:ascii="仿宋_GB2312" w:eastAsia="仿宋_GB2312"/>
          <w:color w:val="000000"/>
          <w:sz w:val="32"/>
          <w:szCs w:val="32"/>
        </w:rPr>
        <w:t>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hAnsi="仿宋_GB2312" w:eastAsia="仿宋_GB2312" w:cs="仿宋_GB2312"/>
          <w:sz w:val="32"/>
          <w:szCs w:val="32"/>
          <w:lang w:eastAsia="zh-CN"/>
        </w:rPr>
        <w:t>开江县文化体育和旅游局</w:t>
      </w:r>
      <w:r>
        <w:rPr>
          <w:rFonts w:hint="eastAsia" w:ascii="仿宋_GB2312" w:eastAsia="仿宋_GB2312"/>
          <w:color w:val="000000"/>
          <w:sz w:val="32"/>
          <w:szCs w:val="32"/>
        </w:rPr>
        <w:t>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rPr>
          <w:rFonts w:ascii="仿宋_GB2312" w:eastAsia="仿宋_GB2312"/>
          <w:b/>
          <w:color w:val="000000"/>
          <w:sz w:val="32"/>
          <w:szCs w:val="32"/>
        </w:rPr>
      </w:pPr>
      <w:r>
        <w:rPr>
          <w:rFonts w:hint="eastAsia" w:ascii="仿宋_GB2312" w:eastAsia="仿宋_GB2312"/>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9" w:name="_Toc19950073"/>
      <w:bookmarkStart w:id="60"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000000"/>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20508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2050801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教师进修、师资培训支出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科学技术（类）</w:t>
      </w:r>
      <w:r>
        <w:rPr>
          <w:rFonts w:hint="eastAsia" w:ascii="仿宋_GB2312" w:eastAsia="仿宋_GB2312"/>
          <w:color w:val="000000"/>
          <w:sz w:val="32"/>
          <w:szCs w:val="32"/>
          <w:lang w:val="en-US" w:eastAsia="zh-CN"/>
        </w:rPr>
        <w:t>20604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2060404</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促进科技成果转化为现实生产力的应用、推广和引导性支出，以及基本建设支出中用于支持企业科技自主创新的支出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行政单位（包括实行公务员管理的事业单位）的基本支出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2070104</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图书馆支出。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2070108</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举办大型文化艺术活动的支出。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2070109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群众文化方面的支出，包括基层文化馆（站）。群众艺术馆的支出等。</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2070111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鼓励文学、艺术创作和民族民间传统文化保护方面的支出。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2070112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用于文化执法检查等文化市场管理方面的支出。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2070199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其他用于文化方面的支出。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2070401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行政单位（包括实行公务员管理的事业单位）的基本支出。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2070404</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广播电台、广播发射台、广播转播台及有线广播站的支出。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2070406</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电影制片、发行、放映等方面的支出。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2070408</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用于新闻通讯社等新闻宣传支出。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20704</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2070499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其他用于新闻出版广播影视方面的支出。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23</w:t>
      </w:r>
      <w:r>
        <w:rPr>
          <w:rFonts w:ascii="仿宋_GB2312" w:eastAsia="仿宋_GB2312"/>
          <w:color w:val="000000"/>
          <w:sz w:val="32"/>
          <w:szCs w:val="32"/>
        </w:rPr>
        <w:t>.</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20799</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2079999</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其他文化体育与传媒方面的支出。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20805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2080505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25</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2101101（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财政部门集中安排的行政单位基本医疗保险缴费经费，未参加医疗保险的行政单位的公费医疗经费，按国家规定享受离休人员、红军老战士待遇人员的医疗经费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2101102（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27</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2101103（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财政部门集中安排的公务员公务员医疗补助经费。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28</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bookmarkStart w:id="61" w:name="_Toc15377226"/>
    </w:p>
    <w:p>
      <w:pPr>
        <w:spacing w:line="600" w:lineRule="exact"/>
        <w:jc w:val="center"/>
        <w:outlineLvl w:val="0"/>
        <w:rPr>
          <w:rStyle w:val="25"/>
        </w:rPr>
      </w:pPr>
      <w:bookmarkStart w:id="62" w:name="_Toc19950074"/>
      <w:r>
        <w:rPr>
          <w:rFonts w:hint="eastAsia" w:ascii="黑体" w:hAnsi="黑体" w:eastAsia="黑体"/>
          <w:color w:val="000000"/>
          <w:sz w:val="44"/>
          <w:szCs w:val="44"/>
        </w:rPr>
        <w:t>第</w:t>
      </w:r>
      <w:r>
        <w:rPr>
          <w:rStyle w:val="25"/>
          <w:rFonts w:hint="eastAsia" w:ascii="黑体" w:hAnsi="黑体" w:eastAsia="黑体"/>
          <w:b w:val="0"/>
        </w:rPr>
        <w:t>四部分 附件</w:t>
      </w:r>
      <w:bookmarkEnd w:id="62"/>
    </w:p>
    <w:p>
      <w:pPr>
        <w:pStyle w:val="4"/>
        <w:rPr>
          <w:rStyle w:val="25"/>
          <w:rFonts w:ascii="仿宋" w:hAnsi="仿宋" w:eastAsia="仿宋"/>
          <w:b w:val="0"/>
          <w:bCs w:val="0"/>
          <w:sz w:val="32"/>
          <w:szCs w:val="32"/>
        </w:rPr>
      </w:pPr>
      <w:bookmarkStart w:id="63" w:name="_Toc19950075"/>
      <w:r>
        <w:rPr>
          <w:rStyle w:val="25"/>
          <w:rFonts w:hint="eastAsia" w:ascii="仿宋" w:hAnsi="仿宋" w:eastAsia="仿宋"/>
          <w:b w:val="0"/>
          <w:bCs w:val="0"/>
          <w:sz w:val="32"/>
          <w:szCs w:val="32"/>
        </w:rPr>
        <w:t>附件1</w:t>
      </w:r>
      <w:bookmarkEnd w:id="63"/>
    </w:p>
    <w:p>
      <w:pPr>
        <w:spacing w:line="600" w:lineRule="exact"/>
        <w:jc w:val="center"/>
        <w:outlineLvl w:val="0"/>
        <w:rPr>
          <w:rFonts w:hint="eastAsia" w:ascii="黑体" w:hAnsi="黑体" w:eastAsia="黑体" w:cs="方正小标宋简体"/>
          <w:sz w:val="36"/>
          <w:szCs w:val="36"/>
          <w:lang w:eastAsia="zh-CN"/>
        </w:rPr>
      </w:pPr>
      <w:bookmarkStart w:id="64" w:name="_Toc15396616"/>
      <w:r>
        <w:rPr>
          <w:rFonts w:hint="eastAsia" w:ascii="黑体" w:hAnsi="黑体" w:eastAsia="黑体" w:cs="方正小标宋简体"/>
          <w:sz w:val="36"/>
          <w:szCs w:val="36"/>
          <w:lang w:eastAsia="zh-CN"/>
        </w:rPr>
        <w:t>开江县文化体育和旅游局</w:t>
      </w:r>
    </w:p>
    <w:p>
      <w:pPr>
        <w:spacing w:line="600" w:lineRule="exact"/>
        <w:jc w:val="center"/>
        <w:outlineLvl w:val="0"/>
        <w:rPr>
          <w:rFonts w:ascii="黑体" w:hAnsi="黑体" w:eastAsia="黑体" w:cs="方正小标宋简体"/>
          <w:sz w:val="36"/>
          <w:szCs w:val="36"/>
        </w:rPr>
      </w:pPr>
      <w:bookmarkStart w:id="65" w:name="_Toc19950077"/>
      <w:r>
        <w:rPr>
          <w:rFonts w:hint="eastAsia" w:ascii="黑体" w:hAnsi="黑体" w:eastAsia="黑体" w:cs="方正小标宋简体"/>
          <w:sz w:val="36"/>
          <w:szCs w:val="36"/>
          <w:lang w:eastAsia="zh-CN"/>
        </w:rPr>
        <w:t>2019</w:t>
      </w:r>
      <w:r>
        <w:rPr>
          <w:rFonts w:hint="eastAsia" w:ascii="黑体" w:hAnsi="黑体" w:eastAsia="黑体" w:cs="方正小标宋简体"/>
          <w:sz w:val="36"/>
          <w:szCs w:val="36"/>
        </w:rPr>
        <w:t>年部门整体支出绩效评价报告</w:t>
      </w:r>
      <w:bookmarkEnd w:id="64"/>
      <w:bookmarkEnd w:id="65"/>
    </w:p>
    <w:p>
      <w:pPr>
        <w:spacing w:line="560" w:lineRule="exact"/>
        <w:ind w:firstLine="640" w:firstLineChars="200"/>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（一）机构组成</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"http://www.kaijiang.gov.cn/child/wgxj/javascript:void(0);" </w:instrText>
      </w:r>
      <w:r>
        <w:rPr>
          <w:rFonts w:hint="eastAsia" w:ascii="仿宋" w:hAnsi="仿宋" w:eastAsia="仿宋" w:cs="仿宋"/>
          <w:sz w:val="32"/>
          <w:szCs w:val="32"/>
          <w:lang w:val="en-US" w:eastAsia="zh-CN"/>
        </w:rPr>
        <w:fldChar w:fldCharType="separat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开江县文化体育和旅游局，是财政一级预算单位。内设五股一室，即办公室、文化股、旅游股、体育股、广播电视股、市场监管股。局属事业单位</w:t>
      </w:r>
      <w:r>
        <w:rPr>
          <w:rFonts w:hint="eastAsia" w:ascii="仿宋" w:hAnsi="仿宋" w:eastAsia="仿宋" w:cs="仿宋"/>
          <w:sz w:val="32"/>
          <w:szCs w:val="32"/>
          <w:lang w:val="en-US" w:eastAsia="zh-CN"/>
        </w:rPr>
        <w:t>6家，即开江县文化馆、开江县文物管理所、开江县图书馆、开江县地面数字广播电视运行管理中心、开江县文艺创作办公室、文化市场综合执法大队。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拟订文化、体育、旅游、广播电视和文物政策措施，起草文化、体育、旅游、广播电视和文物规范性文件，负责本部门依法行政工作。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组织推动全县文化事业、文化产业、体育事业和旅游业发展，拟订并组织实施全县文化、体育、旅游、广播电视发展和文物保护利用规划，推进所属行业的体制机制改革和行业融合发展。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负责管理全县性重大文化体育旅游活动，组织全县文化和旅游整体形象推广，指导全县重点文化、体育、旅游、广播电视设施建设，促进文化、体育、旅游产业对外交流合作和国际国内市场推广，加快推进</w:t>
      </w:r>
      <w:r>
        <w:rPr>
          <w:rFonts w:hint="eastAsia" w:ascii="仿宋" w:hAnsi="仿宋" w:eastAsia="仿宋" w:cs="仿宋"/>
          <w:sz w:val="32"/>
          <w:szCs w:val="32"/>
          <w:lang w:eastAsia="zh-CN"/>
        </w:rPr>
        <w:t>全域</w:t>
      </w:r>
      <w:r>
        <w:rPr>
          <w:rFonts w:hint="eastAsia" w:ascii="仿宋" w:hAnsi="仿宋" w:eastAsia="仿宋" w:cs="仿宋"/>
          <w:sz w:val="32"/>
          <w:szCs w:val="32"/>
        </w:rPr>
        <w:t>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指导管理文艺事业，推动艺术创作生产，扶持体现社会主义核心价值观、具有导向性代表性示范性的文艺作品，推动各门类艺术、各艺术品种发展，推动中华优秀传统文化和本土文化传承发展。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负责公共文化事业发展，推进全县公共文化服务体系建设和旅游公共服务建设，深入实施文化惠民工程，统筹推进基本公共文化服务标准化、均等化。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推进文化、体育、旅游、广播电视和文物科技创新发展，推进本行业信息化、标准化建设。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负责非物质文化遗产保护，推动非物质文化遗产的保护、传承、普及、弘扬和振兴。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组织实施所属行业资源普查、挖掘、保护与利用工作促进行业的产业发展。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指导文化、体育、旅游、广播电视和文物市场发展，对行业进行监管，推进行业信用体系建设，依法规范行业市场。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统筹全县文化市场综合执法，组织查处全县性、跨区域文化、文物、出版、广播电视、电影、旅游市场领域的违法行为，督查督办大案要案，维护市场秩序。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负责管理文化、体育、旅游、广播电视和文物对外及对港澳台交流合作与宣传推广工作，组织大型文化、体育、旅游、广播电视和文物对外及对港澳台交流活动，推动中华文化走出去。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负责全县文化、体育、旅游、广播电视和文物市场安全生产工作的综合协调与监督管理，对文化旅游园区的安全生产和职业健康工作实施行业监督管理。制定职责范围内的安全生产年度监督检查计划并组织实施。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负责监督指导全县竞技体育、群众体育和青少年体育发展工作。推行全民健身计划、监督实施国家体育锻炼标准，推动全县国民体质监测和社会体育指导工作队伍制度建设。组织协调市级或县级综合性运动会，负责组织、协调、监督体育运动中的反兴奋剂和运动员社会保障工作。协助体育彩票销售工作的监督管理，负责公共体育设施的建设指导、监督管理。</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14、</w:t>
      </w:r>
      <w:r>
        <w:rPr>
          <w:rFonts w:hint="eastAsia" w:ascii="仿宋" w:hAnsi="仿宋" w:eastAsia="仿宋" w:cs="仿宋"/>
          <w:sz w:val="32"/>
          <w:szCs w:val="32"/>
        </w:rPr>
        <w:t>加强广播电视阵地建设，把握正确的奥论导向和创作导向。推进广播电视基本公共服务标准化、均等化。指导、监督广播电视重点基础设施建设。负责对各类广播电视机构进行业务指导和行业监管，会同有关部门对网络视听节目服务机构进行管理。组织实施广播电视节目评价工作。指导、监管广播电视广告播放。负责指导、协调和管理全县广播电视媒体的宣传、发展、传输覆盖等重大事项。负责推进广播电视与新媒体新技术新业态融合发展。</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15、</w:t>
      </w:r>
      <w:r>
        <w:rPr>
          <w:rFonts w:hint="eastAsia" w:ascii="仿宋" w:hAnsi="仿宋" w:eastAsia="仿宋" w:cs="仿宋"/>
          <w:sz w:val="32"/>
          <w:szCs w:val="32"/>
        </w:rPr>
        <w:t>负责指导、协调全县文物的管理、保护、抢救、发掘、研究、宣传等工作。监督和管理文物市场。组织协调重大文物保护、考古项目的实施。指导博物馆建设管理和业务工作。指导和监督社会文物管理工作。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负责指导、监管乡镇综合文化站和村级综合文化室工作。综合管理和指导社会文化事业，重点推动农村文化、社区文化、企业文化、校园文化事业发展。负责县乡村文化体育活动和服务场所基础设施的规划、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归ロ管理开江县文化旅游发展服务中心。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负责职责范围内的安全生产和职业健康、生态环境保护、意识形态、审批服务便民化等工作。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完成县委、县政府交办的其他任务。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职能转变。以人民美好生活为引导，统筹推进文化、体育、旅游、广播电视和文物事业与产业的融合发展，用好文化创意、科技创新和社会投资等新动能。巩固旅游业的战略性支柱产业地位，提升文化软实カ、旅游竞争カ。将县文体旅游局所属事业单位所有行政职能交由县文体旅游局机关承担。</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2019年年末实有在职职工工48人（其中：局机关11人、地面数字广播电视运行管理中心27人、文艺创作办公室3人、文化市场综合执法大队7人），离退休人员45人 ，遗属13人。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二、部门财政资金收支出情况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（一）部门财政资金收入情况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2019年预算收入为1083.81万元，其中：公共预算财政拨款收入1083.81万元。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2019年预算支出为1083.81万元，按经济分类支出其中：基本支出558.56万元（人员经费510.02万元、日常公用经费45.54万元）；项目支出525.25万元（基本建设类项目160万元）。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三、部门财政支出管理情况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（一）预算编制情况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1.严格执行《预算法》编制年初部门预算，根据县财政局的统一安排，结合本部门实际工作的情况，认真编制部门预算及年度绩效目标填报经领导审核后，及时报送县财政局。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政拨款支出主要用于保障机关正常运转及群众文化活动等工作的开展；基本支出323.27万元，是用于保障机关正常运转的日常支出，包括基本工资、津贴补贴等人员经费以及办公费、印刷费、水电费、办公设备购置等日常公用经费；项目支出193.51万元，主要用于地面数字电视运行中心运转、群众文化活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（二）执行管理情况</w:t>
      </w:r>
    </w:p>
    <w:p>
      <w:pPr>
        <w:ind w:firstLine="643" w:firstLineChars="200"/>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1.预算执行进度情况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2019年预算1083.81万元，2019年8月执行进度48%；全年支出执行进度100%，按执行管理情况执行。</w:t>
      </w:r>
    </w:p>
    <w:p>
      <w:pPr>
        <w:ind w:firstLine="643" w:firstLineChars="200"/>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2.绩效监控情况</w:t>
      </w:r>
    </w:p>
    <w:p>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财政局在9月对我局绩效监控跟踪发现1-8月，我局在预算执行及项目实施进度较慢，并对我局反馈了整改意见及要求。我局及时整改了相关问题，加快预算执行进度，提高财政资金使用率。确保年度绩效目标全面完成。</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ind w:firstLine="643" w:firstLineChars="200"/>
        <w:rPr>
          <w:rFonts w:hint="eastAsia" w:ascii="仿宋_GB2312" w:hAnsi="仿宋" w:eastAsia="仿宋_GB2312"/>
          <w:b/>
          <w:bCs w:val="0"/>
          <w:sz w:val="32"/>
          <w:szCs w:val="32"/>
          <w:lang w:val="en-US" w:eastAsia="zh-CN"/>
        </w:rPr>
      </w:pPr>
      <w:r>
        <w:rPr>
          <w:rFonts w:hint="eastAsia" w:ascii="仿宋_GB2312" w:hAnsi="仿宋" w:eastAsia="仿宋_GB2312"/>
          <w:b/>
          <w:bCs w:val="0"/>
          <w:sz w:val="32"/>
          <w:szCs w:val="32"/>
          <w:lang w:val="en-US" w:eastAsia="zh-CN"/>
        </w:rPr>
        <w:t>3.预决算差异情况</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82"/>
        <w:gridCol w:w="1023"/>
        <w:gridCol w:w="1460"/>
        <w:gridCol w:w="1416"/>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24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指标</w:t>
            </w:r>
          </w:p>
        </w:tc>
        <w:tc>
          <w:tcPr>
            <w:tcW w:w="1023"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预算数</w:t>
            </w:r>
          </w:p>
        </w:tc>
        <w:tc>
          <w:tcPr>
            <w:tcW w:w="1460"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决算数</w:t>
            </w:r>
          </w:p>
        </w:tc>
        <w:tc>
          <w:tcPr>
            <w:tcW w:w="1416" w:type="dxa"/>
            <w:vMerge w:val="restart"/>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差异率％</w:t>
            </w:r>
          </w:p>
        </w:tc>
        <w:tc>
          <w:tcPr>
            <w:tcW w:w="1935" w:type="dxa"/>
            <w:vMerge w:val="restart"/>
            <w:tcBorders>
              <w:top w:val="single" w:color="000000" w:sz="4" w:space="0"/>
              <w:bottom w:val="single" w:color="000000" w:sz="4" w:space="0"/>
              <w:right w:val="single" w:color="000000" w:sz="12"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48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简体" w:hAnsi="方正仿宋简体" w:eastAsia="方正仿宋简体" w:cs="方正仿宋简体"/>
                <w:i w:val="0"/>
                <w:color w:val="000000"/>
                <w:sz w:val="22"/>
                <w:szCs w:val="22"/>
                <w:u w:val="none"/>
                <w:shd w:val="clear" w:color="auto" w:fill="auto"/>
              </w:rPr>
            </w:pPr>
          </w:p>
        </w:tc>
        <w:tc>
          <w:tcPr>
            <w:tcW w:w="1023" w:type="dxa"/>
            <w:vMerge w:val="continue"/>
            <w:tcBorders>
              <w:top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简体" w:hAnsi="方正仿宋简体" w:eastAsia="方正仿宋简体" w:cs="方正仿宋简体"/>
                <w:i w:val="0"/>
                <w:color w:val="000000"/>
                <w:sz w:val="22"/>
                <w:szCs w:val="22"/>
                <w:u w:val="none"/>
                <w:shd w:val="clear" w:color="auto" w:fill="auto"/>
              </w:rPr>
            </w:pPr>
          </w:p>
        </w:tc>
        <w:tc>
          <w:tcPr>
            <w:tcW w:w="1460" w:type="dxa"/>
            <w:vMerge w:val="continue"/>
            <w:tcBorders>
              <w:top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简体" w:hAnsi="方正仿宋简体" w:eastAsia="方正仿宋简体" w:cs="方正仿宋简体"/>
                <w:i w:val="0"/>
                <w:color w:val="000000"/>
                <w:sz w:val="22"/>
                <w:szCs w:val="22"/>
                <w:u w:val="none"/>
                <w:shd w:val="clear" w:color="auto" w:fill="auto"/>
              </w:rPr>
            </w:pPr>
          </w:p>
        </w:tc>
        <w:tc>
          <w:tcPr>
            <w:tcW w:w="1416" w:type="dxa"/>
            <w:vMerge w:val="continue"/>
            <w:tcBorders>
              <w:top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简体" w:hAnsi="方正仿宋简体" w:eastAsia="方正仿宋简体" w:cs="方正仿宋简体"/>
                <w:i w:val="0"/>
                <w:color w:val="000000"/>
                <w:sz w:val="22"/>
                <w:szCs w:val="22"/>
                <w:u w:val="none"/>
                <w:shd w:val="clear" w:color="auto" w:fill="auto"/>
              </w:rPr>
            </w:pPr>
          </w:p>
        </w:tc>
        <w:tc>
          <w:tcPr>
            <w:tcW w:w="1935" w:type="dxa"/>
            <w:vMerge w:val="continue"/>
            <w:tcBorders>
              <w:top w:val="single" w:color="000000" w:sz="4" w:space="0"/>
              <w:bottom w:val="single" w:color="000000" w:sz="4" w:space="0"/>
              <w:right w:val="single" w:color="000000" w:sz="12" w:space="0"/>
            </w:tcBorders>
            <w:shd w:val="clear" w:color="auto" w:fill="FFFFFF"/>
            <w:noWrap w:val="0"/>
            <w:vAlign w:val="center"/>
          </w:tcPr>
          <w:p>
            <w:pPr>
              <w:jc w:val="center"/>
              <w:rPr>
                <w:rFonts w:hint="eastAsia" w:ascii="方正仿宋简体" w:hAnsi="方正仿宋简体" w:eastAsia="方正仿宋简体" w:cs="方正仿宋简体"/>
                <w:i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8"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1.本年收入</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517.21</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1083.81</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109.55%</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lang w:eastAsia="zh-CN"/>
              </w:rPr>
            </w:pPr>
            <w:r>
              <w:rPr>
                <w:rFonts w:hint="eastAsia" w:ascii="方正仿宋简体" w:hAnsi="方正仿宋简体" w:eastAsia="方正仿宋简体" w:cs="方正仿宋简体"/>
                <w:i w:val="0"/>
                <w:color w:val="000000"/>
                <w:sz w:val="22"/>
                <w:szCs w:val="22"/>
                <w:u w:val="none"/>
                <w:shd w:val="clear" w:color="auto" w:fill="auto"/>
                <w:lang w:eastAsia="zh-CN"/>
              </w:rPr>
              <w:t>人员工资普调，项目增加等。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其中：一般公共预算财政拨款</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517.21</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1083.81</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109.55%</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sz w:val="22"/>
                <w:szCs w:val="22"/>
                <w:u w:val="none"/>
                <w:shd w:val="clear" w:color="auto" w:fill="auto"/>
                <w:lang w:eastAsia="zh-CN"/>
              </w:rPr>
              <w:t>人员工资普调，项目增加等。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政府性基金预算财政拨款</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*事业收入</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935" w:type="dxa"/>
            <w:tcBorders>
              <w:bottom w:val="single" w:color="000000" w:sz="4" w:space="0"/>
              <w:right w:val="single" w:color="000000" w:sz="12" w:space="0"/>
            </w:tcBorders>
            <w:shd w:val="clear" w:color="auto" w:fill="FFFFFF"/>
            <w:noWrap w:val="0"/>
            <w:vAlign w:val="center"/>
          </w:tcPr>
          <w:p>
            <w:pPr>
              <w:jc w:val="left"/>
              <w:rPr>
                <w:rFonts w:hint="eastAsia" w:ascii="方正仿宋简体" w:hAnsi="方正仿宋简体" w:eastAsia="方正仿宋简体" w:cs="方正仿宋简体"/>
                <w:i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经营收入</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935" w:type="dxa"/>
            <w:tcBorders>
              <w:bottom w:val="single" w:color="000000" w:sz="4" w:space="0"/>
              <w:right w:val="single" w:color="000000" w:sz="12" w:space="0"/>
            </w:tcBorders>
            <w:shd w:val="clear" w:color="auto" w:fill="FFFFFF"/>
            <w:noWrap w:val="0"/>
            <w:vAlign w:val="center"/>
          </w:tcPr>
          <w:p>
            <w:pPr>
              <w:jc w:val="left"/>
              <w:rPr>
                <w:rFonts w:hint="eastAsia" w:ascii="方正仿宋简体" w:hAnsi="方正仿宋简体" w:eastAsia="方正仿宋简体" w:cs="方正仿宋简体"/>
                <w:i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*其他收入</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0.00</w:t>
            </w:r>
          </w:p>
        </w:tc>
        <w:tc>
          <w:tcPr>
            <w:tcW w:w="1935" w:type="dxa"/>
            <w:tcBorders>
              <w:bottom w:val="single" w:color="000000" w:sz="4" w:space="0"/>
              <w:right w:val="single" w:color="000000" w:sz="12" w:space="0"/>
            </w:tcBorders>
            <w:shd w:val="clear" w:color="auto" w:fill="FFFFFF"/>
            <w:noWrap w:val="0"/>
            <w:vAlign w:val="center"/>
          </w:tcPr>
          <w:p>
            <w:pPr>
              <w:jc w:val="left"/>
              <w:rPr>
                <w:rFonts w:hint="eastAsia" w:ascii="方正仿宋简体" w:hAnsi="方正仿宋简体" w:eastAsia="方正仿宋简体" w:cs="方正仿宋简体"/>
                <w:i w:val="0"/>
                <w:color w:val="000000"/>
                <w:sz w:val="22"/>
                <w:szCs w:val="22"/>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2.本年支出</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517.21</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1083.81</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109.55%</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sz w:val="21"/>
                <w:szCs w:val="21"/>
                <w:u w:val="none"/>
                <w:shd w:val="clear" w:color="auto" w:fill="auto"/>
                <w:lang w:eastAsia="zh-CN"/>
              </w:rPr>
              <w:t>人员工资普调，项目增加等。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其中：基本支出</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323.70</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558.569</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72.56%</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sz w:val="21"/>
                <w:szCs w:val="21"/>
                <w:u w:val="none"/>
                <w:shd w:val="clear" w:color="auto" w:fill="auto"/>
                <w:lang w:eastAsia="zh-CN"/>
              </w:rPr>
              <w:t>人员工资普调，养老保险及医保政策改变等。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（1）人员经费</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295.76</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510.02</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72.44%</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sz w:val="21"/>
                <w:szCs w:val="21"/>
                <w:u w:val="none"/>
                <w:shd w:val="clear" w:color="auto" w:fill="auto"/>
                <w:lang w:eastAsia="zh-CN"/>
              </w:rPr>
              <w:t>人员工资普调，养老保险及医保政策改变等。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（2）日常公用经费</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27.94</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48.54</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73.73%</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lang w:eastAsia="zh-CN"/>
              </w:rPr>
            </w:pPr>
            <w:r>
              <w:rPr>
                <w:rFonts w:hint="eastAsia" w:ascii="方正仿宋简体" w:hAnsi="方正仿宋简体" w:eastAsia="方正仿宋简体" w:cs="方正仿宋简体"/>
                <w:i w:val="0"/>
                <w:color w:val="000000"/>
                <w:sz w:val="22"/>
                <w:szCs w:val="22"/>
                <w:u w:val="none"/>
                <w:shd w:val="clear" w:color="auto" w:fill="auto"/>
                <w:lang w:eastAsia="zh-CN"/>
              </w:rPr>
              <w:t>群众文化活动增加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482" w:type="dxa"/>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项目支出</w:t>
            </w:r>
          </w:p>
        </w:tc>
        <w:tc>
          <w:tcPr>
            <w:tcW w:w="1023"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193.51</w:t>
            </w:r>
          </w:p>
        </w:tc>
        <w:tc>
          <w:tcPr>
            <w:tcW w:w="1460"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525.25</w:t>
            </w:r>
          </w:p>
        </w:tc>
        <w:tc>
          <w:tcPr>
            <w:tcW w:w="141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2"/>
                <w:szCs w:val="22"/>
                <w:u w:val="none"/>
                <w:shd w:val="clear" w:color="auto" w:fill="auto"/>
                <w:lang w:val="en-US"/>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171.42%</w:t>
            </w:r>
          </w:p>
        </w:tc>
        <w:tc>
          <w:tcPr>
            <w:tcW w:w="1935" w:type="dxa"/>
            <w:tcBorders>
              <w:bottom w:val="single" w:color="000000" w:sz="4" w:space="0"/>
              <w:right w:val="single" w:color="000000" w:sz="12" w:space="0"/>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2"/>
                <w:szCs w:val="22"/>
                <w:u w:val="none"/>
                <w:shd w:val="clear" w:color="auto" w:fill="auto"/>
              </w:rPr>
            </w:pPr>
            <w:r>
              <w:rPr>
                <w:rFonts w:hint="eastAsia" w:ascii="方正仿宋简体" w:hAnsi="方正仿宋简体" w:eastAsia="方正仿宋简体" w:cs="方正仿宋简体"/>
                <w:i w:val="0"/>
                <w:color w:val="000000"/>
                <w:kern w:val="0"/>
                <w:sz w:val="22"/>
                <w:szCs w:val="22"/>
                <w:u w:val="none"/>
                <w:shd w:val="clear" w:color="auto" w:fill="auto"/>
                <w:lang w:val="en-US" w:eastAsia="zh-CN" w:bidi="ar"/>
              </w:rPr>
              <w:t>项目增加</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因人员普调工资及养老保险政策改变等因素故人员经费年初预算数与决算执行数有相应偏差。</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“三公经费”</w:t>
      </w:r>
      <w:r>
        <w:rPr>
          <w:rFonts w:hint="eastAsia" w:ascii="仿宋_GB2312" w:hAnsi="仿宋" w:eastAsia="仿宋_GB2312"/>
          <w:b/>
          <w:bCs/>
          <w:sz w:val="32"/>
          <w:szCs w:val="32"/>
          <w:lang w:val="en-US" w:eastAsia="zh-CN"/>
        </w:rPr>
        <w:t xml:space="preserve"> 控制</w:t>
      </w:r>
      <w:r>
        <w:rPr>
          <w:rFonts w:hint="eastAsia" w:ascii="仿宋_GB2312" w:hAnsi="仿宋" w:eastAsia="仿宋_GB2312"/>
          <w:b/>
          <w:bCs/>
          <w:sz w:val="32"/>
          <w:szCs w:val="32"/>
        </w:rPr>
        <w:t>情况</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rPr>
      </w:pPr>
    </w:p>
    <w:p>
      <w:pPr>
        <w:pStyle w:val="2"/>
        <w:rPr>
          <w:rFonts w:hint="eastAsia" w:ascii="仿宋_GB2312" w:hAnsi="仿宋" w:eastAsia="仿宋_GB2312"/>
          <w:sz w:val="32"/>
          <w:szCs w:val="32"/>
          <w:lang w:eastAsia="zh-CN"/>
        </w:rPr>
      </w:pPr>
      <w:r>
        <w:rPr>
          <w:rFonts w:hint="eastAsia" w:ascii="仿宋_GB2312" w:hAnsi="仿宋" w:eastAsia="仿宋_GB2312"/>
          <w:sz w:val="32"/>
          <w:szCs w:val="32"/>
          <w:lang w:eastAsia="zh-CN"/>
        </w:rPr>
        <w:object>
          <v:shape id="_x0000_i1025" o:spt="75" type="#_x0000_t75" style="height:248.25pt;width:364.5pt;" o:ole="t" filled="f" o:preferrelative="t" stroked="f" coordsize="21600,21600">
            <v:path/>
            <v:fill on="f" focussize="0,0"/>
            <v:stroke on="f"/>
            <v:imagedata r:id="rId15" o:title=""/>
            <o:lock v:ext="edit" aspectratio="t"/>
            <w10:wrap type="none"/>
            <w10:anchorlock/>
          </v:shape>
          <o:OLEObject Type="Embed" ProgID="Excel.Chart.8" ShapeID="_x0000_i1025" DrawAspect="Content" ObjectID="_1468075725" r:id="rId14">
            <o:LockedField>false</o:LockedField>
          </o:OLEObject>
        </w:objec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仿宋_GB2312" w:hAnsi="仿宋" w:eastAsia="仿宋_GB2312"/>
          <w:sz w:val="32"/>
          <w:szCs w:val="32"/>
          <w:lang w:val="en-US" w:eastAsia="zh-CN"/>
        </w:rPr>
        <w:t>2019年国内接待费3800元，接待批次4次，接待人数36人，人均105.56元。因公出国（境）费用0元，公务车购置及运行维护0元。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fldChar w:fldCharType="end"/>
      </w:r>
      <w:r>
        <w:rPr>
          <w:rFonts w:hint="eastAsia" w:ascii="楷体" w:hAnsi="楷体" w:eastAsia="楷体" w:cs="楷体"/>
          <w:sz w:val="32"/>
          <w:szCs w:val="32"/>
          <w:lang w:val="en-US" w:eastAsia="zh-CN"/>
        </w:rPr>
        <w:t>（三）综合管理情况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管理。一是建立行之有效的项目安排决策机制，保证部门项目申报、审核、安排全过程公开透明；二是根据部门项目支出情况，制定完善项目资金管理办法，确保单位经费合规合理使用；三是按照规定的时限完成部门预算信息及“三公经费”预算的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2.资产管理。一是制定相关管理办法，规范固定资产的采购、使用、处置；二是固定资产保存完整、配置合理、使用率达到95%；三是固定资产账务管理合规、账实相符、处置规范。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采购管理。对于各类采购项目，我局严格按照相关规定执行审批流程，严把审批关。每年初根据工作开展需要制定出当年的采购项目计划。采购计划经党组会通过后报财政局，经财政局审核后报政府采购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4.非税收入管理。加强非税收入管理，确保收入的及时清收。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绩效管理和监督情况。坚持年初制定的全年目标任务责任到各股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（四）整体绩效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以来，县文体旅游局在县委、县政府的坚强领导下，紧扣“文旅强县”战略定位，以“十大工程”为引领，求实创新，奋力拼搏，着力打造“川东门户、生态开江”文旅品牌，开创了新时代文化体育旅游广电事业的新局面。</w:t>
      </w:r>
      <w:r>
        <w:rPr>
          <w:rFonts w:hint="eastAsia" w:ascii="仿宋" w:hAnsi="仿宋" w:eastAsia="仿宋" w:cs="仿宋"/>
          <w:b w:val="0"/>
          <w:i w:val="0"/>
          <w:sz w:val="32"/>
          <w:szCs w:val="32"/>
        </w:rPr>
        <w:t>通过加强预算收支管理，不断建立健全内部管理制度，梳理内部管理流程，部门整体支出管理水平得到提升。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(一)文化旅游基础设施进一步夯实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大力推进28个贫困村文化室提档升级。对照“十个一”标准安排文化惠民资金130万元，采购的文体设施设备都已配送到位，贫困村文化室建设合格率达100%，全县村级文化室建设覆盖率达86%。其中回龙乐园村、靖安荷叶坝村、灵岩白竹山村被省委宣传部等部门命名为四川省2019年“文化扶贫示范村”。二是大力推进农村广播“村村响”、地面电视无线数字化全覆盖工程建设。完成69个非贫困村广播“村村响”安装调试以及地面电视信号3个无线发射补点站建设，实现广播电视信号全覆盖，让县委、县政府的声音第一时间到达全县各个层面，真正实现村村响、户户通。县文体旅游局被省广播电视局表彰为四川省广播电视行业先进集体。三是大力推进基层综合文化服务中心免费wifi工程建设。今年规划建设160个行政村免费公共wifi网络覆盖工程，3月完成该项目的招标采购工作，现已安装调试完成160套设备并投入使用。四是大力推进社会足球场地、自行车（马拉松）赛道体育设施建设工程。规划建设5-11人制社会足球场地5块，现已建成5人制足球场地3块；环宝石湖自行车（马拉松）赛道建设方案已通过县规划委员会的评审；莲花世界——黄金花海山地自行车骑行道建设工程，现已建骑行道9公里。五是大力推进文化旅游重点项目建设工程。金山景区已完成玉金路改道、商业中心内部装修、游客中心主体建筑、大雄宝殿主体工程、千步梯主体工程，该景区已步入扫尾阶段，正积极申请国家AAAA景区验收；“稻田+”乡村嘉年华已完成外部交通导视及户外广告宣传、入口区转洞桥乡村文化广场修建，新建3个停车场、3座旅游厕、1个游客中心，“我的大奔”、二十四节气景观、创客空间、共享农庄、竹溪村大门、“天下第一担”、稻田餐厅、“天下第一锄”等创意项目及景观小品建设已全面竣工，正积极申报国家AAA级景区。开江牌坊、益尔山休闲山庄、峨城山旅游景区、大梁山生态康养度假旅游区、莲花世界等文化旅游提升工程稳步实施。其中开江县莲花世界被市委市政授予“达州市优秀乡村旅游景点”，普安镇综合文化站被市委市政府表扬为“达州市乡镇综合文化站先进集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(二)文旅品牌活动蓬勃开展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组织开展丰富多彩的群众文化活动。按照“年年有主题，月月有活动，周周有比赛，个个有特色”的工作方针，深入开展了新中国成立70周年系列活动、举办第六届四川·开江荷花文化节、甘棠耍火龙民俗文化节、油菜花体验季、流动舞台进基层等大中型文旅展演活动320场次，受惠群众达200万人次，进一步丰富了市民群众的文化生活。二是倾力打造“全民阅读·书香开江”文化品牌。扎实开展全民阅读书香开江启动仪式及系列活动，新建全民阅读阵地110 个，习新书院成功申报为达州市第二批社科普及基地，县图书馆举办“万人赏月诵中秋”暨2019开江县首届中秋节拜月大典、2019公益大课堂系列活动，进一步激发了广大市民群众的阅读积极性和自觉性，形成了独具开江地域特色的全民阅读文化品牌，选送的《月光下的中国》参加全市“万人赏月诵中秋”诵读比赛获得全市一等奖。三是加强免费开放和服务能力建设。加强公共服务阵地免费开放工作，目前，县文化馆、县图书馆、县博物馆、各文化站(室)免费接待群众9.3万人次，图书外借3.8万册次，总流通1.1万人次，新办借阅证158个，咨询解答2543人次、赠送图书1000册。四是全面提升公共文化服务效能。抢救性保护省级非遗“薅秧歌”传承人龙光灿，通过音像、图片、文字资料，对其人生经历、核心技艺、特殊贡献和传承成果进行了抢救记录。 组织开展2019非遗进校园展演活动并为4个传承基地学校授牌。通过购买公益性岗位招募文化“三区”文化志愿者8人，村级文化志愿者196人，达州市“巴山蒲公英”文化志愿者服务团22人。实施基层文化干部“增能提素”工程，举办专题培训班22期培训1516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（三）文化精品创作成果丰硕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推进“双师双下”带动计划，着力打造开江作家群，创作一批反映时代风貌的精品力作，为宣传推介“川东门户、生态开江”文旅品牌营造良好舆论氛围。一是文艺创作硕果累累。创作诗歌、散文、短篇小说、故事、小品、歌曲、音乐舞蹈1000余件（首、篇），创作美术、书法、摄影作品2000余件，获得市级以上表扬的奖项60余件，其中：散文《开江县普安镇宝塔坝村》在四川省电视艺术家协会举办的2019中国农民艺术节优秀电视节目四川地区的评选中获得“美丽乡村”二等奖，诗《故乡，我永远放不下的乡愁（组章）》在第七届“全国新农村文化艺术展演”分获三等奖，摄影作品《天上人间》、《无处安放》入围“香港第九届全国摄影艺术展览”并获奖，广播电视作品《四季荷塘》《快乐星球》《含羞草能预报天气吗》代表达州市参加2017、2018年度四川省人民政府奖的评选，分别荣获“优秀原创歌曲”电视项政府奖、优秀少儿节目广播项政府奖、优秀少儿节目电视项政府奖，《开山汉子》《请到莲花世界来》入围第二届四川艺术节“群星奖”决赛。二是宣传交流更加广泛。以《魅力开江》为载体，通过开江本土作家、诗人、书法摄影家及其爱好者的优秀作品，全方位宣传推介开江，全年编辑出版《魅力开江》4期共8000册，编辑出版《新中国成立70周年大庆专刊》、《宝石湖水库建库60周年专刊》、《毓秀开江—女子文集》、《毓秀开江—诗画集》，进一步提升了开江知名度、认可度。三是采风、调研活动深入开展。举办名编走开江采风活动4次，接待“两代表一委员”调查研究活动6次，其中调研信息《开江县政协组织委员视察公共文化服务设施》被人民政协报采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(四)文化旅游产业快速发展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我县共接待游客358.17万人次，同比增长8.1%，实现文化旅游综合收入28.617亿元，同比增长6.5%。一是强化顶层设计。编制完善《开江县全域旅游发展规划》、制定《关于大力发展文旅经济加快建设文化强县旅游强县的意见》，形成层次分明、相互衔接、规范有效的规划体系。二是强化策划宣传。紧紧围绕旅游产品、服务、营销、运营等各个环节，抓住“智慧旅游”建设的有利契机，全面加大荷花文化旅游节、小龙虾美食节、甘棠耍火龙、广福春茶采摘节等文化体育旅游产业宣传的广度、深度和厚度。三是强化节会经济，深入推进文化和旅游融合发展，深度开发独具开江特色的农副产品、工业制品等文化旅游产品；举办荷花文化节、甘棠火龙节、农民丰收节、小龙虾音乐美食节，讲治高峰桃李赏花节、长岭盘歌大会、山地自行车邀请赛等节会，吸引了大批游客来我县观光游玩，进一步实现以节促旅、以旅促收。三是强化品牌推介。精心包装川东特色文旅小镇、峨城山旅游景区“花海漂流”等文旅品牌16个，与客商签订意向协议或框架协议的文旅品牌2个，吸引投资26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（五）文化市场监管成效明显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大力开展专项行动，不断净化市场环境。持续开展“净网”、“固边”、“清源”、“秋风”、“护苗”五大行动，截止目前，开展“扫黄打非·护苗2019”、“两考禁噪”等“双随机”专项检查21次，共出动执法人员872人次，检查经营单位635家次，其中，立案查处21件，处罚款7万元，取缔无证经营2家，收缴各类非法出版物5200余册（盘）。二是“扫黄打非”工作成效凸显。按照市“扫黄打非”办的统一部署，达州市2019年侵权盗版及非法出版物集中销毁行动在开江中学实验学校举行，销毁盗版及非法图书、报刊2000余册，音像制品100余盘。三是抓常抓实广播电视安全播出工作。切实加强播放设备维护、网络隐患排查和值班值守工作，制订安全播出应急预案，全年安全播出无事故，确保了新中国成立70周年等重大节庆喜讯、重要会议精神及时顺畅地传播给全县市民群众。四是常态化监管文旅市场安全。全年共排查出文化、出版物、旅游市场经营单位隐患12处，抄告消防部门1家，下发《责令整改通知书》12份，确保了文化、出版物、旅游市场无安全事故发生。其中县文化市场综合执法大队被推荐为“第八届全国服务农民、服务基层文化建设先进集体”，张辉平同志被表扬为达州市“最美消防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（六）全面从严治党责任压紧压实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抓常抓实党建设工作。结合庆祝新中国成立70周年开展“不忘初心、牢记使命”主题教育，引导全局广大党员干部不忘历史，不忘初心，全年共召开党员大会5次，组织生活会暨民主评议党员大会2次，支部集中学习11次，支委会11次，上党课7次，支部学习讨论4次，局党组集中学习 3次，局党组中心组集中学习11次，党风廉政建设工作会3次。同时，常态化开展学习黄文秀先进事迹、党员进社区、城乡党建结对共建、扶贫一日捐等为主题的党日活动，占领党员干部的思想至高点，进一步增强了全心全意为人民服务意识。二是认真落实主体责任。坚持以“围绕中心、服务大局、建设队伍”为主线，以开展“强责任、肃风纪、解民忧、聚民心”党风廉政建设主题实践活动、“清源行动”为抓手，全面落实“两个责任”，进一步加强党风廉政建设和纪律作风建设，为文化靓县建设提供坚强的组织保证。目前，局党组3次召开会议专题研究党风廉政建设工作，把党风廉政建设列入中心组学习内容；开展党规党纪、廉政法规及从政道德教育2次，开展警示教育2次，组织22人述廉述责，对6名干部职工进行了诫勉谈话。三是加强行权和安全信访工作。健全行权平台，推行单位权力清单制度，再梳理，再优化，清理后行政权力共28项，做到权责一致，未出现行政权力事项报警情况；切实抓好安全信访维稳举报办理，实现安全信访维稳举报“零暂存”。四是稳步推进改革工作。涉及文化体育旅游15项专项改革任务全面完成，组建开江县文化和旅游产业发展领导小组工作机构，召开了第一次文化和旅游产业发展领导小组会议，研究审议了《关于大力发展文旅经济加快建设文化强县旅游强县的实施意见》等事项。全年分别向县委改革办、县委宣传部报送改革信息、改革动态12篇，其中《开江县深化文化体制改革实现公共文化服务全民共享》改革经验被达州改革动态采用在全市推广学习。五是扎实开展脱贫攻坚工作。分别向非贫困村虾扒口村、贫困村白竹山村选派了政治素质高、业务能力强的第一书记和驻村帮扶队员，通过与群众面对面交流，倾听群众诉求，收集核实情况，共谋致富良策，制订了整村脱贫规划，建立了“一对一”帮扶台账135份，实施“四步曲”召开脱贫攻坚院坝会，极大地提升了人民群众认可度、满意度。为确保边远山区的贫困群众正常收看到广播电视节目，切实做到“小故障不过夜、大故障不超过48小时”维护机制，保证广播电视户户通“优质通”、“长期通”、“安全通”。六是筑牢意识形态工作。持续加大“扫黄打非”、出版物市场管理、演艺市场管理及文艺作品管控，进一步夯实我县意识形态工作基础；全面抓好网络意识形态工作开展，重点抓好单位政务微博微信新媒体的管理，全天侯加强舆情引导和应急处置，同时做好网评网宣工作。其中县文体旅游局意识形态网宣工作、《魅力开江》公众平台获得开江县网宣优秀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（一）整体绩效目标完成情况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2019年我局</w:t>
      </w:r>
      <w:r>
        <w:rPr>
          <w:rFonts w:hint="eastAsia" w:ascii="仿宋" w:hAnsi="仿宋" w:eastAsia="仿宋" w:cs="仿宋"/>
          <w:sz w:val="32"/>
          <w:szCs w:val="32"/>
        </w:rPr>
        <w:t>保障了职工的工资福利、遗属的生活补助、按时足额发放；确保</w:t>
      </w:r>
      <w:r>
        <w:rPr>
          <w:rFonts w:hint="eastAsia" w:ascii="仿宋" w:hAnsi="仿宋" w:eastAsia="仿宋" w:cs="仿宋"/>
          <w:sz w:val="32"/>
          <w:szCs w:val="32"/>
          <w:lang w:eastAsia="zh-CN"/>
        </w:rPr>
        <w:t>单位</w:t>
      </w:r>
      <w:r>
        <w:rPr>
          <w:rFonts w:hint="eastAsia" w:ascii="仿宋" w:hAnsi="仿宋" w:eastAsia="仿宋" w:cs="仿宋"/>
          <w:sz w:val="32"/>
          <w:szCs w:val="32"/>
        </w:rPr>
        <w:t>正常运转</w:t>
      </w:r>
      <w:r>
        <w:rPr>
          <w:rFonts w:hint="eastAsia" w:ascii="仿宋" w:hAnsi="仿宋" w:eastAsia="仿宋" w:cs="仿宋"/>
          <w:sz w:val="32"/>
          <w:szCs w:val="32"/>
          <w:lang w:eastAsia="zh-CN"/>
        </w:rPr>
        <w:t>。</w:t>
      </w:r>
      <w:r>
        <w:rPr>
          <w:rFonts w:hint="eastAsia" w:ascii="仿宋" w:hAnsi="仿宋" w:eastAsia="仿宋" w:cs="仿宋"/>
          <w:sz w:val="32"/>
          <w:szCs w:val="32"/>
        </w:rPr>
        <w:t>巧用文化“软实力”，整合优质文化资源，补齐全县基层公共服务体系短板</w:t>
      </w:r>
      <w:r>
        <w:rPr>
          <w:rFonts w:hint="eastAsia" w:ascii="仿宋" w:hAnsi="仿宋" w:eastAsia="仿宋" w:cs="仿宋"/>
          <w:sz w:val="32"/>
          <w:szCs w:val="32"/>
          <w:lang w:eastAsia="zh-CN"/>
        </w:rPr>
        <w:t>。</w:t>
      </w:r>
      <w:r>
        <w:rPr>
          <w:rFonts w:hint="eastAsia" w:ascii="仿宋" w:hAnsi="仿宋" w:eastAsia="仿宋" w:cs="仿宋"/>
          <w:sz w:val="32"/>
          <w:szCs w:val="32"/>
        </w:rPr>
        <w:t>以“抓重点、破难点、出亮点”为工作方针，开拓创新，奋力拼搏，圆满完成了全年目标任务。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（二）整体绩效目标未完成情况及原因分析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有些日常公用经费支出滞后，原因是一些公务活动开展</w:t>
      </w:r>
      <w:r>
        <w:rPr>
          <w:rFonts w:hint="eastAsia" w:ascii="仿宋" w:hAnsi="仿宋" w:eastAsia="仿宋" w:cs="仿宋"/>
          <w:sz w:val="32"/>
          <w:szCs w:val="32"/>
          <w:lang w:eastAsia="zh-CN"/>
        </w:rPr>
        <w:t>进度稍缓</w:t>
      </w:r>
      <w:r>
        <w:rPr>
          <w:rFonts w:hint="eastAsia" w:ascii="仿宋" w:hAnsi="仿宋" w:eastAsia="仿宋" w:cs="仿宋"/>
          <w:sz w:val="32"/>
          <w:szCs w:val="32"/>
        </w:rPr>
        <w:t>慢，支出发票未及时送达。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（一）后续工作计划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严格控制，加强预算管理。根据《预算法》及本级预算编制相关规定，完善预算编制程序与管理制度，进行预算编制及财务资源配置，做到预算编制有目标。同时根据局机关内控制度规定，厉行节约，将预算支出按金额大小设立审批权限，并认真执行国家的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2.继续严格控制“三公经费”支出。控制“三公经费”的规模和比例，严格“三公”经费支出的审核审批流程，进一步加强“三公”经费的管理。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（二）主要经验做法、存在的问题和建议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我局目前在整体支出的预算编制、执行和管理过程中，还存在一些问题和不足：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预算控制率有待降低。除政策性因素以外，由于部分临时、紧急或突发的工作任务导致年中追加预算。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针对存在的问题及我局整体支出管理工作的需要，拟实施的改进措施如下：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细化预算编制工作。进一步加强局机关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2.加强预算执行管理。遵循预算管理办法，从严控制年中追加预算规模。对于年度无法预计的临时追加的相关工作所需费用，严格按照预算调整追加程序，逐级申报报批，有效降低预算控制率。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3.保障预算执行进度。加快项目实施进度的推进，加强项目开展进度的跟踪，开展项目绩效评价，确保项目绩效目标的完成，发挥资金的使用效益，压减年末结余资金规模，提高预算完成率。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部门，我们将加强本部门预算编制的科学、合理性，严格执行预算。建议财政尊重政策调整的因素、考虑市场的实际情况，对部门编制的预算指标进行合理评估，科学、合理的下达预算任务，避免部门的收支预算在执行过程中出现大的偏差，提高预算编制严谨性和可控性。</w:t>
      </w:r>
    </w:p>
    <w:p>
      <w:pPr>
        <w:spacing w:line="560" w:lineRule="exact"/>
        <w:ind w:firstLine="640" w:firstLineChars="200"/>
        <w:rPr>
          <w:sz w:val="32"/>
          <w:szCs w:val="32"/>
        </w:rPr>
      </w:pPr>
    </w:p>
    <w:p>
      <w:pPr>
        <w:pStyle w:val="2"/>
        <w:rPr>
          <w:sz w:val="32"/>
          <w:szCs w:val="32"/>
        </w:rPr>
      </w:pPr>
    </w:p>
    <w:p>
      <w:pPr>
        <w:rPr>
          <w:sz w:val="32"/>
          <w:szCs w:val="32"/>
        </w:rPr>
      </w:pPr>
    </w:p>
    <w:p>
      <w:pPr>
        <w:jc w:val="center"/>
      </w:pPr>
      <w:r>
        <w:rPr>
          <w:rFonts w:hint="eastAsia"/>
          <w:sz w:val="32"/>
          <w:szCs w:val="32"/>
        </w:rPr>
        <w:t xml:space="preserve">                             </w:t>
      </w:r>
    </w:p>
    <w:p>
      <w:pPr>
        <w:spacing w:line="58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left"/>
        <w:rPr>
          <w:rFonts w:ascii="仿宋_GB2312" w:hAnsi="仿宋_GB2312" w:eastAsia="仿宋_GB2312" w:cs="仿宋_GB2312"/>
          <w:sz w:val="32"/>
          <w:szCs w:val="32"/>
        </w:rPr>
      </w:pPr>
    </w:p>
    <w:p>
      <w:pPr>
        <w:spacing w:line="600" w:lineRule="exact"/>
        <w:jc w:val="center"/>
        <w:outlineLvl w:val="0"/>
        <w:rPr>
          <w:rFonts w:ascii="仿宋" w:hAnsi="仿宋" w:eastAsia="仿宋"/>
          <w:b/>
          <w:color w:val="000000"/>
          <w:sz w:val="44"/>
          <w:szCs w:val="44"/>
        </w:rPr>
      </w:pPr>
      <w:bookmarkStart w:id="66" w:name="_Toc19950078"/>
      <w:r>
        <w:rPr>
          <w:rFonts w:hint="eastAsia" w:ascii="黑体" w:hAnsi="黑体" w:eastAsia="黑体"/>
          <w:color w:val="000000"/>
          <w:sz w:val="44"/>
          <w:szCs w:val="44"/>
        </w:rPr>
        <w:t>第</w:t>
      </w:r>
      <w:r>
        <w:rPr>
          <w:rStyle w:val="25"/>
          <w:rFonts w:hint="eastAsia" w:ascii="黑体" w:hAnsi="黑体" w:eastAsia="黑体"/>
          <w:b w:val="0"/>
        </w:rPr>
        <w:t>五部分 附表</w:t>
      </w:r>
      <w:bookmarkEnd w:id="61"/>
      <w:bookmarkEnd w:id="66"/>
    </w:p>
    <w:p>
      <w:pPr>
        <w:pStyle w:val="4"/>
        <w:rPr>
          <w:rFonts w:ascii="仿宋" w:hAnsi="仿宋" w:eastAsia="仿宋"/>
          <w:color w:val="000000"/>
        </w:rPr>
      </w:pPr>
      <w:bookmarkStart w:id="67" w:name="_Toc19950079"/>
      <w:r>
        <w:rPr>
          <w:rFonts w:hint="eastAsia" w:ascii="仿宋" w:hAnsi="仿宋" w:eastAsia="仿宋"/>
          <w:b w:val="0"/>
          <w:color w:val="000000"/>
        </w:rPr>
        <w:t>一、收</w:t>
      </w:r>
      <w:r>
        <w:rPr>
          <w:rStyle w:val="26"/>
          <w:rFonts w:hint="eastAsia" w:ascii="仿宋" w:hAnsi="仿宋" w:eastAsia="仿宋"/>
          <w:b w:val="0"/>
          <w:bCs w:val="0"/>
        </w:rPr>
        <w:t>入支出决算总表</w:t>
      </w:r>
      <w:bookmarkEnd w:id="67"/>
    </w:p>
    <w:p>
      <w:pPr>
        <w:pStyle w:val="4"/>
        <w:rPr>
          <w:rFonts w:ascii="仿宋" w:hAnsi="仿宋" w:eastAsia="仿宋"/>
          <w:color w:val="000000"/>
        </w:rPr>
      </w:pPr>
      <w:bookmarkStart w:id="68" w:name="_Toc19950080"/>
      <w:r>
        <w:rPr>
          <w:rFonts w:hint="eastAsia" w:ascii="仿宋" w:hAnsi="仿宋" w:eastAsia="仿宋"/>
          <w:b w:val="0"/>
          <w:color w:val="000000"/>
        </w:rPr>
        <w:t>二、收</w:t>
      </w:r>
      <w:r>
        <w:rPr>
          <w:rStyle w:val="26"/>
          <w:rFonts w:hint="eastAsia" w:ascii="仿宋" w:hAnsi="仿宋" w:eastAsia="仿宋"/>
          <w:b w:val="0"/>
          <w:bCs w:val="0"/>
        </w:rPr>
        <w:t>入总表</w:t>
      </w:r>
      <w:bookmarkEnd w:id="68"/>
    </w:p>
    <w:p>
      <w:pPr>
        <w:pStyle w:val="4"/>
        <w:rPr>
          <w:rFonts w:ascii="仿宋" w:hAnsi="仿宋" w:eastAsia="仿宋"/>
          <w:color w:val="000000"/>
        </w:rPr>
      </w:pPr>
      <w:bookmarkStart w:id="69" w:name="_Toc1995008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9"/>
    </w:p>
    <w:p>
      <w:pPr>
        <w:pStyle w:val="4"/>
        <w:rPr>
          <w:rFonts w:ascii="仿宋" w:hAnsi="仿宋" w:eastAsia="仿宋"/>
          <w:b w:val="0"/>
          <w:color w:val="000000"/>
        </w:rPr>
      </w:pPr>
      <w:bookmarkStart w:id="70" w:name="_Toc1995008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70"/>
    </w:p>
    <w:p>
      <w:pPr>
        <w:pStyle w:val="4"/>
        <w:rPr>
          <w:rFonts w:ascii="仿宋" w:hAnsi="仿宋" w:eastAsia="仿宋"/>
          <w:color w:val="000000"/>
        </w:rPr>
      </w:pPr>
      <w:bookmarkStart w:id="71" w:name="_Toc1995008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71"/>
    </w:p>
    <w:p>
      <w:pPr>
        <w:pStyle w:val="4"/>
        <w:rPr>
          <w:rFonts w:ascii="仿宋" w:hAnsi="仿宋" w:eastAsia="仿宋"/>
          <w:color w:val="000000"/>
        </w:rPr>
      </w:pPr>
      <w:bookmarkStart w:id="72" w:name="_Toc1995008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72"/>
    </w:p>
    <w:p>
      <w:pPr>
        <w:pStyle w:val="4"/>
        <w:rPr>
          <w:rFonts w:ascii="仿宋" w:hAnsi="仿宋" w:eastAsia="仿宋"/>
          <w:color w:val="000000"/>
        </w:rPr>
      </w:pPr>
      <w:bookmarkStart w:id="73" w:name="_Toc1995008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3"/>
    </w:p>
    <w:p>
      <w:pPr>
        <w:pStyle w:val="4"/>
        <w:rPr>
          <w:rFonts w:ascii="仿宋" w:hAnsi="仿宋" w:eastAsia="仿宋"/>
          <w:color w:val="000000"/>
        </w:rPr>
      </w:pPr>
      <w:bookmarkStart w:id="74" w:name="_Toc1995008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4"/>
    </w:p>
    <w:p>
      <w:pPr>
        <w:pStyle w:val="4"/>
        <w:rPr>
          <w:rFonts w:ascii="仿宋" w:hAnsi="仿宋" w:eastAsia="仿宋"/>
          <w:color w:val="000000"/>
        </w:rPr>
      </w:pPr>
      <w:bookmarkStart w:id="75" w:name="_Toc1995008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5"/>
    </w:p>
    <w:p>
      <w:pPr>
        <w:pStyle w:val="4"/>
        <w:rPr>
          <w:rFonts w:ascii="仿宋" w:hAnsi="仿宋" w:eastAsia="仿宋"/>
          <w:color w:val="000000"/>
        </w:rPr>
      </w:pPr>
      <w:bookmarkStart w:id="76" w:name="_Toc1995008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6"/>
    </w:p>
    <w:p>
      <w:pPr>
        <w:pStyle w:val="4"/>
        <w:rPr>
          <w:rFonts w:ascii="仿宋" w:hAnsi="仿宋" w:eastAsia="仿宋"/>
          <w:color w:val="000000"/>
        </w:rPr>
      </w:pPr>
      <w:bookmarkStart w:id="77" w:name="_Toc1995008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7"/>
    </w:p>
    <w:p>
      <w:pPr>
        <w:pStyle w:val="4"/>
        <w:rPr>
          <w:rFonts w:ascii="仿宋" w:hAnsi="仿宋" w:eastAsia="仿宋"/>
          <w:color w:val="000000"/>
        </w:rPr>
      </w:pPr>
      <w:bookmarkStart w:id="78" w:name="_Toc1995009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8"/>
    </w:p>
    <w:p>
      <w:pPr>
        <w:pStyle w:val="4"/>
        <w:rPr>
          <w:rStyle w:val="26"/>
          <w:rFonts w:hint="eastAsia" w:ascii="仿宋" w:hAnsi="仿宋" w:eastAsia="仿宋"/>
          <w:b w:val="0"/>
          <w:bCs w:val="0"/>
        </w:rPr>
      </w:pPr>
      <w:bookmarkStart w:id="79" w:name="_Toc1995009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9"/>
    </w:p>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46DE69-043A-4D0C-A8C3-2502F8A581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FC5BF012-75DD-4CF1-84CE-08EB8762388C}"/>
  </w:font>
  <w:font w:name="仿宋_GB2312">
    <w:altName w:val="仿宋"/>
    <w:panose1 w:val="00000000000000000000"/>
    <w:charset w:val="86"/>
    <w:family w:val="modern"/>
    <w:pitch w:val="default"/>
    <w:sig w:usb0="00000000" w:usb1="00000000" w:usb2="00000000" w:usb3="00000000" w:csb0="00040000" w:csb1="00000000"/>
    <w:embedRegular r:id="rId3" w:fontKey="{71236E15-75EA-41D3-9291-EA3C1B837999}"/>
  </w:font>
  <w:font w:name="仿宋">
    <w:panose1 w:val="02010609060101010101"/>
    <w:charset w:val="86"/>
    <w:family w:val="modern"/>
    <w:pitch w:val="default"/>
    <w:sig w:usb0="800002BF" w:usb1="38CF7CFA" w:usb2="00000016" w:usb3="00000000" w:csb0="00040001" w:csb1="00000000"/>
    <w:embedRegular r:id="rId4" w:fontKey="{85B3A42F-8EE2-4CA9-8706-A9E23E6C9F9D}"/>
  </w:font>
  <w:font w:name="方正小标宋简体">
    <w:panose1 w:val="03000509000000000000"/>
    <w:charset w:val="86"/>
    <w:family w:val="auto"/>
    <w:pitch w:val="default"/>
    <w:sig w:usb0="00000001" w:usb1="080E0000" w:usb2="00000000" w:usb3="00000000" w:csb0="00040000" w:csb1="00000000"/>
    <w:embedRegular r:id="rId5" w:fontKey="{1E7E9BF4-3F66-4313-9387-7AE6E2B43150}"/>
  </w:font>
  <w:font w:name="楷体_GB2312">
    <w:altName w:val="楷体"/>
    <w:panose1 w:val="00000000000000000000"/>
    <w:charset w:val="86"/>
    <w:family w:val="auto"/>
    <w:pitch w:val="default"/>
    <w:sig w:usb0="00000000" w:usb1="00000000" w:usb2="00000000" w:usb3="00000000" w:csb0="00040000" w:csb1="00000000"/>
    <w:embedRegular r:id="rId6" w:fontKey="{7FC94767-0446-4962-B4C7-1B8E9309448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embedRegular r:id="rId7" w:fontKey="{F630B11E-014D-4663-9180-276484C2D48E}"/>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8" w:fontKey="{F409B94D-8CC7-4779-A21F-1164847F0676}"/>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428D"/>
    <w:rsid w:val="0006487A"/>
    <w:rsid w:val="00065136"/>
    <w:rsid w:val="00065F8F"/>
    <w:rsid w:val="000768F2"/>
    <w:rsid w:val="0009184B"/>
    <w:rsid w:val="0009593C"/>
    <w:rsid w:val="000B047F"/>
    <w:rsid w:val="000B5923"/>
    <w:rsid w:val="000B5A48"/>
    <w:rsid w:val="000B6FF3"/>
    <w:rsid w:val="000C22C6"/>
    <w:rsid w:val="000C3467"/>
    <w:rsid w:val="000C3CA6"/>
    <w:rsid w:val="000D1267"/>
    <w:rsid w:val="000D1D50"/>
    <w:rsid w:val="000D5782"/>
    <w:rsid w:val="000E6613"/>
    <w:rsid w:val="000E7119"/>
    <w:rsid w:val="00103FCC"/>
    <w:rsid w:val="00114E9B"/>
    <w:rsid w:val="0014729F"/>
    <w:rsid w:val="00157BAB"/>
    <w:rsid w:val="001654D1"/>
    <w:rsid w:val="0018106D"/>
    <w:rsid w:val="001877A7"/>
    <w:rsid w:val="00191536"/>
    <w:rsid w:val="00196687"/>
    <w:rsid w:val="001A65F1"/>
    <w:rsid w:val="001B4947"/>
    <w:rsid w:val="001C0962"/>
    <w:rsid w:val="001D7531"/>
    <w:rsid w:val="001E737D"/>
    <w:rsid w:val="001F0592"/>
    <w:rsid w:val="001F451F"/>
    <w:rsid w:val="001F7506"/>
    <w:rsid w:val="002006CD"/>
    <w:rsid w:val="00202B36"/>
    <w:rsid w:val="00204B7A"/>
    <w:rsid w:val="0021101A"/>
    <w:rsid w:val="00220536"/>
    <w:rsid w:val="0023188F"/>
    <w:rsid w:val="00235629"/>
    <w:rsid w:val="00260C38"/>
    <w:rsid w:val="002616C0"/>
    <w:rsid w:val="002662AA"/>
    <w:rsid w:val="00280496"/>
    <w:rsid w:val="00295495"/>
    <w:rsid w:val="002A07FD"/>
    <w:rsid w:val="002B2613"/>
    <w:rsid w:val="002F1818"/>
    <w:rsid w:val="002F567B"/>
    <w:rsid w:val="003216A9"/>
    <w:rsid w:val="00326B73"/>
    <w:rsid w:val="0037013F"/>
    <w:rsid w:val="003711DB"/>
    <w:rsid w:val="00374AD5"/>
    <w:rsid w:val="00380C92"/>
    <w:rsid w:val="00394C6D"/>
    <w:rsid w:val="003A484F"/>
    <w:rsid w:val="003B0BE0"/>
    <w:rsid w:val="003B0C1B"/>
    <w:rsid w:val="003B688C"/>
    <w:rsid w:val="003C0291"/>
    <w:rsid w:val="003C39AE"/>
    <w:rsid w:val="003C7B60"/>
    <w:rsid w:val="003D1FB2"/>
    <w:rsid w:val="003D65B5"/>
    <w:rsid w:val="003D66DA"/>
    <w:rsid w:val="003E1310"/>
    <w:rsid w:val="003E6F55"/>
    <w:rsid w:val="00406254"/>
    <w:rsid w:val="004177B8"/>
    <w:rsid w:val="004223DE"/>
    <w:rsid w:val="00434489"/>
    <w:rsid w:val="00437085"/>
    <w:rsid w:val="0044051B"/>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05A51"/>
    <w:rsid w:val="005076B0"/>
    <w:rsid w:val="00512FDA"/>
    <w:rsid w:val="00520DA0"/>
    <w:rsid w:val="00523ED4"/>
    <w:rsid w:val="005664BB"/>
    <w:rsid w:val="005718FE"/>
    <w:rsid w:val="0057481D"/>
    <w:rsid w:val="0058486E"/>
    <w:rsid w:val="005C67DD"/>
    <w:rsid w:val="005D1C8B"/>
    <w:rsid w:val="005D5CED"/>
    <w:rsid w:val="005F1A4C"/>
    <w:rsid w:val="00605688"/>
    <w:rsid w:val="006070AF"/>
    <w:rsid w:val="00607E6C"/>
    <w:rsid w:val="006101B1"/>
    <w:rsid w:val="00614E44"/>
    <w:rsid w:val="00622830"/>
    <w:rsid w:val="00623213"/>
    <w:rsid w:val="00630AEF"/>
    <w:rsid w:val="006325F8"/>
    <w:rsid w:val="00634C99"/>
    <w:rsid w:val="00634C9A"/>
    <w:rsid w:val="00640016"/>
    <w:rsid w:val="006440E4"/>
    <w:rsid w:val="0066343B"/>
    <w:rsid w:val="00664777"/>
    <w:rsid w:val="006748A4"/>
    <w:rsid w:val="00683E73"/>
    <w:rsid w:val="006A3141"/>
    <w:rsid w:val="006A5E34"/>
    <w:rsid w:val="006B2422"/>
    <w:rsid w:val="006B2B9A"/>
    <w:rsid w:val="006C179E"/>
    <w:rsid w:val="006C1937"/>
    <w:rsid w:val="006F020C"/>
    <w:rsid w:val="007127B7"/>
    <w:rsid w:val="007416B6"/>
    <w:rsid w:val="00746F48"/>
    <w:rsid w:val="0075404D"/>
    <w:rsid w:val="0076182A"/>
    <w:rsid w:val="00767B7E"/>
    <w:rsid w:val="007770C3"/>
    <w:rsid w:val="0078234B"/>
    <w:rsid w:val="00784D24"/>
    <w:rsid w:val="00785FBA"/>
    <w:rsid w:val="00786E4A"/>
    <w:rsid w:val="007875EB"/>
    <w:rsid w:val="0079426B"/>
    <w:rsid w:val="007B41AE"/>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89C"/>
    <w:rsid w:val="0092755A"/>
    <w:rsid w:val="009315F9"/>
    <w:rsid w:val="00935610"/>
    <w:rsid w:val="00946945"/>
    <w:rsid w:val="00951248"/>
    <w:rsid w:val="0095152F"/>
    <w:rsid w:val="00954C49"/>
    <w:rsid w:val="0097099F"/>
    <w:rsid w:val="00971997"/>
    <w:rsid w:val="00971FFC"/>
    <w:rsid w:val="0098660A"/>
    <w:rsid w:val="009931C3"/>
    <w:rsid w:val="009A2D4D"/>
    <w:rsid w:val="009B2C43"/>
    <w:rsid w:val="009B4EAE"/>
    <w:rsid w:val="009B7573"/>
    <w:rsid w:val="009C22F4"/>
    <w:rsid w:val="009C2E98"/>
    <w:rsid w:val="009D3447"/>
    <w:rsid w:val="009D4711"/>
    <w:rsid w:val="009F1185"/>
    <w:rsid w:val="009F18CD"/>
    <w:rsid w:val="009F2A13"/>
    <w:rsid w:val="00A00D91"/>
    <w:rsid w:val="00A04EB0"/>
    <w:rsid w:val="00A13CC1"/>
    <w:rsid w:val="00A16847"/>
    <w:rsid w:val="00A237D8"/>
    <w:rsid w:val="00A268C4"/>
    <w:rsid w:val="00A307CD"/>
    <w:rsid w:val="00A40A00"/>
    <w:rsid w:val="00A4142F"/>
    <w:rsid w:val="00A54C69"/>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1B5"/>
    <w:rsid w:val="00B51B0B"/>
    <w:rsid w:val="00B53C56"/>
    <w:rsid w:val="00B623C7"/>
    <w:rsid w:val="00B658A9"/>
    <w:rsid w:val="00B77EA6"/>
    <w:rsid w:val="00B81598"/>
    <w:rsid w:val="00B841F1"/>
    <w:rsid w:val="00B944D6"/>
    <w:rsid w:val="00BB4DF0"/>
    <w:rsid w:val="00BC289F"/>
    <w:rsid w:val="00BC5361"/>
    <w:rsid w:val="00BC5460"/>
    <w:rsid w:val="00BC6B50"/>
    <w:rsid w:val="00BD0A18"/>
    <w:rsid w:val="00BD0E25"/>
    <w:rsid w:val="00BF5BD6"/>
    <w:rsid w:val="00C017E3"/>
    <w:rsid w:val="00C03E31"/>
    <w:rsid w:val="00C33E72"/>
    <w:rsid w:val="00C3427F"/>
    <w:rsid w:val="00C342AB"/>
    <w:rsid w:val="00C354B2"/>
    <w:rsid w:val="00C35554"/>
    <w:rsid w:val="00C42709"/>
    <w:rsid w:val="00C43D6C"/>
    <w:rsid w:val="00C533CC"/>
    <w:rsid w:val="00C5751C"/>
    <w:rsid w:val="00C61BFC"/>
    <w:rsid w:val="00C62B85"/>
    <w:rsid w:val="00C64B80"/>
    <w:rsid w:val="00C65438"/>
    <w:rsid w:val="00C91CBB"/>
    <w:rsid w:val="00CC09B6"/>
    <w:rsid w:val="00CC1F75"/>
    <w:rsid w:val="00CC666F"/>
    <w:rsid w:val="00CD1E3F"/>
    <w:rsid w:val="00CE44F6"/>
    <w:rsid w:val="00CE49DA"/>
    <w:rsid w:val="00CE7B61"/>
    <w:rsid w:val="00CF5A1C"/>
    <w:rsid w:val="00D00095"/>
    <w:rsid w:val="00D05E32"/>
    <w:rsid w:val="00D20620"/>
    <w:rsid w:val="00D26091"/>
    <w:rsid w:val="00D34E7C"/>
    <w:rsid w:val="00D35489"/>
    <w:rsid w:val="00D51276"/>
    <w:rsid w:val="00D7035F"/>
    <w:rsid w:val="00DA65AC"/>
    <w:rsid w:val="00DB1355"/>
    <w:rsid w:val="00DB1913"/>
    <w:rsid w:val="00DC410D"/>
    <w:rsid w:val="00DC68CA"/>
    <w:rsid w:val="00DC7CBA"/>
    <w:rsid w:val="00DD73B7"/>
    <w:rsid w:val="00DF28BC"/>
    <w:rsid w:val="00DF34B9"/>
    <w:rsid w:val="00E01053"/>
    <w:rsid w:val="00E07ACF"/>
    <w:rsid w:val="00E238F0"/>
    <w:rsid w:val="00E331A1"/>
    <w:rsid w:val="00E33202"/>
    <w:rsid w:val="00E336A9"/>
    <w:rsid w:val="00E50624"/>
    <w:rsid w:val="00E568DF"/>
    <w:rsid w:val="00E61E85"/>
    <w:rsid w:val="00E64269"/>
    <w:rsid w:val="00E77D63"/>
    <w:rsid w:val="00E80D9C"/>
    <w:rsid w:val="00E82267"/>
    <w:rsid w:val="00EA010F"/>
    <w:rsid w:val="00ED1B63"/>
    <w:rsid w:val="00ED3C1F"/>
    <w:rsid w:val="00ED4085"/>
    <w:rsid w:val="00ED420E"/>
    <w:rsid w:val="00EE11FC"/>
    <w:rsid w:val="00EE2F57"/>
    <w:rsid w:val="00EF4C34"/>
    <w:rsid w:val="00EF77C6"/>
    <w:rsid w:val="00F05438"/>
    <w:rsid w:val="00F12539"/>
    <w:rsid w:val="00F1361C"/>
    <w:rsid w:val="00F160C7"/>
    <w:rsid w:val="00F36D8F"/>
    <w:rsid w:val="00F417B1"/>
    <w:rsid w:val="00F602DF"/>
    <w:rsid w:val="00F81FD9"/>
    <w:rsid w:val="00F841AA"/>
    <w:rsid w:val="00FA23E8"/>
    <w:rsid w:val="00FA2D96"/>
    <w:rsid w:val="00FA7E19"/>
    <w:rsid w:val="00FC25DF"/>
    <w:rsid w:val="00FC3250"/>
    <w:rsid w:val="00FC6256"/>
    <w:rsid w:val="00FD3CC1"/>
    <w:rsid w:val="00FF1E02"/>
    <w:rsid w:val="00FF30B4"/>
    <w:rsid w:val="059C6EBC"/>
    <w:rsid w:val="10C055FF"/>
    <w:rsid w:val="139C1AEB"/>
    <w:rsid w:val="16BB723D"/>
    <w:rsid w:val="228C0681"/>
    <w:rsid w:val="240371BF"/>
    <w:rsid w:val="27B327E0"/>
    <w:rsid w:val="29FD04D3"/>
    <w:rsid w:val="319F7F4E"/>
    <w:rsid w:val="35D466E2"/>
    <w:rsid w:val="3BFE4088"/>
    <w:rsid w:val="3E8F0594"/>
    <w:rsid w:val="43500BCB"/>
    <w:rsid w:val="46D111D9"/>
    <w:rsid w:val="504625B0"/>
    <w:rsid w:val="555E68A9"/>
    <w:rsid w:val="5895152D"/>
    <w:rsid w:val="6D02728A"/>
    <w:rsid w:val="6E4D09FC"/>
    <w:rsid w:val="6FEC2AFF"/>
    <w:rsid w:val="735121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link w:val="22"/>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8"/>
    <w:semiHidden/>
    <w:unhideWhenUsed/>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1"/>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10"/>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7"/>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9"/>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收、支决算总计变动情况图</a:t>
            </a:r>
            <a:endParaRPr lang="zh-CN" sz="1400"/>
          </a:p>
        </c:rich>
      </c:tx>
      <c:layout>
        <c:manualLayout>
          <c:xMode val="edge"/>
          <c:yMode val="edge"/>
          <c:x val="0.242535315768584"/>
          <c:y val="0.0112727272727273"/>
        </c:manualLayout>
      </c:layout>
      <c:overlay val="0"/>
    </c:title>
    <c:autoTitleDeleted val="0"/>
    <c:plotArea>
      <c:layout>
        <c:manualLayout>
          <c:layoutTarget val="inner"/>
          <c:xMode val="edge"/>
          <c:yMode val="edge"/>
          <c:x val="0.0908383078120945"/>
          <c:y val="0.154545454545455"/>
          <c:w val="0.905268621853102"/>
          <c:h val="0.68698347107438"/>
        </c:manualLayout>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1083.81</c:v>
                </c:pt>
                <c:pt idx="1">
                  <c:v>1083.81</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2124.75</c:v>
                </c:pt>
                <c:pt idx="1">
                  <c:v>2124.75</c:v>
                </c:pt>
              </c:numCache>
            </c:numRef>
          </c:val>
        </c:ser>
        <c:ser>
          <c:idx val="2"/>
          <c:order val="2"/>
          <c:tx>
            <c:strRef>
              <c:f>Sheet1!#REF!</c:f>
              <c:strCache>
                <c:ptCount val="1"/>
                <c:pt idx="0">
                  <c:v>#REF!</c:v>
                </c:pt>
              </c:strCache>
            </c:strRef>
          </c:tx>
          <c:invertIfNegative val="0"/>
          <c:dLbls>
            <c:delete val="1"/>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03710720"/>
        <c:axId val="103713408"/>
      </c:barChart>
      <c:catAx>
        <c:axId val="10371072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13408"/>
        <c:crosses val="autoZero"/>
        <c:auto val="1"/>
        <c:lblAlgn val="ctr"/>
        <c:lblOffset val="100"/>
        <c:noMultiLvlLbl val="0"/>
      </c:catAx>
      <c:valAx>
        <c:axId val="10371340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3710720"/>
        <c:crosses val="autoZero"/>
        <c:crossBetween val="between"/>
      </c:valAx>
    </c:plotArea>
    <c:legend>
      <c:legendPos val="b"/>
      <c:legendEntry>
        <c:idx val="2"/>
        <c:delete val="1"/>
      </c:legendEntry>
      <c:layout>
        <c:manualLayout>
          <c:xMode val="edge"/>
          <c:yMode val="edge"/>
          <c:x val="0.392291720737088"/>
          <c:y val="0.8891992551210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manualLayout>
                  <c:x val="0.0168552853359018"/>
                  <c:y val="0.05366357069143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1083.81</c:v>
                </c:pt>
                <c:pt idx="1">
                  <c:v>0</c:v>
                </c:pt>
              </c:numCache>
            </c:numRef>
          </c:val>
        </c:ser>
        <c:dLbls>
          <c:showLegendKey val="0"/>
          <c:showVal val="0"/>
          <c:showCatName val="1"/>
          <c:showSerName val="0"/>
          <c:showPercent val="1"/>
          <c:showBubbleSize val="0"/>
          <c:showLeaderLines val="1"/>
        </c:dLbls>
        <c:firstSliceAng val="57"/>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558.58</c:v>
                </c:pt>
                <c:pt idx="1">
                  <c:v>525.25</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altLang="zh-CN"/>
              <a:t>财政拨款收、支决算总计变动表</a:t>
            </a:r>
            <a:endParaRPr altLang="zh-CN"/>
          </a:p>
        </c:rich>
      </c:tx>
      <c:layout/>
      <c:overlay val="0"/>
    </c:title>
    <c:autoTitleDeleted val="0"/>
    <c:plotArea>
      <c:layout>
        <c:manualLayout>
          <c:layoutTarget val="inner"/>
          <c:xMode val="edge"/>
          <c:yMode val="edge"/>
          <c:x val="0.0829615338237067"/>
          <c:y val="0.250821692686935"/>
          <c:w val="0.550705414204751"/>
          <c:h val="0.641125718981101"/>
        </c:manualLayout>
      </c:layout>
      <c:barChart>
        <c:barDir val="col"/>
        <c:grouping val="clustered"/>
        <c:varyColors val="0"/>
        <c:ser>
          <c:idx val="0"/>
          <c:order val="0"/>
          <c:tx>
            <c:strRef>
              <c:f>Sheet1!$B$2</c:f>
              <c:strCache>
                <c:ptCount val="1"/>
                <c:pt idx="0">
                  <c:v>财政拨款收入总计</c:v>
                </c:pt>
              </c:strCache>
            </c:strRef>
          </c:tx>
          <c:invertIfNegative val="0"/>
          <c:dLbls>
            <c:dLbl>
              <c:idx val="1"/>
              <c:layout>
                <c:manualLayout>
                  <c:x val="-0.0163686382393398"/>
                  <c:y val="0.03950743971267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2018年</c:v>
                </c:pt>
                <c:pt idx="1">
                  <c:v>2017年</c:v>
                </c:pt>
              </c:strCache>
            </c:strRef>
          </c:cat>
          <c:val>
            <c:numRef>
              <c:f>Sheet1!$B$3:$B$4</c:f>
              <c:numCache>
                <c:formatCode>General</c:formatCode>
                <c:ptCount val="2"/>
                <c:pt idx="0">
                  <c:v>1083.81</c:v>
                </c:pt>
                <c:pt idx="1">
                  <c:v>2124.74</c:v>
                </c:pt>
              </c:numCache>
            </c:numRef>
          </c:val>
        </c:ser>
        <c:ser>
          <c:idx val="1"/>
          <c:order val="1"/>
          <c:tx>
            <c:strRef>
              <c:f>Sheet1!$C$2</c:f>
              <c:strCache>
                <c:ptCount val="1"/>
                <c:pt idx="0">
                  <c:v>财政拨款支出总计</c:v>
                </c:pt>
              </c:strCache>
            </c:strRef>
          </c:tx>
          <c:invertIfNegative val="0"/>
          <c:dLbls>
            <c:dLbl>
              <c:idx val="1"/>
              <c:layout>
                <c:manualLayout>
                  <c:x val="0.0349381017881706"/>
                  <c:y val="0.02180605438686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Sheet1!$A$3:$A$4</c:f>
              <c:strCache>
                <c:ptCount val="2"/>
                <c:pt idx="0">
                  <c:v>2018年</c:v>
                </c:pt>
                <c:pt idx="1">
                  <c:v>2017年</c:v>
                </c:pt>
              </c:strCache>
            </c:strRef>
          </c:cat>
          <c:val>
            <c:numRef>
              <c:f>Sheet1!$C$3:$C$4</c:f>
              <c:numCache>
                <c:formatCode>General</c:formatCode>
                <c:ptCount val="2"/>
                <c:pt idx="0">
                  <c:v>1083.81</c:v>
                </c:pt>
                <c:pt idx="1">
                  <c:v>2124.74</c:v>
                </c:pt>
              </c:numCache>
            </c:numRef>
          </c:val>
        </c:ser>
        <c:dLbls>
          <c:showLegendKey val="0"/>
          <c:showVal val="1"/>
          <c:showCatName val="0"/>
          <c:showSerName val="0"/>
          <c:showPercent val="0"/>
          <c:showBubbleSize val="0"/>
        </c:dLbls>
        <c:gapWidth val="150"/>
        <c:axId val="144177024"/>
        <c:axId val="148650240"/>
      </c:barChart>
      <c:catAx>
        <c:axId val="144177024"/>
        <c:scaling>
          <c:orientation val="minMax"/>
        </c:scaling>
        <c:delete val="0"/>
        <c:axPos val="b"/>
        <c:majorTickMark val="out"/>
        <c:minorTickMark val="none"/>
        <c:tickLblPos val="nextTo"/>
        <c:txPr>
          <a:bodyPr rot="-60000000" spcFirstLastPara="0" vertOverflow="ellipsis" vert="horz" wrap="square" anchor="ctr" anchorCtr="1"/>
          <a:lstStyle/>
          <a:p>
            <a:pPr algn="l">
              <a:defRPr lang="zh-CN" sz="1000" b="0" i="0" u="none" strike="noStrike" kern="1200" baseline="0">
                <a:solidFill>
                  <a:schemeClr val="tx1"/>
                </a:solidFill>
                <a:latin typeface="+mn-lt"/>
                <a:ea typeface="+mn-ea"/>
                <a:cs typeface="+mn-cs"/>
              </a:defRPr>
            </a:pPr>
          </a:p>
        </c:txPr>
        <c:crossAx val="148650240"/>
        <c:crosses val="autoZero"/>
        <c:auto val="1"/>
        <c:lblAlgn val="ctr"/>
        <c:lblOffset val="100"/>
        <c:noMultiLvlLbl val="0"/>
      </c:catAx>
      <c:valAx>
        <c:axId val="148650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177024"/>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4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2019年</c:v>
                </c:pt>
                <c:pt idx="1">
                  <c:v>2018年</c:v>
                </c:pt>
              </c:strCache>
            </c:strRef>
          </c:cat>
          <c:val>
            <c:numRef>
              <c:f>Sheet1!$B$2:$B$4</c:f>
              <c:numCache>
                <c:formatCode>General</c:formatCode>
                <c:ptCount val="3"/>
                <c:pt idx="0">
                  <c:v>1083.81</c:v>
                </c:pt>
                <c:pt idx="1">
                  <c:v>2094.74</c:v>
                </c:pt>
              </c:numCache>
            </c:numRef>
          </c:val>
        </c:ser>
        <c:dLbls>
          <c:showLegendKey val="0"/>
          <c:showVal val="1"/>
          <c:showCatName val="0"/>
          <c:showSerName val="0"/>
          <c:showPercent val="0"/>
          <c:showBubbleSize val="0"/>
        </c:dLbls>
        <c:gapWidth val="150"/>
        <c:axId val="81621376"/>
        <c:axId val="81622912"/>
      </c:barChart>
      <c:catAx>
        <c:axId val="81621376"/>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22912"/>
        <c:crosses val="autoZero"/>
        <c:auto val="1"/>
        <c:lblAlgn val="ctr"/>
        <c:lblOffset val="100"/>
        <c:noMultiLvlLbl val="0"/>
      </c:catAx>
      <c:valAx>
        <c:axId val="8162291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16213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7742712599374"/>
          <c:y val="0.028241599670171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一般公共预算财政拨款支出决算结构图</c:v>
                </c:pt>
              </c:strCache>
            </c:strRef>
          </c:tx>
          <c:explosion val="0"/>
          <c:dPt>
            <c:idx val="0"/>
            <c:bubble3D val="0"/>
          </c:dPt>
          <c:dPt>
            <c:idx val="1"/>
            <c:bubble3D val="0"/>
          </c:dPt>
          <c:dPt>
            <c:idx val="2"/>
            <c:bubble3D val="0"/>
          </c:dPt>
          <c:dPt>
            <c:idx val="3"/>
            <c:bubble3D val="0"/>
          </c:dPt>
          <c:dLbls>
            <c:delete val="1"/>
          </c:dLbls>
          <c:cat>
            <c:strRef>
              <c:f>Sheet1!$A$2:$A$5</c:f>
              <c:strCache>
                <c:ptCount val="4"/>
                <c:pt idx="0">
                  <c:v>文化体育与传媒（类）89.60%</c:v>
                </c:pt>
                <c:pt idx="1">
                  <c:v>社会保障和就业（类）6.23%</c:v>
                </c:pt>
                <c:pt idx="2">
                  <c:v>医疗卫生（类）1.88%</c:v>
                </c:pt>
                <c:pt idx="3">
                  <c:v>住房保障（类）2.29%</c:v>
                </c:pt>
              </c:strCache>
            </c:strRef>
          </c:cat>
          <c:val>
            <c:numRef>
              <c:f>Sheet1!$B$2:$B$5</c:f>
              <c:numCache>
                <c:formatCode>General</c:formatCode>
                <c:ptCount val="4"/>
                <c:pt idx="0">
                  <c:v>971.06</c:v>
                </c:pt>
                <c:pt idx="1">
                  <c:v>67.55</c:v>
                </c:pt>
                <c:pt idx="2">
                  <c:v>20.37</c:v>
                </c:pt>
                <c:pt idx="3">
                  <c:v>24.84</c:v>
                </c:pt>
              </c:numCache>
            </c:numRef>
          </c:val>
        </c:ser>
        <c:dLbls>
          <c:showLegendKey val="0"/>
          <c:showVal val="0"/>
          <c:showCatName val="0"/>
          <c:showSerName val="0"/>
          <c:showPercent val="1"/>
          <c:showBubbleSize val="0"/>
          <c:showLeaderLines val="1"/>
        </c:dLbls>
        <c:firstSliceAng val="91"/>
      </c:pieChart>
    </c:plotArea>
    <c:legend>
      <c:legendPos val="r"/>
      <c:layout>
        <c:manualLayout>
          <c:xMode val="edge"/>
          <c:yMode val="edge"/>
          <c:x val="0.56109059336758"/>
          <c:y val="0.205992747650907"/>
          <c:w val="0.424454561992599"/>
          <c:h val="0.72158309087964"/>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因公出国（境）费0%</c:v>
                </c:pt>
                <c:pt idx="1">
                  <c:v>公务用车购置及运行维护费0%</c:v>
                </c:pt>
                <c:pt idx="2">
                  <c:v>公务接待费100%</c:v>
                </c:pt>
              </c:strCache>
            </c:strRef>
          </c:cat>
          <c:val>
            <c:numRef>
              <c:f>Sheet1!$B$2:$B$4</c:f>
              <c:numCache>
                <c:formatCode>General</c:formatCode>
                <c:ptCount val="3"/>
                <c:pt idx="0">
                  <c:v>0</c:v>
                </c:pt>
                <c:pt idx="1">
                  <c:v>0</c:v>
                </c:pt>
                <c:pt idx="2">
                  <c:v>3.7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F4508-5F86-4DB6-B24D-5EC41C01523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2519</Words>
  <Characters>14362</Characters>
  <Lines>119</Lines>
  <Paragraphs>33</Paragraphs>
  <TotalTime>26</TotalTime>
  <ScaleCrop>false</ScaleCrop>
  <LinksUpToDate>false</LinksUpToDate>
  <CharactersWithSpaces>16848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sky</dc:creator>
  <cp:lastModifiedBy>1421841650</cp:lastModifiedBy>
  <cp:lastPrinted>2019-09-23T02:32:00Z</cp:lastPrinted>
  <dcterms:modified xsi:type="dcterms:W3CDTF">2020-09-21T07:33:17Z</dcterms:modified>
  <dc:title>四川省***</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