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425"/>
      <w:bookmarkStart w:id="3" w:name="_Toc15396597"/>
      <w:bookmarkStart w:id="4" w:name="_Toc15377193"/>
      <w:bookmarkStart w:id="5" w:name="_Toc15378441"/>
      <w:r>
        <w:rPr>
          <w:rFonts w:hint="eastAsia" w:ascii="黑体" w:hAnsi="黑体" w:eastAsia="黑体"/>
          <w:color w:val="000000"/>
          <w:sz w:val="72"/>
          <w:szCs w:val="72"/>
          <w:lang w:eastAsia="zh-CN"/>
        </w:rPr>
        <w:t>2019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77194"/>
      <w:bookmarkStart w:id="9" w:name="_Toc15378442"/>
      <w:bookmarkStart w:id="10" w:name="_Toc15306268"/>
      <w:bookmarkStart w:id="11" w:name="_Toc15396598"/>
      <w:r>
        <w:rPr>
          <w:rFonts w:hint="eastAsia" w:ascii="方正小标宋简体" w:hAnsi="宋体" w:eastAsia="方正小标宋简体"/>
          <w:color w:val="000000"/>
          <w:sz w:val="72"/>
          <w:szCs w:val="72"/>
        </w:rPr>
        <w:t>四川省达州市开江县</w:t>
      </w:r>
      <w:bookmarkStart w:id="75" w:name="_GoBack"/>
      <w:r>
        <w:rPr>
          <w:rFonts w:hint="eastAsia" w:ascii="方正小标宋简体" w:hAnsi="宋体" w:eastAsia="方正小标宋简体"/>
          <w:color w:val="000000"/>
          <w:sz w:val="72"/>
          <w:szCs w:val="72"/>
        </w:rPr>
        <w:t>回龙职业中学部门决算</w:t>
      </w:r>
      <w:bookmarkEnd w:id="6"/>
      <w:bookmarkEnd w:id="7"/>
      <w:bookmarkEnd w:id="8"/>
      <w:bookmarkEnd w:id="9"/>
      <w:bookmarkEnd w:id="10"/>
      <w:bookmarkEnd w:id="11"/>
      <w:bookmarkEnd w:id="75"/>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公开时间：2019年9月</w:t>
      </w:r>
      <w:r>
        <w:rPr>
          <w:rFonts w:hint="eastAsia"/>
          <w:lang w:val="en-US" w:eastAsia="zh-CN"/>
        </w:rPr>
        <w:t>17</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lang w:eastAsia="zh-CN"/>
        </w:rPr>
        <w:t>2019</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19</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pStyle w:val="5"/>
        <w:adjustRightInd w:val="0"/>
        <w:snapToGrid w:val="0"/>
        <w:spacing w:before="93" w:line="600" w:lineRule="exact"/>
        <w:ind w:firstLine="672" w:firstLineChars="210"/>
        <w:outlineLvl w:val="2"/>
        <w:rPr>
          <w:rFonts w:hint="eastAsia"/>
          <w:bCs/>
          <w:color w:val="000000"/>
          <w:sz w:val="32"/>
          <w:szCs w:val="32"/>
        </w:rPr>
      </w:pPr>
      <w:bookmarkStart w:id="18" w:name="_Toc15377199"/>
      <w:bookmarkStart w:id="19" w:name="_Toc15378446"/>
      <w:r>
        <w:rPr>
          <w:rFonts w:hint="eastAsia"/>
          <w:bCs/>
          <w:color w:val="000000"/>
          <w:sz w:val="32"/>
          <w:szCs w:val="32"/>
        </w:rPr>
        <w:t>我校坚持四项基本原则，认真贯彻执行党的路线、方针和政策；坚持正确的办学方向；组织教育教学、科学研究活动，保证教育教学质量。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2019</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学校全面贯彻党的教育方针政策，加强教师队伍建设，加强党的建设，加强义务教育均衡发展建设，加强学生素质能力的培养，提升教学质量，办人民满意教育。</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 w:hAnsi="仿宋" w:eastAsia="仿宋"/>
          <w:color w:val="000000"/>
          <w:sz w:val="32"/>
          <w:szCs w:val="32"/>
        </w:rPr>
        <w:t>开江县回龙职业中学是由开江县人民政府举办的全日制完全中学，具有独立法人资格，独立承担民事责任，是一所主要实施三年制初中教育的全日制学校,是一级预算单位，</w:t>
      </w:r>
      <w:r>
        <w:rPr>
          <w:rFonts w:hint="eastAsia" w:ascii="仿宋" w:hAnsi="仿宋" w:eastAsia="仿宋"/>
          <w:color w:val="000000"/>
          <w:sz w:val="32"/>
          <w:szCs w:val="32"/>
          <w:lang w:eastAsia="zh-CN"/>
        </w:rPr>
        <w:t>2019</w:t>
      </w:r>
      <w:r>
        <w:rPr>
          <w:rFonts w:hint="eastAsia" w:ascii="仿宋" w:hAnsi="仿宋" w:eastAsia="仿宋"/>
          <w:color w:val="000000"/>
          <w:sz w:val="32"/>
          <w:szCs w:val="32"/>
        </w:rPr>
        <w:t xml:space="preserve">年在职在编教职工53人，退休教职工27人，学生数846人。 </w:t>
      </w: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lang w:eastAsia="zh-CN"/>
        </w:rPr>
        <w:t>2019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年度收、支总计1610.91万元。与</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171.65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11.92</w:t>
      </w:r>
      <w:r>
        <w:rPr>
          <w:rFonts w:ascii="仿宋" w:hAnsi="仿宋" w:eastAsia="仿宋"/>
          <w:color w:val="000000"/>
          <w:sz w:val="32"/>
          <w:szCs w:val="32"/>
        </w:rPr>
        <w:t>%</w:t>
      </w:r>
      <w:r>
        <w:rPr>
          <w:rFonts w:hint="eastAsia" w:ascii="仿宋" w:hAnsi="仿宋" w:eastAsia="仿宋"/>
          <w:color w:val="000000"/>
          <w:sz w:val="32"/>
          <w:szCs w:val="32"/>
        </w:rPr>
        <w:t>。主要变动原因是人员增加和专项款。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560" w:firstLineChars="200"/>
        <w:jc w:val="left"/>
        <w:rPr>
          <w:rFonts w:ascii="仿宋_GB2312" w:eastAsia="仿宋_GB2312"/>
          <w:color w:val="000000"/>
          <w:sz w:val="32"/>
          <w:szCs w:val="32"/>
        </w:rPr>
      </w:pPr>
      <w:r>
        <w:rPr>
          <w:rFonts w:hint="eastAsia" w:ascii="宋体" w:hAnsi="宋体" w:eastAsia="宋体" w:cs="宋体"/>
          <w:sz w:val="28"/>
          <w:szCs w:val="28"/>
          <w:lang w:eastAsia="zh-CN"/>
        </w:rPr>
        <w:drawing>
          <wp:anchor distT="0" distB="0" distL="114300" distR="114300" simplePos="0" relativeHeight="251672576" behindDoc="0" locked="0" layoutInCell="1" allowOverlap="1">
            <wp:simplePos x="0" y="0"/>
            <wp:positionH relativeFrom="column">
              <wp:posOffset>-22860</wp:posOffset>
            </wp:positionH>
            <wp:positionV relativeFrom="paragraph">
              <wp:posOffset>75565</wp:posOffset>
            </wp:positionV>
            <wp:extent cx="4765675" cy="2839085"/>
            <wp:effectExtent l="5080" t="4445" r="14605" b="635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年本年收入合计1610.91万元，其中：一般公共预算财政拨款收入1075.91万元，占</w:t>
      </w:r>
      <w:r>
        <w:rPr>
          <w:rFonts w:hint="eastAsia" w:ascii="仿宋" w:hAnsi="仿宋" w:eastAsia="仿宋"/>
          <w:color w:val="000000"/>
          <w:sz w:val="32"/>
          <w:szCs w:val="32"/>
          <w:lang w:val="en-US" w:eastAsia="zh-CN"/>
        </w:rPr>
        <w:t>66.79</w:t>
      </w:r>
      <w:r>
        <w:rPr>
          <w:rFonts w:ascii="仿宋" w:hAnsi="仿宋" w:eastAsia="仿宋"/>
          <w:color w:val="000000"/>
          <w:sz w:val="32"/>
          <w:szCs w:val="32"/>
        </w:rPr>
        <w:t>%</w:t>
      </w:r>
      <w:r>
        <w:rPr>
          <w:rFonts w:hint="eastAsia" w:ascii="仿宋" w:hAnsi="仿宋" w:eastAsia="仿宋"/>
          <w:color w:val="000000"/>
          <w:sz w:val="32"/>
          <w:szCs w:val="32"/>
        </w:rPr>
        <w:t>，上年结转</w:t>
      </w:r>
      <w:r>
        <w:rPr>
          <w:rFonts w:hint="eastAsia" w:ascii="仿宋" w:hAnsi="仿宋" w:eastAsia="仿宋"/>
          <w:color w:val="000000"/>
          <w:sz w:val="32"/>
          <w:szCs w:val="32"/>
          <w:lang w:val="en-US" w:eastAsia="zh-CN"/>
        </w:rPr>
        <w:t>535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33.21</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560" w:firstLineChars="200"/>
        <w:rPr>
          <w:rFonts w:hint="eastAsia" w:ascii="仿宋" w:hAnsi="仿宋" w:eastAsia="仿宋"/>
          <w:color w:val="000000" w:themeColor="text1"/>
          <w:sz w:val="32"/>
          <w:szCs w:val="32"/>
          <w14:textFill>
            <w14:solidFill>
              <w14:schemeClr w14:val="tx1"/>
            </w14:solidFill>
          </w14:textFill>
        </w:rPr>
      </w:pPr>
      <w:r>
        <w:rPr>
          <w:rFonts w:hint="eastAsia" w:ascii="宋体" w:hAnsi="宋体" w:eastAsia="宋体" w:cs="宋体"/>
          <w:sz w:val="28"/>
          <w:szCs w:val="28"/>
        </w:rPr>
        <w:drawing>
          <wp:anchor distT="0" distB="0" distL="114300" distR="114300" simplePos="0" relativeHeight="251674624" behindDoc="0" locked="0" layoutInCell="1" allowOverlap="1">
            <wp:simplePos x="0" y="0"/>
            <wp:positionH relativeFrom="column">
              <wp:posOffset>-45720</wp:posOffset>
            </wp:positionH>
            <wp:positionV relativeFrom="paragraph">
              <wp:posOffset>22860</wp:posOffset>
            </wp:positionV>
            <wp:extent cx="5342255" cy="2901950"/>
            <wp:effectExtent l="4445" t="4445" r="17780" b="1968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年本年支出合计1610.91万元，其中：基本支出</w:t>
      </w:r>
      <w:r>
        <w:rPr>
          <w:rFonts w:hint="eastAsia" w:ascii="仿宋" w:hAnsi="仿宋" w:eastAsia="仿宋"/>
          <w:color w:val="000000"/>
          <w:sz w:val="32"/>
          <w:szCs w:val="32"/>
          <w:lang w:val="en-US" w:eastAsia="zh-CN"/>
        </w:rPr>
        <w:t>1062.38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65.94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548.53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34.06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560" w:firstLineChars="200"/>
        <w:rPr>
          <w:rFonts w:ascii="仿宋_GB2312" w:eastAsia="仿宋_GB2312"/>
          <w:color w:val="FF0000"/>
          <w:sz w:val="32"/>
          <w:szCs w:val="32"/>
        </w:rPr>
      </w:pPr>
      <w:r>
        <w:rPr>
          <w:rFonts w:hint="eastAsia" w:ascii="宋体" w:hAnsi="宋体" w:eastAsia="宋体" w:cs="宋体"/>
          <w:color w:val="000000"/>
          <w:sz w:val="28"/>
          <w:szCs w:val="28"/>
          <w:lang w:val="en-US" w:eastAsia="zh-CN"/>
        </w:rPr>
        <w:drawing>
          <wp:anchor distT="0" distB="0" distL="114300" distR="114300" simplePos="0" relativeHeight="251678720" behindDoc="0" locked="0" layoutInCell="1" allowOverlap="1">
            <wp:simplePos x="0" y="0"/>
            <wp:positionH relativeFrom="column">
              <wp:posOffset>-167640</wp:posOffset>
            </wp:positionH>
            <wp:positionV relativeFrom="paragraph">
              <wp:posOffset>7620</wp:posOffset>
            </wp:positionV>
            <wp:extent cx="5544820" cy="2979420"/>
            <wp:effectExtent l="4445" t="4445" r="13335" b="1841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object>
          <v:shape id="_x0000_i1025" o:spt="75" type="#_x0000_t75" style="height:299.25pt;width:447.75pt;" o:ole="t" filled="f" o:preferrelative="t" stroked="f" coordsize="21600,21600">
            <v:path/>
            <v:fill on="f" focussize="0,0"/>
            <v:stroke on="f" joinstyle="miter"/>
            <v:imagedata r:id="rId10" o:title=""/>
            <o:lock v:ext="edit" aspectratio="t"/>
            <w10:wrap type="none"/>
            <w10:anchorlock/>
          </v:shape>
          <o:OLEObject Type="Embed" ProgID="Excel.Sheet.8" ShapeID="_x0000_i1025" DrawAspect="Content" ObjectID="_1468075725" r:id="rId9">
            <o:LockedField>false</o:LockedField>
          </o:OLEObject>
        </w:obje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年度收、支总计1610.91万元。与</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171.65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11.92</w:t>
      </w:r>
      <w:r>
        <w:rPr>
          <w:rFonts w:ascii="仿宋" w:hAnsi="仿宋" w:eastAsia="仿宋"/>
          <w:color w:val="000000"/>
          <w:sz w:val="32"/>
          <w:szCs w:val="32"/>
        </w:rPr>
        <w:t>%</w:t>
      </w:r>
      <w:r>
        <w:rPr>
          <w:rFonts w:hint="eastAsia" w:ascii="仿宋" w:hAnsi="仿宋" w:eastAsia="仿宋"/>
          <w:color w:val="000000"/>
          <w:sz w:val="32"/>
          <w:szCs w:val="32"/>
        </w:rPr>
        <w:t>。主要变动原因是人员增加和专项款</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560" w:firstLineChars="200"/>
        <w:rPr>
          <w:rFonts w:hint="eastAsia" w:ascii="仿宋" w:hAnsi="仿宋" w:eastAsia="仿宋"/>
          <w:color w:val="000000" w:themeColor="text1"/>
          <w:sz w:val="32"/>
          <w:szCs w:val="32"/>
          <w14:textFill>
            <w14:solidFill>
              <w14:schemeClr w14:val="tx1"/>
            </w14:solidFill>
          </w14:textFill>
        </w:rPr>
      </w:pPr>
      <w:r>
        <w:rPr>
          <w:rFonts w:hint="eastAsia" w:ascii="宋体" w:hAnsi="宋体" w:eastAsia="宋体" w:cs="宋体"/>
          <w:sz w:val="28"/>
          <w:szCs w:val="28"/>
          <w:lang w:eastAsia="zh-CN"/>
        </w:rPr>
        <w:drawing>
          <wp:anchor distT="0" distB="0" distL="114300" distR="114300" simplePos="0" relativeHeight="251694080" behindDoc="0" locked="0" layoutInCell="1" allowOverlap="1">
            <wp:simplePos x="0" y="0"/>
            <wp:positionH relativeFrom="column">
              <wp:posOffset>38100</wp:posOffset>
            </wp:positionH>
            <wp:positionV relativeFrom="paragraph">
              <wp:posOffset>160020</wp:posOffset>
            </wp:positionV>
            <wp:extent cx="4765675" cy="2839085"/>
            <wp:effectExtent l="5080" t="4445" r="14605" b="635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年一般公共预算财政拨款支出1610.91万元，占本年支出合计的100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eastAsia="zh-CN"/>
        </w:rPr>
        <w:t>2018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171.65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11.92</w:t>
      </w:r>
      <w:r>
        <w:rPr>
          <w:rFonts w:ascii="仿宋" w:hAnsi="仿宋" w:eastAsia="仿宋"/>
          <w:color w:val="000000"/>
          <w:sz w:val="32"/>
          <w:szCs w:val="32"/>
        </w:rPr>
        <w:t>%</w:t>
      </w:r>
      <w:r>
        <w:rPr>
          <w:rFonts w:hint="eastAsia" w:ascii="仿宋" w:hAnsi="仿宋" w:eastAsia="仿宋"/>
          <w:color w:val="000000"/>
          <w:sz w:val="32"/>
          <w:szCs w:val="32"/>
        </w:rPr>
        <w:t>。主要变动原因是人员增加和专项款</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560" w:firstLineChars="200"/>
        <w:rPr>
          <w:rFonts w:ascii="仿宋" w:hAnsi="仿宋" w:eastAsia="仿宋"/>
          <w:color w:val="000000" w:themeColor="text1"/>
          <w:sz w:val="32"/>
          <w:szCs w:val="32"/>
          <w14:textFill>
            <w14:solidFill>
              <w14:schemeClr w14:val="tx1"/>
            </w14:solidFill>
          </w14:textFill>
        </w:rPr>
      </w:pPr>
      <w:r>
        <w:rPr>
          <w:rFonts w:hint="eastAsia" w:ascii="宋体" w:hAnsi="宋体" w:eastAsia="宋体" w:cs="宋体"/>
          <w:sz w:val="28"/>
          <w:szCs w:val="28"/>
          <w:lang w:eastAsia="zh-CN"/>
        </w:rPr>
        <w:drawing>
          <wp:anchor distT="0" distB="0" distL="114300" distR="114300" simplePos="0" relativeHeight="251709440" behindDoc="0" locked="0" layoutInCell="1" allowOverlap="1">
            <wp:simplePos x="0" y="0"/>
            <wp:positionH relativeFrom="column">
              <wp:posOffset>548640</wp:posOffset>
            </wp:positionH>
            <wp:positionV relativeFrom="paragraph">
              <wp:posOffset>129540</wp:posOffset>
            </wp:positionV>
            <wp:extent cx="4765675" cy="2839085"/>
            <wp:effectExtent l="5080" t="4445" r="14605" b="635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1610.91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1467.44万元，占</w:t>
      </w:r>
      <w:r>
        <w:rPr>
          <w:rFonts w:hint="eastAsia" w:ascii="仿宋" w:hAnsi="仿宋" w:eastAsia="仿宋"/>
          <w:color w:val="000000" w:themeColor="text1"/>
          <w:sz w:val="32"/>
          <w:szCs w:val="32"/>
          <w:lang w:val="en-US" w:eastAsia="zh-CN"/>
          <w14:textFill>
            <w14:solidFill>
              <w14:schemeClr w14:val="tx1"/>
            </w14:solidFill>
          </w14:textFill>
        </w:rPr>
        <w:t>91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支出74.31万元，占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；医疗卫生支出24.27万元，占</w:t>
      </w:r>
      <w:r>
        <w:rPr>
          <w:rFonts w:hint="eastAsia" w:ascii="仿宋" w:hAnsi="仿宋" w:eastAsia="仿宋"/>
          <w:color w:val="000000" w:themeColor="text1"/>
          <w:sz w:val="32"/>
          <w:szCs w:val="32"/>
          <w:lang w:val="en-US" w:eastAsia="zh-CN"/>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；住房保障支出44.89万元，占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562" w:firstLineChars="200"/>
        <w:rPr>
          <w:rFonts w:ascii="仿宋" w:hAnsi="仿宋" w:eastAsia="仿宋"/>
          <w:color w:val="000000"/>
          <w:sz w:val="32"/>
          <w:szCs w:val="32"/>
        </w:rPr>
      </w:pPr>
      <w:r>
        <w:rPr>
          <w:rFonts w:hint="eastAsia" w:ascii="宋体" w:hAnsi="宋体" w:eastAsia="宋体" w:cs="宋体"/>
          <w:b/>
          <w:color w:val="000000"/>
          <w:sz w:val="28"/>
          <w:szCs w:val="28"/>
          <w:lang w:eastAsia="zh-CN"/>
        </w:rPr>
        <w:drawing>
          <wp:anchor distT="0" distB="0" distL="114300" distR="114300" simplePos="0" relativeHeight="251715584" behindDoc="0" locked="0" layoutInCell="1" allowOverlap="1">
            <wp:simplePos x="0" y="0"/>
            <wp:positionH relativeFrom="column">
              <wp:posOffset>220980</wp:posOffset>
            </wp:positionH>
            <wp:positionV relativeFrom="paragraph">
              <wp:posOffset>5080</wp:posOffset>
            </wp:positionV>
            <wp:extent cx="4652010" cy="2686685"/>
            <wp:effectExtent l="4445" t="4445" r="6985" b="635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lang w:eastAsia="zh-CN"/>
          <w14:textFill>
            <w14:solidFill>
              <w14:schemeClr w14:val="tx1"/>
            </w14:solidFill>
          </w14:textFill>
        </w:rPr>
        <w:t>2019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color w:val="000000"/>
          <w:sz w:val="32"/>
          <w:szCs w:val="32"/>
        </w:rPr>
        <w:t>1610.91</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教育支出</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1467.44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机关事业单位基本养老保险</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74.31</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事业单位医疗保险</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24.27</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w:t>
      </w:r>
      <w:r>
        <w:rPr>
          <w:rFonts w:hint="eastAsia" w:ascii="仿宋" w:hAnsi="仿宋" w:eastAsia="仿宋"/>
          <w:color w:val="000000" w:themeColor="text1"/>
          <w:sz w:val="32"/>
          <w:szCs w:val="32"/>
          <w14:textFill>
            <w14:solidFill>
              <w14:schemeClr w14:val="tx1"/>
            </w14:solidFill>
          </w14:textFill>
        </w:rPr>
        <w:t>44.89</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年一般公共预算财政拨款基本支出1610.91万元，其中：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1458.25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152.66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1.40</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1.40</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pict>
          <v:shape id="_x0000_s1035" o:spid="_x0000_s1035" o:spt="75" type="#_x0000_t75" style="position:absolute;left:0pt;margin-left:-0.75pt;margin-top:1.05pt;height:241.1pt;width:387pt;z-index:251671552;mso-width-relative:page;mso-height-relative:page;" o:ole="t" filled="f" o:preferrelative="t" stroked="f" coordsize="21600,21600">
            <v:path/>
            <v:fill on="f" focussize="0,0"/>
            <v:stroke on="f" joinstyle="miter"/>
            <v:imagedata r:id="rId15" o:title=""/>
            <o:lock v:ext="edit" aspectratio="t"/>
          </v:shape>
          <o:OLEObject Type="Embed" ProgID="Excel.Sheet.8" ShapeID="_x0000_s1035" DrawAspect="Content" ObjectID="_1468075726" r:id="rId14">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1.40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eastAsia="zh-CN"/>
        </w:rPr>
        <w:t>2018</w:t>
      </w:r>
      <w:r>
        <w:rPr>
          <w:rFonts w:hint="eastAsia" w:ascii="仿宋_GB2312" w:eastAsia="仿宋_GB2312"/>
          <w:color w:val="000000"/>
          <w:sz w:val="32"/>
          <w:szCs w:val="32"/>
        </w:rPr>
        <w:t>年持平。主要原因是贯彻执行中央八项规定。</w:t>
      </w:r>
    </w:p>
    <w:p>
      <w:pPr>
        <w:numPr>
          <w:ilvl w:val="0"/>
          <w:numId w:val="2"/>
        </w:num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285</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1.40</w:t>
      </w:r>
      <w:r>
        <w:rPr>
          <w:rFonts w:hint="eastAsia" w:ascii="仿宋_GB2312" w:eastAsia="仿宋_GB2312"/>
          <w:color w:val="000000"/>
          <w:sz w:val="32"/>
          <w:szCs w:val="32"/>
        </w:rPr>
        <w:t>万元，具体内容包括：级来校指导工作、开展业务活动等工作餐支出</w:t>
      </w:r>
      <w:r>
        <w:rPr>
          <w:rFonts w:hint="eastAsia" w:ascii="仿宋_GB2312" w:eastAsia="仿宋_GB2312"/>
          <w:color w:val="000000"/>
          <w:sz w:val="32"/>
          <w:szCs w:val="32"/>
          <w:lang w:val="en-US" w:eastAsia="zh-CN"/>
        </w:rPr>
        <w:t>1.40</w:t>
      </w:r>
      <w:r>
        <w:rPr>
          <w:rFonts w:hint="eastAsia" w:ascii="仿宋_GB2312" w:eastAsia="仿宋_GB2312"/>
          <w:color w:val="000000"/>
          <w:sz w:val="32"/>
          <w:szCs w:val="32"/>
        </w:rPr>
        <w:t>万元。</w:t>
      </w:r>
    </w:p>
    <w:p>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年政府性基金预算拨款支出0万元。</w:t>
      </w: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年国有资本经营预算拨款支出0万元。</w:t>
      </w: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年度无项目执行情况。</w:t>
      </w: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年部门整体支出绩效评价情况开展自评，《开江县回龙职业中学</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年本单位无此项支出。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2019</w:t>
      </w:r>
      <w:r>
        <w:rPr>
          <w:rFonts w:hint="eastAsia" w:ascii="仿宋_GB2312" w:eastAsia="仿宋_GB2312"/>
          <w:color w:val="000000"/>
          <w:sz w:val="32"/>
          <w:szCs w:val="32"/>
        </w:rPr>
        <w:t>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5"/>
      <w:bookmarkStart w:id="56" w:name="_Toc15396613"/>
    </w:p>
    <w:p>
      <w:pPr>
        <w:autoSpaceDE w:val="0"/>
        <w:autoSpaceDN w:val="0"/>
        <w:adjustRightInd w:val="0"/>
        <w:spacing w:line="600" w:lineRule="exact"/>
        <w:ind w:firstLine="883" w:firstLineChars="200"/>
        <w:jc w:val="left"/>
        <w:outlineLvl w:val="2"/>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hint="eastAsia" w:ascii="仿宋" w:hAnsi="仿宋" w:eastAsia="仿宋"/>
          <w:b/>
          <w:color w:val="000000"/>
          <w:sz w:val="32"/>
          <w:szCs w:val="32"/>
          <w:lang w:eastAsia="zh-CN"/>
        </w:rPr>
        <w:t>2019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开江县回龙职业中学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w:t>
      </w:r>
      <w:r>
        <w:rPr>
          <w:rFonts w:hint="eastAsia" w:ascii="黑体" w:hAnsi="黑体" w:eastAsia="黑体" w:cs="方正小标宋简体"/>
          <w:sz w:val="36"/>
          <w:szCs w:val="36"/>
          <w:lang w:eastAsia="zh-CN"/>
        </w:rPr>
        <w:t>2019</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widowControl/>
        <w:spacing w:line="480" w:lineRule="auto"/>
        <w:ind w:firstLine="480"/>
        <w:rPr>
          <w:rFonts w:ascii="宋体" w:hAnsi="宋体" w:cs="宋体"/>
          <w:color w:val="333333"/>
          <w:kern w:val="0"/>
          <w:sz w:val="28"/>
          <w:szCs w:val="28"/>
          <w:lang w:val="en"/>
        </w:rPr>
      </w:pPr>
      <w:r>
        <w:rPr>
          <w:rFonts w:hint="eastAsia" w:ascii="宋体" w:hAnsi="宋体" w:cs="宋体"/>
          <w:color w:val="333333"/>
          <w:kern w:val="0"/>
          <w:sz w:val="28"/>
          <w:szCs w:val="28"/>
          <w:lang w:val="en"/>
        </w:rPr>
        <w:t>开江县回龙职业中学是由开江县人民政府举办的全日制完全中学，具有独立法人资格，独立承担民事责任，是一所主要实施三年制初中教育的全日制学校,是一级预算单位，</w:t>
      </w:r>
      <w:r>
        <w:rPr>
          <w:rFonts w:hint="eastAsia" w:ascii="宋体" w:hAnsi="宋体" w:cs="宋体"/>
          <w:color w:val="333333"/>
          <w:kern w:val="0"/>
          <w:sz w:val="28"/>
          <w:szCs w:val="28"/>
          <w:lang w:val="en" w:eastAsia="zh-CN"/>
        </w:rPr>
        <w:t>2019</w:t>
      </w:r>
      <w:r>
        <w:rPr>
          <w:rFonts w:hint="eastAsia" w:ascii="宋体" w:hAnsi="宋体" w:cs="宋体"/>
          <w:color w:val="333333"/>
          <w:kern w:val="0"/>
          <w:sz w:val="28"/>
          <w:szCs w:val="28"/>
          <w:lang w:val="en"/>
        </w:rPr>
        <w:t>年在职在编教职工53人，退休教职工27人，学生数846人。我校共有9个教学班，286名学生。</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lang w:val="en"/>
        </w:rPr>
      </w:pPr>
      <w:r>
        <w:rPr>
          <w:rFonts w:hint="eastAsia" w:ascii="仿宋" w:hAnsi="仿宋" w:eastAsia="仿宋" w:cs="仿宋_GB2312"/>
          <w:sz w:val="32"/>
          <w:szCs w:val="32"/>
          <w:lang w:val="en" w:eastAsia="zh-CN"/>
        </w:rPr>
        <w:t>2019</w:t>
      </w:r>
      <w:r>
        <w:rPr>
          <w:rFonts w:hint="eastAsia" w:ascii="仿宋" w:hAnsi="仿宋" w:eastAsia="仿宋" w:cs="仿宋_GB2312"/>
          <w:sz w:val="32"/>
          <w:szCs w:val="32"/>
          <w:lang w:val="en"/>
        </w:rPr>
        <w:t>年度我校总收入：1075.91万元（财政补助收入1075.91万元），结转上年资金535万元。</w:t>
      </w:r>
      <w:r>
        <w:rPr>
          <w:rFonts w:ascii="仿宋" w:hAnsi="仿宋" w:eastAsia="仿宋" w:cs="仿宋_GB2312"/>
          <w:sz w:val="32"/>
          <w:szCs w:val="32"/>
          <w:lang w:val="en"/>
        </w:rPr>
        <w:t xml:space="preserve">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2019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rPr>
        <w:t>1610.91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1467.44万元，占</w:t>
      </w:r>
      <w:r>
        <w:rPr>
          <w:rFonts w:hint="eastAsia" w:ascii="仿宋" w:hAnsi="仿宋" w:eastAsia="仿宋"/>
          <w:color w:val="000000" w:themeColor="text1"/>
          <w:sz w:val="32"/>
          <w:szCs w:val="32"/>
          <w:lang w:val="en-US" w:eastAsia="zh-CN"/>
          <w14:textFill>
            <w14:solidFill>
              <w14:schemeClr w14:val="tx1"/>
            </w14:solidFill>
          </w14:textFill>
        </w:rPr>
        <w:t>91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支出74.31万元，占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；医疗卫生支出24.27万元，占</w:t>
      </w:r>
      <w:r>
        <w:rPr>
          <w:rFonts w:hint="eastAsia" w:ascii="仿宋" w:hAnsi="仿宋" w:eastAsia="仿宋"/>
          <w:color w:val="000000" w:themeColor="text1"/>
          <w:sz w:val="32"/>
          <w:szCs w:val="32"/>
          <w:lang w:val="en-US" w:eastAsia="zh-CN"/>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；住房保障支出44.89万元，占</w:t>
      </w:r>
      <w:r>
        <w:rPr>
          <w:rFonts w:hint="eastAsia" w:ascii="仿宋" w:hAnsi="仿宋" w:eastAsia="仿宋"/>
          <w:color w:val="000000" w:themeColor="text1"/>
          <w:sz w:val="32"/>
          <w:szCs w:val="32"/>
          <w:lang w:val="en-US" w:eastAsia="zh-CN"/>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骑龙乡中心小学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通过绩效评价，我们认为，</w:t>
      </w:r>
      <w:r>
        <w:rPr>
          <w:rFonts w:hint="eastAsia" w:ascii="仿宋" w:hAnsi="仿宋" w:eastAsia="仿宋" w:cs="仿宋_GB2312"/>
          <w:sz w:val="32"/>
          <w:szCs w:val="32"/>
          <w:lang w:eastAsia="zh-CN"/>
        </w:rPr>
        <w:t>2019</w:t>
      </w:r>
      <w:r>
        <w:rPr>
          <w:rFonts w:hint="eastAsia" w:ascii="仿宋" w:hAnsi="仿宋" w:eastAsia="仿宋" w:cs="仿宋_GB2312"/>
          <w:sz w:val="32"/>
          <w:szCs w:val="32"/>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1、学校的固定资产管理还有待加强，下年度将按照标准逐步完善。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auto"/>
    <w:pitch w:val="default"/>
    <w:sig w:usb0="00000287" w:usb1="00000000" w:usb2="00000000" w:usb3="00000000" w:csb0="2000009F" w:csb1="DFD70000"/>
  </w:font>
  <w:font w:name="Arial">
    <w:panose1 w:val="020B0604020202020204"/>
    <w:charset w:val="00"/>
    <w:family w:val=""/>
    <w:pitch w:val="default"/>
    <w:sig w:usb0="E0002AFF" w:usb1="C0007843" w:usb2="00000009" w:usb3="00000000" w:csb0="400001FF" w:csb1="FFFF0000"/>
  </w:font>
  <w:font w:name="微软雅黑 Light">
    <w:altName w:val="黑体"/>
    <w:panose1 w:val="020B0502040204020203"/>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1D1E9"/>
    <w:multiLevelType w:val="singleLevel"/>
    <w:tmpl w:val="8D71D1E9"/>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7664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54A"/>
    <w:rsid w:val="00235629"/>
    <w:rsid w:val="00260C38"/>
    <w:rsid w:val="002616C0"/>
    <w:rsid w:val="002662AA"/>
    <w:rsid w:val="00280496"/>
    <w:rsid w:val="00295495"/>
    <w:rsid w:val="002B2613"/>
    <w:rsid w:val="002B299A"/>
    <w:rsid w:val="002F1818"/>
    <w:rsid w:val="002F4A51"/>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0147"/>
    <w:rsid w:val="00443880"/>
    <w:rsid w:val="004464F4"/>
    <w:rsid w:val="00471401"/>
    <w:rsid w:val="00473F31"/>
    <w:rsid w:val="0048263A"/>
    <w:rsid w:val="00487E5D"/>
    <w:rsid w:val="00496398"/>
    <w:rsid w:val="004A711F"/>
    <w:rsid w:val="004B199D"/>
    <w:rsid w:val="004B2AF8"/>
    <w:rsid w:val="004B4690"/>
    <w:rsid w:val="004D0D75"/>
    <w:rsid w:val="004E0A2D"/>
    <w:rsid w:val="004E206B"/>
    <w:rsid w:val="004E6DF7"/>
    <w:rsid w:val="004F0F5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886"/>
    <w:rsid w:val="006A5E34"/>
    <w:rsid w:val="006B2422"/>
    <w:rsid w:val="006B2B9A"/>
    <w:rsid w:val="006B572C"/>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08A3"/>
    <w:rsid w:val="007E23B0"/>
    <w:rsid w:val="007E400F"/>
    <w:rsid w:val="007F1991"/>
    <w:rsid w:val="007F2C2F"/>
    <w:rsid w:val="007F55FC"/>
    <w:rsid w:val="007F5665"/>
    <w:rsid w:val="00800112"/>
    <w:rsid w:val="008253BB"/>
    <w:rsid w:val="0083706E"/>
    <w:rsid w:val="008423A5"/>
    <w:rsid w:val="00850625"/>
    <w:rsid w:val="00853718"/>
    <w:rsid w:val="00853F27"/>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81862"/>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534E"/>
    <w:rsid w:val="00B77EA6"/>
    <w:rsid w:val="00B81598"/>
    <w:rsid w:val="00B841F1"/>
    <w:rsid w:val="00B944D6"/>
    <w:rsid w:val="00BB4DF0"/>
    <w:rsid w:val="00BC289F"/>
    <w:rsid w:val="00BC5361"/>
    <w:rsid w:val="00BC5460"/>
    <w:rsid w:val="00BC6B50"/>
    <w:rsid w:val="00BD0E25"/>
    <w:rsid w:val="00BD5668"/>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D3537"/>
    <w:rsid w:val="00CE44F6"/>
    <w:rsid w:val="00CE49DA"/>
    <w:rsid w:val="00CE7B61"/>
    <w:rsid w:val="00D00095"/>
    <w:rsid w:val="00D20620"/>
    <w:rsid w:val="00D26091"/>
    <w:rsid w:val="00D34E7C"/>
    <w:rsid w:val="00D35489"/>
    <w:rsid w:val="00D51276"/>
    <w:rsid w:val="00D7035F"/>
    <w:rsid w:val="00DA65AC"/>
    <w:rsid w:val="00DB1913"/>
    <w:rsid w:val="00DC00B9"/>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E38EB"/>
    <w:rsid w:val="00FF1E02"/>
    <w:rsid w:val="00FF30B4"/>
    <w:rsid w:val="10C055FF"/>
    <w:rsid w:val="16BB723D"/>
    <w:rsid w:val="240371BF"/>
    <w:rsid w:val="29FD04D3"/>
    <w:rsid w:val="319F7F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uiPriority w:val="99"/>
    <w:rPr>
      <w:sz w:val="18"/>
      <w:szCs w:val="18"/>
    </w:rPr>
  </w:style>
  <w:style w:type="paragraph" w:styleId="8">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Char"/>
    <w:link w:val="9"/>
    <w:semiHidden/>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uiPriority w:val="9"/>
    <w:rPr>
      <w:rFonts w:ascii="Times New Roman" w:hAnsi="Times New Roman"/>
      <w:b/>
      <w:bCs/>
      <w:kern w:val="44"/>
      <w:sz w:val="44"/>
      <w:szCs w:val="44"/>
    </w:rPr>
  </w:style>
  <w:style w:type="character" w:customStyle="1" w:styleId="25">
    <w:name w:val="标题 2 Char"/>
    <w:basedOn w:val="13"/>
    <w:link w:val="3"/>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uiPriority w:val="99"/>
    <w:rPr>
      <w:rFonts w:ascii="Times New Roman" w:hAnsi="Times New Roman"/>
      <w:kern w:val="2"/>
      <w:sz w:val="18"/>
      <w:szCs w:val="18"/>
    </w:rPr>
  </w:style>
  <w:style w:type="character" w:customStyle="1" w:styleId="28">
    <w:name w:val="标题 3 Char"/>
    <w:basedOn w:val="13"/>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image" Target="media/image1.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70819453697531"/>
          <c:y val="0.265265041377768"/>
          <c:w val="0.89892071952032"/>
          <c:h val="0.642227689554909"/>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Sheet1!$B$2:$B$3</c:f>
              <c:numCache>
                <c:formatCode>General</c:formatCode>
                <c:ptCount val="2"/>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Sheet1!$D$2:$D$3</c:f>
              <c:numCache>
                <c:formatCode>General</c:formatCode>
                <c:ptCount val="2"/>
                <c:pt idx="0">
                  <c:v>1610.91</c:v>
                </c:pt>
                <c:pt idx="1">
                  <c:v>1439.26</c:v>
                </c:pt>
              </c:numCache>
            </c:numRef>
          </c:val>
        </c:ser>
        <c:dLbls>
          <c:showLegendKey val="0"/>
          <c:showVal val="0"/>
          <c:showCatName val="0"/>
          <c:showSerName val="0"/>
          <c:showPercent val="0"/>
          <c:showBubbleSize val="0"/>
        </c:dLbls>
        <c:gapWidth val="150"/>
        <c:overlap val="100"/>
        <c:axId val="301658445"/>
        <c:axId val="192736197"/>
      </c:barChart>
      <c:catAx>
        <c:axId val="301658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736197"/>
        <c:crosses val="autoZero"/>
        <c:auto val="1"/>
        <c:lblAlgn val="ctr"/>
        <c:lblOffset val="100"/>
        <c:noMultiLvlLbl val="0"/>
      </c:catAx>
      <c:valAx>
        <c:axId val="192736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58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总收入</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一般公共预算财政拨款收入</c:v>
                </c:pt>
                <c:pt idx="1">
                  <c:v>上年结转</c:v>
                </c:pt>
              </c:strCache>
            </c:strRef>
          </c:cat>
          <c:val>
            <c:numRef>
              <c:f>Sheet1!$B$2:$B$3</c:f>
              <c:numCache>
                <c:formatCode>General</c:formatCode>
                <c:ptCount val="2"/>
                <c:pt idx="0">
                  <c:v>1075.91</c:v>
                </c:pt>
                <c:pt idx="1">
                  <c:v>535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总支出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2"/>
              <c:layout>
                <c:manualLayout>
                  <c:x val="0.0183633221507463"/>
                  <c:y val="0.1448766274786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基本支出</c:v>
                </c:pt>
                <c:pt idx="1">
                  <c:v>项目支出</c:v>
                </c:pt>
                <c:pt idx="2">
                  <c:v>结转</c:v>
                </c:pt>
              </c:strCache>
            </c:strRef>
          </c:cat>
          <c:val>
            <c:numRef>
              <c:f>Sheet1!$B$2:$B$5</c:f>
              <c:numCache>
                <c:formatCode>General</c:formatCode>
                <c:ptCount val="4"/>
                <c:pt idx="0">
                  <c:v>1062.38</c:v>
                </c:pt>
                <c:pt idx="1">
                  <c:v>548.53</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70819453697531"/>
          <c:y val="0.265265041377768"/>
          <c:w val="0.89892071952032"/>
          <c:h val="0.642227689554909"/>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Sheet1!$B$2:$B$3</c:f>
              <c:numCache>
                <c:formatCode>General</c:formatCode>
                <c:ptCount val="2"/>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Sheet1!$D$2:$D$3</c:f>
              <c:numCache>
                <c:formatCode>General</c:formatCode>
                <c:ptCount val="2"/>
                <c:pt idx="0">
                  <c:v>1610.91</c:v>
                </c:pt>
                <c:pt idx="1">
                  <c:v>1439.26</c:v>
                </c:pt>
              </c:numCache>
            </c:numRef>
          </c:val>
        </c:ser>
        <c:dLbls>
          <c:showLegendKey val="0"/>
          <c:showVal val="0"/>
          <c:showCatName val="0"/>
          <c:showSerName val="0"/>
          <c:showPercent val="0"/>
          <c:showBubbleSize val="0"/>
        </c:dLbls>
        <c:gapWidth val="150"/>
        <c:overlap val="100"/>
        <c:axId val="301658445"/>
        <c:axId val="192736197"/>
      </c:barChart>
      <c:catAx>
        <c:axId val="301658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736197"/>
        <c:crosses val="autoZero"/>
        <c:auto val="1"/>
        <c:lblAlgn val="ctr"/>
        <c:lblOffset val="100"/>
        <c:noMultiLvlLbl val="0"/>
      </c:catAx>
      <c:valAx>
        <c:axId val="192736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58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970819453697531"/>
          <c:y val="0.265265041377768"/>
          <c:w val="0.89892071952032"/>
          <c:h val="0.642227689554909"/>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Sheet1!$B$2:$B$3</c:f>
              <c:numCache>
                <c:formatCode>General</c:formatCode>
                <c:ptCount val="2"/>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2019一般公共预算拨款</c:v>
                </c:pt>
                <c:pt idx="1">
                  <c:v>2018一般公共预算拨款</c:v>
                </c:pt>
              </c:strCache>
            </c:strRef>
          </c:cat>
          <c:val>
            <c:numRef>
              <c:f>Sheet1!$D$2:$D$3</c:f>
              <c:numCache>
                <c:formatCode>General</c:formatCode>
                <c:ptCount val="2"/>
                <c:pt idx="0">
                  <c:v>1610.91</c:v>
                </c:pt>
                <c:pt idx="1">
                  <c:v>1439.26</c:v>
                </c:pt>
              </c:numCache>
            </c:numRef>
          </c:val>
        </c:ser>
        <c:dLbls>
          <c:showLegendKey val="0"/>
          <c:showVal val="0"/>
          <c:showCatName val="0"/>
          <c:showSerName val="0"/>
          <c:showPercent val="0"/>
          <c:showBubbleSize val="0"/>
        </c:dLbls>
        <c:gapWidth val="150"/>
        <c:overlap val="100"/>
        <c:axId val="301658445"/>
        <c:axId val="192736197"/>
      </c:barChart>
      <c:catAx>
        <c:axId val="301658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736197"/>
        <c:crosses val="autoZero"/>
        <c:auto val="1"/>
        <c:lblAlgn val="ctr"/>
        <c:lblOffset val="100"/>
        <c:noMultiLvlLbl val="0"/>
      </c:catAx>
      <c:valAx>
        <c:axId val="192736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6584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70755278025572"/>
          <c:y val="0.124823268026661"/>
          <c:w val="0.575825156110616"/>
          <c:h val="0.782266208846698"/>
        </c:manualLayout>
      </c:layout>
      <c:pieChart>
        <c:varyColors val="1"/>
        <c:ser>
          <c:idx val="0"/>
          <c:order val="0"/>
          <c:tx>
            <c:strRef>
              <c:f>Sheet1!$B$1</c:f>
              <c:strCache>
                <c:ptCount val="1"/>
                <c:pt idx="0">
                  <c:v>财政拨款支出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1"/>
              <c:layout>
                <c:manualLayout>
                  <c:x val="0.01809498507433"/>
                  <c:y val="0.1549404944762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633245236686457"/>
                  <c:y val="0.030614947562422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692419594349981"/>
                  <c:y val="0.13366423847450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教育支出</c:v>
                </c:pt>
                <c:pt idx="1">
                  <c:v>医疗卫生支出</c:v>
                </c:pt>
                <c:pt idx="2">
                  <c:v>住房保障支出</c:v>
                </c:pt>
                <c:pt idx="3">
                  <c:v>社会保障和就业</c:v>
                </c:pt>
              </c:strCache>
            </c:strRef>
          </c:cat>
          <c:val>
            <c:numRef>
              <c:f>Sheet1!$B$2:$B$5</c:f>
              <c:numCache>
                <c:formatCode>#,##0.00</c:formatCode>
                <c:ptCount val="4"/>
                <c:pt idx="0">
                  <c:v>1467.44</c:v>
                </c:pt>
                <c:pt idx="1">
                  <c:v>24.27</c:v>
                </c:pt>
                <c:pt idx="2">
                  <c:v>44.89</c:v>
                </c:pt>
                <c:pt idx="3" c:formatCode="General">
                  <c:v>74.31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2B43A-F1DD-4ECB-A02A-72A1AF709A1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1176</Words>
  <Characters>6706</Characters>
  <Lines>55</Lines>
  <Paragraphs>15</Paragraphs>
  <TotalTime>0</TotalTime>
  <ScaleCrop>false</ScaleCrop>
  <LinksUpToDate>false</LinksUpToDate>
  <CharactersWithSpaces>7867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2020-09-21T14:13:19Z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