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8441"/>
      <w:bookmarkStart w:id="3" w:name="_Toc15396475"/>
      <w:bookmarkStart w:id="4" w:name="_Toc15377425"/>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598"/>
      <w:bookmarkStart w:id="8" w:name="_Toc15377426"/>
      <w:bookmarkStart w:id="9" w:name="_Toc15396476"/>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开江县教育和科学技术局部门决算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公开时间：2020年9月17日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2019</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320" w:firstLineChars="10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p>
    <w:p>
      <w:pPr>
        <w:pStyle w:val="5"/>
        <w:adjustRightInd w:val="0"/>
        <w:snapToGrid w:val="0"/>
        <w:spacing w:before="93" w:line="600" w:lineRule="exact"/>
        <w:ind w:firstLine="640" w:firstLineChars="200"/>
        <w:rPr>
          <w:bCs/>
          <w:color w:val="000000"/>
          <w:sz w:val="32"/>
          <w:szCs w:val="32"/>
        </w:rPr>
      </w:pPr>
      <w:r>
        <w:rPr>
          <w:rFonts w:hint="eastAsia"/>
          <w:bCs/>
          <w:color w:val="000000"/>
          <w:sz w:val="32"/>
          <w:szCs w:val="32"/>
        </w:rPr>
        <w:t>开江县教育和科学技术局系开江县人民政府下属部门。其主要职责是：负责全县教育、科技行政管理；制定全县教育、教学、科技发展的政策措施；指导和协调全县教育、科技；加快推进全县公共教育和科技服务建设。</w:t>
      </w:r>
    </w:p>
    <w:bookmarkEnd w:id="16"/>
    <w:bookmarkEnd w:id="17"/>
    <w:p>
      <w:pPr>
        <w:pStyle w:val="5"/>
        <w:adjustRightInd w:val="0"/>
        <w:snapToGrid w:val="0"/>
        <w:spacing w:before="93" w:line="600" w:lineRule="exact"/>
        <w:ind w:firstLine="640" w:firstLineChars="200"/>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2019</w:t>
      </w:r>
      <w:r>
        <w:rPr>
          <w:rFonts w:hint="eastAsia" w:ascii="仿宋" w:hAnsi="仿宋" w:eastAsia="仿宋"/>
          <w:bCs/>
          <w:color w:val="000000"/>
          <w:sz w:val="32"/>
          <w:szCs w:val="32"/>
        </w:rPr>
        <w:t>年重点工作完成情况。</w:t>
      </w:r>
      <w:bookmarkEnd w:id="18"/>
      <w:bookmarkEnd w:id="19"/>
    </w:p>
    <w:p>
      <w:pPr>
        <w:pStyle w:val="5"/>
        <w:adjustRightInd w:val="0"/>
        <w:snapToGrid w:val="0"/>
        <w:spacing w:before="93" w:line="600" w:lineRule="exact"/>
        <w:ind w:firstLine="640" w:firstLineChars="200"/>
        <w:rPr>
          <w:bCs/>
          <w:color w:val="000000"/>
          <w:sz w:val="32"/>
          <w:szCs w:val="32"/>
        </w:rPr>
      </w:pPr>
      <w:r>
        <w:rPr>
          <w:rFonts w:hint="eastAsia"/>
          <w:bCs/>
          <w:color w:val="000000"/>
          <w:sz w:val="32"/>
          <w:szCs w:val="32"/>
        </w:rPr>
        <w:t>按照县委县政府2019年工作部署，高质量、高标准落实完成目标任务。</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640" w:firstLineChars="200"/>
        <w:rPr>
          <w:rFonts w:ascii="仿宋" w:hAnsi="仿宋" w:eastAsia="仿宋"/>
          <w:sz w:val="32"/>
          <w:szCs w:val="32"/>
        </w:rPr>
      </w:pPr>
      <w:r>
        <w:rPr>
          <w:rFonts w:hint="eastAsia" w:ascii="仿宋" w:hAnsi="仿宋" w:eastAsia="仿宋"/>
          <w:sz w:val="32"/>
          <w:szCs w:val="32"/>
        </w:rPr>
        <w:t>开江县教育和科学技术局系开江县人民政府下属部门。具有独立编制和独立核算的行政单位，单位设置办公室、计财股、人事师训股、法规安全股、职成幼教股、规划建设股、基础教育股、科技项目股、体卫艺</w:t>
      </w:r>
      <w:r>
        <w:rPr>
          <w:rFonts w:ascii="仿宋" w:hAnsi="仿宋" w:eastAsia="仿宋"/>
          <w:sz w:val="32"/>
          <w:szCs w:val="32"/>
        </w:rPr>
        <w:t>股</w:t>
      </w:r>
      <w:r>
        <w:rPr>
          <w:rFonts w:hint="eastAsia" w:ascii="仿宋" w:hAnsi="仿宋" w:eastAsia="仿宋"/>
          <w:sz w:val="32"/>
          <w:szCs w:val="32"/>
        </w:rPr>
        <w:t>、监审室、党建办、青少年活动中心。直属事业单位5个，分别是学生资助中心、电教馆、技装所、招办、教研室。管理中小学校及</w:t>
      </w:r>
      <w:r>
        <w:rPr>
          <w:rFonts w:ascii="仿宋" w:hAnsi="仿宋" w:eastAsia="仿宋"/>
          <w:sz w:val="32"/>
          <w:szCs w:val="32"/>
        </w:rPr>
        <w:t>教师进修校共计</w:t>
      </w:r>
      <w:r>
        <w:rPr>
          <w:rFonts w:hint="eastAsia" w:ascii="仿宋" w:hAnsi="仿宋" w:eastAsia="仿宋"/>
          <w:sz w:val="32"/>
          <w:szCs w:val="32"/>
        </w:rPr>
        <w:t>57个。</w:t>
      </w:r>
    </w:p>
    <w:p>
      <w:pPr>
        <w:pStyle w:val="5"/>
        <w:adjustRightInd w:val="0"/>
        <w:snapToGrid w:val="0"/>
        <w:spacing w:before="93" w:line="600" w:lineRule="exact"/>
        <w:ind w:firstLine="672" w:firstLineChars="210"/>
        <w:rPr>
          <w:rFonts w:ascii="仿宋" w:hAnsi="仿宋" w:eastAsia="仿宋"/>
          <w:color w:val="000000"/>
          <w:sz w:val="32"/>
          <w:szCs w:val="32"/>
        </w:rPr>
      </w:pP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center"/>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2019年度收入1366.16万元，与2018年相比，收入增加</w:t>
      </w:r>
      <w:r>
        <w:rPr>
          <w:rFonts w:ascii="仿宋" w:hAnsi="仿宋" w:eastAsia="仿宋"/>
          <w:color w:val="000000"/>
          <w:sz w:val="32"/>
          <w:szCs w:val="32"/>
        </w:rPr>
        <w:t>49.42</w:t>
      </w:r>
      <w:r>
        <w:rPr>
          <w:rFonts w:hint="eastAsia" w:ascii="仿宋" w:hAnsi="仿宋" w:eastAsia="仿宋"/>
          <w:color w:val="000000"/>
          <w:sz w:val="32"/>
          <w:szCs w:val="32"/>
        </w:rPr>
        <w:t>万元、增长</w:t>
      </w:r>
      <w:r>
        <w:rPr>
          <w:rFonts w:ascii="仿宋" w:hAnsi="仿宋" w:eastAsia="仿宋"/>
          <w:color w:val="000000"/>
          <w:sz w:val="32"/>
          <w:szCs w:val="32"/>
        </w:rPr>
        <w:t>0.38</w:t>
      </w:r>
      <w:r>
        <w:rPr>
          <w:rFonts w:hint="eastAsia" w:ascii="仿宋" w:hAnsi="仿宋" w:eastAsia="仿宋"/>
          <w:color w:val="000000"/>
          <w:sz w:val="32"/>
          <w:szCs w:val="32"/>
        </w:rPr>
        <w:t>%；总支出</w:t>
      </w:r>
      <w:r>
        <w:rPr>
          <w:rFonts w:ascii="仿宋" w:hAnsi="仿宋" w:eastAsia="仿宋"/>
          <w:color w:val="000000"/>
          <w:sz w:val="32"/>
          <w:szCs w:val="32"/>
        </w:rPr>
        <w:t>618.91</w:t>
      </w:r>
      <w:r>
        <w:rPr>
          <w:rFonts w:hint="eastAsia" w:ascii="仿宋" w:hAnsi="仿宋" w:eastAsia="仿宋"/>
          <w:color w:val="000000"/>
          <w:sz w:val="32"/>
          <w:szCs w:val="32"/>
        </w:rPr>
        <w:t>万元，支出增加114.66万元，增长</w:t>
      </w:r>
      <w:r>
        <w:rPr>
          <w:rFonts w:ascii="仿宋" w:hAnsi="仿宋" w:eastAsia="仿宋"/>
          <w:color w:val="000000"/>
          <w:sz w:val="32"/>
          <w:szCs w:val="32"/>
        </w:rPr>
        <w:t>22.74%</w:t>
      </w:r>
      <w:r>
        <w:rPr>
          <w:rFonts w:hint="eastAsia" w:ascii="仿宋" w:hAnsi="仿宋" w:eastAsia="仿宋"/>
          <w:color w:val="000000"/>
          <w:sz w:val="32"/>
          <w:szCs w:val="32"/>
        </w:rPr>
        <w:t>。主要变动原因是科技项目资金投入增大，人员增加工资增资等投入加大。</w:t>
      </w:r>
    </w:p>
    <w:p>
      <w:pPr>
        <w:spacing w:line="600" w:lineRule="exact"/>
        <w:ind w:firstLine="560" w:firstLineChars="200"/>
        <w:rPr>
          <w:rFonts w:ascii="仿宋" w:hAnsi="仿宋" w:eastAsia="仿宋"/>
          <w:color w:val="000000" w:themeColor="text1"/>
          <w:sz w:val="32"/>
          <w:szCs w:val="32"/>
          <w14:textFill>
            <w14:solidFill>
              <w14:schemeClr w14:val="tx1"/>
            </w14:solidFill>
          </w14:textFill>
        </w:rPr>
      </w:pPr>
      <w:r>
        <w:rPr>
          <w:rFonts w:hint="eastAsia" w:ascii="宋体" w:hAnsi="宋体" w:eastAsia="宋体" w:cs="宋体"/>
          <w:sz w:val="28"/>
          <w:szCs w:val="28"/>
          <w:lang w:eastAsia="zh-CN"/>
        </w:rPr>
        <w:drawing>
          <wp:anchor distT="0" distB="0" distL="114300" distR="114300" simplePos="0" relativeHeight="251716608" behindDoc="0" locked="0" layoutInCell="1" allowOverlap="1">
            <wp:simplePos x="0" y="0"/>
            <wp:positionH relativeFrom="column">
              <wp:posOffset>238125</wp:posOffset>
            </wp:positionH>
            <wp:positionV relativeFrom="paragraph">
              <wp:posOffset>353695</wp:posOffset>
            </wp:positionV>
            <wp:extent cx="4765675" cy="3048000"/>
            <wp:effectExtent l="4445" t="4445" r="11430" b="1460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560" w:firstLineChars="200"/>
        <w:jc w:val="left"/>
        <w:rPr>
          <w:rFonts w:ascii="仿宋_GB2312" w:eastAsia="仿宋_GB2312"/>
          <w:color w:val="000000"/>
          <w:sz w:val="32"/>
          <w:szCs w:val="32"/>
        </w:rPr>
      </w:pPr>
      <w:r>
        <w:rPr>
          <w:rFonts w:hint="eastAsia" w:ascii="宋体" w:hAnsi="宋体" w:eastAsia="宋体" w:cs="宋体"/>
          <w:sz w:val="28"/>
          <w:szCs w:val="28"/>
          <w:lang w:eastAsia="zh-CN"/>
        </w:rPr>
        <w:drawing>
          <wp:anchor distT="0" distB="0" distL="114300" distR="114300" simplePos="0" relativeHeight="251715584" behindDoc="0" locked="0" layoutInCell="1" allowOverlap="1">
            <wp:simplePos x="0" y="0"/>
            <wp:positionH relativeFrom="column">
              <wp:posOffset>-6162675</wp:posOffset>
            </wp:positionH>
            <wp:positionV relativeFrom="paragraph">
              <wp:posOffset>-4084955</wp:posOffset>
            </wp:positionV>
            <wp:extent cx="4765675" cy="2839085"/>
            <wp:effectExtent l="5080" t="4445" r="10795" b="1397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420" w:firstLineChars="200"/>
        <w:jc w:val="left"/>
      </w:pPr>
    </w:p>
    <w:p>
      <w:pPr>
        <w:spacing w:line="600" w:lineRule="exact"/>
        <w:ind w:firstLine="420" w:firstLineChars="200"/>
        <w:jc w:val="left"/>
      </w:pPr>
    </w:p>
    <w:p>
      <w:pPr>
        <w:spacing w:line="600" w:lineRule="exact"/>
        <w:jc w:val="left"/>
        <w:rPr>
          <w:rFonts w:ascii="仿宋_GB2312" w:eastAsia="仿宋_GB2312"/>
          <w:color w:val="000000"/>
          <w:sz w:val="32"/>
          <w:szCs w:val="32"/>
        </w:rPr>
      </w:pPr>
    </w:p>
    <w:p>
      <w:pPr>
        <w:pStyle w:val="23"/>
        <w:spacing w:line="600" w:lineRule="exact"/>
        <w:ind w:left="640" w:firstLine="0" w:firstLineChars="0"/>
        <w:outlineLvl w:val="1"/>
        <w:rPr>
          <w:rFonts w:ascii="黑体" w:hAnsi="黑体" w:eastAsia="黑体"/>
          <w:color w:val="000000"/>
          <w:sz w:val="32"/>
          <w:szCs w:val="32"/>
        </w:rPr>
      </w:pPr>
      <w:bookmarkStart w:id="26" w:name="_Toc15377206"/>
      <w:bookmarkStart w:id="27" w:name="_Toc15396604"/>
    </w:p>
    <w:p>
      <w:pPr>
        <w:pStyle w:val="23"/>
        <w:spacing w:line="600" w:lineRule="exact"/>
        <w:ind w:left="640" w:firstLine="0" w:firstLineChars="0"/>
        <w:outlineLvl w:val="1"/>
        <w:rPr>
          <w:rStyle w:val="25"/>
          <w:rFonts w:ascii="黑体" w:hAnsi="黑体" w:eastAsia="黑体"/>
          <w:b w:val="0"/>
        </w:rPr>
      </w:pPr>
      <w:r>
        <w:rPr>
          <w:rFonts w:hint="eastAsia" w:ascii="黑体" w:hAnsi="黑体" w:eastAsia="黑体"/>
          <w:color w:val="000000"/>
          <w:sz w:val="32"/>
          <w:szCs w:val="32"/>
        </w:rPr>
        <w:t>二、收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年本年收入合计</w:t>
      </w:r>
      <w:r>
        <w:rPr>
          <w:rFonts w:ascii="仿宋" w:hAnsi="仿宋" w:eastAsia="仿宋"/>
          <w:color w:val="000000"/>
          <w:sz w:val="32"/>
          <w:szCs w:val="32"/>
        </w:rPr>
        <w:t>1366.16</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1366.16</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420" w:firstLineChars="200"/>
        <w:rPr>
          <w:rFonts w:ascii="仿宋_GB2312" w:eastAsia="仿宋_GB2312"/>
          <w:color w:val="FF0000"/>
          <w:sz w:val="32"/>
          <w:szCs w:val="32"/>
        </w:rPr>
      </w:pPr>
      <w:r>
        <w:drawing>
          <wp:anchor distT="0" distB="0" distL="114300" distR="114300" simplePos="0" relativeHeight="251653120" behindDoc="0" locked="0" layoutInCell="1" allowOverlap="1">
            <wp:simplePos x="0" y="0"/>
            <wp:positionH relativeFrom="column">
              <wp:posOffset>147320</wp:posOffset>
            </wp:positionH>
            <wp:positionV relativeFrom="paragraph">
              <wp:posOffset>61595</wp:posOffset>
            </wp:positionV>
            <wp:extent cx="4572000" cy="2743200"/>
            <wp:effectExtent l="4445" t="4445" r="14605" b="14605"/>
            <wp:wrapNone/>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rPr>
          <w:rFonts w:ascii="仿宋_GB2312" w:eastAsia="仿宋_GB2312"/>
          <w:color w:val="FF0000"/>
          <w:sz w:val="32"/>
          <w:szCs w:val="32"/>
        </w:rPr>
      </w:pPr>
    </w:p>
    <w:p>
      <w:pPr>
        <w:pStyle w:val="23"/>
        <w:spacing w:line="600" w:lineRule="exact"/>
        <w:ind w:firstLine="0" w:firstLineChars="0"/>
        <w:outlineLvl w:val="1"/>
        <w:rPr>
          <w:rFonts w:ascii="黑体" w:hAnsi="黑体" w:eastAsia="黑体"/>
          <w:color w:val="000000"/>
          <w:sz w:val="32"/>
          <w:szCs w:val="32"/>
        </w:rPr>
      </w:pPr>
      <w:bookmarkStart w:id="28" w:name="_Toc15396605"/>
      <w:bookmarkStart w:id="29" w:name="_Toc15377207"/>
    </w:p>
    <w:p>
      <w:pPr>
        <w:pStyle w:val="23"/>
        <w:spacing w:line="600" w:lineRule="exact"/>
        <w:ind w:firstLine="0" w:firstLineChars="0"/>
        <w:outlineLvl w:val="1"/>
        <w:rPr>
          <w:rStyle w:val="25"/>
          <w:rFonts w:ascii="黑体" w:hAnsi="黑体" w:eastAsia="黑体"/>
          <w:b w:val="0"/>
        </w:rPr>
      </w:pPr>
      <w:r>
        <w:rPr>
          <w:rFonts w:hint="eastAsia" w:ascii="黑体" w:hAnsi="黑体" w:eastAsia="黑体"/>
          <w:color w:val="000000"/>
          <w:sz w:val="32"/>
          <w:szCs w:val="32"/>
        </w:rPr>
        <w:t>三、支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2019</w:t>
      </w:r>
      <w:r>
        <w:rPr>
          <w:rFonts w:hint="eastAsia" w:ascii="仿宋" w:hAnsi="仿宋" w:eastAsia="仿宋"/>
          <w:color w:val="000000"/>
          <w:sz w:val="32"/>
          <w:szCs w:val="32"/>
        </w:rPr>
        <w:t>年本年支出合计</w:t>
      </w:r>
      <w:r>
        <w:rPr>
          <w:rFonts w:ascii="仿宋" w:hAnsi="仿宋" w:eastAsia="仿宋"/>
          <w:color w:val="000000"/>
          <w:sz w:val="32"/>
          <w:szCs w:val="32"/>
        </w:rPr>
        <w:t>618.91</w:t>
      </w:r>
      <w:r>
        <w:rPr>
          <w:rFonts w:hint="eastAsia" w:ascii="仿宋" w:hAnsi="仿宋" w:eastAsia="仿宋"/>
          <w:color w:val="000000"/>
          <w:sz w:val="32"/>
          <w:szCs w:val="32"/>
        </w:rPr>
        <w:t>万元，其中：基本支出</w:t>
      </w:r>
      <w:r>
        <w:rPr>
          <w:rFonts w:ascii="仿宋" w:hAnsi="仿宋" w:eastAsia="仿宋"/>
          <w:color w:val="000000"/>
          <w:sz w:val="32"/>
          <w:szCs w:val="32"/>
        </w:rPr>
        <w:t>618.91</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；项目支出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560" w:firstLineChars="200"/>
        <w:rPr>
          <w:rFonts w:ascii="仿宋_GB2312" w:eastAsia="仿宋_GB2312"/>
          <w:color w:val="FF0000"/>
          <w:sz w:val="32"/>
          <w:szCs w:val="32"/>
        </w:rPr>
      </w:pPr>
      <w:r>
        <w:rPr>
          <w:rFonts w:hint="eastAsia" w:ascii="宋体" w:hAnsi="宋体" w:eastAsia="宋体" w:cs="宋体"/>
          <w:color w:val="000000"/>
          <w:sz w:val="28"/>
          <w:szCs w:val="28"/>
          <w:lang w:val="en-US" w:eastAsia="zh-CN"/>
        </w:rPr>
        <w:drawing>
          <wp:anchor distT="0" distB="0" distL="114300" distR="114300" simplePos="0" relativeHeight="251720704" behindDoc="0" locked="0" layoutInCell="1" allowOverlap="1">
            <wp:simplePos x="0" y="0"/>
            <wp:positionH relativeFrom="column">
              <wp:posOffset>371475</wp:posOffset>
            </wp:positionH>
            <wp:positionV relativeFrom="paragraph">
              <wp:posOffset>257175</wp:posOffset>
            </wp:positionV>
            <wp:extent cx="4234815" cy="2515235"/>
            <wp:effectExtent l="4445" t="4445" r="8890" b="1397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firstLineChars="200"/>
        <w:outlineLvl w:val="1"/>
        <w:rPr>
          <w:rFonts w:ascii="黑体" w:hAnsi="黑体" w:eastAsia="黑体"/>
          <w:color w:val="000000"/>
          <w:sz w:val="32"/>
          <w:szCs w:val="32"/>
        </w:rPr>
      </w:pPr>
      <w:bookmarkStart w:id="30" w:name="_Toc15396606"/>
      <w:bookmarkStart w:id="31" w:name="_Toc15377208"/>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320" w:firstLineChars="100"/>
        <w:outlineLvl w:val="1"/>
        <w:rPr>
          <w:rStyle w:val="25"/>
          <w:rFonts w:ascii="黑体" w:hAnsi="黑体" w:eastAsia="黑体"/>
          <w:b w:val="0"/>
        </w:rPr>
      </w:pP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2019年度收入1366.16万元，与2018年相比，收入增加</w:t>
      </w:r>
      <w:r>
        <w:rPr>
          <w:rFonts w:ascii="仿宋" w:hAnsi="仿宋" w:eastAsia="仿宋"/>
          <w:color w:val="000000"/>
          <w:sz w:val="32"/>
          <w:szCs w:val="32"/>
        </w:rPr>
        <w:t>49.42</w:t>
      </w:r>
      <w:r>
        <w:rPr>
          <w:rFonts w:hint="eastAsia" w:ascii="仿宋" w:hAnsi="仿宋" w:eastAsia="仿宋"/>
          <w:color w:val="000000"/>
          <w:sz w:val="32"/>
          <w:szCs w:val="32"/>
        </w:rPr>
        <w:t>万元、增长</w:t>
      </w:r>
      <w:r>
        <w:rPr>
          <w:rFonts w:ascii="仿宋" w:hAnsi="仿宋" w:eastAsia="仿宋"/>
          <w:color w:val="000000"/>
          <w:sz w:val="32"/>
          <w:szCs w:val="32"/>
        </w:rPr>
        <w:t>0.38</w:t>
      </w:r>
      <w:r>
        <w:rPr>
          <w:rFonts w:hint="eastAsia" w:ascii="仿宋" w:hAnsi="仿宋" w:eastAsia="仿宋"/>
          <w:color w:val="000000"/>
          <w:sz w:val="32"/>
          <w:szCs w:val="32"/>
        </w:rPr>
        <w:t>%；总支出</w:t>
      </w:r>
      <w:r>
        <w:rPr>
          <w:rFonts w:ascii="仿宋" w:hAnsi="仿宋" w:eastAsia="仿宋"/>
          <w:color w:val="000000"/>
          <w:sz w:val="32"/>
          <w:szCs w:val="32"/>
        </w:rPr>
        <w:t>618.91</w:t>
      </w:r>
      <w:r>
        <w:rPr>
          <w:rFonts w:hint="eastAsia" w:ascii="仿宋" w:hAnsi="仿宋" w:eastAsia="仿宋"/>
          <w:color w:val="000000"/>
          <w:sz w:val="32"/>
          <w:szCs w:val="32"/>
        </w:rPr>
        <w:t>万元，支出增加114.66万元，增长</w:t>
      </w:r>
      <w:r>
        <w:rPr>
          <w:rFonts w:ascii="仿宋" w:hAnsi="仿宋" w:eastAsia="仿宋"/>
          <w:color w:val="000000"/>
          <w:sz w:val="32"/>
          <w:szCs w:val="32"/>
        </w:rPr>
        <w:t>22.74%</w:t>
      </w:r>
      <w:r>
        <w:rPr>
          <w:rFonts w:hint="eastAsia" w:ascii="仿宋" w:hAnsi="仿宋" w:eastAsia="仿宋"/>
          <w:color w:val="000000"/>
          <w:sz w:val="32"/>
          <w:szCs w:val="32"/>
        </w:rPr>
        <w:t>。主要变动原因是科技项目资金投入增大，人员增加工资增资等投入加大。</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560" w:firstLineChars="200"/>
        <w:outlineLvl w:val="1"/>
        <w:rPr>
          <w:rFonts w:ascii="黑体" w:hAnsi="黑体" w:eastAsia="黑体"/>
          <w:color w:val="000000"/>
          <w:sz w:val="32"/>
          <w:szCs w:val="32"/>
        </w:rPr>
      </w:pPr>
      <w:bookmarkStart w:id="32" w:name="_Toc15396607"/>
      <w:bookmarkStart w:id="33" w:name="_Toc15377209"/>
      <w:r>
        <w:rPr>
          <w:rFonts w:hint="eastAsia" w:ascii="宋体" w:hAnsi="宋体" w:eastAsia="宋体" w:cs="宋体"/>
          <w:sz w:val="28"/>
          <w:szCs w:val="28"/>
          <w:lang w:eastAsia="zh-CN"/>
        </w:rPr>
        <w:drawing>
          <wp:anchor distT="0" distB="0" distL="114300" distR="114300" simplePos="0" relativeHeight="251780096" behindDoc="0" locked="0" layoutInCell="1" allowOverlap="1">
            <wp:simplePos x="0" y="0"/>
            <wp:positionH relativeFrom="column">
              <wp:posOffset>209550</wp:posOffset>
            </wp:positionH>
            <wp:positionV relativeFrom="paragraph">
              <wp:posOffset>47625</wp:posOffset>
            </wp:positionV>
            <wp:extent cx="4765675" cy="3048000"/>
            <wp:effectExtent l="4445" t="4445" r="11430" b="1460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outlineLvl w:val="1"/>
        <w:rPr>
          <w:rStyle w:val="2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0"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2019年度收入1366.16万元，与2018年相比，收入增加</w:t>
      </w:r>
      <w:r>
        <w:rPr>
          <w:rFonts w:ascii="仿宋" w:hAnsi="仿宋" w:eastAsia="仿宋"/>
          <w:color w:val="000000"/>
          <w:sz w:val="32"/>
          <w:szCs w:val="32"/>
        </w:rPr>
        <w:t>49.42</w:t>
      </w:r>
      <w:r>
        <w:rPr>
          <w:rFonts w:hint="eastAsia" w:ascii="仿宋" w:hAnsi="仿宋" w:eastAsia="仿宋"/>
          <w:color w:val="000000"/>
          <w:sz w:val="32"/>
          <w:szCs w:val="32"/>
        </w:rPr>
        <w:t>万元、增长</w:t>
      </w:r>
      <w:r>
        <w:rPr>
          <w:rFonts w:ascii="仿宋" w:hAnsi="仿宋" w:eastAsia="仿宋"/>
          <w:color w:val="000000"/>
          <w:sz w:val="32"/>
          <w:szCs w:val="32"/>
        </w:rPr>
        <w:t>0.38</w:t>
      </w:r>
      <w:r>
        <w:rPr>
          <w:rFonts w:hint="eastAsia" w:ascii="仿宋" w:hAnsi="仿宋" w:eastAsia="仿宋"/>
          <w:color w:val="000000"/>
          <w:sz w:val="32"/>
          <w:szCs w:val="32"/>
        </w:rPr>
        <w:t>%；总支出</w:t>
      </w:r>
      <w:r>
        <w:rPr>
          <w:rFonts w:ascii="仿宋" w:hAnsi="仿宋" w:eastAsia="仿宋"/>
          <w:color w:val="000000"/>
          <w:sz w:val="32"/>
          <w:szCs w:val="32"/>
        </w:rPr>
        <w:t>618.91</w:t>
      </w:r>
      <w:r>
        <w:rPr>
          <w:rFonts w:hint="eastAsia" w:ascii="仿宋" w:hAnsi="仿宋" w:eastAsia="仿宋"/>
          <w:color w:val="000000"/>
          <w:sz w:val="32"/>
          <w:szCs w:val="32"/>
        </w:rPr>
        <w:t>万元，支出增加114.66万元，增长</w:t>
      </w:r>
      <w:r>
        <w:rPr>
          <w:rFonts w:ascii="仿宋" w:hAnsi="仿宋" w:eastAsia="仿宋"/>
          <w:color w:val="000000"/>
          <w:sz w:val="32"/>
          <w:szCs w:val="32"/>
        </w:rPr>
        <w:t>22.74%</w:t>
      </w:r>
      <w:r>
        <w:rPr>
          <w:rFonts w:hint="eastAsia" w:ascii="仿宋" w:hAnsi="仿宋" w:eastAsia="仿宋"/>
          <w:color w:val="000000"/>
          <w:sz w:val="32"/>
          <w:szCs w:val="32"/>
        </w:rPr>
        <w:t>。主要变动原因是科技项目资金投入增大，人员增加工资增资等投入加大。</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outlineLvl w:val="2"/>
        <w:rPr>
          <w:rFonts w:ascii="仿宋" w:hAnsi="仿宋" w:eastAsia="仿宋"/>
          <w:b/>
          <w:color w:val="000000"/>
          <w:sz w:val="32"/>
          <w:szCs w:val="32"/>
        </w:rPr>
      </w:pPr>
      <w:bookmarkStart w:id="35" w:name="_Toc15377211"/>
    </w:p>
    <w:p>
      <w:pPr>
        <w:spacing w:line="600" w:lineRule="exact"/>
        <w:ind w:firstLine="560" w:firstLineChars="200"/>
        <w:outlineLvl w:val="2"/>
        <w:rPr>
          <w:rFonts w:ascii="仿宋" w:hAnsi="仿宋" w:eastAsia="仿宋"/>
          <w:b/>
          <w:color w:val="000000"/>
          <w:sz w:val="32"/>
          <w:szCs w:val="32"/>
        </w:rPr>
      </w:pPr>
      <w:r>
        <w:rPr>
          <w:rFonts w:hint="eastAsia" w:ascii="宋体" w:hAnsi="宋体" w:cs="宋体"/>
          <w:sz w:val="28"/>
          <w:szCs w:val="28"/>
        </w:rPr>
        <w:drawing>
          <wp:anchor distT="0" distB="0" distL="114300" distR="114300" simplePos="0" relativeHeight="251785216" behindDoc="0" locked="0" layoutInCell="1" allowOverlap="1">
            <wp:simplePos x="0" y="0"/>
            <wp:positionH relativeFrom="column">
              <wp:posOffset>428625</wp:posOffset>
            </wp:positionH>
            <wp:positionV relativeFrom="paragraph">
              <wp:posOffset>-571500</wp:posOffset>
            </wp:positionV>
            <wp:extent cx="4413885" cy="2724785"/>
            <wp:effectExtent l="4445" t="4445" r="20320" b="1397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ind w:firstLine="640" w:firstLineChars="200"/>
        <w:outlineLvl w:val="2"/>
        <w:rPr>
          <w:rFonts w:ascii="仿宋" w:hAnsi="仿宋" w:eastAsia="仿宋"/>
          <w:b/>
          <w:color w:val="000000"/>
          <w:sz w:val="32"/>
          <w:szCs w:val="32"/>
        </w:rPr>
      </w:pPr>
    </w:p>
    <w:p>
      <w:pPr>
        <w:spacing w:line="600" w:lineRule="exact"/>
        <w:ind w:firstLine="640" w:firstLineChars="200"/>
        <w:outlineLvl w:val="2"/>
        <w:rPr>
          <w:rFonts w:ascii="仿宋" w:hAnsi="仿宋" w:eastAsia="仿宋"/>
          <w:b/>
          <w:color w:val="000000"/>
          <w:sz w:val="32"/>
          <w:szCs w:val="32"/>
        </w:rPr>
      </w:pPr>
    </w:p>
    <w:p>
      <w:pPr>
        <w:spacing w:line="600" w:lineRule="exact"/>
        <w:ind w:firstLine="640" w:firstLineChars="200"/>
        <w:outlineLvl w:val="2"/>
        <w:rPr>
          <w:rFonts w:ascii="仿宋" w:hAnsi="仿宋" w:eastAsia="仿宋"/>
          <w:b/>
          <w:color w:val="000000"/>
          <w:sz w:val="32"/>
          <w:szCs w:val="32"/>
        </w:rPr>
      </w:pPr>
    </w:p>
    <w:p>
      <w:pPr>
        <w:spacing w:line="600" w:lineRule="exact"/>
        <w:ind w:firstLine="640" w:firstLineChars="200"/>
        <w:outlineLvl w:val="2"/>
        <w:rPr>
          <w:rFonts w:ascii="仿宋" w:hAnsi="仿宋" w:eastAsia="仿宋"/>
          <w:b/>
          <w:color w:val="000000"/>
          <w:sz w:val="32"/>
          <w:szCs w:val="32"/>
        </w:rPr>
      </w:pPr>
    </w:p>
    <w:p>
      <w:pPr>
        <w:spacing w:line="600" w:lineRule="exact"/>
        <w:ind w:firstLine="320" w:firstLineChars="100"/>
        <w:outlineLvl w:val="2"/>
        <w:rPr>
          <w:rFonts w:ascii="仿宋" w:hAnsi="仿宋" w:eastAsia="仿宋"/>
          <w:b/>
          <w:color w:val="000000"/>
          <w:sz w:val="32"/>
          <w:szCs w:val="32"/>
        </w:rPr>
      </w:pPr>
    </w:p>
    <w:p>
      <w:pPr>
        <w:spacing w:line="600" w:lineRule="exact"/>
        <w:ind w:firstLine="320" w:firstLineChars="100"/>
        <w:outlineLvl w:val="2"/>
        <w:rPr>
          <w:rFonts w:ascii="仿宋" w:hAnsi="仿宋" w:eastAsia="仿宋"/>
          <w:b/>
          <w:color w:val="000000"/>
          <w:sz w:val="32"/>
          <w:szCs w:val="32"/>
        </w:rPr>
      </w:pPr>
    </w:p>
    <w:p>
      <w:pPr>
        <w:spacing w:line="600" w:lineRule="exact"/>
        <w:ind w:firstLine="320" w:firstLineChars="1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t>2019年一般公共预算财政拨款支出</w:t>
      </w:r>
      <w:r>
        <w:rPr>
          <w:rFonts w:ascii="仿宋" w:hAnsi="仿宋" w:eastAsia="仿宋"/>
          <w:color w:val="000000"/>
          <w:sz w:val="32"/>
          <w:szCs w:val="32"/>
        </w:rPr>
        <w:t>618.91</w:t>
      </w:r>
      <w:r>
        <w:rPr>
          <w:rFonts w:hint="eastAsia" w:ascii="仿宋" w:hAnsi="仿宋" w:eastAsia="仿宋"/>
          <w:color w:val="000000"/>
          <w:sz w:val="32"/>
          <w:szCs w:val="32"/>
        </w:rPr>
        <w:t>万元，主要用于以下方面:一般公共服务（类）支出0万元，占0%；教育支出（类）</w:t>
      </w:r>
      <w:r>
        <w:rPr>
          <w:rFonts w:ascii="仿宋" w:hAnsi="仿宋" w:eastAsia="仿宋"/>
          <w:color w:val="000000"/>
          <w:sz w:val="32"/>
          <w:szCs w:val="32"/>
        </w:rPr>
        <w:t>462.36</w:t>
      </w:r>
      <w:r>
        <w:rPr>
          <w:rFonts w:hint="eastAsia" w:ascii="仿宋" w:hAnsi="仿宋" w:eastAsia="仿宋"/>
          <w:color w:val="000000"/>
          <w:sz w:val="32"/>
          <w:szCs w:val="32"/>
        </w:rPr>
        <w:t>万元，占</w:t>
      </w:r>
      <w:r>
        <w:rPr>
          <w:rFonts w:ascii="仿宋" w:hAnsi="仿宋" w:eastAsia="仿宋"/>
          <w:color w:val="000000"/>
          <w:sz w:val="32"/>
          <w:szCs w:val="32"/>
        </w:rPr>
        <w:t>74.71</w:t>
      </w:r>
      <w:r>
        <w:rPr>
          <w:rFonts w:hint="eastAsia" w:ascii="仿宋" w:hAnsi="仿宋" w:eastAsia="仿宋"/>
          <w:color w:val="000000"/>
          <w:sz w:val="32"/>
          <w:szCs w:val="32"/>
        </w:rPr>
        <w:t>%；科学技术（类）支出</w:t>
      </w:r>
      <w:r>
        <w:rPr>
          <w:rFonts w:ascii="仿宋" w:hAnsi="仿宋" w:eastAsia="仿宋"/>
          <w:color w:val="000000"/>
          <w:sz w:val="32"/>
          <w:szCs w:val="32"/>
        </w:rPr>
        <w:t>40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%；社会保障和就业（类）支出</w:t>
      </w:r>
      <w:r>
        <w:rPr>
          <w:rFonts w:ascii="仿宋" w:hAnsi="仿宋" w:eastAsia="仿宋"/>
          <w:color w:val="000000"/>
          <w:sz w:val="32"/>
          <w:szCs w:val="32"/>
        </w:rPr>
        <w:t>49.7</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；医疗卫生支出</w:t>
      </w:r>
      <w:r>
        <w:rPr>
          <w:rFonts w:ascii="仿宋" w:hAnsi="仿宋" w:eastAsia="仿宋"/>
          <w:color w:val="000000" w:themeColor="text1"/>
          <w:sz w:val="32"/>
          <w:szCs w:val="32"/>
          <w14:textFill>
            <w14:solidFill>
              <w14:schemeClr w14:val="tx1"/>
            </w14:solidFill>
          </w14:textFill>
        </w:rPr>
        <w:t>32.68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ascii="仿宋" w:hAnsi="仿宋" w:eastAsia="仿宋"/>
          <w:color w:val="000000" w:themeColor="text1"/>
          <w:sz w:val="32"/>
          <w:szCs w:val="32"/>
          <w14:textFill>
            <w14:solidFill>
              <w14:schemeClr w14:val="tx1"/>
            </w14:solidFill>
          </w14:textFill>
        </w:rPr>
        <w:t>34.17</w:t>
      </w:r>
      <w:r>
        <w:rPr>
          <w:rFonts w:hint="eastAsia" w:ascii="仿宋" w:hAnsi="仿宋" w:eastAsia="仿宋"/>
          <w:color w:val="000000" w:themeColor="text1"/>
          <w:sz w:val="32"/>
          <w:szCs w:val="32"/>
          <w14:textFill>
            <w14:solidFill>
              <w14:schemeClr w14:val="tx1"/>
            </w14:solidFill>
          </w14:textFill>
        </w:rPr>
        <w:t>元，占</w:t>
      </w:r>
      <w:r>
        <w:rPr>
          <w:rFonts w:hint="eastAsia" w:ascii="仿宋" w:hAnsi="仿宋" w:eastAsia="仿宋"/>
          <w:color w:val="000000" w:themeColor="text1"/>
          <w:sz w:val="32"/>
          <w:szCs w:val="32"/>
          <w:lang w:val="en-US" w:eastAsia="zh-CN"/>
          <w14:textFill>
            <w14:solidFill>
              <w14:schemeClr w14:val="tx1"/>
            </w14:solidFill>
          </w14:textFill>
        </w:rPr>
        <w:t>6</w:t>
      </w:r>
      <w:r>
        <w:rPr>
          <w:rFonts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562" w:firstLineChars="200"/>
        <w:rPr>
          <w:rFonts w:ascii="仿宋" w:hAnsi="仿宋" w:eastAsia="仿宋"/>
          <w:color w:val="000000"/>
          <w:sz w:val="32"/>
          <w:szCs w:val="32"/>
        </w:rPr>
      </w:pPr>
      <w:r>
        <w:rPr>
          <w:rFonts w:hint="eastAsia" w:ascii="宋体" w:hAnsi="宋体" w:cs="宋体"/>
          <w:b/>
          <w:color w:val="000000"/>
          <w:sz w:val="28"/>
          <w:szCs w:val="28"/>
        </w:rPr>
        <w:drawing>
          <wp:anchor distT="0" distB="0" distL="114300" distR="114300" simplePos="0" relativeHeight="251791360" behindDoc="0" locked="0" layoutInCell="1" allowOverlap="1">
            <wp:simplePos x="0" y="0"/>
            <wp:positionH relativeFrom="column">
              <wp:posOffset>657225</wp:posOffset>
            </wp:positionH>
            <wp:positionV relativeFrom="paragraph">
              <wp:posOffset>66675</wp:posOffset>
            </wp:positionV>
            <wp:extent cx="4271010" cy="3143885"/>
            <wp:effectExtent l="4445" t="4445" r="10795" b="1397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outlineLvl w:val="2"/>
        <w:rPr>
          <w:rFonts w:ascii="仿宋" w:hAnsi="仿宋" w:eastAsia="仿宋"/>
          <w:b/>
          <w:color w:val="000000"/>
          <w:sz w:val="32"/>
          <w:szCs w:val="32"/>
        </w:rPr>
      </w:pPr>
      <w:bookmarkStart w:id="36" w:name="_Toc15377212"/>
    </w:p>
    <w:p>
      <w:pPr>
        <w:spacing w:line="600" w:lineRule="exact"/>
        <w:ind w:firstLine="640" w:firstLineChars="200"/>
        <w:outlineLvl w:val="2"/>
        <w:rPr>
          <w:rFonts w:ascii="仿宋" w:hAnsi="仿宋" w:eastAsia="仿宋"/>
          <w:b/>
          <w:color w:val="000000"/>
          <w:sz w:val="32"/>
          <w:szCs w:val="32"/>
        </w:rPr>
      </w:pPr>
    </w:p>
    <w:p>
      <w:pPr>
        <w:spacing w:line="600" w:lineRule="exact"/>
        <w:outlineLvl w:val="2"/>
        <w:rPr>
          <w:rFonts w:ascii="仿宋" w:hAnsi="仿宋" w:eastAsia="仿宋"/>
          <w:b/>
          <w:color w:val="000000"/>
          <w:sz w:val="32"/>
          <w:szCs w:val="32"/>
        </w:rPr>
      </w:pPr>
    </w:p>
    <w:p>
      <w:pPr>
        <w:spacing w:line="600" w:lineRule="exact"/>
        <w:ind w:firstLine="320" w:firstLineChars="100"/>
        <w:outlineLvl w:val="2"/>
        <w:rPr>
          <w:rFonts w:hint="eastAsia" w:ascii="仿宋" w:hAnsi="仿宋" w:eastAsia="仿宋"/>
          <w:b/>
          <w:color w:val="000000"/>
          <w:sz w:val="32"/>
          <w:szCs w:val="32"/>
        </w:rPr>
      </w:pPr>
    </w:p>
    <w:p>
      <w:pPr>
        <w:spacing w:line="600" w:lineRule="exact"/>
        <w:ind w:firstLine="320" w:firstLineChars="100"/>
        <w:outlineLvl w:val="2"/>
        <w:rPr>
          <w:rFonts w:hint="eastAsia" w:ascii="仿宋" w:hAnsi="仿宋" w:eastAsia="仿宋"/>
          <w:b/>
          <w:color w:val="000000"/>
          <w:sz w:val="32"/>
          <w:szCs w:val="32"/>
        </w:rPr>
      </w:pPr>
    </w:p>
    <w:p>
      <w:pPr>
        <w:spacing w:line="600" w:lineRule="exact"/>
        <w:ind w:firstLine="320" w:firstLineChars="100"/>
        <w:outlineLvl w:val="2"/>
        <w:rPr>
          <w:rFonts w:hint="eastAsia" w:ascii="仿宋" w:hAnsi="仿宋" w:eastAsia="仿宋"/>
          <w:b/>
          <w:color w:val="000000"/>
          <w:sz w:val="32"/>
          <w:szCs w:val="32"/>
        </w:rPr>
      </w:pPr>
      <w:bookmarkStart w:id="73" w:name="_GoBack"/>
      <w:bookmarkEnd w:id="73"/>
    </w:p>
    <w:p>
      <w:pPr>
        <w:spacing w:line="600" w:lineRule="exact"/>
        <w:ind w:firstLine="320" w:firstLineChars="1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600" w:lineRule="exact"/>
        <w:ind w:firstLine="640"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14:textFill>
            <w14:solidFill>
              <w14:schemeClr w14:val="tx1"/>
            </w14:solidFill>
          </w14:textFill>
        </w:rPr>
        <w:t>2019年般公共预算支出决算数为</w:t>
      </w:r>
      <w:r>
        <w:rPr>
          <w:rFonts w:ascii="仿宋" w:hAnsi="仿宋" w:eastAsia="仿宋"/>
          <w:color w:val="000000"/>
          <w:sz w:val="32"/>
          <w:szCs w:val="32"/>
        </w:rPr>
        <w:t>618.91</w:t>
      </w:r>
      <w:r>
        <w:rPr>
          <w:rStyle w:val="14"/>
          <w:rFonts w:hint="eastAsia" w:ascii="仿宋" w:hAnsi="仿宋" w:eastAsia="仿宋"/>
          <w:bCs/>
          <w:color w:val="000000"/>
          <w:sz w:val="32"/>
          <w:szCs w:val="32"/>
        </w:rPr>
        <w:t>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left="638" w:leftChars="304"/>
        <w:rPr>
          <w:rFonts w:ascii="仿宋" w:hAnsi="仿宋" w:eastAsia="仿宋"/>
          <w:b/>
          <w:color w:val="000000"/>
          <w:sz w:val="32"/>
          <w:szCs w:val="32"/>
        </w:rPr>
      </w:pPr>
      <w:r>
        <w:rPr>
          <w:rStyle w:val="14"/>
          <w:rFonts w:hint="eastAsia" w:ascii="仿宋" w:hAnsi="仿宋" w:eastAsia="仿宋"/>
          <w:bCs/>
          <w:color w:val="000000"/>
          <w:sz w:val="32"/>
          <w:szCs w:val="32"/>
        </w:rPr>
        <w:t>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ascii="仿宋" w:hAnsi="仿宋" w:eastAsia="仿宋"/>
          <w:color w:val="000000"/>
          <w:sz w:val="32"/>
          <w:szCs w:val="32"/>
        </w:rPr>
        <w:t>462.36</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科技术支出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ascii="仿宋" w:hAnsi="仿宋" w:eastAsia="仿宋"/>
          <w:color w:val="000000"/>
          <w:sz w:val="32"/>
          <w:szCs w:val="32"/>
        </w:rPr>
        <w:t>40万元，完成预算</w:t>
      </w:r>
      <w:r>
        <w:rPr>
          <w:rFonts w:hint="eastAsia" w:ascii="仿宋" w:hAnsi="仿宋" w:eastAsia="仿宋"/>
          <w:color w:val="000000"/>
          <w:sz w:val="32"/>
          <w:szCs w:val="32"/>
        </w:rPr>
        <w:t>1</w:t>
      </w:r>
      <w:r>
        <w:rPr>
          <w:rFonts w:ascii="仿宋" w:hAnsi="仿宋" w:eastAsia="仿宋"/>
          <w:color w:val="000000"/>
          <w:sz w:val="32"/>
          <w:szCs w:val="32"/>
        </w:rPr>
        <w:t>00%。</w:t>
      </w:r>
    </w:p>
    <w:p>
      <w:pPr>
        <w:spacing w:line="600" w:lineRule="exact"/>
        <w:ind w:firstLine="640" w:firstLineChars="200"/>
        <w:rPr>
          <w:rFonts w:ascii="仿宋" w:hAnsi="仿宋" w:eastAsia="仿宋"/>
          <w:b/>
          <w:color w:val="000000"/>
          <w:sz w:val="32"/>
          <w:szCs w:val="32"/>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住房保障支出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ascii="仿宋" w:hAnsi="仿宋" w:eastAsia="仿宋"/>
          <w:color w:val="000000" w:themeColor="text1"/>
          <w:sz w:val="32"/>
          <w:szCs w:val="32"/>
          <w14:textFill>
            <w14:solidFill>
              <w14:schemeClr w14:val="tx1"/>
            </w14:solidFill>
          </w14:textFill>
        </w:rPr>
        <w:t>34.17万元，完成预算</w:t>
      </w: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00%。</w:t>
      </w:r>
    </w:p>
    <w:p>
      <w:pPr>
        <w:spacing w:line="600" w:lineRule="exact"/>
        <w:ind w:firstLine="640" w:firstLineChars="200"/>
        <w:rPr>
          <w:rFonts w:ascii="仿宋" w:hAnsi="仿宋" w:eastAsia="仿宋"/>
          <w:b/>
          <w:color w:val="000000"/>
          <w:sz w:val="32"/>
          <w:szCs w:val="32"/>
        </w:rPr>
      </w:pPr>
      <w:r>
        <w:rPr>
          <w:rStyle w:val="14"/>
          <w:rFonts w:hint="eastAsia" w:ascii="仿宋" w:hAnsi="仿宋" w:eastAsia="仿宋"/>
          <w:bCs/>
          <w:color w:val="000000"/>
          <w:sz w:val="32"/>
          <w:szCs w:val="32"/>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ascii="仿宋" w:hAnsi="仿宋" w:eastAsia="仿宋"/>
          <w:color w:val="000000"/>
          <w:sz w:val="32"/>
          <w:szCs w:val="32"/>
        </w:rPr>
        <w:t>49.7万元，完成预算</w:t>
      </w:r>
      <w:r>
        <w:rPr>
          <w:rFonts w:hint="eastAsia" w:ascii="仿宋" w:hAnsi="仿宋" w:eastAsia="仿宋"/>
          <w:color w:val="000000"/>
          <w:sz w:val="32"/>
          <w:szCs w:val="32"/>
        </w:rPr>
        <w:t>1</w:t>
      </w:r>
      <w:r>
        <w:rPr>
          <w:rFonts w:ascii="仿宋" w:hAnsi="仿宋" w:eastAsia="仿宋"/>
          <w:color w:val="000000"/>
          <w:sz w:val="32"/>
          <w:szCs w:val="32"/>
        </w:rPr>
        <w:t>00%。</w:t>
      </w:r>
    </w:p>
    <w:p>
      <w:pPr>
        <w:spacing w:line="600" w:lineRule="exact"/>
        <w:ind w:firstLine="640" w:firstLineChars="200"/>
        <w:rPr>
          <w:rFonts w:ascii="仿宋" w:hAnsi="仿宋" w:eastAsia="仿宋"/>
          <w:b/>
          <w:color w:val="000000"/>
          <w:sz w:val="32"/>
          <w:szCs w:val="32"/>
        </w:rPr>
      </w:pPr>
      <w:r>
        <w:rPr>
          <w:rStyle w:val="14"/>
          <w:rFonts w:hint="eastAsia" w:ascii="仿宋" w:hAnsi="仿宋" w:eastAsia="仿宋"/>
          <w:bCs/>
          <w:color w:val="000000"/>
          <w:sz w:val="32"/>
          <w:szCs w:val="32"/>
        </w:rPr>
        <w:t>5</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医疗卫生与计划生育支出</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ascii="仿宋" w:hAnsi="仿宋" w:eastAsia="仿宋"/>
          <w:color w:val="000000" w:themeColor="text1"/>
          <w:sz w:val="32"/>
          <w:szCs w:val="32"/>
          <w14:textFill>
            <w14:solidFill>
              <w14:schemeClr w14:val="tx1"/>
            </w14:solidFill>
          </w14:textFill>
        </w:rPr>
        <w:t>32.68万元，完成预算</w:t>
      </w: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00%。</w:t>
      </w:r>
    </w:p>
    <w:p>
      <w:pPr>
        <w:tabs>
          <w:tab w:val="right" w:pos="8306"/>
        </w:tabs>
        <w:spacing w:line="600" w:lineRule="exact"/>
        <w:ind w:firstLine="640" w:firstLineChars="20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年一般公共预算财政拨款基本支出4</w:t>
      </w:r>
      <w:r>
        <w:rPr>
          <w:rFonts w:ascii="仿宋" w:hAnsi="仿宋" w:eastAsia="仿宋"/>
          <w:color w:val="000000"/>
          <w:sz w:val="32"/>
          <w:szCs w:val="32"/>
        </w:rPr>
        <w:t>62.3</w:t>
      </w:r>
      <w:r>
        <w:rPr>
          <w:rFonts w:hint="eastAsia" w:ascii="仿宋" w:hAnsi="仿宋" w:eastAsia="仿宋"/>
          <w:color w:val="000000"/>
          <w:sz w:val="32"/>
          <w:szCs w:val="32"/>
        </w:rPr>
        <w:t>6万元，其中：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人员经费4</w:t>
      </w:r>
      <w:r>
        <w:rPr>
          <w:rFonts w:ascii="仿宋" w:hAnsi="仿宋" w:eastAsia="仿宋"/>
          <w:color w:val="000000"/>
          <w:sz w:val="32"/>
          <w:szCs w:val="32"/>
        </w:rPr>
        <w:t>62.36</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公用经费5</w:t>
      </w:r>
      <w:r>
        <w:rPr>
          <w:rFonts w:ascii="仿宋" w:hAnsi="仿宋" w:eastAsia="仿宋"/>
          <w:color w:val="000000"/>
          <w:sz w:val="32"/>
          <w:szCs w:val="32"/>
        </w:rPr>
        <w:t>4.13</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firstLineChars="20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年“三公”经费财政拨款支出决算为2</w:t>
      </w:r>
      <w:r>
        <w:rPr>
          <w:rFonts w:ascii="仿宋" w:hAnsi="仿宋" w:eastAsia="仿宋"/>
          <w:color w:val="000000"/>
          <w:sz w:val="32"/>
          <w:szCs w:val="32"/>
        </w:rPr>
        <w:t>.12</w:t>
      </w:r>
      <w:r>
        <w:rPr>
          <w:rFonts w:hint="eastAsia" w:ascii="仿宋" w:hAnsi="仿宋" w:eastAsia="仿宋"/>
          <w:color w:val="000000"/>
          <w:sz w:val="32"/>
          <w:szCs w:val="32"/>
        </w:rPr>
        <w:t>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1.5万元，</w:t>
      </w:r>
      <w:r>
        <w:rPr>
          <w:rFonts w:hint="eastAsia" w:ascii="仿宋" w:hAnsi="仿宋" w:eastAsia="仿宋"/>
          <w:color w:val="000000"/>
          <w:sz w:val="32"/>
          <w:szCs w:val="32"/>
        </w:rPr>
        <w:t>占100</w:t>
      </w:r>
      <w:r>
        <w:rPr>
          <w:rFonts w:ascii="仿宋" w:hAnsi="仿宋" w:eastAsia="仿宋"/>
          <w:color w:val="000000"/>
          <w:sz w:val="32"/>
          <w:szCs w:val="32"/>
        </w:rPr>
        <w:t>%</w:t>
      </w:r>
      <w:r>
        <w:rPr>
          <w:rFonts w:hint="eastAsia" w:ascii="仿宋" w:hAnsi="仿宋" w:eastAsia="仿宋"/>
          <w:color w:val="000000"/>
          <w:sz w:val="32"/>
          <w:szCs w:val="32"/>
        </w:rPr>
        <w:t>；公务接待费支出决算0</w:t>
      </w:r>
      <w:r>
        <w:rPr>
          <w:rFonts w:ascii="仿宋" w:hAnsi="仿宋" w:eastAsia="仿宋"/>
          <w:color w:val="000000"/>
          <w:sz w:val="32"/>
          <w:szCs w:val="32"/>
        </w:rPr>
        <w:t>.62</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_GB2312" w:eastAsia="仿宋_GB2312"/>
          <w:b/>
          <w:color w:val="000000"/>
          <w:sz w:val="32"/>
          <w:szCs w:val="32"/>
        </w:rPr>
      </w:pPr>
      <w:r>
        <w:rPr>
          <w:rFonts w:ascii="仿宋" w:hAnsi="仿宋" w:eastAsia="仿宋"/>
          <w:color w:val="000000"/>
          <w:sz w:val="32"/>
          <w:szCs w:val="32"/>
        </w:rPr>
        <w:pict>
          <v:shape id="_x0000_s1034" o:spid="_x0000_s1034" o:spt="75" type="#_x0000_t75" style="position:absolute;left:0pt;margin-left:6.75pt;margin-top:3.9pt;height:270.25pt;width:431.8pt;z-index:251714560;mso-width-relative:page;mso-height-relative:page;" o:ole="t" filled="f" o:preferrelative="t" stroked="f" coordsize="21600,21600">
            <v:path/>
            <v:fill on="f" focussize="0,0"/>
            <v:stroke on="f" joinstyle="miter"/>
            <v:imagedata r:id="rId18" o:title=""/>
            <o:lock v:ext="edit" aspectratio="t"/>
          </v:shape>
          <o:OLEObject Type="Embed" ProgID="Excel.Sheet.8" ShapeID="_x0000_s1034" DrawAspect="Content" ObjectID="_1468075725" r:id="rId17">
            <o:LockedField>false</o:LockedField>
          </o:OLEObject>
        </w:pict>
      </w: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numPr>
          <w:ilvl w:val="0"/>
          <w:numId w:val="2"/>
        </w:numPr>
        <w:spacing w:line="600" w:lineRule="exact"/>
        <w:ind w:firstLine="321" w:firstLineChars="100"/>
        <w:rPr>
          <w:rFonts w:ascii="仿宋_GB2312" w:eastAsia="仿宋_GB2312"/>
          <w:color w:val="000000"/>
          <w:sz w:val="32"/>
          <w:szCs w:val="32"/>
        </w:rPr>
      </w:pPr>
      <w:r>
        <w:rPr>
          <w:rFonts w:hint="eastAsia" w:ascii="仿宋_GB2312" w:eastAsia="仿宋_GB2312"/>
          <w:b/>
          <w:color w:val="000000"/>
          <w:sz w:val="32"/>
          <w:szCs w:val="32"/>
        </w:rPr>
        <w:t>公务接待费支出0</w:t>
      </w:r>
      <w:r>
        <w:rPr>
          <w:rFonts w:ascii="仿宋_GB2312" w:eastAsia="仿宋_GB2312"/>
          <w:b/>
          <w:color w:val="000000"/>
          <w:sz w:val="32"/>
          <w:szCs w:val="32"/>
        </w:rPr>
        <w:t>.62</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2018</w:t>
      </w:r>
      <w:r>
        <w:rPr>
          <w:rFonts w:hint="eastAsia" w:ascii="仿宋_GB2312" w:eastAsia="仿宋_GB2312"/>
          <w:color w:val="000000"/>
          <w:sz w:val="32"/>
          <w:szCs w:val="32"/>
        </w:rPr>
        <w:t>年减少0</w:t>
      </w:r>
      <w:r>
        <w:rPr>
          <w:rFonts w:ascii="仿宋_GB2312" w:eastAsia="仿宋_GB2312"/>
          <w:color w:val="000000"/>
          <w:sz w:val="32"/>
          <w:szCs w:val="32"/>
        </w:rPr>
        <w:t>.01</w:t>
      </w:r>
      <w:r>
        <w:rPr>
          <w:rFonts w:hint="eastAsia" w:ascii="仿宋_GB2312" w:eastAsia="仿宋_GB2312"/>
          <w:color w:val="000000"/>
          <w:sz w:val="32"/>
          <w:szCs w:val="32"/>
        </w:rPr>
        <w:t>万元，下降0</w:t>
      </w:r>
      <w:r>
        <w:rPr>
          <w:rFonts w:ascii="仿宋_GB2312" w:eastAsia="仿宋_GB2312"/>
          <w:color w:val="000000"/>
          <w:sz w:val="32"/>
          <w:szCs w:val="32"/>
        </w:rPr>
        <w:t>.16%</w:t>
      </w:r>
      <w:r>
        <w:rPr>
          <w:rFonts w:hint="eastAsia" w:ascii="仿宋_GB2312" w:eastAsia="仿宋_GB2312"/>
          <w:color w:val="000000"/>
          <w:sz w:val="32"/>
          <w:szCs w:val="32"/>
        </w:rPr>
        <w:t>。主要原因是贯彻执行中央八项规定。</w:t>
      </w:r>
    </w:p>
    <w:p>
      <w:pPr>
        <w:numPr>
          <w:ilvl w:val="0"/>
          <w:numId w:val="2"/>
        </w:numPr>
        <w:spacing w:line="600" w:lineRule="exact"/>
        <w:ind w:firstLine="321" w:firstLineChars="100"/>
        <w:rPr>
          <w:rFonts w:ascii="仿宋_GB2312" w:eastAsia="仿宋_GB2312"/>
          <w:color w:val="000000"/>
          <w:sz w:val="32"/>
          <w:szCs w:val="32"/>
        </w:rPr>
      </w:pPr>
      <w:r>
        <w:rPr>
          <w:rFonts w:hint="eastAsia" w:ascii="仿宋_GB2312" w:eastAsia="仿宋_GB2312"/>
          <w:b/>
          <w:color w:val="000000"/>
          <w:sz w:val="32"/>
          <w:szCs w:val="32"/>
        </w:rPr>
        <w:t>公务用车支出</w:t>
      </w:r>
      <w:r>
        <w:rPr>
          <w:rFonts w:ascii="仿宋_GB2312" w:eastAsia="仿宋_GB2312"/>
          <w:color w:val="000000"/>
          <w:sz w:val="32"/>
          <w:szCs w:val="32"/>
        </w:rPr>
        <w:t>1.5万元，</w:t>
      </w:r>
      <w:r>
        <w:rPr>
          <w:rFonts w:hint="eastAsia" w:ascii="仿宋_GB2312" w:eastAsia="仿宋_GB2312"/>
          <w:color w:val="000000"/>
          <w:sz w:val="32"/>
          <w:szCs w:val="32"/>
        </w:rPr>
        <w:t>完成预算100%。公务用车费支出决算比</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减少</w:t>
      </w:r>
      <w:r>
        <w:rPr>
          <w:rFonts w:hint="eastAsia" w:ascii="仿宋_GB2312" w:eastAsia="仿宋_GB2312"/>
          <w:color w:val="000000"/>
          <w:sz w:val="32"/>
          <w:szCs w:val="32"/>
        </w:rPr>
        <w:t>3</w:t>
      </w:r>
      <w:r>
        <w:rPr>
          <w:rFonts w:ascii="仿宋_GB2312" w:eastAsia="仿宋_GB2312"/>
          <w:color w:val="000000"/>
          <w:sz w:val="32"/>
          <w:szCs w:val="32"/>
        </w:rPr>
        <w:t>.5万元，减少</w:t>
      </w:r>
      <w:r>
        <w:rPr>
          <w:rFonts w:hint="eastAsia" w:ascii="仿宋_GB2312" w:eastAsia="仿宋_GB2312"/>
          <w:color w:val="000000"/>
          <w:sz w:val="32"/>
          <w:szCs w:val="32"/>
        </w:rPr>
        <w:t>7</w:t>
      </w:r>
      <w:r>
        <w:rPr>
          <w:rFonts w:ascii="仿宋_GB2312" w:eastAsia="仿宋_GB2312"/>
          <w:color w:val="000000"/>
          <w:sz w:val="32"/>
          <w:szCs w:val="32"/>
        </w:rPr>
        <w:t>0%</w:t>
      </w:r>
      <w:r>
        <w:rPr>
          <w:rFonts w:hint="eastAsia" w:ascii="仿宋_GB2312" w:eastAsia="仿宋_GB2312"/>
          <w:color w:val="000000"/>
          <w:sz w:val="32"/>
          <w:szCs w:val="32"/>
        </w:rPr>
        <w:t>。主要原因是公务用车</w:t>
      </w:r>
      <w:r>
        <w:rPr>
          <w:rFonts w:ascii="仿宋_GB2312" w:eastAsia="仿宋_GB2312"/>
          <w:color w:val="000000"/>
          <w:sz w:val="32"/>
          <w:szCs w:val="32"/>
        </w:rPr>
        <w:t>财政施行包干制。</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主要用于执行公务、开展业务活动开支的交通费、住宿费、用餐费、化解原来公务用车未付款等。国内公务接待36批次，126人次（不包括陪同人员），共计支出0</w:t>
      </w:r>
      <w:r>
        <w:rPr>
          <w:rFonts w:ascii="仿宋_GB2312" w:eastAsia="仿宋_GB2312"/>
          <w:color w:val="000000"/>
          <w:sz w:val="32"/>
          <w:szCs w:val="32"/>
        </w:rPr>
        <w:t>.62</w:t>
      </w:r>
      <w:r>
        <w:rPr>
          <w:rFonts w:hint="eastAsia" w:ascii="仿宋_GB2312" w:eastAsia="仿宋_GB2312"/>
          <w:color w:val="000000"/>
          <w:sz w:val="32"/>
          <w:szCs w:val="32"/>
        </w:rPr>
        <w:t>万元，上级来部门指导工作、开展业务活动等工作餐支出0</w:t>
      </w:r>
      <w:r>
        <w:rPr>
          <w:rFonts w:ascii="仿宋_GB2312" w:eastAsia="仿宋_GB2312"/>
          <w:color w:val="000000"/>
          <w:sz w:val="32"/>
          <w:szCs w:val="32"/>
        </w:rPr>
        <w:t>.62</w:t>
      </w:r>
      <w:r>
        <w:rPr>
          <w:rFonts w:hint="eastAsia" w:ascii="仿宋_GB2312" w:eastAsia="仿宋_GB2312"/>
          <w:color w:val="000000"/>
          <w:sz w:val="32"/>
          <w:szCs w:val="32"/>
        </w:rPr>
        <w:t>万元。公务用车支出1</w:t>
      </w:r>
      <w:r>
        <w:rPr>
          <w:rFonts w:ascii="仿宋_GB2312" w:eastAsia="仿宋_GB2312"/>
          <w:color w:val="000000"/>
          <w:sz w:val="32"/>
          <w:szCs w:val="32"/>
        </w:rPr>
        <w:t>.5万元</w:t>
      </w:r>
    </w:p>
    <w:p>
      <w:pPr>
        <w:spacing w:line="600" w:lineRule="exact"/>
        <w:ind w:firstLine="640" w:firstLineChars="200"/>
        <w:outlineLvl w:val="1"/>
        <w:rPr>
          <w:rStyle w:val="25"/>
          <w:rFonts w:ascii="黑体" w:hAnsi="黑体" w:eastAsia="黑体"/>
        </w:rPr>
      </w:pPr>
      <w:bookmarkStart w:id="46" w:name="_Toc15396610"/>
      <w:bookmarkStart w:id="47" w:name="_Toc15377218"/>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年政府性基金预算拨款支出0万元。</w:t>
      </w:r>
    </w:p>
    <w:p>
      <w:pPr>
        <w:spacing w:line="600" w:lineRule="exact"/>
        <w:ind w:firstLine="640" w:firstLineChars="20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九、国有资本经营预算支出决算情况说明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年国有资本经营预算拨款支出0万元。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0"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根据预算绩效管理要求，本部门按要求对2019年部门整体支出开展绩效自评，从评价情况来看全面完成了预算执行，达到了预期效果。</w:t>
      </w:r>
      <w:r>
        <w:rPr>
          <w:rFonts w:ascii="仿宋_GB2312" w:hAnsi="仿宋_GB2312" w:eastAsia="仿宋_GB2312" w:cs="仿宋_GB2312"/>
          <w:sz w:val="32"/>
          <w:szCs w:val="32"/>
        </w:rPr>
        <w:t xml:space="preserve"> </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本单位2019年度无项目执行情况。</w:t>
      </w:r>
    </w:p>
    <w:p>
      <w:pPr>
        <w:numPr>
          <w:ilvl w:val="0"/>
          <w:numId w:val="4"/>
        </w:numPr>
        <w:spacing w:line="580" w:lineRule="exact"/>
        <w:ind w:firstLine="640"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本部门按要求对2019年部门整体支出绩效评价情况开展自评，《开江县教育科技知识产权局2019年部门整体支出绩效评价报告》见附件。</w:t>
      </w:r>
    </w:p>
    <w:p>
      <w:pPr>
        <w:spacing w:line="600" w:lineRule="exact"/>
        <w:ind w:firstLine="640" w:firstLineChars="20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0"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2019</w:t>
      </w:r>
      <w:r>
        <w:rPr>
          <w:rFonts w:hint="eastAsia" w:ascii="仿宋_GB2312" w:eastAsia="仿宋_GB2312"/>
          <w:color w:val="000000"/>
          <w:sz w:val="32"/>
          <w:szCs w:val="32"/>
        </w:rPr>
        <w:t>年，教科局机关运行经费支出5</w:t>
      </w:r>
      <w:r>
        <w:rPr>
          <w:rFonts w:ascii="仿宋_GB2312" w:eastAsia="仿宋_GB2312"/>
          <w:color w:val="000000"/>
          <w:sz w:val="32"/>
          <w:szCs w:val="32"/>
        </w:rPr>
        <w:t>4.13</w:t>
      </w:r>
      <w:r>
        <w:rPr>
          <w:rFonts w:hint="eastAsia" w:ascii="仿宋_GB2312" w:eastAsia="仿宋_GB2312"/>
          <w:color w:val="000000"/>
          <w:sz w:val="32"/>
          <w:szCs w:val="32"/>
        </w:rPr>
        <w:t>万元，与</w:t>
      </w:r>
      <w:r>
        <w:rPr>
          <w:rFonts w:ascii="仿宋_GB2312" w:eastAsia="仿宋_GB2312"/>
          <w:color w:val="000000"/>
          <w:sz w:val="32"/>
          <w:szCs w:val="32"/>
        </w:rPr>
        <w:t>2018</w:t>
      </w:r>
      <w:r>
        <w:rPr>
          <w:rFonts w:hint="eastAsia" w:ascii="仿宋_GB2312" w:eastAsia="仿宋_GB2312"/>
          <w:color w:val="000000"/>
          <w:sz w:val="32"/>
          <w:szCs w:val="32"/>
        </w:rPr>
        <w:t>年持平。</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年，教科局政府采购支出总额0万元。</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日，教科局共有车辆1辆，其中：其他用车1辆，</w:t>
      </w:r>
      <w:r>
        <w:rPr>
          <w:rFonts w:hint="eastAsia" w:ascii="仿宋_GB2312" w:eastAsia="仿宋_GB2312"/>
          <w:color w:val="000000" w:themeColor="text1"/>
          <w:sz w:val="32"/>
          <w:szCs w:val="32"/>
          <w14:textFill>
            <w14:solidFill>
              <w14:schemeClr w14:val="tx1"/>
            </w14:solidFill>
          </w14:textFill>
        </w:rPr>
        <w:t>其他用车主要是用于对学校工作的检查及业务指导等。</w:t>
      </w:r>
    </w:p>
    <w:p>
      <w:pPr>
        <w:numPr>
          <w:ilvl w:val="0"/>
          <w:numId w:val="5"/>
        </w:numPr>
        <w:spacing w:line="600" w:lineRule="exact"/>
        <w:ind w:firstLine="663" w:firstLineChars="150"/>
        <w:outlineLvl w:val="0"/>
        <w:rPr>
          <w:rStyle w:val="24"/>
          <w:rFonts w:ascii="黑体" w:hAnsi="黑体" w:eastAsia="黑体"/>
          <w:b w:val="0"/>
        </w:rPr>
      </w:pPr>
      <w:r>
        <w:rPr>
          <w:rFonts w:hint="eastAsia" w:ascii="黑体" w:hAnsi="黑体" w:eastAsia="黑体"/>
          <w:b/>
          <w:color w:val="000000"/>
          <w:sz w:val="44"/>
          <w:szCs w:val="44"/>
        </w:rPr>
        <w:t xml:space="preserve">        名</w:t>
      </w:r>
      <w:r>
        <w:rPr>
          <w:rStyle w:val="24"/>
          <w:rFonts w:hint="eastAsia" w:ascii="黑体" w:hAnsi="黑体" w:eastAsia="黑体"/>
          <w:b w:val="0"/>
        </w:rPr>
        <w:t>词解释</w:t>
      </w:r>
    </w:p>
    <w:p>
      <w:pPr>
        <w:spacing w:line="600" w:lineRule="atLeast"/>
        <w:ind w:firstLine="643" w:firstLineChars="200"/>
        <w:rPr>
          <w:rFonts w:ascii="仿宋_GB2312" w:eastAsia="仿宋_GB2312"/>
          <w:b/>
          <w:color w:val="000000"/>
          <w:sz w:val="32"/>
          <w:szCs w:val="32"/>
        </w:rPr>
      </w:pPr>
    </w:p>
    <w:p>
      <w:pPr>
        <w:widowControl/>
        <w:ind w:firstLine="640" w:firstLineChars="20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2019</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0"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5" w:name="_Toc15377226"/>
      <w:r>
        <w:rPr>
          <w:rFonts w:ascii="宋体"/>
          <w:b/>
          <w:color w:val="000000"/>
          <w:sz w:val="44"/>
          <w:szCs w:val="44"/>
        </w:rPr>
        <w:br w:type="page"/>
      </w:r>
      <w:bookmarkStart w:id="56"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6"/>
    </w:p>
    <w:p>
      <w:pPr>
        <w:spacing w:line="600" w:lineRule="exact"/>
        <w:jc w:val="center"/>
        <w:outlineLvl w:val="0"/>
        <w:rPr>
          <w:rStyle w:val="24"/>
        </w:rPr>
      </w:pPr>
    </w:p>
    <w:p>
      <w:pPr>
        <w:pStyle w:val="3"/>
        <w:rPr>
          <w:rStyle w:val="24"/>
          <w:rFonts w:ascii="仿宋" w:hAnsi="仿宋" w:eastAsia="仿宋"/>
          <w:b w:val="0"/>
          <w:bCs w:val="0"/>
          <w:sz w:val="32"/>
          <w:szCs w:val="32"/>
        </w:rPr>
      </w:pPr>
      <w:bookmarkStart w:id="57" w:name="_Toc15396615"/>
      <w:r>
        <w:rPr>
          <w:rStyle w:val="24"/>
          <w:rFonts w:hint="eastAsia" w:ascii="仿宋" w:hAnsi="仿宋" w:eastAsia="仿宋"/>
          <w:b w:val="0"/>
          <w:bCs w:val="0"/>
          <w:sz w:val="32"/>
          <w:szCs w:val="32"/>
        </w:rPr>
        <w:t>附件1</w:t>
      </w:r>
      <w:bookmarkEnd w:id="57"/>
    </w:p>
    <w:p>
      <w:pPr>
        <w:spacing w:line="600" w:lineRule="exact"/>
        <w:jc w:val="center"/>
        <w:outlineLvl w:val="0"/>
        <w:rPr>
          <w:rFonts w:ascii="黑体" w:hAnsi="黑体" w:eastAsia="黑体" w:cs="方正小标宋简体"/>
          <w:sz w:val="36"/>
          <w:szCs w:val="36"/>
        </w:rPr>
      </w:pPr>
      <w:bookmarkStart w:id="58" w:name="_Toc15396616"/>
      <w:r>
        <w:rPr>
          <w:rFonts w:hint="eastAsia" w:ascii="黑体" w:hAnsi="黑体" w:eastAsia="黑体" w:cs="方正小标宋简体"/>
          <w:sz w:val="36"/>
          <w:szCs w:val="36"/>
        </w:rPr>
        <w:t>开江县教育科技知识产权局2019年部门整体支出绩效评价报告</w:t>
      </w:r>
      <w:bookmarkEnd w:id="58"/>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ind w:firstLine="800" w:firstLineChars="250"/>
        <w:rPr>
          <w:rFonts w:ascii="仿宋" w:hAnsi="仿宋" w:eastAsia="仿宋"/>
          <w:sz w:val="32"/>
          <w:szCs w:val="32"/>
        </w:rPr>
      </w:pPr>
      <w:r>
        <w:rPr>
          <w:rFonts w:ascii="仿宋" w:hAnsi="仿宋" w:eastAsia="仿宋" w:cs="仿宋_GB2312"/>
          <w:sz w:val="32"/>
          <w:szCs w:val="32"/>
        </w:rPr>
        <w:t>（一）机构组成。</w:t>
      </w:r>
      <w:r>
        <w:rPr>
          <w:rFonts w:hint="eastAsia" w:ascii="仿宋" w:hAnsi="仿宋" w:eastAsia="仿宋"/>
          <w:sz w:val="32"/>
          <w:szCs w:val="32"/>
        </w:rPr>
        <w:t>开江县教育和科学技术局系开江县人民政府下属部门。具有独立编制和独立核算的行政单位，单位设置办公室、计财股、人事</w:t>
      </w:r>
      <w:r>
        <w:rPr>
          <w:rFonts w:ascii="仿宋" w:hAnsi="仿宋" w:eastAsia="仿宋"/>
          <w:sz w:val="32"/>
          <w:szCs w:val="32"/>
        </w:rPr>
        <w:t>师训、法规安全股、职成幼教股、规划建设股、基础教育股、</w:t>
      </w:r>
      <w:r>
        <w:rPr>
          <w:rFonts w:hint="eastAsia" w:ascii="仿宋" w:hAnsi="仿宋" w:eastAsia="仿宋"/>
          <w:sz w:val="32"/>
          <w:szCs w:val="32"/>
        </w:rPr>
        <w:t>科技项目股、知识产权股、监察室、党建办、青少年活动中心。直属事业单位5个，分别是学生资助中心、电教馆、技装所、招办、教研室。管理中小学校5</w:t>
      </w:r>
      <w:r>
        <w:rPr>
          <w:rFonts w:ascii="仿宋" w:hAnsi="仿宋" w:eastAsia="仿宋"/>
          <w:sz w:val="32"/>
          <w:szCs w:val="32"/>
        </w:rPr>
        <w:t>7个。</w:t>
      </w:r>
    </w:p>
    <w:p>
      <w:pPr>
        <w:ind w:firstLine="800" w:firstLineChars="250"/>
        <w:rPr>
          <w:rFonts w:eastAsia="仿宋_GB2312"/>
          <w:bCs/>
          <w:color w:val="000000"/>
          <w:sz w:val="32"/>
          <w:szCs w:val="32"/>
        </w:rPr>
      </w:pPr>
      <w:r>
        <w:rPr>
          <w:rFonts w:ascii="仿宋" w:hAnsi="仿宋" w:eastAsia="仿宋" w:cs="仿宋_GB2312"/>
          <w:sz w:val="32"/>
          <w:szCs w:val="32"/>
        </w:rPr>
        <w:t>（二）机构职能。</w:t>
      </w:r>
      <w:r>
        <w:rPr>
          <w:rFonts w:hint="eastAsia" w:ascii="仿宋" w:hAnsi="仿宋" w:eastAsia="仿宋"/>
          <w:sz w:val="32"/>
          <w:szCs w:val="32"/>
        </w:rPr>
        <w:t>其主要职责是：负责全县教育、科技、知识产权行政管理；制定全县教育、教学、科技、知识产权发展的政策措施；指导和协调全县教育、科技；加快推进全县公共文化服务建设。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r>
        <w:rPr>
          <w:rFonts w:hint="eastAsia" w:ascii="仿宋" w:hAnsi="仿宋" w:eastAsia="仿宋" w:cs="仿宋_GB2312"/>
          <w:sz w:val="32"/>
          <w:szCs w:val="32"/>
        </w:rPr>
        <w:t>2019年末单位总人员3</w:t>
      </w:r>
      <w:r>
        <w:rPr>
          <w:rFonts w:ascii="仿宋" w:hAnsi="仿宋" w:eastAsia="仿宋" w:cs="仿宋_GB2312"/>
          <w:sz w:val="32"/>
          <w:szCs w:val="32"/>
        </w:rPr>
        <w:t>7</w:t>
      </w:r>
      <w:r>
        <w:rPr>
          <w:rFonts w:hint="eastAsia" w:ascii="仿宋" w:hAnsi="仿宋" w:eastAsia="仿宋" w:cs="仿宋_GB2312"/>
          <w:sz w:val="32"/>
          <w:szCs w:val="32"/>
        </w:rPr>
        <w:t>人，其中公务员1</w:t>
      </w:r>
      <w:r>
        <w:rPr>
          <w:rFonts w:ascii="仿宋" w:hAnsi="仿宋" w:eastAsia="仿宋" w:cs="仿宋_GB2312"/>
          <w:sz w:val="32"/>
          <w:szCs w:val="32"/>
        </w:rPr>
        <w:t>6</w:t>
      </w:r>
      <w:r>
        <w:rPr>
          <w:rFonts w:hint="eastAsia" w:ascii="仿宋" w:hAnsi="仿宋" w:eastAsia="仿宋" w:cs="仿宋_GB2312"/>
          <w:sz w:val="32"/>
          <w:szCs w:val="32"/>
        </w:rPr>
        <w:t>人，机关工勤1人，事业编制人员2</w:t>
      </w:r>
      <w:r>
        <w:rPr>
          <w:rFonts w:ascii="仿宋" w:hAnsi="仿宋" w:eastAsia="仿宋" w:cs="仿宋_GB2312"/>
          <w:sz w:val="32"/>
          <w:szCs w:val="32"/>
        </w:rPr>
        <w:t>0</w:t>
      </w:r>
      <w:r>
        <w:rPr>
          <w:rFonts w:hint="eastAsia" w:ascii="仿宋" w:hAnsi="仿宋" w:eastAsia="仿宋" w:cs="仿宋_GB2312"/>
          <w:sz w:val="32"/>
          <w:szCs w:val="32"/>
        </w:rPr>
        <w:t>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pStyle w:val="23"/>
        <w:numPr>
          <w:ilvl w:val="0"/>
          <w:numId w:val="6"/>
        </w:numPr>
        <w:spacing w:line="600" w:lineRule="exact"/>
        <w:ind w:firstLineChars="0"/>
        <w:rPr>
          <w:rFonts w:ascii="仿宋" w:hAnsi="仿宋" w:eastAsia="仿宋"/>
          <w:color w:val="000000"/>
          <w:sz w:val="32"/>
          <w:szCs w:val="32"/>
        </w:rPr>
      </w:pPr>
      <w:r>
        <w:rPr>
          <w:rFonts w:hint="eastAsia" w:ascii="仿宋" w:hAnsi="仿宋" w:eastAsia="仿宋"/>
          <w:color w:val="000000"/>
          <w:sz w:val="32"/>
          <w:szCs w:val="32"/>
        </w:rPr>
        <w:t>2019年度收入1366.16万元，与2018年相比，收入增加</w:t>
      </w:r>
      <w:r>
        <w:rPr>
          <w:rFonts w:ascii="仿宋" w:hAnsi="仿宋" w:eastAsia="仿宋"/>
          <w:color w:val="000000"/>
          <w:sz w:val="32"/>
          <w:szCs w:val="32"/>
        </w:rPr>
        <w:t>49.42</w:t>
      </w:r>
      <w:r>
        <w:rPr>
          <w:rFonts w:hint="eastAsia" w:ascii="仿宋" w:hAnsi="仿宋" w:eastAsia="仿宋"/>
          <w:color w:val="000000"/>
          <w:sz w:val="32"/>
          <w:szCs w:val="32"/>
        </w:rPr>
        <w:t>万元、增长</w:t>
      </w:r>
      <w:r>
        <w:rPr>
          <w:rFonts w:ascii="仿宋" w:hAnsi="仿宋" w:eastAsia="仿宋"/>
          <w:color w:val="000000"/>
          <w:sz w:val="32"/>
          <w:szCs w:val="32"/>
        </w:rPr>
        <w:t>0.38</w:t>
      </w:r>
      <w:r>
        <w:rPr>
          <w:rFonts w:hint="eastAsia" w:ascii="仿宋" w:hAnsi="仿宋" w:eastAsia="仿宋"/>
          <w:color w:val="000000"/>
          <w:sz w:val="32"/>
          <w:szCs w:val="32"/>
        </w:rPr>
        <w:t>%；总支出</w:t>
      </w:r>
      <w:r>
        <w:rPr>
          <w:rFonts w:ascii="仿宋" w:hAnsi="仿宋" w:eastAsia="仿宋"/>
          <w:color w:val="000000"/>
          <w:sz w:val="32"/>
          <w:szCs w:val="32"/>
        </w:rPr>
        <w:t>618.91</w:t>
      </w:r>
      <w:r>
        <w:rPr>
          <w:rFonts w:hint="eastAsia" w:ascii="仿宋" w:hAnsi="仿宋" w:eastAsia="仿宋"/>
          <w:color w:val="000000"/>
          <w:sz w:val="32"/>
          <w:szCs w:val="32"/>
        </w:rPr>
        <w:t>万元，支出增加114.66万元，增长</w:t>
      </w:r>
      <w:r>
        <w:rPr>
          <w:rFonts w:ascii="仿宋" w:hAnsi="仿宋" w:eastAsia="仿宋"/>
          <w:color w:val="000000"/>
          <w:sz w:val="32"/>
          <w:szCs w:val="32"/>
        </w:rPr>
        <w:t>22.74%</w:t>
      </w:r>
      <w:r>
        <w:rPr>
          <w:rFonts w:hint="eastAsia" w:ascii="仿宋" w:hAnsi="仿宋" w:eastAsia="仿宋"/>
          <w:color w:val="000000"/>
          <w:sz w:val="32"/>
          <w:szCs w:val="32"/>
        </w:rPr>
        <w:t>。主要变动原因是科技项目资金投入增大，人员增加工资增资等投入加大。</w:t>
      </w:r>
    </w:p>
    <w:p>
      <w:pPr>
        <w:numPr>
          <w:ilvl w:val="0"/>
          <w:numId w:val="6"/>
        </w:numPr>
        <w:spacing w:line="600" w:lineRule="exact"/>
        <w:ind w:firstLine="640"/>
        <w:rPr>
          <w:rFonts w:ascii="仿宋" w:hAnsi="仿宋" w:eastAsia="仿宋"/>
          <w:color w:val="000000"/>
          <w:sz w:val="32"/>
          <w:szCs w:val="32"/>
          <w:shd w:val="pct10" w:color="auto" w:fill="FFFFFF"/>
        </w:rPr>
      </w:pPr>
      <w:r>
        <w:rPr>
          <w:rFonts w:ascii="仿宋" w:hAnsi="仿宋" w:eastAsia="仿宋" w:cs="仿宋_GB2312"/>
          <w:sz w:val="32"/>
          <w:szCs w:val="32"/>
        </w:rPr>
        <w:t>部门财政资金支出情况。</w:t>
      </w:r>
    </w:p>
    <w:p>
      <w:pPr>
        <w:spacing w:line="60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 xml:space="preserve">        2019年</w:t>
      </w:r>
      <w:r>
        <w:rPr>
          <w:rFonts w:hint="eastAsia" w:ascii="仿宋" w:hAnsi="仿宋" w:eastAsia="仿宋"/>
          <w:color w:val="000000"/>
          <w:sz w:val="32"/>
          <w:szCs w:val="32"/>
        </w:rPr>
        <w:t>一般公共预算财政拨款支出</w:t>
      </w:r>
      <w:r>
        <w:rPr>
          <w:rFonts w:ascii="仿宋" w:hAnsi="仿宋" w:eastAsia="仿宋"/>
          <w:color w:val="000000"/>
          <w:sz w:val="32"/>
          <w:szCs w:val="32"/>
        </w:rPr>
        <w:t>618.91</w:t>
      </w:r>
      <w:r>
        <w:rPr>
          <w:rFonts w:hint="eastAsia" w:ascii="仿宋" w:hAnsi="仿宋" w:eastAsia="仿宋"/>
          <w:color w:val="000000"/>
          <w:sz w:val="32"/>
          <w:szCs w:val="32"/>
        </w:rPr>
        <w:t>万元，主要用于以下方面:一般公共服务（类）支出0万元，占0%；教育支出（类）</w:t>
      </w:r>
      <w:r>
        <w:rPr>
          <w:rFonts w:ascii="仿宋" w:hAnsi="仿宋" w:eastAsia="仿宋"/>
          <w:color w:val="000000"/>
          <w:sz w:val="32"/>
          <w:szCs w:val="32"/>
        </w:rPr>
        <w:t>462.36</w:t>
      </w:r>
      <w:r>
        <w:rPr>
          <w:rFonts w:hint="eastAsia" w:ascii="仿宋" w:hAnsi="仿宋" w:eastAsia="仿宋"/>
          <w:color w:val="000000"/>
          <w:sz w:val="32"/>
          <w:szCs w:val="32"/>
        </w:rPr>
        <w:t>万元，占</w:t>
      </w:r>
      <w:r>
        <w:rPr>
          <w:rFonts w:ascii="仿宋" w:hAnsi="仿宋" w:eastAsia="仿宋"/>
          <w:color w:val="000000"/>
          <w:sz w:val="32"/>
          <w:szCs w:val="32"/>
        </w:rPr>
        <w:t>74.71</w:t>
      </w:r>
      <w:r>
        <w:rPr>
          <w:rFonts w:hint="eastAsia" w:ascii="仿宋" w:hAnsi="仿宋" w:eastAsia="仿宋"/>
          <w:color w:val="000000"/>
          <w:sz w:val="32"/>
          <w:szCs w:val="32"/>
        </w:rPr>
        <w:t>%；科学技术（类）支出</w:t>
      </w:r>
      <w:r>
        <w:rPr>
          <w:rFonts w:ascii="仿宋" w:hAnsi="仿宋" w:eastAsia="仿宋"/>
          <w:color w:val="000000"/>
          <w:sz w:val="32"/>
          <w:szCs w:val="32"/>
        </w:rPr>
        <w:t>40</w:t>
      </w:r>
      <w:r>
        <w:rPr>
          <w:rFonts w:hint="eastAsia" w:ascii="仿宋" w:hAnsi="仿宋" w:eastAsia="仿宋"/>
          <w:color w:val="000000"/>
          <w:sz w:val="32"/>
          <w:szCs w:val="32"/>
        </w:rPr>
        <w:t>万元，占</w:t>
      </w:r>
      <w:r>
        <w:rPr>
          <w:rFonts w:ascii="仿宋" w:hAnsi="仿宋" w:eastAsia="仿宋"/>
          <w:color w:val="000000"/>
          <w:sz w:val="32"/>
          <w:szCs w:val="32"/>
        </w:rPr>
        <w:t>0.65</w:t>
      </w:r>
      <w:r>
        <w:rPr>
          <w:rFonts w:hint="eastAsia" w:ascii="仿宋" w:hAnsi="仿宋" w:eastAsia="仿宋"/>
          <w:color w:val="000000"/>
          <w:sz w:val="32"/>
          <w:szCs w:val="32"/>
        </w:rPr>
        <w:t>%；社会保障和就业（类）支出</w:t>
      </w:r>
      <w:r>
        <w:rPr>
          <w:rFonts w:ascii="仿宋" w:hAnsi="仿宋" w:eastAsia="仿宋"/>
          <w:color w:val="000000"/>
          <w:sz w:val="32"/>
          <w:szCs w:val="32"/>
        </w:rPr>
        <w:t>49.7</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0.8%</w:t>
      </w:r>
      <w:r>
        <w:rPr>
          <w:rFonts w:hint="eastAsia" w:ascii="仿宋" w:hAnsi="仿宋" w:eastAsia="仿宋"/>
          <w:color w:val="000000" w:themeColor="text1"/>
          <w:sz w:val="32"/>
          <w:szCs w:val="32"/>
          <w14:textFill>
            <w14:solidFill>
              <w14:schemeClr w14:val="tx1"/>
            </w14:solidFill>
          </w14:textFill>
        </w:rPr>
        <w:t>；医疗卫生支出</w:t>
      </w:r>
      <w:r>
        <w:rPr>
          <w:rFonts w:ascii="仿宋" w:hAnsi="仿宋" w:eastAsia="仿宋"/>
          <w:color w:val="000000" w:themeColor="text1"/>
          <w:sz w:val="32"/>
          <w:szCs w:val="32"/>
          <w14:textFill>
            <w14:solidFill>
              <w14:schemeClr w14:val="tx1"/>
            </w14:solidFill>
          </w14:textFill>
        </w:rPr>
        <w:t>32.68</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0.53%</w:t>
      </w:r>
      <w:r>
        <w:rPr>
          <w:rFonts w:hint="eastAsia" w:ascii="仿宋" w:hAnsi="仿宋" w:eastAsia="仿宋"/>
          <w:color w:val="000000" w:themeColor="text1"/>
          <w:sz w:val="32"/>
          <w:szCs w:val="32"/>
          <w14:textFill>
            <w14:solidFill>
              <w14:schemeClr w14:val="tx1"/>
            </w14:solidFill>
          </w14:textFill>
        </w:rPr>
        <w:t>；住房保障支出</w:t>
      </w:r>
      <w:r>
        <w:rPr>
          <w:rFonts w:ascii="仿宋" w:hAnsi="仿宋" w:eastAsia="仿宋"/>
          <w:color w:val="000000" w:themeColor="text1"/>
          <w:sz w:val="32"/>
          <w:szCs w:val="32"/>
          <w14:textFill>
            <w14:solidFill>
              <w14:schemeClr w14:val="tx1"/>
            </w14:solidFill>
          </w14:textFill>
        </w:rPr>
        <w:t>34.17</w:t>
      </w:r>
      <w:r>
        <w:rPr>
          <w:rFonts w:hint="eastAsia" w:ascii="仿宋" w:hAnsi="仿宋" w:eastAsia="仿宋"/>
          <w:color w:val="000000" w:themeColor="text1"/>
          <w:sz w:val="32"/>
          <w:szCs w:val="32"/>
          <w14:textFill>
            <w14:solidFill>
              <w14:schemeClr w14:val="tx1"/>
            </w14:solidFill>
          </w14:textFill>
        </w:rPr>
        <w:t>元，占0</w:t>
      </w:r>
      <w:r>
        <w:rPr>
          <w:rFonts w:ascii="仿宋" w:hAnsi="仿宋" w:eastAsia="仿宋"/>
          <w:color w:val="000000" w:themeColor="text1"/>
          <w:sz w:val="32"/>
          <w:szCs w:val="32"/>
          <w14:textFill>
            <w14:solidFill>
              <w14:schemeClr w14:val="tx1"/>
            </w14:solidFill>
          </w14:textFill>
        </w:rPr>
        <w:t>.55%。</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预算绩效管理要求，开江县教育科技知识产权局以“部门职责—工作方案”为依据，确定部门预算项目和预算额度，清晰描述预算项目开支范围和内容，确定预算项目的绩效目标、绩效指标和评价标准，为预算绩效控制、绩效分析、绩效评价打下好的基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960" w:firstLineChars="300"/>
        <w:rPr>
          <w:rFonts w:ascii="仿宋" w:hAnsi="仿宋" w:eastAsia="仿宋" w:cs="仿宋_GB2312"/>
          <w:sz w:val="32"/>
          <w:szCs w:val="32"/>
        </w:rPr>
      </w:pPr>
      <w:r>
        <w:rPr>
          <w:rFonts w:hint="eastAsia" w:ascii="仿宋" w:hAnsi="仿宋" w:eastAsia="仿宋" w:cs="仿宋_GB2312"/>
          <w:sz w:val="32"/>
          <w:szCs w:val="32"/>
        </w:rPr>
        <w:t>1、按规定要求履行了立项手续，可行性研究报告、概算批复文件、专家论证等相关附件资料齐全，项目预算资金科学合理。</w:t>
      </w:r>
    </w:p>
    <w:p>
      <w:pPr>
        <w:spacing w:line="580" w:lineRule="exact"/>
        <w:ind w:firstLine="960" w:firstLineChars="300"/>
        <w:rPr>
          <w:rFonts w:ascii="仿宋" w:hAnsi="仿宋" w:eastAsia="仿宋" w:cs="仿宋_GB2312"/>
          <w:sz w:val="32"/>
          <w:szCs w:val="32"/>
        </w:rPr>
      </w:pPr>
      <w:r>
        <w:rPr>
          <w:rFonts w:hint="eastAsia" w:ascii="仿宋" w:hAnsi="仿宋" w:eastAsia="仿宋" w:cs="仿宋_GB2312"/>
          <w:sz w:val="32"/>
          <w:szCs w:val="32"/>
        </w:rPr>
        <w:t>2、财政资金拨付到位及时。</w:t>
      </w:r>
    </w:p>
    <w:p>
      <w:pPr>
        <w:spacing w:line="580" w:lineRule="exact"/>
        <w:ind w:firstLine="960" w:firstLineChars="300"/>
        <w:rPr>
          <w:rFonts w:ascii="仿宋" w:hAnsi="仿宋" w:eastAsia="仿宋" w:cs="仿宋_GB2312"/>
          <w:sz w:val="32"/>
          <w:szCs w:val="32"/>
        </w:rPr>
      </w:pPr>
      <w:r>
        <w:rPr>
          <w:rFonts w:hint="eastAsia" w:ascii="仿宋" w:hAnsi="仿宋" w:eastAsia="仿宋" w:cs="仿宋_GB2312"/>
          <w:sz w:val="32"/>
          <w:szCs w:val="32"/>
        </w:rPr>
        <w:t>3、已建立项目管理制度并按照项目管理制度要求执行。</w:t>
      </w:r>
    </w:p>
    <w:p>
      <w:pPr>
        <w:spacing w:line="580" w:lineRule="exact"/>
        <w:ind w:firstLine="960" w:firstLineChars="300"/>
        <w:rPr>
          <w:rFonts w:ascii="仿宋" w:hAnsi="仿宋" w:eastAsia="仿宋" w:cs="仿宋_GB2312"/>
          <w:sz w:val="32"/>
          <w:szCs w:val="32"/>
        </w:rPr>
      </w:pPr>
      <w:r>
        <w:rPr>
          <w:rFonts w:hint="eastAsia" w:ascii="仿宋" w:hAnsi="仿宋" w:eastAsia="仿宋" w:cs="仿宋_GB2312"/>
          <w:sz w:val="32"/>
          <w:szCs w:val="32"/>
        </w:rPr>
        <w:t>4、按期保质保量完成建设。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绩效评价，我们认为，2019年度部门预算具有明确的用途和目标，制定了详细的执行计划，资金到位及时并严格按照财政有关规定使用。预算决策、管理、执行等日益规范，能较好地满足工作需要，取得了良好经济效益和社会效益。</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1、单位的固定资产管理还有待加强，下年度将按照标准逐步完善。</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2、更加科学合理的编制预算。本年度预算完成率分值被扣4分，下一会计年度努力学习预算制度，更加合理地编制预算，使预算、决算差异更小。</w:t>
      </w:r>
    </w:p>
    <w:p>
      <w:pPr>
        <w:spacing w:line="58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3、部分绩效指标及目标值有待进一步细化和量化。</w:t>
      </w:r>
      <w:r>
        <w:rPr>
          <w:rFonts w:ascii="仿宋_GB2312" w:hAnsi="仿宋_GB2312" w:eastAsia="仿宋_GB2312" w:cs="仿宋_GB2312"/>
          <w:sz w:val="32"/>
          <w:szCs w:val="32"/>
          <w:lang w:val="en"/>
        </w:rPr>
        <w:t>  </w:t>
      </w:r>
    </w:p>
    <w:p>
      <w:pPr>
        <w:spacing w:line="58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4、部门整体预算执行率未达到9</w:t>
      </w:r>
      <w:r>
        <w:rPr>
          <w:rFonts w:ascii="仿宋_GB2312" w:hAnsi="仿宋_GB2312" w:eastAsia="仿宋_GB2312" w:cs="仿宋_GB2312"/>
          <w:sz w:val="32"/>
          <w:szCs w:val="32"/>
          <w:lang w:val="en"/>
        </w:rPr>
        <w:t>8%</w:t>
      </w:r>
      <w:r>
        <w:rPr>
          <w:rFonts w:hint="eastAsia" w:ascii="仿宋_GB2312" w:hAnsi="仿宋_GB2312" w:eastAsia="仿宋_GB2312" w:cs="仿宋_GB2312"/>
          <w:sz w:val="32"/>
          <w:szCs w:val="32"/>
          <w:lang w:val="en"/>
        </w:rPr>
        <w:t>，预算执行有待提升。</w:t>
      </w:r>
      <w:r>
        <w:rPr>
          <w:rFonts w:ascii="仿宋_GB2312" w:hAnsi="仿宋_GB2312" w:eastAsia="仿宋_GB2312" w:cs="仿宋_GB2312"/>
          <w:sz w:val="32"/>
          <w:szCs w:val="32"/>
          <w:lang w:val="en"/>
        </w:rPr>
        <w:t>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5、尚未针对绩效考评制定比较明确的实施细则，有待进。</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4"/>
          <w:rFonts w:ascii="黑体" w:hAnsi="黑体" w:eastAsia="黑体"/>
          <w:b w:val="0"/>
        </w:rPr>
      </w:pPr>
      <w:bookmarkStart w:id="59"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5"/>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1"/>
    </w:p>
    <w:p>
      <w:pPr>
        <w:pStyle w:val="3"/>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2"/>
    </w:p>
    <w:p>
      <w:pPr>
        <w:pStyle w:val="3"/>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3"/>
        <w:rPr>
          <w:rFonts w:ascii="仿宋" w:hAnsi="仿宋" w:eastAsia="仿宋"/>
          <w:color w:val="00000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4"/>
    </w:p>
    <w:p>
      <w:pPr>
        <w:pStyle w:val="3"/>
        <w:rPr>
          <w:rFonts w:ascii="仿宋" w:hAnsi="仿宋" w:eastAsia="仿宋"/>
          <w:color w:val="000000"/>
        </w:rPr>
      </w:pPr>
      <w:bookmarkStart w:id="65"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14:textFill>
            <w14:solidFill>
              <w14:schemeClr w14:val="tx1"/>
            </w14:solidFill>
          </w14:textFill>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altName w:val="仿宋_GB2312"/>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A0F3C52" w:usb2="00000016" w:usb3="00000000" w:csb0="0004001F" w:csb1="00000000"/>
  </w:font>
  <w:font w:name="微软雅黑 Light">
    <w:altName w:val="黑体"/>
    <w:panose1 w:val="020B0502040204020203"/>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4</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8A5C67"/>
    <w:multiLevelType w:val="singleLevel"/>
    <w:tmpl w:val="918A5C67"/>
    <w:lvl w:ilvl="0" w:tentative="0">
      <w:start w:val="1"/>
      <w:numFmt w:val="decimal"/>
      <w:lvlText w:val="%1."/>
      <w:lvlJc w:val="left"/>
      <w:pPr>
        <w:tabs>
          <w:tab w:val="left" w:pos="312"/>
        </w:tabs>
      </w:p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1B3B75CE"/>
    <w:multiLevelType w:val="singleLevel"/>
    <w:tmpl w:val="1B3B75CE"/>
    <w:lvl w:ilvl="0" w:tentative="0">
      <w:start w:val="2"/>
      <w:numFmt w:val="chineseCounting"/>
      <w:suff w:val="nothing"/>
      <w:lvlText w:val="（%1）"/>
      <w:lvlJc w:val="left"/>
      <w:rPr>
        <w:rFonts w:hint="eastAsia"/>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233E"/>
    <w:rsid w:val="0002549F"/>
    <w:rsid w:val="0006487A"/>
    <w:rsid w:val="00065F8F"/>
    <w:rsid w:val="000768F2"/>
    <w:rsid w:val="00081AAB"/>
    <w:rsid w:val="0009184B"/>
    <w:rsid w:val="0009593C"/>
    <w:rsid w:val="000B047F"/>
    <w:rsid w:val="000B5923"/>
    <w:rsid w:val="000B5A48"/>
    <w:rsid w:val="000B6FF3"/>
    <w:rsid w:val="000C2C8F"/>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056CC"/>
    <w:rsid w:val="003216A9"/>
    <w:rsid w:val="0037013F"/>
    <w:rsid w:val="00380C92"/>
    <w:rsid w:val="003872C5"/>
    <w:rsid w:val="003A484F"/>
    <w:rsid w:val="003B0BE0"/>
    <w:rsid w:val="003B0C1B"/>
    <w:rsid w:val="003B688C"/>
    <w:rsid w:val="003C0291"/>
    <w:rsid w:val="003C39AE"/>
    <w:rsid w:val="003C5DDF"/>
    <w:rsid w:val="003C6C60"/>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0650"/>
    <w:rsid w:val="004A711F"/>
    <w:rsid w:val="004B199D"/>
    <w:rsid w:val="004B4690"/>
    <w:rsid w:val="004C0A07"/>
    <w:rsid w:val="004C57E5"/>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17DE"/>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10E2"/>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16451"/>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25E19"/>
    <w:rsid w:val="00C27FBC"/>
    <w:rsid w:val="00C33E72"/>
    <w:rsid w:val="00C354B2"/>
    <w:rsid w:val="00C35554"/>
    <w:rsid w:val="00C42709"/>
    <w:rsid w:val="00C533CC"/>
    <w:rsid w:val="00C5751C"/>
    <w:rsid w:val="00C61BFC"/>
    <w:rsid w:val="00C62B85"/>
    <w:rsid w:val="00C65438"/>
    <w:rsid w:val="00C91CBB"/>
    <w:rsid w:val="00CA5E29"/>
    <w:rsid w:val="00CA704F"/>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23D4695"/>
    <w:rsid w:val="10C055FF"/>
    <w:rsid w:val="12D37F4B"/>
    <w:rsid w:val="16BB723D"/>
    <w:rsid w:val="19211562"/>
    <w:rsid w:val="1BE33E30"/>
    <w:rsid w:val="220D0E66"/>
    <w:rsid w:val="240371BF"/>
    <w:rsid w:val="294F1CC9"/>
    <w:rsid w:val="29FD04D3"/>
    <w:rsid w:val="319F7F4E"/>
    <w:rsid w:val="36AC7D80"/>
    <w:rsid w:val="37C312A2"/>
    <w:rsid w:val="39826D49"/>
    <w:rsid w:val="434A29B9"/>
    <w:rsid w:val="45117608"/>
    <w:rsid w:val="46A13436"/>
    <w:rsid w:val="4B2E75FE"/>
    <w:rsid w:val="4EB97A34"/>
    <w:rsid w:val="503D3D51"/>
    <w:rsid w:val="56D921AE"/>
    <w:rsid w:val="6919387A"/>
    <w:rsid w:val="6BF252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uiPriority w:val="99"/>
    <w:rPr>
      <w:rFonts w:ascii="Times New Roman" w:hAnsi="Times New Roman"/>
      <w:szCs w:val="24"/>
    </w:rPr>
  </w:style>
  <w:style w:type="character" w:customStyle="1" w:styleId="21">
    <w:name w:val="正文文本 字符"/>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2"/>
    <w:qFormat/>
    <w:uiPriority w:val="9"/>
    <w:rPr>
      <w:rFonts w:ascii="Times New Roman" w:hAnsi="Times New Roman"/>
      <w:b/>
      <w:bCs/>
      <w:kern w:val="44"/>
      <w:sz w:val="44"/>
      <w:szCs w:val="44"/>
    </w:rPr>
  </w:style>
  <w:style w:type="character" w:customStyle="1" w:styleId="25">
    <w:name w:val="标题 2 字符"/>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4"/>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emf"/><Relationship Id="rId17" Type="http://schemas.openxmlformats.org/officeDocument/2006/relationships/oleObject" Target="embeddings/oleObject1.bin"/><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994803464357095"/>
          <c:y val="0.292104674569448"/>
          <c:w val="0.896522318454364"/>
          <c:h val="0.639991053455603"/>
        </c:manualLayout>
      </c:layout>
      <c:barChart>
        <c:barDir val="col"/>
        <c:grouping val="stacked"/>
        <c:varyColors val="0"/>
        <c:ser>
          <c:idx val="0"/>
          <c:order val="0"/>
          <c:tx>
            <c:strRef>
              <c:f>Sheet1!$B$1</c:f>
              <c:strCache>
                <c:ptCount val="1"/>
                <c:pt idx="0">
                  <c:v/>
                </c:pt>
              </c:strCache>
            </c:strRef>
          </c:tx>
          <c:spPr>
            <a:solidFill>
              <a:schemeClr val="accent1"/>
            </a:solidFill>
            <a:ln>
              <a:noFill/>
            </a:ln>
            <a:effectLst/>
          </c:spPr>
          <c:invertIfNegative val="0"/>
          <c:dLbls>
            <c:delete val="1"/>
          </c:dLbls>
          <c:cat>
            <c:strRef>
              <c:f>Sheet1!$A$2:$A$5</c:f>
              <c:strCache>
                <c:ptCount val="4"/>
                <c:pt idx="0">
                  <c:v>2019收入</c:v>
                </c:pt>
                <c:pt idx="1">
                  <c:v>2018收入</c:v>
                </c:pt>
                <c:pt idx="2">
                  <c:v>2019支出</c:v>
                </c:pt>
                <c:pt idx="3">
                  <c:v>2018支出</c:v>
                </c:pt>
              </c:strCache>
            </c:strRef>
          </c:cat>
          <c:val>
            <c:numRef>
              <c:f>Sheet1!$B$2:$B$5</c:f>
              <c:numCache>
                <c:formatCode>General</c:formatCode>
                <c:ptCount val="4"/>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2019收入</c:v>
                </c:pt>
                <c:pt idx="1">
                  <c:v>2018收入</c:v>
                </c:pt>
                <c:pt idx="2">
                  <c:v>2019支出</c:v>
                </c:pt>
                <c:pt idx="3">
                  <c:v>2018支出</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2019收入</c:v>
                </c:pt>
                <c:pt idx="1">
                  <c:v>2018收入</c:v>
                </c:pt>
                <c:pt idx="2">
                  <c:v>2019支出</c:v>
                </c:pt>
                <c:pt idx="3">
                  <c:v>2018支出</c:v>
                </c:pt>
              </c:strCache>
            </c:strRef>
          </c:cat>
          <c:val>
            <c:numRef>
              <c:f>Sheet1!$D$2:$D$5</c:f>
              <c:numCache>
                <c:formatCode>General</c:formatCode>
                <c:ptCount val="4"/>
                <c:pt idx="0">
                  <c:v>1366.16</c:v>
                </c:pt>
                <c:pt idx="1">
                  <c:v>1316.74</c:v>
                </c:pt>
                <c:pt idx="2">
                  <c:v>618.91</c:v>
                </c:pt>
                <c:pt idx="3">
                  <c:v>504.25</c:v>
                </c:pt>
              </c:numCache>
            </c:numRef>
          </c:val>
        </c:ser>
        <c:dLbls>
          <c:showLegendKey val="0"/>
          <c:showVal val="0"/>
          <c:showCatName val="0"/>
          <c:showSerName val="0"/>
          <c:showPercent val="0"/>
          <c:showBubbleSize val="0"/>
        </c:dLbls>
        <c:gapWidth val="150"/>
        <c:overlap val="100"/>
        <c:axId val="301658445"/>
        <c:axId val="192736197"/>
      </c:barChart>
      <c:catAx>
        <c:axId val="30165844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2736197"/>
        <c:crosses val="autoZero"/>
        <c:auto val="1"/>
        <c:lblAlgn val="ctr"/>
        <c:lblOffset val="100"/>
        <c:noMultiLvlLbl val="0"/>
      </c:catAx>
      <c:valAx>
        <c:axId val="19273619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165844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994803464357095"/>
          <c:y val="0.292104674569448"/>
          <c:w val="0.896522318454364"/>
          <c:h val="0.639991053455603"/>
        </c:manualLayout>
      </c:layout>
      <c:barChart>
        <c:barDir val="col"/>
        <c:grouping val="stacked"/>
        <c:varyColors val="0"/>
        <c:ser>
          <c:idx val="0"/>
          <c:order val="0"/>
          <c:tx>
            <c:strRef>
              <c:f>Sheet1!$B$1</c:f>
              <c:strCache>
                <c:ptCount val="1"/>
                <c:pt idx="0">
                  <c:v/>
                </c:pt>
              </c:strCache>
            </c:strRef>
          </c:tx>
          <c:spPr>
            <a:solidFill>
              <a:schemeClr val="accent1"/>
            </a:solidFill>
            <a:ln>
              <a:noFill/>
            </a:ln>
            <a:effectLst/>
          </c:spPr>
          <c:invertIfNegative val="0"/>
          <c:dLbls>
            <c:delete val="1"/>
          </c:dLbls>
          <c:cat>
            <c:strRef>
              <c:f>Sheet1!$A$2:$A$3</c:f>
              <c:strCache>
                <c:ptCount val="2"/>
                <c:pt idx="0">
                  <c:v>2017一般公共预算拨款</c:v>
                </c:pt>
                <c:pt idx="1">
                  <c:v>2018一般公共预算拨款</c:v>
                </c:pt>
              </c:strCache>
            </c:strRef>
          </c:cat>
          <c:val>
            <c:numRef>
              <c:f>Sheet1!$B$2:$B$3</c:f>
              <c:numCache>
                <c:formatCode>General</c:formatCode>
                <c:ptCount val="2"/>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Sheet1!$A$2:$A$3</c:f>
              <c:strCache>
                <c:ptCount val="2"/>
                <c:pt idx="0">
                  <c:v>2017一般公共预算拨款</c:v>
                </c:pt>
                <c:pt idx="1">
                  <c:v>2018一般公共预算拨款</c:v>
                </c:pt>
              </c:strCache>
            </c:strRef>
          </c:cat>
          <c:val>
            <c:numRef>
              <c:f>Sheet1!$C$2:$C$3</c:f>
              <c:numCache>
                <c:formatCode>General</c:formatCode>
                <c:ptCount val="2"/>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Sheet1!$A$2:$A$3</c:f>
              <c:strCache>
                <c:ptCount val="2"/>
                <c:pt idx="0">
                  <c:v>2017一般公共预算拨款</c:v>
                </c:pt>
                <c:pt idx="1">
                  <c:v>2018一般公共预算拨款</c:v>
                </c:pt>
              </c:strCache>
            </c:strRef>
          </c:cat>
          <c:val>
            <c:numRef>
              <c:f>Sheet1!$D$2:$D$3</c:f>
              <c:numCache>
                <c:formatCode>General</c:formatCode>
                <c:ptCount val="2"/>
                <c:pt idx="0">
                  <c:v>2348.95</c:v>
                </c:pt>
                <c:pt idx="1">
                  <c:v>1809.07</c:v>
                </c:pt>
              </c:numCache>
            </c:numRef>
          </c:val>
        </c:ser>
        <c:dLbls>
          <c:showLegendKey val="0"/>
          <c:showVal val="0"/>
          <c:showCatName val="0"/>
          <c:showSerName val="0"/>
          <c:showPercent val="0"/>
          <c:showBubbleSize val="0"/>
        </c:dLbls>
        <c:gapWidth val="150"/>
        <c:overlap val="100"/>
        <c:axId val="301658445"/>
        <c:axId val="192736197"/>
      </c:barChart>
      <c:catAx>
        <c:axId val="30165844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2736197"/>
        <c:crosses val="autoZero"/>
        <c:auto val="1"/>
        <c:lblAlgn val="ctr"/>
        <c:lblOffset val="100"/>
        <c:noMultiLvlLbl val="0"/>
      </c:catAx>
      <c:valAx>
        <c:axId val="19273619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165844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c:explosion val="0"/>
          <c:dPt>
            <c:idx val="0"/>
            <c:bubble3D val="0"/>
            <c:spPr>
              <a:gradFill>
                <a:gsLst>
                  <a:gs pos="100000">
                    <a:schemeClr val="accent3">
                      <a:tint val="53333"/>
                      <a:lumMod val="60000"/>
                      <a:lumOff val="40000"/>
                    </a:schemeClr>
                  </a:gs>
                  <a:gs pos="0">
                    <a:schemeClr val="accent3">
                      <a:tint val="53333"/>
                    </a:schemeClr>
                  </a:gs>
                </a:gsLst>
                <a:lin ang="5400000" scaled="0"/>
              </a:gradFill>
              <a:ln w="19050">
                <a:solidFill>
                  <a:schemeClr val="lt1"/>
                </a:solidFill>
              </a:ln>
              <a:effectLst/>
            </c:spPr>
          </c:dPt>
          <c:dPt>
            <c:idx val="1"/>
            <c:bubble3D val="0"/>
            <c:spPr>
              <a:gradFill>
                <a:gsLst>
                  <a:gs pos="100000">
                    <a:schemeClr val="accent3">
                      <a:tint val="76667"/>
                      <a:lumMod val="60000"/>
                      <a:lumOff val="40000"/>
                    </a:schemeClr>
                  </a:gs>
                  <a:gs pos="0">
                    <a:schemeClr val="accent3">
                      <a:tint val="76667"/>
                    </a:schemeClr>
                  </a:gs>
                </a:gsLst>
                <a:lin ang="5400000" scaled="0"/>
              </a:gradFill>
              <a:ln w="19050">
                <a:solidFill>
                  <a:schemeClr val="lt1"/>
                </a:solidFill>
              </a:ln>
              <a:effectLst/>
            </c:spPr>
          </c:dPt>
          <c:dPt>
            <c:idx val="2"/>
            <c:bubble3D val="0"/>
            <c:spPr>
              <a:gradFill>
                <a:gsLst>
                  <a:gs pos="100000">
                    <a:schemeClr val="accent3">
                      <a:shade val="86000"/>
                      <a:lumMod val="60000"/>
                      <a:lumOff val="40000"/>
                    </a:schemeClr>
                  </a:gs>
                  <a:gs pos="0">
                    <a:schemeClr val="accent3">
                      <a:shade val="86000"/>
                    </a:schemeClr>
                  </a:gs>
                </a:gsLst>
                <a:lin ang="5400000" scaled="0"/>
              </a:gradFill>
              <a:ln w="19050">
                <a:solidFill>
                  <a:schemeClr val="lt1"/>
                </a:solidFill>
              </a:ln>
              <a:effectLst/>
            </c:spPr>
          </c:dPt>
          <c:dPt>
            <c:idx val="3"/>
            <c:bubble3D val="0"/>
            <c:spPr>
              <a:gradFill>
                <a:gsLst>
                  <a:gs pos="100000">
                    <a:schemeClr val="accent3">
                      <a:shade val="76667"/>
                      <a:lumMod val="60000"/>
                      <a:lumOff val="40000"/>
                    </a:schemeClr>
                  </a:gs>
                  <a:gs pos="0">
                    <a:schemeClr val="accent3">
                      <a:shade val="76667"/>
                    </a:schemeClr>
                  </a:gs>
                </a:gsLst>
                <a:lin ang="5400000" scaled="0"/>
              </a:gradFill>
              <a:ln w="19050">
                <a:solidFill>
                  <a:schemeClr val="lt1"/>
                </a:solidFill>
              </a:ln>
              <a:effectLst/>
            </c:spPr>
          </c:dPt>
          <c:dPt>
            <c:idx val="4"/>
            <c:bubble3D val="0"/>
            <c:spPr>
              <a:gradFill>
                <a:gsLst>
                  <a:gs pos="100000">
                    <a:schemeClr val="accent3">
                      <a:shade val="82500"/>
                      <a:lumMod val="60000"/>
                      <a:lumOff val="40000"/>
                    </a:schemeClr>
                  </a:gs>
                  <a:gs pos="0">
                    <a:schemeClr val="accent3">
                      <a:shade val="82500"/>
                    </a:schemeClr>
                  </a:gs>
                </a:gsLst>
                <a:lin ang="5400000" scaled="0"/>
              </a:gradFill>
              <a:ln w="19050">
                <a:solidFill>
                  <a:schemeClr val="lt1"/>
                </a:solidFill>
              </a:ln>
              <a:effectLst/>
            </c:spPr>
          </c:dPt>
          <c:dPt>
            <c:idx val="5"/>
            <c:bubble3D val="0"/>
            <c:spPr>
              <a:gradFill>
                <a:gsLst>
                  <a:gs pos="100000">
                    <a:schemeClr val="accent3">
                      <a:shade val="65000"/>
                      <a:lumMod val="60000"/>
                      <a:lumOff val="40000"/>
                    </a:schemeClr>
                  </a:gs>
                  <a:gs pos="0">
                    <a:schemeClr val="accent3">
                      <a:shade val="65000"/>
                    </a:schemeClr>
                  </a:gs>
                </a:gsLst>
                <a:lin ang="5400000" scaled="0"/>
              </a:gradFill>
              <a:ln w="19050">
                <a:solidFill>
                  <a:schemeClr val="lt1"/>
                </a:solidFill>
              </a:ln>
              <a:effectLst/>
            </c:spPr>
          </c:dPt>
          <c:dPt>
            <c:idx val="6"/>
            <c:bubble3D val="0"/>
            <c:spPr>
              <a:gradFill>
                <a:gsLst>
                  <a:gs pos="100000">
                    <a:schemeClr val="accent3">
                      <a:shade val="47500"/>
                      <a:lumMod val="60000"/>
                      <a:lumOff val="40000"/>
                    </a:schemeClr>
                  </a:gs>
                  <a:gs pos="0">
                    <a:schemeClr val="accent3">
                      <a:shade val="47500"/>
                    </a:schemeClr>
                  </a:gs>
                </a:gsLst>
                <a:lin ang="5400000" scaled="0"/>
              </a:gra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dk1">
                            <a:lumMod val="75000"/>
                            <a:lumOff val="25000"/>
                          </a:schemeClr>
                        </a:solidFill>
                        <a:latin typeface="+mn-lt"/>
                        <a:ea typeface="+mn-ea"/>
                        <a:cs typeface="+mn-cs"/>
                      </a:defRPr>
                    </a:pPr>
                    <a:r>
                      <a:t>一般公共预算财政拨款收入, </a:t>
                    </a:r>
                    <a:r>
                      <a:rPr lang="en-US" altLang="zh-CN"/>
                      <a:t>1366.16</a:t>
                    </a:r>
                    <a:endParaRPr lang="en-US" altLang="zh-CN"/>
                  </a:p>
                  <a:p>
                    <a:pPr defTabSz="914400">
                      <a:defRPr lang="zh-CN" sz="900" b="0" i="0" u="none" strike="noStrike" kern="1200" baseline="0">
                        <a:solidFill>
                          <a:schemeClr val="dk1">
                            <a:lumMod val="75000"/>
                            <a:lumOff val="25000"/>
                          </a:schemeClr>
                        </a:solidFill>
                        <a:latin typeface="+mn-lt"/>
                        <a:ea typeface="+mn-ea"/>
                        <a:cs typeface="+mn-cs"/>
                      </a:defRPr>
                    </a:pPr>
                    <a:r>
                      <a:t> 100%</a:t>
                    </a:r>
                  </a:p>
                </c:rich>
              </c:tx>
              <c:dLblPos val="bestFit"/>
              <c:showLegendKey val="0"/>
              <c:showVal val="1"/>
              <c:showCatName val="1"/>
              <c:showSerName val="0"/>
              <c:showPercent val="1"/>
              <c:showBubbleSize val="0"/>
              <c:extLst>
                <c:ext xmlns:c15="http://schemas.microsoft.com/office/drawing/2012/chart" uri="{CE6537A1-D6FC-4f65-9D91-7224C49458BB}"/>
              </c:extLst>
            </c:dLbl>
            <c:dLbl>
              <c:idx val="1"/>
              <c:layout>
                <c:manualLayout>
                  <c:x val="-0.0958333333333333"/>
                  <c:y val="-0.020833333333333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112499101395042"/>
                  <c:y val="0.09741759259521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168750980386347"/>
                  <c:y val="0.0445009259283897"/>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108332352946986"/>
                  <c:y val="0.11047314815061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81944444444444"/>
                      <c:h val="0.0231481481481481"/>
                    </c:manualLayout>
                  </c15:layout>
                </c:ext>
              </c:extLst>
            </c:dLbl>
            <c:dLbl>
              <c:idx val="5"/>
              <c:layout>
                <c:manualLayout>
                  <c:x val="-0.158334281425635"/>
                  <c:y val="0.16950092592839"/>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 val="0.102082352946986"/>
                  <c:y val="-0.070082407404943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[工作簿1]Sheet2!$B$3:$B$9</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[工作簿1]Sheet2!$C$3:$C$9</c:f>
              <c:numCache>
                <c:formatCode>General</c:formatCode>
                <c:ptCount val="7"/>
                <c:pt idx="0">
                  <c:v>1316.74</c:v>
                </c:pt>
                <c:pt idx="1">
                  <c:v>0</c:v>
                </c:pt>
                <c:pt idx="2">
                  <c:v>0</c:v>
                </c:pt>
                <c:pt idx="3">
                  <c:v>0</c:v>
                </c:pt>
                <c:pt idx="4">
                  <c:v>0</c:v>
                </c:pt>
                <c:pt idx="5">
                  <c:v>0</c:v>
                </c:pt>
                <c:pt idx="6">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alpha val="50000"/>
          </a:schemeClr>
        </a:solidFill>
        <a:ln>
          <a:noFill/>
        </a:ln>
        <a:effectLst/>
      </c:spPr>
      <c:txPr>
        <a:bodyPr rot="0" spcFirstLastPara="0" vertOverflow="ellipsis" vert="horz" wrap="square" anchor="ctr" anchorCtr="1" forceAA="0"/>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总支出</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Lbls>
            <c:dLbl>
              <c:idx val="1"/>
              <c:layout>
                <c:manualLayout>
                  <c:x val="0.00674712001890938"/>
                  <c:y val="0.1583312294860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745936415389604"/>
                  <c:y val="0.22061507736503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404863482671905"/>
                  <c:y val="0.30602120676454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110211944308576"/>
                  <c:y val="0.2492173693497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1804.07</c:v>
                </c:pt>
                <c:pt idx="1">
                  <c:v>0</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994803464357095"/>
          <c:y val="0.292104674569448"/>
          <c:w val="0.896522318454364"/>
          <c:h val="0.639991053455603"/>
        </c:manualLayout>
      </c:layout>
      <c:barChart>
        <c:barDir val="col"/>
        <c:grouping val="stacked"/>
        <c:varyColors val="0"/>
        <c:ser>
          <c:idx val="0"/>
          <c:order val="0"/>
          <c:tx>
            <c:strRef>
              <c:f>Sheet1!$B$1</c:f>
              <c:strCache>
                <c:ptCount val="1"/>
                <c:pt idx="0">
                  <c:v/>
                </c:pt>
              </c:strCache>
            </c:strRef>
          </c:tx>
          <c:spPr>
            <a:solidFill>
              <a:schemeClr val="accent1"/>
            </a:solidFill>
            <a:ln>
              <a:noFill/>
            </a:ln>
            <a:effectLst/>
          </c:spPr>
          <c:invertIfNegative val="0"/>
          <c:dLbls>
            <c:delete val="1"/>
          </c:dLbls>
          <c:cat>
            <c:strRef>
              <c:f>Sheet1!$A$2:$A$5</c:f>
              <c:strCache>
                <c:ptCount val="4"/>
                <c:pt idx="0">
                  <c:v>2019收入</c:v>
                </c:pt>
                <c:pt idx="1">
                  <c:v>2018收入</c:v>
                </c:pt>
                <c:pt idx="2">
                  <c:v>2019支出</c:v>
                </c:pt>
                <c:pt idx="3">
                  <c:v>2018支出</c:v>
                </c:pt>
              </c:strCache>
            </c:strRef>
          </c:cat>
          <c:val>
            <c:numRef>
              <c:f>Sheet1!$B$2:$B$5</c:f>
              <c:numCache>
                <c:formatCode>General</c:formatCode>
                <c:ptCount val="4"/>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2019收入</c:v>
                </c:pt>
                <c:pt idx="1">
                  <c:v>2018收入</c:v>
                </c:pt>
                <c:pt idx="2">
                  <c:v>2019支出</c:v>
                </c:pt>
                <c:pt idx="3">
                  <c:v>2018支出</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2019收入</c:v>
                </c:pt>
                <c:pt idx="1">
                  <c:v>2018收入</c:v>
                </c:pt>
                <c:pt idx="2">
                  <c:v>2019支出</c:v>
                </c:pt>
                <c:pt idx="3">
                  <c:v>2018支出</c:v>
                </c:pt>
              </c:strCache>
            </c:strRef>
          </c:cat>
          <c:val>
            <c:numRef>
              <c:f>Sheet1!$D$2:$D$5</c:f>
              <c:numCache>
                <c:formatCode>General</c:formatCode>
                <c:ptCount val="4"/>
                <c:pt idx="0">
                  <c:v>1366.16</c:v>
                </c:pt>
                <c:pt idx="1">
                  <c:v>1316.74</c:v>
                </c:pt>
                <c:pt idx="2">
                  <c:v>618.91</c:v>
                </c:pt>
                <c:pt idx="3">
                  <c:v>504.25</c:v>
                </c:pt>
              </c:numCache>
            </c:numRef>
          </c:val>
        </c:ser>
        <c:dLbls>
          <c:showLegendKey val="0"/>
          <c:showVal val="0"/>
          <c:showCatName val="0"/>
          <c:showSerName val="0"/>
          <c:showPercent val="0"/>
          <c:showBubbleSize val="0"/>
        </c:dLbls>
        <c:gapWidth val="150"/>
        <c:overlap val="100"/>
        <c:axId val="301658445"/>
        <c:axId val="192736197"/>
      </c:barChart>
      <c:catAx>
        <c:axId val="30165844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2736197"/>
        <c:crosses val="autoZero"/>
        <c:auto val="1"/>
        <c:lblAlgn val="ctr"/>
        <c:lblOffset val="100"/>
        <c:noMultiLvlLbl val="0"/>
      </c:catAx>
      <c:valAx>
        <c:axId val="19273619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165844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700043159257661"/>
          <c:y val="0.182008855744582"/>
          <c:w val="0.888275068335491"/>
          <c:h val="0.624889303192729"/>
        </c:manualLayout>
      </c:layout>
      <c:barChart>
        <c:barDir val="col"/>
        <c:grouping val="stacked"/>
        <c:varyColors val="0"/>
        <c:ser>
          <c:idx val="0"/>
          <c:order val="0"/>
          <c:tx>
            <c:strRef>
              <c:f>Sheet1!$B$1</c:f>
              <c:strCache>
                <c:ptCount val="1"/>
                <c:pt idx="0">
                  <c:v/>
                </c:pt>
              </c:strCache>
            </c:strRef>
          </c:tx>
          <c:spPr>
            <a:solidFill>
              <a:schemeClr val="accent1"/>
            </a:solidFill>
            <a:ln>
              <a:noFill/>
            </a:ln>
            <a:effectLst/>
          </c:spPr>
          <c:invertIfNegative val="0"/>
          <c:dLbls>
            <c:delete val="1"/>
          </c:dLbls>
          <c:cat>
            <c:strRef>
              <c:f>Sheet1!$A$2:$A$3</c:f>
              <c:strCache>
                <c:ptCount val="2"/>
                <c:pt idx="0">
                  <c:v>2019一般公共预算拨款</c:v>
                </c:pt>
                <c:pt idx="1">
                  <c:v>2018一般公共预算拨款</c:v>
                </c:pt>
              </c:strCache>
            </c:strRef>
          </c:cat>
          <c:val>
            <c:numRef>
              <c:f>Sheet1!$B$2:$B$3</c:f>
              <c:numCache>
                <c:formatCode>General</c:formatCode>
                <c:ptCount val="2"/>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Sheet1!$A$2:$A$3</c:f>
              <c:strCache>
                <c:ptCount val="2"/>
                <c:pt idx="0">
                  <c:v>2019一般公共预算拨款</c:v>
                </c:pt>
                <c:pt idx="1">
                  <c:v>2018一般公共预算拨款</c:v>
                </c:pt>
              </c:strCache>
            </c:strRef>
          </c:cat>
          <c:val>
            <c:numRef>
              <c:f>Sheet1!$C$2:$C$3</c:f>
              <c:numCache>
                <c:formatCode>General</c:formatCode>
                <c:ptCount val="2"/>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Sheet1!$A$2:$A$3</c:f>
              <c:strCache>
                <c:ptCount val="2"/>
                <c:pt idx="0">
                  <c:v>2019一般公共预算拨款</c:v>
                </c:pt>
                <c:pt idx="1">
                  <c:v>2018一般公共预算拨款</c:v>
                </c:pt>
              </c:strCache>
            </c:strRef>
          </c:cat>
          <c:val>
            <c:numRef>
              <c:f>Sheet1!$D$2:$D$3</c:f>
              <c:numCache>
                <c:formatCode>General</c:formatCode>
                <c:ptCount val="2"/>
                <c:pt idx="0">
                  <c:v>1366.16</c:v>
                </c:pt>
                <c:pt idx="1">
                  <c:v>1316.74</c:v>
                </c:pt>
              </c:numCache>
            </c:numRef>
          </c:val>
        </c:ser>
        <c:dLbls>
          <c:showLegendKey val="0"/>
          <c:showVal val="0"/>
          <c:showCatName val="0"/>
          <c:showSerName val="0"/>
          <c:showPercent val="0"/>
          <c:showBubbleSize val="0"/>
        </c:dLbls>
        <c:gapWidth val="150"/>
        <c:overlap val="100"/>
        <c:axId val="85606784"/>
        <c:axId val="85608320"/>
      </c:barChart>
      <c:catAx>
        <c:axId val="856067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608320"/>
        <c:crosses val="autoZero"/>
        <c:auto val="1"/>
        <c:lblAlgn val="ctr"/>
        <c:lblOffset val="100"/>
        <c:noMultiLvlLbl val="0"/>
      </c:catAx>
      <c:valAx>
        <c:axId val="85608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6067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manualLayout>
          <c:layoutTarget val="inner"/>
          <c:xMode val="edge"/>
          <c:yMode val="edge"/>
          <c:x val="0.16852512637526"/>
          <c:y val="0.11169460715007"/>
          <c:w val="0.575825156110616"/>
          <c:h val="0.782266208846698"/>
        </c:manualLayout>
      </c:layout>
      <c:pieChart>
        <c:varyColors val="1"/>
        <c:ser>
          <c:idx val="0"/>
          <c:order val="0"/>
          <c:tx>
            <c:strRef>
              <c:f>Sheet1!$B$1</c:f>
              <c:strCache>
                <c:ptCount val="1"/>
                <c:pt idx="0">
                  <c:v>财政拨款支出</c:v>
                </c:pt>
              </c:strCache>
            </c:strRef>
          </c:tx>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Sheet1!$A$2:$A$6</c:f>
              <c:strCache>
                <c:ptCount val="5"/>
                <c:pt idx="0">
                  <c:v>教育支出</c:v>
                </c:pt>
                <c:pt idx="1">
                  <c:v>医疗卫生支出</c:v>
                </c:pt>
                <c:pt idx="2">
                  <c:v>住房保障支出</c:v>
                </c:pt>
                <c:pt idx="3">
                  <c:v>社会保障和就业</c:v>
                </c:pt>
                <c:pt idx="4">
                  <c:v>科学技术（类）支出</c:v>
                </c:pt>
              </c:strCache>
            </c:strRef>
          </c:cat>
          <c:val>
            <c:numRef>
              <c:f>Sheet1!$B$2:$B$6</c:f>
              <c:numCache>
                <c:formatCode>General</c:formatCode>
                <c:ptCount val="5"/>
                <c:pt idx="0">
                  <c:v>462.36</c:v>
                </c:pt>
                <c:pt idx="1">
                  <c:v>32.68</c:v>
                </c:pt>
                <c:pt idx="2">
                  <c:v>34.17</c:v>
                </c:pt>
                <c:pt idx="3">
                  <c:v>49.7</c:v>
                </c:pt>
                <c:pt idx="4">
                  <c:v>40</c:v>
                </c:pt>
              </c:numCache>
            </c:numRef>
          </c:val>
        </c:ser>
        <c:ser>
          <c:idx val="1"/>
          <c:order val="1"/>
          <c:tx>
            <c:strRef>
              <c:f>Sheet1!$C$1</c:f>
              <c:strCache>
                <c:ptCount val="1"/>
                <c:pt idx="0">
                  <c:v>列1</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教育支出</c:v>
                </c:pt>
                <c:pt idx="1">
                  <c:v>医疗卫生支出</c:v>
                </c:pt>
                <c:pt idx="2">
                  <c:v>住房保障支出</c:v>
                </c:pt>
                <c:pt idx="3">
                  <c:v>社会保障和就业</c:v>
                </c:pt>
                <c:pt idx="4">
                  <c:v>科学技术（类）支出</c:v>
                </c:pt>
              </c:strCache>
            </c:strRef>
          </c:cat>
          <c:val>
            <c:numRef>
              <c:f>Sheet1!$C$2:$C$6</c:f>
              <c:numCache>
                <c:formatCode>General</c:formatCode>
                <c:ptCount val="5"/>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10972346119536"/>
          <c:y val="0.0197939810139366"/>
        </c:manualLayout>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3">
  <a:schemeClr val="accent3"/>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基本">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7630D9-D213-4BC0-9F61-5874E0A38DF0}">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19</Pages>
  <Words>1270</Words>
  <Characters>7244</Characters>
  <Lines>60</Lines>
  <Paragraphs>16</Paragraphs>
  <TotalTime>4</TotalTime>
  <ScaleCrop>false</ScaleCrop>
  <LinksUpToDate>false</LinksUpToDate>
  <CharactersWithSpaces>8498</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刘茂勇</cp:lastModifiedBy>
  <cp:lastPrinted>2019-08-01T00:48:00Z</cp:lastPrinted>
  <dcterms:modified xsi:type="dcterms:W3CDTF">2020-09-22T02:22:16Z</dcterms:modified>
  <dc:title>四川省***</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