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96475"/>
      <w:bookmarkStart w:id="4" w:name="_Toc15377193"/>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194"/>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开江县</w:t>
      </w:r>
      <w:r>
        <w:rPr>
          <w:rFonts w:hint="eastAsia" w:ascii="方正小标宋简体" w:hAnsi="宋体" w:eastAsia="方正小标宋简体"/>
          <w:color w:val="000000"/>
          <w:sz w:val="72"/>
          <w:szCs w:val="72"/>
          <w:lang w:eastAsia="zh-CN"/>
        </w:rPr>
        <w:t>普安镇杨柳小学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公开时间：2020年9月17日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lang w:eastAsia="zh-CN"/>
        </w:rPr>
        <w:t>四</w:t>
      </w:r>
      <w:r>
        <w:rPr>
          <w:rStyle w:val="15"/>
          <w:rFonts w:hint="eastAsia"/>
          <w:bCs/>
          <w:kern w:val="44"/>
        </w:rPr>
        <w:t>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320" w:firstLineChars="10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pStyle w:val="5"/>
        <w:adjustRightInd w:val="0"/>
        <w:snapToGrid w:val="0"/>
        <w:spacing w:before="93" w:line="600" w:lineRule="exact"/>
        <w:ind w:firstLine="640" w:firstLineChars="200"/>
        <w:rPr>
          <w:rFonts w:hint="eastAsia"/>
          <w:bCs/>
          <w:color w:val="000000"/>
          <w:sz w:val="32"/>
          <w:szCs w:val="32"/>
        </w:rPr>
      </w:pPr>
      <w:r>
        <w:rPr>
          <w:rFonts w:hint="eastAsia"/>
          <w:bCs/>
          <w:color w:val="000000"/>
          <w:sz w:val="32"/>
          <w:szCs w:val="32"/>
        </w:rPr>
        <w:t>开江县普安镇杨柳小学是一所村级九年一贯制学校，下辖一所中心幼儿园及二所村小。现有在职在编教职工</w:t>
      </w:r>
      <w:r>
        <w:rPr>
          <w:rFonts w:hint="eastAsia"/>
          <w:bCs/>
          <w:color w:val="000000"/>
          <w:sz w:val="32"/>
          <w:szCs w:val="32"/>
          <w:lang w:val="en-US" w:eastAsia="zh-CN"/>
        </w:rPr>
        <w:t>30</w:t>
      </w:r>
      <w:r>
        <w:rPr>
          <w:rFonts w:hint="eastAsia"/>
          <w:bCs/>
          <w:color w:val="000000"/>
          <w:sz w:val="32"/>
          <w:szCs w:val="32"/>
        </w:rPr>
        <w:t>人，退休人员2</w:t>
      </w:r>
      <w:r>
        <w:rPr>
          <w:rFonts w:hint="eastAsia"/>
          <w:bCs/>
          <w:color w:val="000000"/>
          <w:sz w:val="32"/>
          <w:szCs w:val="32"/>
          <w:lang w:val="en-US" w:eastAsia="zh-CN"/>
        </w:rPr>
        <w:t>0</w:t>
      </w:r>
      <w:r>
        <w:rPr>
          <w:rFonts w:hint="eastAsia"/>
          <w:bCs/>
          <w:color w:val="000000"/>
          <w:sz w:val="32"/>
          <w:szCs w:val="32"/>
        </w:rPr>
        <w:t>人，学生数</w:t>
      </w:r>
      <w:r>
        <w:rPr>
          <w:rFonts w:hint="eastAsia"/>
          <w:bCs/>
          <w:color w:val="000000"/>
          <w:sz w:val="32"/>
          <w:szCs w:val="32"/>
          <w:lang w:val="en-US" w:eastAsia="zh-CN"/>
        </w:rPr>
        <w:t>18</w:t>
      </w:r>
      <w:r>
        <w:rPr>
          <w:rFonts w:hint="eastAsia"/>
          <w:bCs/>
          <w:color w:val="000000"/>
          <w:sz w:val="32"/>
          <w:szCs w:val="32"/>
        </w:rPr>
        <w:t>7人。</w:t>
      </w:r>
    </w:p>
    <w:bookmarkEnd w:id="16"/>
    <w:bookmarkEnd w:id="17"/>
    <w:p>
      <w:pPr>
        <w:pStyle w:val="5"/>
        <w:adjustRightInd w:val="0"/>
        <w:snapToGrid w:val="0"/>
        <w:spacing w:before="93" w:line="600" w:lineRule="exact"/>
        <w:ind w:firstLine="640" w:firstLineChars="200"/>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2019</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40" w:firstLineChars="200"/>
        <w:rPr>
          <w:bCs/>
          <w:color w:val="000000"/>
          <w:sz w:val="32"/>
          <w:szCs w:val="32"/>
        </w:rPr>
      </w:pPr>
      <w:r>
        <w:rPr>
          <w:rFonts w:hint="eastAsia"/>
          <w:bCs/>
          <w:color w:val="000000"/>
          <w:sz w:val="32"/>
          <w:szCs w:val="32"/>
        </w:rPr>
        <w:t>按照县委县政府</w:t>
      </w:r>
      <w:r>
        <w:rPr>
          <w:rFonts w:hint="eastAsia"/>
          <w:bCs/>
          <w:color w:val="000000"/>
          <w:sz w:val="32"/>
          <w:szCs w:val="32"/>
          <w:lang w:eastAsia="zh-CN"/>
        </w:rPr>
        <w:t>、县教科局</w:t>
      </w:r>
      <w:r>
        <w:rPr>
          <w:rFonts w:hint="eastAsia"/>
          <w:bCs/>
          <w:color w:val="000000"/>
          <w:sz w:val="32"/>
          <w:szCs w:val="32"/>
        </w:rPr>
        <w:t>2019年工作部署，高质量、高标准落实完成目标任务。</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color w:val="000000"/>
          <w:kern w:val="0"/>
          <w:sz w:val="32"/>
          <w:szCs w:val="32"/>
        </w:rPr>
      </w:pPr>
      <w:r>
        <w:rPr>
          <w:rFonts w:hint="eastAsia" w:ascii="仿宋" w:hAnsi="仿宋" w:eastAsia="仿宋"/>
          <w:sz w:val="32"/>
          <w:szCs w:val="32"/>
          <w:lang w:eastAsia="zh-CN"/>
        </w:rPr>
        <w:t>开江县普安镇杨柳小学，</w:t>
      </w:r>
      <w:r>
        <w:rPr>
          <w:rFonts w:hint="eastAsia" w:ascii="仿宋" w:hAnsi="仿宋" w:eastAsia="仿宋"/>
          <w:sz w:val="32"/>
          <w:szCs w:val="32"/>
        </w:rPr>
        <w:t>具有独立编制和独立核算的</w:t>
      </w:r>
      <w:r>
        <w:rPr>
          <w:rFonts w:hint="eastAsia" w:ascii="仿宋" w:hAnsi="仿宋" w:eastAsia="仿宋"/>
          <w:sz w:val="32"/>
          <w:szCs w:val="32"/>
          <w:lang w:eastAsia="zh-CN"/>
        </w:rPr>
        <w:t>规事业</w:t>
      </w:r>
      <w:r>
        <w:rPr>
          <w:rFonts w:hint="eastAsia" w:ascii="仿宋" w:hAnsi="仿宋" w:eastAsia="仿宋"/>
          <w:sz w:val="32"/>
          <w:szCs w:val="32"/>
        </w:rPr>
        <w:t>单位，单位设</w:t>
      </w:r>
      <w:r>
        <w:rPr>
          <w:rFonts w:hint="eastAsia" w:ascii="仿宋" w:hAnsi="仿宋" w:eastAsia="仿宋"/>
          <w:sz w:val="32"/>
          <w:szCs w:val="32"/>
          <w:lang w:eastAsia="zh-CN"/>
        </w:rPr>
        <w:t>政教处</w:t>
      </w:r>
      <w:r>
        <w:rPr>
          <w:rFonts w:hint="eastAsia" w:ascii="仿宋" w:hAnsi="仿宋" w:eastAsia="仿宋"/>
          <w:sz w:val="32"/>
          <w:szCs w:val="32"/>
        </w:rPr>
        <w:t>、</w:t>
      </w:r>
      <w:r>
        <w:rPr>
          <w:rFonts w:hint="eastAsia" w:ascii="仿宋" w:hAnsi="仿宋" w:eastAsia="仿宋"/>
          <w:sz w:val="32"/>
          <w:szCs w:val="32"/>
          <w:lang w:eastAsia="zh-CN"/>
        </w:rPr>
        <w:t>教务处</w:t>
      </w:r>
      <w:r>
        <w:rPr>
          <w:rFonts w:hint="eastAsia" w:ascii="仿宋" w:hAnsi="仿宋" w:eastAsia="仿宋"/>
          <w:sz w:val="32"/>
          <w:szCs w:val="32"/>
        </w:rPr>
        <w:t>、</w:t>
      </w:r>
      <w:r>
        <w:rPr>
          <w:rFonts w:hint="eastAsia" w:ascii="仿宋" w:hAnsi="仿宋" w:eastAsia="仿宋"/>
          <w:sz w:val="32"/>
          <w:szCs w:val="32"/>
          <w:lang w:eastAsia="zh-CN"/>
        </w:rPr>
        <w:t>安办</w:t>
      </w:r>
      <w:r>
        <w:rPr>
          <w:rFonts w:hint="eastAsia" w:ascii="仿宋" w:hAnsi="仿宋" w:eastAsia="仿宋"/>
          <w:sz w:val="32"/>
          <w:szCs w:val="32"/>
        </w:rPr>
        <w:t>、</w:t>
      </w:r>
      <w:r>
        <w:rPr>
          <w:rFonts w:hint="eastAsia" w:ascii="仿宋" w:hAnsi="仿宋" w:eastAsia="仿宋"/>
          <w:sz w:val="32"/>
          <w:szCs w:val="32"/>
          <w:lang w:eastAsia="zh-CN"/>
        </w:rPr>
        <w:t>少先队</w:t>
      </w:r>
      <w:r>
        <w:rPr>
          <w:rFonts w:hint="eastAsia" w:ascii="仿宋" w:hAnsi="仿宋" w:eastAsia="仿宋"/>
          <w:sz w:val="32"/>
          <w:szCs w:val="32"/>
        </w:rPr>
        <w:t>。</w:t>
      </w:r>
    </w:p>
    <w:p>
      <w:pPr>
        <w:pStyle w:val="2"/>
        <w:ind w:right="440"/>
        <w:jc w:val="center"/>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w:t>
      </w:r>
      <w:r>
        <w:rPr>
          <w:rFonts w:hint="eastAsia" w:ascii="仿宋" w:hAnsi="仿宋" w:eastAsia="仿宋"/>
          <w:color w:val="000000"/>
          <w:sz w:val="32"/>
          <w:szCs w:val="32"/>
          <w:lang w:val="en-US" w:eastAsia="zh-CN"/>
        </w:rPr>
        <w:t>326.52</w:t>
      </w:r>
      <w:r>
        <w:rPr>
          <w:rFonts w:hint="eastAsia" w:ascii="仿宋" w:hAnsi="仿宋" w:eastAsia="仿宋"/>
          <w:color w:val="000000"/>
          <w:sz w:val="32"/>
          <w:szCs w:val="32"/>
        </w:rPr>
        <w:t>万元，与2018年相比，收入增加</w:t>
      </w:r>
      <w:r>
        <w:rPr>
          <w:rFonts w:hint="eastAsia" w:ascii="仿宋" w:hAnsi="仿宋" w:eastAsia="仿宋"/>
          <w:color w:val="000000"/>
          <w:sz w:val="32"/>
          <w:szCs w:val="32"/>
          <w:lang w:val="en-US" w:eastAsia="zh-CN"/>
        </w:rPr>
        <w:t>71.49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28.03</w:t>
      </w:r>
      <w:r>
        <w:rPr>
          <w:rFonts w:hint="eastAsia" w:ascii="仿宋" w:hAnsi="仿宋" w:eastAsia="仿宋"/>
          <w:color w:val="000000"/>
          <w:sz w:val="32"/>
          <w:szCs w:val="32"/>
        </w:rPr>
        <w:t>%；总支出327.93万元，支出增加</w:t>
      </w:r>
      <w:r>
        <w:rPr>
          <w:rFonts w:hint="eastAsia" w:ascii="仿宋" w:hAnsi="仿宋" w:eastAsia="仿宋"/>
          <w:color w:val="000000"/>
          <w:sz w:val="32"/>
          <w:szCs w:val="32"/>
          <w:lang w:val="en-US" w:eastAsia="zh-CN"/>
        </w:rPr>
        <w:t>72.89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28.58</w:t>
      </w:r>
      <w:r>
        <w:rPr>
          <w:rFonts w:ascii="仿宋" w:hAnsi="仿宋" w:eastAsia="仿宋"/>
          <w:color w:val="000000"/>
          <w:sz w:val="32"/>
          <w:szCs w:val="32"/>
        </w:rPr>
        <w:t>%</w:t>
      </w:r>
      <w:r>
        <w:rPr>
          <w:rFonts w:hint="eastAsia" w:ascii="仿宋" w:hAnsi="仿宋" w:eastAsia="仿宋"/>
          <w:color w:val="000000"/>
          <w:sz w:val="32"/>
          <w:szCs w:val="32"/>
        </w:rPr>
        <w:t>。主要变动原因是人员增加工资增资</w:t>
      </w:r>
      <w:r>
        <w:rPr>
          <w:rFonts w:hint="eastAsia" w:ascii="仿宋" w:hAnsi="仿宋" w:eastAsia="仿宋"/>
          <w:color w:val="000000"/>
          <w:sz w:val="32"/>
          <w:szCs w:val="32"/>
          <w:lang w:eastAsia="zh-CN"/>
        </w:rPr>
        <w:t>、财政加大对薄弱学校</w:t>
      </w:r>
      <w:r>
        <w:rPr>
          <w:rFonts w:hint="eastAsia" w:ascii="仿宋" w:hAnsi="仿宋" w:eastAsia="仿宋"/>
          <w:color w:val="000000"/>
          <w:sz w:val="32"/>
          <w:szCs w:val="32"/>
        </w:rPr>
        <w:t>投入。</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6432" behindDoc="1" locked="0" layoutInCell="1" allowOverlap="1">
            <wp:simplePos x="0" y="0"/>
            <wp:positionH relativeFrom="column">
              <wp:posOffset>373380</wp:posOffset>
            </wp:positionH>
            <wp:positionV relativeFrom="paragraph">
              <wp:posOffset>365760</wp:posOffset>
            </wp:positionV>
            <wp:extent cx="4584065" cy="2755265"/>
            <wp:effectExtent l="0" t="0" r="317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84065" cy="2755265"/>
                    </a:xfrm>
                    <a:prstGeom prst="rect">
                      <a:avLst/>
                    </a:prstGeom>
                    <a:noFill/>
                    <a:ln>
                      <a:noFill/>
                    </a:ln>
                  </pic:spPr>
                </pic:pic>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420" w:firstLineChars="200"/>
        <w:jc w:val="left"/>
      </w:pPr>
    </w:p>
    <w:p>
      <w:pPr>
        <w:spacing w:line="600" w:lineRule="exact"/>
        <w:ind w:firstLine="420" w:firstLineChars="200"/>
        <w:jc w:val="left"/>
      </w:pPr>
    </w:p>
    <w:p>
      <w:pPr>
        <w:spacing w:line="600" w:lineRule="exact"/>
        <w:jc w:val="left"/>
        <w:rPr>
          <w:rFonts w:ascii="仿宋_GB2312" w:eastAsia="仿宋_GB2312"/>
          <w:color w:val="000000"/>
          <w:sz w:val="32"/>
          <w:szCs w:val="32"/>
        </w:rPr>
      </w:pPr>
    </w:p>
    <w:p>
      <w:pPr>
        <w:pStyle w:val="23"/>
        <w:spacing w:line="600" w:lineRule="exact"/>
        <w:ind w:left="640" w:firstLine="0" w:firstLineChars="0"/>
        <w:outlineLvl w:val="1"/>
        <w:rPr>
          <w:rFonts w:ascii="黑体" w:hAnsi="黑体" w:eastAsia="黑体"/>
          <w:color w:val="000000"/>
          <w:sz w:val="32"/>
          <w:szCs w:val="32"/>
        </w:rPr>
      </w:pPr>
      <w:bookmarkStart w:id="26" w:name="_Toc15377206"/>
      <w:bookmarkStart w:id="27" w:name="_Toc15396604"/>
    </w:p>
    <w:p>
      <w:pPr>
        <w:pStyle w:val="23"/>
        <w:spacing w:line="600" w:lineRule="exact"/>
        <w:ind w:left="640" w:firstLine="0" w:firstLineChars="0"/>
        <w:outlineLvl w:val="1"/>
        <w:rPr>
          <w:rStyle w:val="25"/>
          <w:rFonts w:ascii="黑体" w:hAnsi="黑体" w:eastAsia="黑体"/>
          <w:b w:val="0"/>
        </w:rPr>
      </w:pPr>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326.52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326.52</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6432" behindDoc="0" locked="0" layoutInCell="1" allowOverlap="1">
            <wp:simplePos x="0" y="0"/>
            <wp:positionH relativeFrom="column">
              <wp:posOffset>83820</wp:posOffset>
            </wp:positionH>
            <wp:positionV relativeFrom="paragraph">
              <wp:posOffset>289560</wp:posOffset>
            </wp:positionV>
            <wp:extent cx="4584065" cy="2755265"/>
            <wp:effectExtent l="0" t="0" r="317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584065" cy="2755265"/>
                    </a:xfrm>
                    <a:prstGeom prst="rect">
                      <a:avLst/>
                    </a:prstGeom>
                    <a:noFill/>
                    <a:ln>
                      <a:noFill/>
                    </a:ln>
                  </pic:spPr>
                </pic:pic>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spacing w:line="600" w:lineRule="exact"/>
        <w:ind w:firstLine="0" w:firstLineChars="0"/>
        <w:outlineLvl w:val="1"/>
        <w:rPr>
          <w:rFonts w:ascii="黑体" w:hAnsi="黑体" w:eastAsia="黑体"/>
          <w:color w:val="000000"/>
          <w:sz w:val="32"/>
          <w:szCs w:val="32"/>
        </w:rPr>
      </w:pPr>
      <w:bookmarkStart w:id="28" w:name="_Toc15377207"/>
      <w:bookmarkStart w:id="29" w:name="_Toc15396605"/>
    </w:p>
    <w:p>
      <w:pPr>
        <w:pStyle w:val="23"/>
        <w:spacing w:line="600" w:lineRule="exact"/>
        <w:ind w:firstLine="0" w:firstLineChars="0"/>
        <w:outlineLvl w:val="1"/>
        <w:rPr>
          <w:rStyle w:val="25"/>
          <w:rFonts w:ascii="黑体" w:hAnsi="黑体" w:eastAsia="黑体"/>
          <w:b w:val="0"/>
        </w:rPr>
      </w:pPr>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2019</w:t>
      </w:r>
      <w:r>
        <w:rPr>
          <w:rFonts w:hint="eastAsia" w:ascii="仿宋" w:hAnsi="仿宋" w:eastAsia="仿宋"/>
          <w:color w:val="000000"/>
          <w:sz w:val="32"/>
          <w:szCs w:val="32"/>
        </w:rPr>
        <w:t>年本年支出合计327.93万元，其中：基本支出32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.93万元，占</w:t>
      </w:r>
      <w:r>
        <w:rPr>
          <w:rFonts w:ascii="仿宋" w:hAnsi="仿宋" w:eastAsia="仿宋"/>
          <w:color w:val="000000"/>
          <w:sz w:val="32"/>
          <w:szCs w:val="32"/>
        </w:rPr>
        <w:t>100%</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；上缴上级支出0万元。</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7456" behindDoc="0" locked="0" layoutInCell="1" allowOverlap="1">
            <wp:simplePos x="0" y="0"/>
            <wp:positionH relativeFrom="column">
              <wp:posOffset>114300</wp:posOffset>
            </wp:positionH>
            <wp:positionV relativeFrom="paragraph">
              <wp:posOffset>91440</wp:posOffset>
            </wp:positionV>
            <wp:extent cx="4584065" cy="2755265"/>
            <wp:effectExtent l="0" t="0" r="3175"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584065" cy="2755265"/>
                    </a:xfrm>
                    <a:prstGeom prst="rect">
                      <a:avLst/>
                    </a:prstGeom>
                    <a:noFill/>
                    <a:ln>
                      <a:noFill/>
                    </a:ln>
                  </pic:spPr>
                </pic:pic>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30" w:name="_Toc15377208"/>
      <w:bookmarkStart w:id="31" w:name="_Toc15396606"/>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320" w:firstLineChars="1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960" w:firstLineChars="300"/>
        <w:rPr>
          <w:rFonts w:ascii="仿宋" w:hAnsi="仿宋" w:eastAsia="仿宋"/>
          <w:color w:val="000000"/>
          <w:sz w:val="32"/>
          <w:szCs w:val="32"/>
        </w:rPr>
      </w:pPr>
      <w:r>
        <w:rPr>
          <w:rFonts w:hint="eastAsia" w:ascii="仿宋" w:hAnsi="仿宋" w:eastAsia="仿宋"/>
          <w:color w:val="000000"/>
          <w:sz w:val="32"/>
          <w:szCs w:val="32"/>
        </w:rPr>
        <w:t>2019年度收入</w:t>
      </w:r>
      <w:r>
        <w:rPr>
          <w:rFonts w:hint="eastAsia" w:ascii="仿宋" w:hAnsi="仿宋" w:eastAsia="仿宋"/>
          <w:color w:val="000000"/>
          <w:sz w:val="32"/>
          <w:szCs w:val="32"/>
          <w:lang w:val="en-US" w:eastAsia="zh-CN"/>
        </w:rPr>
        <w:t>326.52</w:t>
      </w:r>
      <w:r>
        <w:rPr>
          <w:rFonts w:hint="eastAsia" w:ascii="仿宋" w:hAnsi="仿宋" w:eastAsia="仿宋"/>
          <w:color w:val="000000"/>
          <w:sz w:val="32"/>
          <w:szCs w:val="32"/>
        </w:rPr>
        <w:t>万元，与2018年相比，收入增加</w:t>
      </w:r>
      <w:r>
        <w:rPr>
          <w:rFonts w:hint="eastAsia" w:ascii="仿宋" w:hAnsi="仿宋" w:eastAsia="仿宋"/>
          <w:color w:val="000000"/>
          <w:sz w:val="32"/>
          <w:szCs w:val="32"/>
          <w:lang w:val="en-US" w:eastAsia="zh-CN"/>
        </w:rPr>
        <w:t>71.49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28.03</w:t>
      </w:r>
      <w:r>
        <w:rPr>
          <w:rFonts w:hint="eastAsia" w:ascii="仿宋" w:hAnsi="仿宋" w:eastAsia="仿宋"/>
          <w:color w:val="000000"/>
          <w:sz w:val="32"/>
          <w:szCs w:val="32"/>
        </w:rPr>
        <w:t>%；总支出327.93万元，支出增加</w:t>
      </w:r>
      <w:r>
        <w:rPr>
          <w:rFonts w:hint="eastAsia" w:ascii="仿宋" w:hAnsi="仿宋" w:eastAsia="仿宋"/>
          <w:color w:val="000000"/>
          <w:sz w:val="32"/>
          <w:szCs w:val="32"/>
          <w:lang w:val="en-US" w:eastAsia="zh-CN"/>
        </w:rPr>
        <w:t>72.89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28.58</w:t>
      </w:r>
      <w:r>
        <w:rPr>
          <w:rFonts w:ascii="仿宋" w:hAnsi="仿宋" w:eastAsia="仿宋"/>
          <w:color w:val="000000"/>
          <w:sz w:val="32"/>
          <w:szCs w:val="32"/>
        </w:rPr>
        <w:t>%</w:t>
      </w:r>
      <w:r>
        <w:rPr>
          <w:rFonts w:hint="eastAsia" w:ascii="仿宋" w:hAnsi="仿宋" w:eastAsia="仿宋"/>
          <w:color w:val="000000"/>
          <w:sz w:val="32"/>
          <w:szCs w:val="32"/>
        </w:rPr>
        <w:t>。主要变动原因是人员增加工资增资</w:t>
      </w:r>
      <w:r>
        <w:rPr>
          <w:rFonts w:hint="eastAsia" w:ascii="仿宋" w:hAnsi="仿宋" w:eastAsia="仿宋"/>
          <w:color w:val="000000"/>
          <w:sz w:val="32"/>
          <w:szCs w:val="32"/>
          <w:lang w:eastAsia="zh-CN"/>
        </w:rPr>
        <w:t>、财政加大对薄弱学校</w:t>
      </w:r>
      <w:r>
        <w:rPr>
          <w:rFonts w:hint="eastAsia" w:ascii="仿宋" w:hAnsi="仿宋" w:eastAsia="仿宋"/>
          <w:color w:val="000000"/>
          <w:sz w:val="32"/>
          <w:szCs w:val="32"/>
        </w:rPr>
        <w:t>投入。</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Fonts w:ascii="黑体" w:hAnsi="黑体" w:eastAsia="黑体"/>
          <w:color w:val="000000"/>
          <w:sz w:val="32"/>
          <w:szCs w:val="32"/>
        </w:rPr>
      </w:pPr>
      <w:bookmarkStart w:id="32" w:name="_Toc15396607"/>
      <w:bookmarkStart w:id="33" w:name="_Toc15377209"/>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420" w:firstLineChars="200"/>
        <w:outlineLvl w:val="1"/>
        <w:rPr>
          <w:rFonts w:ascii="黑体" w:hAnsi="黑体" w:eastAsia="黑体"/>
          <w:color w:val="000000"/>
          <w:sz w:val="32"/>
          <w:szCs w:val="32"/>
        </w:rPr>
      </w:pPr>
      <w:r>
        <w:drawing>
          <wp:anchor distT="0" distB="0" distL="114300" distR="114300" simplePos="0" relativeHeight="251723776" behindDoc="1" locked="0" layoutInCell="1" allowOverlap="1">
            <wp:simplePos x="0" y="0"/>
            <wp:positionH relativeFrom="column">
              <wp:posOffset>289560</wp:posOffset>
            </wp:positionH>
            <wp:positionV relativeFrom="paragraph">
              <wp:posOffset>-584835</wp:posOffset>
            </wp:positionV>
            <wp:extent cx="4584065" cy="2755265"/>
            <wp:effectExtent l="0" t="0" r="3175" b="31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584065" cy="2755265"/>
                    </a:xfrm>
                    <a:prstGeom prst="rect">
                      <a:avLst/>
                    </a:prstGeom>
                    <a:noFill/>
                    <a:ln>
                      <a:noFill/>
                    </a:ln>
                  </pic:spPr>
                </pic:pic>
              </a:graphicData>
            </a:graphic>
          </wp:anchor>
        </w:drawing>
      </w: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2019年度收入</w:t>
      </w:r>
      <w:r>
        <w:rPr>
          <w:rFonts w:hint="eastAsia" w:ascii="仿宋" w:hAnsi="仿宋" w:eastAsia="仿宋"/>
          <w:color w:val="000000"/>
          <w:sz w:val="32"/>
          <w:szCs w:val="32"/>
          <w:lang w:val="en-US" w:eastAsia="zh-CN"/>
        </w:rPr>
        <w:t>326.52</w:t>
      </w:r>
      <w:r>
        <w:rPr>
          <w:rFonts w:hint="eastAsia" w:ascii="仿宋" w:hAnsi="仿宋" w:eastAsia="仿宋"/>
          <w:color w:val="000000"/>
          <w:sz w:val="32"/>
          <w:szCs w:val="32"/>
        </w:rPr>
        <w:t>万元，与2018年相比，收入增加</w:t>
      </w:r>
      <w:r>
        <w:rPr>
          <w:rFonts w:hint="eastAsia" w:ascii="仿宋" w:hAnsi="仿宋" w:eastAsia="仿宋"/>
          <w:color w:val="000000"/>
          <w:sz w:val="32"/>
          <w:szCs w:val="32"/>
          <w:lang w:val="en-US" w:eastAsia="zh-CN"/>
        </w:rPr>
        <w:t>71.49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28.03</w:t>
      </w:r>
      <w:r>
        <w:rPr>
          <w:rFonts w:hint="eastAsia" w:ascii="仿宋" w:hAnsi="仿宋" w:eastAsia="仿宋"/>
          <w:color w:val="000000"/>
          <w:sz w:val="32"/>
          <w:szCs w:val="32"/>
        </w:rPr>
        <w:t>%；总支出327.93万元，支出增加</w:t>
      </w:r>
      <w:r>
        <w:rPr>
          <w:rFonts w:hint="eastAsia" w:ascii="仿宋" w:hAnsi="仿宋" w:eastAsia="仿宋"/>
          <w:color w:val="000000"/>
          <w:sz w:val="32"/>
          <w:szCs w:val="32"/>
          <w:lang w:val="en-US" w:eastAsia="zh-CN"/>
        </w:rPr>
        <w:t>72.89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28.58</w:t>
      </w:r>
      <w:r>
        <w:rPr>
          <w:rFonts w:ascii="仿宋" w:hAnsi="仿宋" w:eastAsia="仿宋"/>
          <w:color w:val="000000"/>
          <w:sz w:val="32"/>
          <w:szCs w:val="32"/>
        </w:rPr>
        <w:t>%</w:t>
      </w:r>
      <w:r>
        <w:rPr>
          <w:rFonts w:hint="eastAsia" w:ascii="仿宋" w:hAnsi="仿宋" w:eastAsia="仿宋"/>
          <w:color w:val="000000"/>
          <w:sz w:val="32"/>
          <w:szCs w:val="32"/>
        </w:rPr>
        <w:t>。主要变动原因是人员增加工资增资</w:t>
      </w:r>
      <w:r>
        <w:rPr>
          <w:rFonts w:hint="eastAsia" w:ascii="仿宋" w:hAnsi="仿宋" w:eastAsia="仿宋"/>
          <w:color w:val="000000"/>
          <w:sz w:val="32"/>
          <w:szCs w:val="32"/>
          <w:lang w:eastAsia="zh-CN"/>
        </w:rPr>
        <w:t>、财政加大对薄弱学校</w:t>
      </w:r>
      <w:r>
        <w:rPr>
          <w:rFonts w:hint="eastAsia" w:ascii="仿宋" w:hAnsi="仿宋" w:eastAsia="仿宋"/>
          <w:color w:val="000000"/>
          <w:sz w:val="32"/>
          <w:szCs w:val="32"/>
        </w:rPr>
        <w:t>投入。</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420" w:firstLineChars="200"/>
        <w:outlineLvl w:val="2"/>
        <w:rPr>
          <w:rFonts w:ascii="仿宋" w:hAnsi="仿宋" w:eastAsia="仿宋"/>
          <w:b/>
          <w:color w:val="000000"/>
          <w:sz w:val="32"/>
          <w:szCs w:val="32"/>
        </w:rPr>
      </w:pPr>
      <w:bookmarkStart w:id="35" w:name="_Toc15377211"/>
      <w:r>
        <w:drawing>
          <wp:anchor distT="0" distB="0" distL="114300" distR="114300" simplePos="0" relativeHeight="251668480" behindDoc="0" locked="0" layoutInCell="1" allowOverlap="1">
            <wp:simplePos x="0" y="0"/>
            <wp:positionH relativeFrom="column">
              <wp:posOffset>259080</wp:posOffset>
            </wp:positionH>
            <wp:positionV relativeFrom="paragraph">
              <wp:posOffset>167640</wp:posOffset>
            </wp:positionV>
            <wp:extent cx="4803775" cy="2883535"/>
            <wp:effectExtent l="0" t="0" r="12065" b="1206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803775" cy="2883535"/>
                    </a:xfrm>
                    <a:prstGeom prst="rect">
                      <a:avLst/>
                    </a:prstGeom>
                    <a:noFill/>
                    <a:ln>
                      <a:noFill/>
                    </a:ln>
                  </pic:spPr>
                </pic:pic>
              </a:graphicData>
            </a:graphic>
          </wp:anchor>
        </w:drawing>
      </w: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2019年一般公共预算财政拨款支出</w:t>
      </w:r>
      <w:r>
        <w:rPr>
          <w:rFonts w:hint="eastAsia" w:ascii="仿宋" w:hAnsi="仿宋" w:eastAsia="仿宋"/>
          <w:color w:val="000000"/>
          <w:sz w:val="32"/>
          <w:szCs w:val="32"/>
          <w:lang w:val="en-US" w:eastAsia="zh-CN"/>
        </w:rPr>
        <w:t>327.93</w:t>
      </w:r>
      <w:r>
        <w:rPr>
          <w:rFonts w:hint="eastAsia" w:ascii="仿宋" w:hAnsi="仿宋" w:eastAsia="仿宋"/>
          <w:color w:val="000000"/>
          <w:sz w:val="32"/>
          <w:szCs w:val="32"/>
        </w:rPr>
        <w:t>万元，主要用于以下方面:一般公共服务（类）支出0万元，占0%；教育支出（类）253.96万元，占</w:t>
      </w:r>
      <w:r>
        <w:rPr>
          <w:rFonts w:ascii="仿宋" w:hAnsi="仿宋" w:eastAsia="仿宋"/>
          <w:color w:val="000000"/>
          <w:sz w:val="32"/>
          <w:szCs w:val="32"/>
        </w:rPr>
        <w:t>7</w:t>
      </w:r>
      <w:r>
        <w:rPr>
          <w:rFonts w:hint="eastAsia" w:ascii="仿宋" w:hAnsi="仿宋" w:eastAsia="仿宋"/>
          <w:color w:val="000000"/>
          <w:sz w:val="32"/>
          <w:szCs w:val="32"/>
          <w:lang w:val="en-US" w:eastAsia="zh-CN"/>
        </w:rPr>
        <w:t>7.44</w:t>
      </w:r>
      <w:r>
        <w:rPr>
          <w:rFonts w:hint="eastAsia" w:ascii="仿宋" w:hAnsi="仿宋" w:eastAsia="仿宋"/>
          <w:color w:val="000000"/>
          <w:sz w:val="32"/>
          <w:szCs w:val="32"/>
        </w:rPr>
        <w:t>%；社会保障和就业（类）支出37.83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11.53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；医疗卫生支出13.23万元，占</w:t>
      </w:r>
      <w:r>
        <w:rPr>
          <w:rFonts w:hint="eastAsia" w:ascii="仿宋" w:hAnsi="仿宋" w:eastAsia="仿宋"/>
          <w:color w:val="000000" w:themeColor="text1"/>
          <w:sz w:val="32"/>
          <w:szCs w:val="32"/>
          <w:lang w:val="en-US" w:eastAsia="zh-CN"/>
          <w14:textFill>
            <w14:solidFill>
              <w14:schemeClr w14:val="tx1"/>
            </w14:solidFill>
          </w14:textFill>
        </w:rPr>
        <w:t>4.04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；住房保障支出22.91元，占</w:t>
      </w:r>
      <w:r>
        <w:rPr>
          <w:rFonts w:hint="eastAsia" w:ascii="仿宋" w:hAnsi="仿宋" w:eastAsia="仿宋"/>
          <w:color w:val="000000" w:themeColor="text1"/>
          <w:sz w:val="32"/>
          <w:szCs w:val="32"/>
          <w:lang w:val="en-US" w:eastAsia="zh-CN"/>
          <w14:textFill>
            <w14:solidFill>
              <w14:schemeClr w14:val="tx1"/>
            </w14:solidFill>
          </w14:textFill>
        </w:rPr>
        <w:t>6.99</w:t>
      </w:r>
      <w:r>
        <w:rPr>
          <w:rFonts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9504" behindDoc="0" locked="0" layoutInCell="1" allowOverlap="1">
            <wp:simplePos x="0" y="0"/>
            <wp:positionH relativeFrom="column">
              <wp:posOffset>243840</wp:posOffset>
            </wp:positionH>
            <wp:positionV relativeFrom="paragraph">
              <wp:posOffset>15240</wp:posOffset>
            </wp:positionV>
            <wp:extent cx="4584065" cy="2755265"/>
            <wp:effectExtent l="0" t="0" r="3175" b="317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4584065" cy="2755265"/>
                    </a:xfrm>
                    <a:prstGeom prst="rect">
                      <a:avLst/>
                    </a:prstGeom>
                    <a:noFill/>
                    <a:ln>
                      <a:noFill/>
                    </a:ln>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outlineLvl w:val="2"/>
        <w:rPr>
          <w:rFonts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color w:val="000000"/>
          <w:sz w:val="32"/>
          <w:szCs w:val="32"/>
          <w:lang w:val="en-US" w:eastAsia="zh-CN"/>
        </w:rPr>
        <w:t>327.93完成预算</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left="638" w:leftChars="304"/>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sz w:val="32"/>
          <w:szCs w:val="32"/>
        </w:rPr>
        <w:t>253.96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14:textFill>
            <w14:solidFill>
              <w14:schemeClr w14:val="tx1"/>
            </w14:solidFill>
          </w14:textFill>
        </w:rPr>
        <w:t>34.17万元，完成预算</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00%。</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22.91</w:t>
      </w:r>
      <w:r>
        <w:rPr>
          <w:rFonts w:ascii="仿宋" w:hAnsi="仿宋" w:eastAsia="仿宋"/>
          <w:color w:val="000000"/>
          <w:sz w:val="32"/>
          <w:szCs w:val="32"/>
        </w:rPr>
        <w:t>万元，完成预算</w:t>
      </w:r>
      <w:r>
        <w:rPr>
          <w:rFonts w:hint="eastAsia" w:ascii="仿宋" w:hAnsi="仿宋" w:eastAsia="仿宋"/>
          <w:color w:val="000000"/>
          <w:sz w:val="32"/>
          <w:szCs w:val="32"/>
        </w:rPr>
        <w:t>1</w:t>
      </w:r>
      <w:r>
        <w:rPr>
          <w:rFonts w:ascii="仿宋" w:hAnsi="仿宋" w:eastAsia="仿宋"/>
          <w:color w:val="000000"/>
          <w:sz w:val="32"/>
          <w:szCs w:val="32"/>
        </w:rPr>
        <w:t>00%。</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13.23</w:t>
      </w:r>
      <w:r>
        <w:rPr>
          <w:rFonts w:ascii="仿宋" w:hAnsi="仿宋" w:eastAsia="仿宋"/>
          <w:color w:val="000000" w:themeColor="text1"/>
          <w:sz w:val="32"/>
          <w:szCs w:val="32"/>
          <w14:textFill>
            <w14:solidFill>
              <w14:schemeClr w14:val="tx1"/>
            </w14:solidFill>
          </w14:textFill>
        </w:rPr>
        <w:t>万元，完成预算</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00%。</w:t>
      </w:r>
    </w:p>
    <w:p>
      <w:pPr>
        <w:tabs>
          <w:tab w:val="right" w:pos="8306"/>
        </w:tabs>
        <w:spacing w:line="600" w:lineRule="exact"/>
        <w:ind w:firstLine="640" w:firstLineChars="20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年一般公共预算财政拨款基本支出4</w:t>
      </w:r>
      <w:r>
        <w:rPr>
          <w:rFonts w:ascii="仿宋" w:hAnsi="仿宋" w:eastAsia="仿宋"/>
          <w:color w:val="000000"/>
          <w:sz w:val="32"/>
          <w:szCs w:val="32"/>
        </w:rPr>
        <w:t>62.3</w:t>
      </w:r>
      <w:r>
        <w:rPr>
          <w:rFonts w:hint="eastAsia" w:ascii="仿宋" w:hAnsi="仿宋" w:eastAsia="仿宋"/>
          <w:color w:val="000000"/>
          <w:sz w:val="32"/>
          <w:szCs w:val="32"/>
        </w:rPr>
        <w:t>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w:t>
      </w:r>
      <w:r>
        <w:rPr>
          <w:rFonts w:hint="eastAsia" w:ascii="仿宋" w:hAnsi="仿宋" w:eastAsia="仿宋"/>
          <w:color w:val="000000"/>
          <w:sz w:val="32"/>
          <w:szCs w:val="32"/>
          <w:lang w:val="en-US" w:eastAsia="zh-CN"/>
        </w:rPr>
        <w:t>95.53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32.40</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年“三公”经费财政拨款支出决算为2</w:t>
      </w:r>
      <w:r>
        <w:rPr>
          <w:rFonts w:ascii="仿宋" w:hAnsi="仿宋" w:eastAsia="仿宋"/>
          <w:color w:val="000000"/>
          <w:sz w:val="32"/>
          <w:szCs w:val="32"/>
        </w:rPr>
        <w:t>.12</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0.28</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drawing>
          <wp:anchor distT="0" distB="0" distL="114300" distR="114300" simplePos="0" relativeHeight="251670528" behindDoc="0" locked="0" layoutInCell="1" allowOverlap="1">
            <wp:simplePos x="0" y="0"/>
            <wp:positionH relativeFrom="column">
              <wp:posOffset>132080</wp:posOffset>
            </wp:positionH>
            <wp:positionV relativeFrom="paragraph">
              <wp:posOffset>205740</wp:posOffset>
            </wp:positionV>
            <wp:extent cx="4578350" cy="2755265"/>
            <wp:effectExtent l="0" t="0" r="8890" b="317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stretch>
                      <a:fillRect/>
                    </a:stretch>
                  </pic:blipFill>
                  <pic:spPr>
                    <a:xfrm>
                      <a:off x="0" y="0"/>
                      <a:ext cx="4578350" cy="2755265"/>
                    </a:xfrm>
                    <a:prstGeom prst="rect">
                      <a:avLst/>
                    </a:prstGeom>
                    <a:noFill/>
                    <a:ln>
                      <a:noFill/>
                    </a:ln>
                  </pic:spPr>
                </pic:pic>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numPr>
          <w:numId w:val="0"/>
        </w:num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公务接待费支出0</w:t>
      </w:r>
      <w:r>
        <w:rPr>
          <w:rFonts w:ascii="仿宋_GB2312" w:eastAsia="仿宋_GB2312"/>
          <w:b/>
          <w:color w:val="000000"/>
          <w:sz w:val="32"/>
          <w:szCs w:val="32"/>
        </w:rPr>
        <w:t>.</w:t>
      </w:r>
      <w:r>
        <w:rPr>
          <w:rFonts w:hint="eastAsia" w:ascii="仿宋_GB2312" w:eastAsia="仿宋_GB2312"/>
          <w:b/>
          <w:color w:val="000000"/>
          <w:sz w:val="32"/>
          <w:szCs w:val="32"/>
          <w:lang w:val="en-US" w:eastAsia="zh-CN"/>
        </w:rPr>
        <w:t>28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2018</w:t>
      </w:r>
      <w:r>
        <w:rPr>
          <w:rFonts w:hint="eastAsia" w:ascii="仿宋_GB2312" w:eastAsia="仿宋_GB2312"/>
          <w:color w:val="000000"/>
          <w:sz w:val="32"/>
          <w:szCs w:val="32"/>
        </w:rPr>
        <w:t>年减少0</w:t>
      </w:r>
      <w:r>
        <w:rPr>
          <w:rFonts w:ascii="仿宋_GB2312" w:eastAsia="仿宋_GB2312"/>
          <w:color w:val="000000"/>
          <w:sz w:val="32"/>
          <w:szCs w:val="32"/>
        </w:rPr>
        <w:t>.01</w:t>
      </w:r>
      <w:r>
        <w:rPr>
          <w:rFonts w:hint="eastAsia" w:ascii="仿宋_GB2312" w:eastAsia="仿宋_GB2312"/>
          <w:color w:val="000000"/>
          <w:sz w:val="32"/>
          <w:szCs w:val="32"/>
        </w:rPr>
        <w:t>万元，下降0</w:t>
      </w:r>
      <w:r>
        <w:rPr>
          <w:rFonts w:ascii="仿宋_GB2312" w:eastAsia="仿宋_GB2312"/>
          <w:color w:val="000000"/>
          <w:sz w:val="32"/>
          <w:szCs w:val="32"/>
        </w:rPr>
        <w:t>.</w:t>
      </w:r>
      <w:r>
        <w:rPr>
          <w:rFonts w:hint="eastAsia" w:ascii="仿宋_GB2312" w:eastAsia="仿宋_GB2312"/>
          <w:color w:val="000000"/>
          <w:sz w:val="32"/>
          <w:szCs w:val="32"/>
          <w:lang w:val="en-US" w:eastAsia="zh-CN"/>
        </w:rPr>
        <w:t>34</w:t>
      </w:r>
      <w:r>
        <w:rPr>
          <w:rFonts w:ascii="仿宋_GB2312" w:eastAsia="仿宋_GB2312"/>
          <w:color w:val="000000"/>
          <w:sz w:val="32"/>
          <w:szCs w:val="32"/>
        </w:rPr>
        <w:t>%</w:t>
      </w:r>
      <w:r>
        <w:rPr>
          <w:rFonts w:hint="eastAsia" w:ascii="仿宋_GB2312" w:eastAsia="仿宋_GB2312"/>
          <w:color w:val="000000"/>
          <w:sz w:val="32"/>
          <w:szCs w:val="32"/>
        </w:rPr>
        <w:t>。主要原因是贯彻执行中央八项规定。</w:t>
      </w:r>
    </w:p>
    <w:p>
      <w:pPr>
        <w:spacing w:line="600" w:lineRule="exact"/>
        <w:ind w:firstLine="640" w:firstLineChars="20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年政府性基金预算拨款支出0万元。</w:t>
      </w:r>
    </w:p>
    <w:p>
      <w:pPr>
        <w:spacing w:line="600" w:lineRule="exact"/>
        <w:ind w:firstLine="640" w:firstLineChars="20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九、国有资本经营预算支出决算情况说明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年国有资本经营预算拨款支出0万元。</w:t>
      </w:r>
    </w:p>
    <w:p>
      <w:pPr>
        <w:pStyle w:val="23"/>
        <w:numPr>
          <w:ilvl w:val="0"/>
          <w:numId w:val="2"/>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根据预算绩效管理要求，本部门按要求对2019年部门整体支出开展绩效自评，从评价情况来看全面完成了预算执行，达到了预期效果。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3"/>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本单位2019年度无项目执行情况。</w:t>
      </w:r>
    </w:p>
    <w:p>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2019</w:t>
      </w:r>
      <w:r>
        <w:rPr>
          <w:rFonts w:hint="eastAsia" w:ascii="仿宋_GB2312" w:eastAsia="仿宋_GB2312"/>
          <w:color w:val="000000"/>
          <w:sz w:val="32"/>
          <w:szCs w:val="32"/>
        </w:rPr>
        <w:t>年</w:t>
      </w: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32.40</w:t>
      </w:r>
      <w:r>
        <w:rPr>
          <w:rFonts w:hint="eastAsia" w:ascii="仿宋" w:hAnsi="仿宋" w:eastAsia="仿宋"/>
          <w:color w:val="000000"/>
          <w:sz w:val="32"/>
          <w:szCs w:val="32"/>
        </w:rPr>
        <w:t>万元</w:t>
      </w:r>
      <w:r>
        <w:rPr>
          <w:rFonts w:hint="eastAsia" w:ascii="仿宋_GB2312" w:eastAsia="仿宋_GB2312"/>
          <w:color w:val="000000"/>
          <w:sz w:val="32"/>
          <w:szCs w:val="32"/>
        </w:rPr>
        <w:t>，与</w:t>
      </w:r>
      <w:r>
        <w:rPr>
          <w:rFonts w:ascii="仿宋_GB2312" w:eastAsia="仿宋_GB2312"/>
          <w:color w:val="000000"/>
          <w:sz w:val="32"/>
          <w:szCs w:val="32"/>
        </w:rPr>
        <w:t>2018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有增加</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杨柳小学</w:t>
      </w:r>
      <w:r>
        <w:rPr>
          <w:rFonts w:hint="eastAsia" w:ascii="仿宋_GB2312" w:eastAsia="仿宋_GB2312"/>
          <w:color w:val="000000"/>
          <w:sz w:val="32"/>
          <w:szCs w:val="32"/>
        </w:rPr>
        <w:t>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杨柳小学</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w:t>
      </w:r>
    </w:p>
    <w:p>
      <w:pPr>
        <w:numPr>
          <w:ilvl w:val="0"/>
          <w:numId w:val="4"/>
        </w:numPr>
        <w:spacing w:line="600" w:lineRule="exact"/>
        <w:ind w:firstLine="663" w:firstLineChars="150"/>
        <w:outlineLvl w:val="0"/>
        <w:rPr>
          <w:rStyle w:val="24"/>
          <w:rFonts w:ascii="黑体" w:hAnsi="黑体" w:eastAsia="黑体"/>
          <w:b w:val="0"/>
        </w:rPr>
      </w:pPr>
      <w:r>
        <w:rPr>
          <w:rFonts w:hint="eastAsia" w:ascii="黑体" w:hAnsi="黑体" w:eastAsia="黑体"/>
          <w:b/>
          <w:color w:val="000000"/>
          <w:sz w:val="44"/>
          <w:szCs w:val="44"/>
        </w:rPr>
        <w:t xml:space="preserve">        名</w:t>
      </w:r>
      <w:r>
        <w:rPr>
          <w:rStyle w:val="24"/>
          <w:rFonts w:hint="eastAsia" w:ascii="黑体" w:hAnsi="黑体" w:eastAsia="黑体"/>
          <w:b w:val="0"/>
        </w:rPr>
        <w:t>词解释</w:t>
      </w:r>
    </w:p>
    <w:p>
      <w:pPr>
        <w:spacing w:line="600" w:lineRule="atLeast"/>
        <w:ind w:firstLine="643" w:firstLineChars="200"/>
        <w:rPr>
          <w:rFonts w:ascii="仿宋_GB2312" w:eastAsia="仿宋_GB2312"/>
          <w:b/>
          <w:color w:val="000000"/>
          <w:sz w:val="32"/>
          <w:szCs w:val="32"/>
        </w:rPr>
      </w:pPr>
    </w:p>
    <w:p>
      <w:pPr>
        <w:widowControl/>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bookmarkStart w:id="70" w:name="_GoBack"/>
      <w:r>
        <w:rPr>
          <w:rFonts w:hint="eastAsia" w:ascii="仿宋_GB2312" w:eastAsia="仿宋_GB2312"/>
          <w:color w:val="000000"/>
          <w:sz w:val="32"/>
          <w:szCs w:val="32"/>
        </w:rPr>
        <w:t>教</w:t>
      </w:r>
      <w:bookmarkEnd w:id="70"/>
      <w:r>
        <w:rPr>
          <w:rFonts w:hint="eastAsia" w:ascii="仿宋_GB2312" w:eastAsia="仿宋_GB2312"/>
          <w:color w:val="000000"/>
          <w:sz w:val="32"/>
          <w:szCs w:val="32"/>
        </w:rPr>
        <w:t>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widowControl/>
        <w:jc w:val="left"/>
        <w:rPr>
          <w:rFonts w:ascii="仿宋_GB2312" w:hAnsi="仿宋_GB2312" w:eastAsia="仿宋_GB2312" w:cs="仿宋_GB2312"/>
          <w:sz w:val="32"/>
          <w:szCs w:val="32"/>
        </w:rPr>
      </w:pPr>
      <w:bookmarkStart w:id="55" w:name="_Toc15377226"/>
      <w:r>
        <w:rPr>
          <w:rFonts w:ascii="宋体"/>
          <w:b/>
          <w:color w:val="000000"/>
          <w:sz w:val="44"/>
          <w:szCs w:val="44"/>
        </w:rPr>
        <w:br w:type="page"/>
      </w: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Fonts w:hint="eastAsia" w:ascii="黑体" w:hAnsi="黑体" w:eastAsia="黑体"/>
          <w:color w:val="000000"/>
          <w:sz w:val="44"/>
          <w:szCs w:val="44"/>
          <w:lang w:eastAsia="zh-CN"/>
        </w:rPr>
        <w:t>四</w:t>
      </w:r>
      <w:r>
        <w:rPr>
          <w:rStyle w:val="24"/>
          <w:rFonts w:hint="eastAsia" w:ascii="黑体" w:hAnsi="黑体" w:eastAsia="黑体"/>
          <w:b w:val="0"/>
        </w:rPr>
        <w:t>部分 附表</w:t>
      </w:r>
      <w:bookmarkEnd w:id="55"/>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14:textFill>
            <w14:solidFill>
              <w14:schemeClr w14:val="tx1"/>
            </w14:solidFill>
          </w14:textFill>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Arial">
    <w:panose1 w:val="020B0604020202020204"/>
    <w:charset w:val="00"/>
    <w:family w:val=""/>
    <w:pitch w:val="default"/>
    <w:sig w:usb0="E0002AFF" w:usb1="C0007843" w:usb2="00000009" w:usb3="00000000" w:csb0="400001FF" w:csb1="FFFF0000"/>
  </w:font>
  <w:font w:name="微软雅黑 Light">
    <w:altName w:val="黑体"/>
    <w:panose1 w:val="020B0502040204020203"/>
    <w:charset w:val="86"/>
    <w:family w:val="swiss"/>
    <w:pitch w:val="variable"/>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233E"/>
    <w:rsid w:val="0002549F"/>
    <w:rsid w:val="0006487A"/>
    <w:rsid w:val="00065F8F"/>
    <w:rsid w:val="000768F2"/>
    <w:rsid w:val="00081AAB"/>
    <w:rsid w:val="0009184B"/>
    <w:rsid w:val="0009593C"/>
    <w:rsid w:val="000B047F"/>
    <w:rsid w:val="000B5923"/>
    <w:rsid w:val="000B5A48"/>
    <w:rsid w:val="000B6FF3"/>
    <w:rsid w:val="000C2C8F"/>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056CC"/>
    <w:rsid w:val="003216A9"/>
    <w:rsid w:val="0037013F"/>
    <w:rsid w:val="00380C92"/>
    <w:rsid w:val="003872C5"/>
    <w:rsid w:val="003A484F"/>
    <w:rsid w:val="003B0BE0"/>
    <w:rsid w:val="003B0C1B"/>
    <w:rsid w:val="003B688C"/>
    <w:rsid w:val="003C0291"/>
    <w:rsid w:val="003C39AE"/>
    <w:rsid w:val="003C5DDF"/>
    <w:rsid w:val="003C6C60"/>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0650"/>
    <w:rsid w:val="004A711F"/>
    <w:rsid w:val="004B199D"/>
    <w:rsid w:val="004B4690"/>
    <w:rsid w:val="004C0A07"/>
    <w:rsid w:val="004C57E5"/>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17DE"/>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10E2"/>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16451"/>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5E19"/>
    <w:rsid w:val="00C27FBC"/>
    <w:rsid w:val="00C33E72"/>
    <w:rsid w:val="00C354B2"/>
    <w:rsid w:val="00C35554"/>
    <w:rsid w:val="00C42709"/>
    <w:rsid w:val="00C533CC"/>
    <w:rsid w:val="00C5751C"/>
    <w:rsid w:val="00C61BFC"/>
    <w:rsid w:val="00C62B85"/>
    <w:rsid w:val="00C65438"/>
    <w:rsid w:val="00C91CBB"/>
    <w:rsid w:val="00CA5E29"/>
    <w:rsid w:val="00CA704F"/>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3D4695"/>
    <w:rsid w:val="08FC45BB"/>
    <w:rsid w:val="10C055FF"/>
    <w:rsid w:val="12D37F4B"/>
    <w:rsid w:val="16BB723D"/>
    <w:rsid w:val="1BE33E30"/>
    <w:rsid w:val="240371BF"/>
    <w:rsid w:val="294F1CC9"/>
    <w:rsid w:val="29FD04D3"/>
    <w:rsid w:val="319F7F4E"/>
    <w:rsid w:val="36AC7D80"/>
    <w:rsid w:val="37C312A2"/>
    <w:rsid w:val="39826D49"/>
    <w:rsid w:val="45117608"/>
    <w:rsid w:val="46A13436"/>
    <w:rsid w:val="4B2E75FE"/>
    <w:rsid w:val="4EB97A34"/>
    <w:rsid w:val="503D3D51"/>
    <w:rsid w:val="56D921AE"/>
    <w:rsid w:val="6BF25257"/>
    <w:rsid w:val="7BE930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2"/>
    <w:qFormat/>
    <w:uiPriority w:val="9"/>
    <w:rPr>
      <w:rFonts w:ascii="Times New Roman" w:hAnsi="Times New Roman"/>
      <w:b/>
      <w:bCs/>
      <w:kern w:val="44"/>
      <w:sz w:val="44"/>
      <w:szCs w:val="44"/>
    </w:rPr>
  </w:style>
  <w:style w:type="character" w:customStyle="1" w:styleId="25">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630D9-D213-4BC0-9F61-5874E0A38DF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1270</Words>
  <Characters>7244</Characters>
  <Lines>60</Lines>
  <Paragraphs>16</Paragraphs>
  <TotalTime>6</TotalTime>
  <ScaleCrop>false</ScaleCrop>
  <LinksUpToDate>false</LinksUpToDate>
  <CharactersWithSpaces>8498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2020-09-20T14:54:16Z</dcterms:modified>
  <dc:title>四川省***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