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8441"/>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476"/>
      <w:bookmarkStart w:id="8" w:name="_Toc15377426"/>
      <w:bookmarkStart w:id="9" w:name="_Toc15378442"/>
      <w:bookmarkStart w:id="10" w:name="_Toc15306268"/>
      <w:bookmarkStart w:id="11" w:name="_Toc15396598"/>
      <w:r>
        <w:rPr>
          <w:rFonts w:hint="eastAsia" w:ascii="方正小标宋简体" w:hAnsi="宋体" w:eastAsia="方正小标宋简体"/>
          <w:color w:val="000000"/>
          <w:sz w:val="72"/>
          <w:szCs w:val="72"/>
        </w:rPr>
        <w:t>开江县长岭镇中心小学校部门决算</w:t>
      </w:r>
      <w:bookmarkEnd w:id="6"/>
      <w:bookmarkEnd w:id="7"/>
      <w:bookmarkEnd w:id="8"/>
      <w:bookmarkEnd w:id="9"/>
      <w:bookmarkEnd w:id="10"/>
      <w:bookmarkEnd w:id="11"/>
    </w:p>
    <w:p>
      <w:pPr>
        <w:widowControl/>
        <w:jc w:val="center"/>
        <w:rPr>
          <w:rFonts w:ascii="黑体" w:hAnsi="黑体" w:eastAsia="黑体" w:cstheme="minorBidi"/>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12</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19</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仿宋" w:hAnsi="仿宋" w:eastAsia="仿宋"/>
          <w:color w:val="000000"/>
          <w:sz w:val="24"/>
        </w:rPr>
      </w:pP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pStyle w:val="5"/>
        <w:adjustRightInd w:val="0"/>
        <w:snapToGrid w:val="0"/>
        <w:spacing w:before="93" w:line="600" w:lineRule="exact"/>
        <w:ind w:firstLine="960" w:firstLineChars="300"/>
        <w:rPr>
          <w:bCs/>
          <w:color w:val="000000"/>
          <w:sz w:val="32"/>
          <w:szCs w:val="32"/>
        </w:rPr>
      </w:pPr>
      <w:r>
        <w:rPr>
          <w:rFonts w:hint="eastAsia"/>
          <w:bCs/>
          <w:color w:val="000000"/>
          <w:sz w:val="32"/>
          <w:szCs w:val="32"/>
        </w:rPr>
        <w:t>负责贯彻执行国家和省有关教育行业的法律、法规和方针、政策，根据国民经济和社会发展需要，拟定学校教育教学的开展，认真实施义务教育。</w:t>
      </w:r>
    </w:p>
    <w:p>
      <w:pPr>
        <w:pStyle w:val="5"/>
        <w:adjustRightInd w:val="0"/>
        <w:snapToGrid w:val="0"/>
        <w:spacing w:before="93" w:line="600" w:lineRule="exact"/>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40" w:firstLineChars="200"/>
        <w:rPr>
          <w:bCs/>
          <w:color w:val="000000"/>
          <w:sz w:val="32"/>
          <w:szCs w:val="32"/>
        </w:rPr>
      </w:pPr>
      <w:r>
        <w:rPr>
          <w:rFonts w:hint="eastAsia"/>
          <w:bCs/>
          <w:color w:val="000000"/>
          <w:sz w:val="32"/>
          <w:szCs w:val="32"/>
        </w:rPr>
        <w:t>201</w:t>
      </w:r>
      <w:r>
        <w:rPr>
          <w:rFonts w:hint="eastAsia"/>
          <w:bCs/>
          <w:color w:val="000000"/>
          <w:sz w:val="32"/>
          <w:szCs w:val="32"/>
          <w:lang w:val="en-US" w:eastAsia="zh-CN"/>
        </w:rPr>
        <w:t>9</w:t>
      </w:r>
      <w:r>
        <w:rPr>
          <w:rFonts w:hint="eastAsia"/>
          <w:bCs/>
          <w:color w:val="000000"/>
          <w:sz w:val="32"/>
          <w:szCs w:val="32"/>
        </w:rPr>
        <w:t>年以来，学校先后被评为</w:t>
      </w: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Style w:val="12"/>
        <w:widowControl/>
        <w:spacing w:before="0" w:beforeAutospacing="0" w:after="0" w:afterAutospacing="0" w:line="240" w:lineRule="atLeast"/>
        <w:ind w:firstLine="600"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开江县长岭镇中心小学是一级预算单位。隶属于开江县教科局，单位执行事业单位财务管理制度。</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Fonts w:ascii="黑体" w:hAnsi="黑体" w:eastAsia="黑体"/>
          <w:b w:val="0"/>
          <w:color w:val="000000"/>
        </w:rPr>
      </w:pPr>
      <w:bookmarkStart w:id="22" w:name="_Toc15377204"/>
      <w:bookmarkStart w:id="23" w:name="_Toc15396602"/>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w:t>
      </w:r>
      <w:r>
        <w:rPr>
          <w:rStyle w:val="25"/>
          <w:rFonts w:hint="eastAsia" w:ascii="黑体" w:hAnsi="黑体" w:eastAsia="黑体"/>
          <w:b w:val="0"/>
          <w:bCs w:val="0"/>
          <w:lang w:val="en-US" w:eastAsia="zh-CN"/>
        </w:rPr>
        <w:t>9</w:t>
      </w:r>
      <w:r>
        <w:rPr>
          <w:rStyle w:val="25"/>
          <w:rFonts w:hint="eastAsia" w:ascii="黑体" w:hAnsi="黑体" w:eastAsia="黑体"/>
          <w:b w:val="0"/>
          <w:bCs w:val="0"/>
        </w:rPr>
        <w:t>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widowControl/>
        <w:ind w:firstLine="640" w:firstLineChars="200"/>
        <w:rPr>
          <w:rFonts w:ascii="仿宋_GB2312" w:eastAsia="仿宋_GB2312"/>
          <w:color w:val="000000"/>
          <w:sz w:val="32"/>
          <w:szCs w:val="32"/>
        </w:rPr>
      </w:pPr>
      <w:bookmarkStart w:id="26" w:name="_Hlk20159952"/>
      <w:bookmarkStart w:id="27" w:name="_Hlk19870464"/>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年度收入合计</w:t>
      </w:r>
      <w:r>
        <w:rPr>
          <w:rFonts w:hint="eastAsia" w:ascii="仿宋" w:hAnsi="仿宋" w:eastAsia="仿宋"/>
          <w:color w:val="000000"/>
          <w:sz w:val="32"/>
          <w:szCs w:val="32"/>
          <w:lang w:val="en-US" w:eastAsia="zh-CN"/>
        </w:rPr>
        <w:t>1305.92</w:t>
      </w:r>
      <w:r>
        <w:rPr>
          <w:rFonts w:hint="eastAsia" w:ascii="仿宋" w:hAnsi="仿宋" w:eastAsia="仿宋"/>
          <w:color w:val="000000"/>
          <w:sz w:val="32"/>
          <w:szCs w:val="32"/>
        </w:rPr>
        <w:t>万元</w:t>
      </w:r>
      <w:bookmarkEnd w:id="26"/>
      <w:r>
        <w:rPr>
          <w:rFonts w:hint="eastAsia" w:ascii="仿宋" w:hAnsi="仿宋" w:eastAsia="仿宋"/>
          <w:color w:val="000000"/>
          <w:sz w:val="32"/>
          <w:szCs w:val="32"/>
        </w:rPr>
        <w:t>。本年财政拨款收入</w:t>
      </w:r>
      <w:bookmarkStart w:id="28" w:name="_Hlk19869093"/>
      <w:r>
        <w:rPr>
          <w:rFonts w:hint="eastAsia" w:ascii="仿宋" w:hAnsi="仿宋" w:eastAsia="仿宋"/>
          <w:color w:val="000000"/>
          <w:sz w:val="32"/>
          <w:szCs w:val="32"/>
          <w:lang w:val="en-US" w:eastAsia="zh-CN"/>
        </w:rPr>
        <w:t>1305.92</w:t>
      </w:r>
      <w:r>
        <w:rPr>
          <w:rFonts w:hint="eastAsia" w:ascii="仿宋" w:hAnsi="仿宋" w:eastAsia="仿宋"/>
          <w:color w:val="000000"/>
          <w:sz w:val="32"/>
          <w:szCs w:val="32"/>
        </w:rPr>
        <w:t>万元</w:t>
      </w:r>
      <w:bookmarkEnd w:id="28"/>
      <w:r>
        <w:rPr>
          <w:rFonts w:hint="eastAsia" w:ascii="仿宋" w:hAnsi="仿宋" w:eastAsia="仿宋"/>
          <w:color w:val="000000"/>
          <w:sz w:val="32"/>
          <w:szCs w:val="32"/>
        </w:rPr>
        <w:t>，。2</w:t>
      </w:r>
      <w:r>
        <w:rPr>
          <w:rFonts w:ascii="仿宋" w:hAnsi="仿宋" w:eastAsia="仿宋"/>
          <w:color w:val="000000"/>
          <w:sz w:val="32"/>
          <w:szCs w:val="32"/>
        </w:rPr>
        <w:t>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年度本年支出</w:t>
      </w:r>
      <w:bookmarkStart w:id="29" w:name="_Hlk19869198"/>
      <w:r>
        <w:rPr>
          <w:rFonts w:hint="eastAsia" w:ascii="仿宋" w:hAnsi="仿宋" w:eastAsia="仿宋"/>
          <w:color w:val="000000"/>
          <w:sz w:val="32"/>
          <w:szCs w:val="32"/>
          <w:lang w:val="en-US" w:eastAsia="zh-CN"/>
        </w:rPr>
        <w:t>1518.10</w:t>
      </w:r>
      <w:r>
        <w:rPr>
          <w:rFonts w:hint="eastAsia" w:ascii="仿宋" w:hAnsi="仿宋" w:eastAsia="仿宋"/>
          <w:color w:val="000000"/>
          <w:sz w:val="32"/>
          <w:szCs w:val="32"/>
        </w:rPr>
        <w:t>万元</w:t>
      </w:r>
      <w:bookmarkEnd w:id="29"/>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年相比，收入</w:t>
      </w:r>
      <w:r>
        <w:rPr>
          <w:rFonts w:hint="eastAsia" w:ascii="仿宋" w:hAnsi="仿宋" w:eastAsia="仿宋"/>
          <w:color w:val="000000"/>
          <w:sz w:val="32"/>
          <w:szCs w:val="32"/>
          <w:lang w:eastAsia="zh-CN"/>
        </w:rPr>
        <w:t>增加了</w:t>
      </w:r>
      <w:r>
        <w:rPr>
          <w:rFonts w:hint="eastAsia" w:ascii="仿宋" w:hAnsi="仿宋" w:eastAsia="仿宋"/>
          <w:color w:val="000000"/>
          <w:sz w:val="32"/>
          <w:szCs w:val="32"/>
          <w:lang w:val="en-US" w:eastAsia="zh-CN"/>
        </w:rPr>
        <w:t>58.19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rPr>
        <w:t>了</w:t>
      </w:r>
      <w:r>
        <w:rPr>
          <w:rFonts w:hint="eastAsia" w:ascii="仿宋_GB2312" w:eastAsia="仿宋_GB2312"/>
          <w:color w:val="000000"/>
          <w:sz w:val="32"/>
          <w:szCs w:val="32"/>
          <w:lang w:val="en-US" w:eastAsia="zh-CN"/>
        </w:rPr>
        <w:t>4.66</w:t>
      </w:r>
      <w:r>
        <w:rPr>
          <w:rFonts w:ascii="仿宋_GB2312" w:eastAsia="仿宋_GB2312"/>
          <w:color w:val="000000"/>
          <w:sz w:val="32"/>
          <w:szCs w:val="32"/>
        </w:rPr>
        <w:t>%</w:t>
      </w:r>
      <w:r>
        <w:rPr>
          <w:rFonts w:hint="eastAsia" w:ascii="仿宋_GB2312" w:eastAsia="仿宋_GB2312"/>
          <w:color w:val="000000"/>
          <w:sz w:val="32"/>
          <w:szCs w:val="32"/>
        </w:rPr>
        <w:t>。主要变动原因是工程款</w:t>
      </w:r>
      <w:r>
        <w:rPr>
          <w:rFonts w:hint="eastAsia" w:ascii="仿宋_GB2312" w:eastAsia="仿宋_GB2312"/>
          <w:color w:val="000000"/>
          <w:sz w:val="32"/>
          <w:szCs w:val="32"/>
          <w:lang w:eastAsia="zh-CN"/>
        </w:rPr>
        <w:t>增加</w:t>
      </w:r>
      <w:r>
        <w:rPr>
          <w:rFonts w:hint="eastAsia" w:ascii="仿宋_GB2312" w:eastAsia="仿宋_GB2312"/>
          <w:color w:val="000000"/>
          <w:sz w:val="32"/>
          <w:szCs w:val="32"/>
        </w:rPr>
        <w:t>了。年初有结余。与2</w:t>
      </w:r>
      <w:r>
        <w:rPr>
          <w:rFonts w:ascii="仿宋_GB2312" w:eastAsia="仿宋_GB2312"/>
          <w:color w:val="000000"/>
          <w:sz w:val="32"/>
          <w:szCs w:val="32"/>
        </w:rPr>
        <w:t>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年相比，支出增加了</w:t>
      </w:r>
      <w:r>
        <w:rPr>
          <w:rFonts w:hint="eastAsia" w:ascii="仿宋_GB2312" w:eastAsia="仿宋_GB2312"/>
          <w:color w:val="000000"/>
          <w:sz w:val="32"/>
          <w:szCs w:val="32"/>
          <w:lang w:val="en-US" w:eastAsia="zh-CN"/>
        </w:rPr>
        <w:t>187.54</w:t>
      </w:r>
      <w:r>
        <w:rPr>
          <w:rFonts w:hint="eastAsia" w:ascii="仿宋_GB2312" w:eastAsia="仿宋_GB2312"/>
          <w:color w:val="000000"/>
          <w:sz w:val="32"/>
          <w:szCs w:val="32"/>
        </w:rPr>
        <w:t>万元。增加了</w:t>
      </w:r>
      <w:r>
        <w:rPr>
          <w:rFonts w:hint="eastAsia" w:ascii="仿宋_GB2312" w:eastAsia="仿宋_GB2312"/>
          <w:color w:val="000000"/>
          <w:sz w:val="32"/>
          <w:szCs w:val="32"/>
          <w:lang w:val="en-US" w:eastAsia="zh-CN"/>
        </w:rPr>
        <w:t>14.09</w:t>
      </w:r>
      <w:r>
        <w:rPr>
          <w:rFonts w:ascii="仿宋_GB2312" w:eastAsia="仿宋_GB2312"/>
          <w:color w:val="000000"/>
          <w:sz w:val="32"/>
          <w:szCs w:val="32"/>
        </w:rPr>
        <w:t>%</w:t>
      </w:r>
      <w:r>
        <w:rPr>
          <w:rFonts w:hint="eastAsia" w:ascii="仿宋_GB2312" w:eastAsia="仿宋_GB2312"/>
          <w:color w:val="000000"/>
          <w:sz w:val="32"/>
          <w:szCs w:val="32"/>
        </w:rPr>
        <w:t>。主要变动原因是未付款已付。</w:t>
      </w:r>
    </w:p>
    <w:bookmarkEnd w:id="27"/>
    <w:p>
      <w:pPr>
        <w:widowControl/>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5274310" cy="3076575"/>
            <wp:effectExtent l="0" t="0" r="254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30" w:name="_Toc15396604"/>
      <w:bookmarkStart w:id="31"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30"/>
      <w:bookmarkEnd w:id="31"/>
    </w:p>
    <w:p>
      <w:pPr>
        <w:widowControl/>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年本年收入合计1,9</w:t>
      </w:r>
      <w:r>
        <w:rPr>
          <w:rFonts w:hint="eastAsia" w:ascii="仿宋" w:hAnsi="仿宋" w:eastAsia="仿宋"/>
          <w:color w:val="000000"/>
          <w:sz w:val="32"/>
          <w:szCs w:val="32"/>
          <w:lang w:val="en-US" w:eastAsia="zh-CN"/>
        </w:rPr>
        <w:t>23.39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1305.92</w:t>
      </w:r>
      <w:r>
        <w:rPr>
          <w:rFonts w:hint="eastAsia" w:ascii="仿宋" w:hAnsi="仿宋" w:eastAsia="仿宋"/>
          <w:color w:val="000000"/>
          <w:sz w:val="32"/>
          <w:szCs w:val="32"/>
        </w:rPr>
        <w:t>万元，占</w:t>
      </w:r>
      <w:r>
        <w:rPr>
          <w:rFonts w:ascii="仿宋" w:hAnsi="仿宋" w:eastAsia="仿宋"/>
          <w:color w:val="000000"/>
          <w:sz w:val="32"/>
          <w:szCs w:val="32"/>
        </w:rPr>
        <w:t>6</w:t>
      </w:r>
      <w:r>
        <w:rPr>
          <w:rFonts w:hint="eastAsia" w:ascii="仿宋" w:hAnsi="仿宋" w:eastAsia="仿宋"/>
          <w:color w:val="000000"/>
          <w:sz w:val="32"/>
          <w:szCs w:val="32"/>
          <w:lang w:val="en-US" w:eastAsia="zh-CN"/>
        </w:rPr>
        <w:t>8</w:t>
      </w:r>
      <w:r>
        <w:rPr>
          <w:rFonts w:ascii="仿宋" w:hAnsi="仿宋" w:eastAsia="仿宋"/>
          <w:color w:val="000000"/>
          <w:sz w:val="32"/>
          <w:szCs w:val="32"/>
        </w:rPr>
        <w:t>%</w:t>
      </w:r>
      <w:r>
        <w:rPr>
          <w:rFonts w:hint="eastAsia" w:ascii="仿宋" w:hAnsi="仿宋" w:eastAsia="仿宋"/>
          <w:color w:val="000000"/>
          <w:sz w:val="32"/>
          <w:szCs w:val="32"/>
        </w:rPr>
        <w:t>；年初结转和结余</w:t>
      </w:r>
      <w:r>
        <w:rPr>
          <w:rFonts w:hint="eastAsia" w:ascii="仿宋" w:hAnsi="仿宋" w:eastAsia="仿宋"/>
          <w:color w:val="000000"/>
          <w:sz w:val="32"/>
          <w:szCs w:val="32"/>
          <w:lang w:val="en-US" w:eastAsia="zh-CN"/>
        </w:rPr>
        <w:t>617.47</w:t>
      </w:r>
      <w:r>
        <w:rPr>
          <w:rFonts w:hint="eastAsia" w:ascii="仿宋" w:hAnsi="仿宋" w:eastAsia="仿宋"/>
          <w:color w:val="000000"/>
          <w:sz w:val="32"/>
          <w:szCs w:val="32"/>
        </w:rPr>
        <w:t>万元。占3</w:t>
      </w: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 xml:space="preserve"> </w:t>
      </w:r>
    </w:p>
    <w:p>
      <w:pPr>
        <w:widowControl/>
        <w:rPr>
          <w:rFonts w:ascii="宋体" w:hAnsi="宋体" w:cs="Arial"/>
          <w:color w:val="000000"/>
          <w:kern w:val="0"/>
          <w:sz w:val="22"/>
          <w:szCs w:val="22"/>
        </w:rPr>
      </w:pPr>
      <w:r>
        <w:rPr>
          <w:rFonts w:hint="eastAsia" w:ascii="仿宋" w:hAnsi="仿宋" w:eastAsia="仿宋"/>
          <w:color w:val="000000" w:themeColor="text1"/>
          <w:sz w:val="32"/>
          <w:szCs w:val="32"/>
          <w:lang w:val="zh-CN"/>
          <w14:textFill>
            <w14:solidFill>
              <w14:schemeClr w14:val="tx1"/>
            </w14:solidFill>
          </w14:textFill>
        </w:rPr>
        <w:drawing>
          <wp:inline distT="0" distB="0" distL="0" distR="0">
            <wp:extent cx="5274310" cy="3076575"/>
            <wp:effectExtent l="5080" t="4445" r="1651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32" w:name="_Toc15377207"/>
      <w:bookmarkStart w:id="33"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32"/>
      <w:bookmarkEnd w:id="33"/>
    </w:p>
    <w:p>
      <w:pPr>
        <w:widowControl/>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1518.1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1332.05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186.05</w:t>
      </w:r>
      <w:r>
        <w:rPr>
          <w:rFonts w:hint="eastAsia" w:ascii="仿宋" w:hAnsi="仿宋" w:eastAsia="仿宋"/>
          <w:color w:val="000000"/>
          <w:sz w:val="32"/>
          <w:szCs w:val="32"/>
        </w:rPr>
        <w:t>万元，占</w:t>
      </w:r>
      <w:r>
        <w:rPr>
          <w:rFonts w:ascii="仿宋" w:hAnsi="仿宋" w:eastAsia="仿宋"/>
          <w:color w:val="000000"/>
          <w:sz w:val="32"/>
          <w:szCs w:val="32"/>
        </w:rPr>
        <w:t>1</w:t>
      </w: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_GB2312" w:eastAsia="仿宋_GB2312"/>
          <w:color w:val="FF0000"/>
          <w:sz w:val="32"/>
          <w:szCs w:val="32"/>
        </w:rPr>
      </w:pPr>
    </w:p>
    <w:p>
      <w:pPr>
        <w:spacing w:line="600" w:lineRule="exact"/>
        <w:ind w:firstLine="640" w:firstLineChars="200"/>
        <w:outlineLvl w:val="1"/>
        <w:rPr>
          <w:rFonts w:ascii="黑体" w:hAnsi="黑体" w:eastAsia="黑体"/>
          <w:color w:val="000000"/>
          <w:sz w:val="32"/>
          <w:szCs w:val="32"/>
        </w:rPr>
      </w:pPr>
      <w:bookmarkStart w:id="34" w:name="_Toc15377208"/>
      <w:bookmarkStart w:id="35" w:name="_Toc15396606"/>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4"/>
      <w:bookmarkEnd w:id="35"/>
    </w:p>
    <w:p>
      <w:pPr>
        <w:widowControl/>
        <w:ind w:firstLine="640" w:firstLineChars="200"/>
        <w:rPr>
          <w:rFonts w:ascii="宋体" w:hAnsi="宋体" w:cs="Arial"/>
          <w:color w:val="000000"/>
          <w:kern w:val="0"/>
          <w:sz w:val="22"/>
          <w:szCs w:val="2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年度收入总计</w:t>
      </w:r>
      <w:r>
        <w:rPr>
          <w:rFonts w:hint="eastAsia" w:ascii="仿宋" w:hAnsi="仿宋" w:eastAsia="仿宋"/>
          <w:color w:val="000000"/>
          <w:sz w:val="32"/>
          <w:szCs w:val="32"/>
          <w:lang w:val="en-US" w:eastAsia="zh-CN"/>
        </w:rPr>
        <w:t>1923.39</w:t>
      </w:r>
      <w:r>
        <w:rPr>
          <w:rFonts w:hint="eastAsia" w:ascii="仿宋" w:hAnsi="仿宋" w:eastAsia="仿宋"/>
          <w:color w:val="000000"/>
          <w:sz w:val="32"/>
          <w:szCs w:val="32"/>
        </w:rPr>
        <w:t>万元。本年财政拨款收入</w:t>
      </w:r>
      <w:r>
        <w:rPr>
          <w:rFonts w:hint="eastAsia" w:ascii="仿宋" w:hAnsi="仿宋" w:eastAsia="仿宋"/>
          <w:color w:val="000000"/>
          <w:sz w:val="32"/>
          <w:szCs w:val="32"/>
          <w:lang w:val="en-US" w:eastAsia="zh-CN"/>
        </w:rPr>
        <w:t>1305.92</w:t>
      </w:r>
      <w:r>
        <w:rPr>
          <w:rFonts w:hint="eastAsia" w:ascii="仿宋" w:hAnsi="仿宋" w:eastAsia="仿宋"/>
          <w:color w:val="000000"/>
          <w:sz w:val="32"/>
          <w:szCs w:val="32"/>
        </w:rPr>
        <w:t>万元，年初结转和结余</w:t>
      </w:r>
      <w:r>
        <w:rPr>
          <w:rFonts w:hint="eastAsia" w:ascii="仿宋" w:hAnsi="仿宋" w:eastAsia="仿宋"/>
          <w:color w:val="000000"/>
          <w:sz w:val="32"/>
          <w:szCs w:val="32"/>
          <w:lang w:val="en-US" w:eastAsia="zh-CN"/>
        </w:rPr>
        <w:t>617.47</w:t>
      </w:r>
      <w:r>
        <w:rPr>
          <w:rFonts w:hint="eastAsia" w:ascii="仿宋" w:hAnsi="仿宋" w:eastAsia="仿宋"/>
          <w:color w:val="000000"/>
          <w:sz w:val="32"/>
          <w:szCs w:val="32"/>
        </w:rPr>
        <w:t>万元。2</w:t>
      </w:r>
      <w:r>
        <w:rPr>
          <w:rFonts w:ascii="仿宋" w:hAnsi="仿宋" w:eastAsia="仿宋"/>
          <w:color w:val="000000"/>
          <w:sz w:val="32"/>
          <w:szCs w:val="32"/>
        </w:rPr>
        <w:t>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年度本年支出</w:t>
      </w:r>
      <w:r>
        <w:rPr>
          <w:rFonts w:hint="eastAsia" w:ascii="仿宋" w:hAnsi="仿宋" w:eastAsia="仿宋"/>
          <w:color w:val="000000"/>
          <w:sz w:val="32"/>
          <w:szCs w:val="32"/>
          <w:lang w:val="en-US" w:eastAsia="zh-CN"/>
        </w:rPr>
        <w:t>1518.1</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年相比，收入</w:t>
      </w:r>
      <w:r>
        <w:rPr>
          <w:rFonts w:hint="eastAsia" w:ascii="仿宋" w:hAnsi="仿宋" w:eastAsia="仿宋"/>
          <w:color w:val="000000"/>
          <w:sz w:val="32"/>
          <w:szCs w:val="32"/>
          <w:lang w:eastAsia="zh-CN"/>
        </w:rPr>
        <w:t>减少了</w:t>
      </w:r>
      <w:r>
        <w:rPr>
          <w:rFonts w:hint="eastAsia" w:ascii="仿宋" w:hAnsi="仿宋" w:eastAsia="仿宋"/>
          <w:color w:val="000000"/>
          <w:sz w:val="32"/>
          <w:szCs w:val="32"/>
          <w:lang w:val="en-US" w:eastAsia="zh-CN"/>
        </w:rPr>
        <w:t>24.64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rPr>
        <w:t>了</w:t>
      </w:r>
      <w:r>
        <w:rPr>
          <w:rFonts w:hint="eastAsia" w:ascii="仿宋_GB2312" w:eastAsia="仿宋_GB2312"/>
          <w:color w:val="000000"/>
          <w:sz w:val="32"/>
          <w:szCs w:val="32"/>
          <w:lang w:val="en-US" w:eastAsia="zh-CN"/>
        </w:rPr>
        <w:t>1.26</w:t>
      </w:r>
      <w:r>
        <w:rPr>
          <w:rFonts w:ascii="仿宋_GB2312" w:eastAsia="仿宋_GB2312"/>
          <w:color w:val="000000"/>
          <w:sz w:val="32"/>
          <w:szCs w:val="32"/>
        </w:rPr>
        <w:t>%</w:t>
      </w:r>
      <w:r>
        <w:rPr>
          <w:rFonts w:hint="eastAsia" w:ascii="仿宋_GB2312" w:eastAsia="仿宋_GB2312"/>
          <w:color w:val="000000"/>
          <w:sz w:val="32"/>
          <w:szCs w:val="32"/>
        </w:rPr>
        <w:t>。主要变动原因是</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2019年相比，</w:t>
      </w:r>
      <w:r>
        <w:rPr>
          <w:rFonts w:hint="eastAsia" w:ascii="仿宋_GB2312" w:eastAsia="仿宋_GB2312"/>
          <w:color w:val="000000"/>
          <w:sz w:val="32"/>
          <w:szCs w:val="32"/>
        </w:rPr>
        <w:t>年初结转和结余</w:t>
      </w:r>
      <w:r>
        <w:rPr>
          <w:rFonts w:hint="eastAsia" w:ascii="仿宋_GB2312" w:eastAsia="仿宋_GB2312"/>
          <w:color w:val="000000"/>
          <w:sz w:val="32"/>
          <w:szCs w:val="32"/>
          <w:lang w:eastAsia="zh-CN"/>
        </w:rPr>
        <w:t>减少</w:t>
      </w:r>
      <w:r>
        <w:rPr>
          <w:rFonts w:hint="eastAsia" w:ascii="仿宋_GB2312" w:eastAsia="仿宋_GB2312"/>
          <w:color w:val="000000"/>
          <w:sz w:val="32"/>
          <w:szCs w:val="32"/>
        </w:rPr>
        <w:t>。与2</w:t>
      </w:r>
      <w:r>
        <w:rPr>
          <w:rFonts w:ascii="仿宋_GB2312" w:eastAsia="仿宋_GB2312"/>
          <w:color w:val="000000"/>
          <w:sz w:val="32"/>
          <w:szCs w:val="32"/>
        </w:rPr>
        <w:t>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年相比，支出增加了</w:t>
      </w:r>
      <w:r>
        <w:rPr>
          <w:rFonts w:hint="eastAsia" w:ascii="仿宋_GB2312" w:eastAsia="仿宋_GB2312"/>
          <w:color w:val="000000"/>
          <w:sz w:val="32"/>
          <w:szCs w:val="32"/>
          <w:lang w:val="en-US" w:eastAsia="zh-CN"/>
        </w:rPr>
        <w:t>187.54</w:t>
      </w:r>
      <w:r>
        <w:rPr>
          <w:rFonts w:hint="eastAsia" w:ascii="仿宋_GB2312" w:eastAsia="仿宋_GB2312"/>
          <w:color w:val="000000"/>
          <w:sz w:val="32"/>
          <w:szCs w:val="32"/>
        </w:rPr>
        <w:t>万元。增加了</w:t>
      </w:r>
      <w:r>
        <w:rPr>
          <w:rFonts w:hint="eastAsia" w:ascii="仿宋_GB2312" w:eastAsia="仿宋_GB2312"/>
          <w:color w:val="000000"/>
          <w:sz w:val="32"/>
          <w:szCs w:val="32"/>
          <w:lang w:val="en-US" w:eastAsia="zh-CN"/>
        </w:rPr>
        <w:t>14.09</w:t>
      </w:r>
      <w:r>
        <w:rPr>
          <w:rFonts w:ascii="仿宋_GB2312" w:eastAsia="仿宋_GB2312"/>
          <w:color w:val="000000"/>
          <w:sz w:val="32"/>
          <w:szCs w:val="32"/>
        </w:rPr>
        <w:t>%</w:t>
      </w:r>
      <w:r>
        <w:rPr>
          <w:rFonts w:hint="eastAsia" w:ascii="仿宋_GB2312" w:eastAsia="仿宋_GB2312"/>
          <w:color w:val="000000"/>
          <w:sz w:val="32"/>
          <w:szCs w:val="32"/>
        </w:rPr>
        <w:t>。主要变动原因是未付款已付。年末结转和结余</w:t>
      </w:r>
      <w:r>
        <w:rPr>
          <w:rFonts w:hint="eastAsia" w:ascii="仿宋_GB2312" w:eastAsia="仿宋_GB2312"/>
          <w:color w:val="000000"/>
          <w:sz w:val="32"/>
          <w:szCs w:val="32"/>
          <w:lang w:val="en-US" w:eastAsia="zh-CN"/>
        </w:rPr>
        <w:t>405.30</w:t>
      </w:r>
      <w:r>
        <w:rPr>
          <w:rFonts w:hint="eastAsia" w:ascii="仿宋_GB2312" w:eastAsia="仿宋_GB2312"/>
          <w:color w:val="000000"/>
          <w:sz w:val="32"/>
          <w:szCs w:val="32"/>
        </w:rPr>
        <w:t>万元。</w:t>
      </w:r>
    </w:p>
    <w:p>
      <w:pPr>
        <w:widowControl/>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ascii="宋体" w:hAnsi="宋体" w:cs="Arial"/>
          <w:color w:val="000000"/>
          <w:kern w:val="0"/>
          <w:sz w:val="22"/>
          <w:szCs w:val="22"/>
        </w:rPr>
        <w:t xml:space="preserve">   </w:t>
      </w:r>
      <w:r>
        <w:rPr>
          <w:rFonts w:ascii="宋体" w:hAnsi="宋体" w:cs="Arial"/>
          <w:color w:val="000000"/>
          <w:kern w:val="0"/>
          <w:sz w:val="22"/>
          <w:szCs w:val="22"/>
        </w:rPr>
        <w:drawing>
          <wp:inline distT="0" distB="0" distL="0" distR="0">
            <wp:extent cx="5274310" cy="3076575"/>
            <wp:effectExtent l="0" t="0" r="254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ascii="黑体" w:hAnsi="黑体" w:eastAsia="黑体"/>
          <w:b w:val="0"/>
        </w:rPr>
      </w:pPr>
      <w:bookmarkStart w:id="36" w:name="_Toc15377209"/>
      <w:bookmarkStart w:id="3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widowControl/>
        <w:ind w:firstLine="480" w:firstLineChars="150"/>
        <w:rPr>
          <w:rFonts w:ascii="仿宋_GB2312" w:eastAsia="仿宋_GB2312"/>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bookmarkStart w:id="39" w:name="_Hlk19885094"/>
      <w:r>
        <w:rPr>
          <w:rFonts w:hint="eastAsia" w:ascii="仿宋" w:hAnsi="仿宋" w:eastAsia="仿宋"/>
          <w:color w:val="000000"/>
          <w:sz w:val="32"/>
          <w:szCs w:val="32"/>
          <w:lang w:val="en-US" w:eastAsia="zh-CN"/>
        </w:rPr>
        <w:t>1518.10</w:t>
      </w:r>
      <w:r>
        <w:rPr>
          <w:rFonts w:hint="eastAsia" w:ascii="仿宋" w:hAnsi="仿宋" w:eastAsia="仿宋"/>
          <w:color w:val="000000"/>
          <w:sz w:val="32"/>
          <w:szCs w:val="32"/>
        </w:rPr>
        <w:t>万元</w:t>
      </w:r>
      <w:bookmarkEnd w:id="39"/>
      <w:r>
        <w:rPr>
          <w:rFonts w:hint="eastAsia" w:ascii="仿宋" w:hAnsi="仿宋" w:eastAsia="仿宋"/>
          <w:color w:val="000000"/>
          <w:sz w:val="32"/>
          <w:szCs w:val="32"/>
        </w:rPr>
        <w:t>，占本年支出合计的</w:t>
      </w:r>
      <w:r>
        <w:rPr>
          <w:rFonts w:hint="eastAsia" w:ascii="仿宋" w:hAnsi="仿宋" w:eastAsia="仿宋"/>
          <w:color w:val="000000"/>
          <w:sz w:val="32"/>
          <w:szCs w:val="32"/>
          <w:lang w:val="en-US" w:eastAsia="zh-CN"/>
        </w:rPr>
        <w:t>78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年相比，一般公共预算财政拨款增加</w:t>
      </w:r>
      <w:r>
        <w:rPr>
          <w:rFonts w:hint="eastAsia" w:ascii="仿宋_GB2312" w:hAnsi="宋体" w:eastAsia="仿宋_GB2312" w:cs="宋体"/>
          <w:color w:val="000000"/>
          <w:sz w:val="32"/>
          <w:szCs w:val="32"/>
          <w:lang w:val="en-US" w:eastAsia="zh-CN"/>
        </w:rPr>
        <w:t>187.54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14.09</w:t>
      </w:r>
      <w:r>
        <w:rPr>
          <w:rFonts w:ascii="仿宋" w:hAnsi="仿宋" w:eastAsia="仿宋"/>
          <w:color w:val="000000"/>
          <w:sz w:val="32"/>
          <w:szCs w:val="32"/>
        </w:rPr>
        <w:t>%</w:t>
      </w:r>
      <w:r>
        <w:rPr>
          <w:rFonts w:hint="eastAsia" w:ascii="仿宋" w:hAnsi="仿宋" w:eastAsia="仿宋"/>
          <w:color w:val="000000"/>
          <w:sz w:val="32"/>
          <w:szCs w:val="32"/>
        </w:rPr>
        <w:t>。主要变动原因是未付款已付。人员增加。年末结余</w:t>
      </w:r>
      <w:r>
        <w:rPr>
          <w:rFonts w:hint="eastAsia" w:ascii="仿宋_GB2312" w:eastAsia="仿宋_GB2312"/>
          <w:color w:val="000000"/>
          <w:sz w:val="32"/>
          <w:szCs w:val="32"/>
          <w:lang w:val="en-US" w:eastAsia="zh-CN"/>
        </w:rPr>
        <w:t>405.30</w:t>
      </w:r>
      <w:r>
        <w:rPr>
          <w:rFonts w:hint="eastAsia" w:ascii="仿宋_GB2312" w:eastAsia="仿宋_GB2312"/>
          <w:color w:val="000000"/>
          <w:sz w:val="32"/>
          <w:szCs w:val="32"/>
        </w:rPr>
        <w:t>万元。</w:t>
      </w:r>
    </w:p>
    <w:p>
      <w:pPr>
        <w:widowControl/>
        <w:ind w:firstLine="330" w:firstLineChars="150"/>
        <w:rPr>
          <w:rFonts w:ascii="宋体" w:hAnsi="宋体" w:cs="Arial"/>
          <w:color w:val="000000"/>
          <w:kern w:val="0"/>
          <w:sz w:val="22"/>
          <w:szCs w:val="22"/>
        </w:rPr>
      </w:pPr>
      <w:r>
        <w:rPr>
          <w:rFonts w:hint="eastAsia" w:ascii="宋体" w:hAnsi="宋体" w:cs="Arial"/>
          <w:color w:val="000000"/>
          <w:kern w:val="0"/>
          <w:sz w:val="22"/>
          <w:szCs w:val="22"/>
        </w:rPr>
        <w:drawing>
          <wp:inline distT="0" distB="0" distL="0" distR="0">
            <wp:extent cx="5274310" cy="3076575"/>
            <wp:effectExtent l="0" t="0" r="254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000000"/>
          <w:sz w:val="32"/>
          <w:szCs w:val="32"/>
        </w:rPr>
      </w:pPr>
      <w:bookmarkStart w:id="40" w:name="_Toc15377211"/>
      <w:r>
        <w:rPr>
          <w:rFonts w:hint="eastAsia" w:ascii="仿宋" w:hAnsi="仿宋" w:eastAsia="仿宋"/>
          <w:b/>
          <w:color w:val="000000"/>
          <w:sz w:val="32"/>
          <w:szCs w:val="32"/>
        </w:rPr>
        <w:t>（二）一般公共预算财政拨款支出决算结构情况</w:t>
      </w:r>
      <w:bookmarkEnd w:id="40"/>
    </w:p>
    <w:p>
      <w:pPr>
        <w:widowControl/>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1518.10</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1279.58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121.48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39.48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77.55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widowControl/>
        <w:rPr>
          <w:rFonts w:ascii="宋体" w:hAnsi="宋体" w:cs="Arial"/>
          <w:color w:val="000000"/>
          <w:kern w:val="0"/>
          <w:sz w:val="22"/>
          <w:szCs w:val="22"/>
        </w:rPr>
      </w:pPr>
      <w:r>
        <w:rPr>
          <w:rFonts w:ascii="宋体" w:hAnsi="宋体" w:cs="Arial"/>
          <w:color w:val="000000"/>
          <w:kern w:val="0"/>
          <w:sz w:val="22"/>
          <w:szCs w:val="22"/>
        </w:rPr>
        <w:drawing>
          <wp:inline distT="0" distB="0" distL="0" distR="0">
            <wp:extent cx="5274310" cy="3076575"/>
            <wp:effectExtent l="5080" t="4445" r="16510"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宋体" w:hAnsi="宋体" w:cs="Arial"/>
          <w:color w:val="000000"/>
          <w:kern w:val="0"/>
          <w:sz w:val="22"/>
          <w:szCs w:val="22"/>
        </w:rPr>
        <w:t xml:space="preserve"> </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41" w:name="_Toc15377212"/>
      <w:r>
        <w:rPr>
          <w:rFonts w:hint="eastAsia" w:ascii="仿宋" w:hAnsi="仿宋" w:eastAsia="仿宋"/>
          <w:b/>
          <w:color w:val="000000"/>
          <w:sz w:val="32"/>
          <w:szCs w:val="32"/>
        </w:rPr>
        <w:t>（三）一般公共预算财政拨款支出决算具体情况</w:t>
      </w:r>
      <w:bookmarkEnd w:id="41"/>
    </w:p>
    <w:p>
      <w:pPr>
        <w:spacing w:line="600" w:lineRule="exact"/>
        <w:ind w:firstLine="643" w:firstLineChars="200"/>
        <w:outlineLvl w:val="2"/>
        <w:rPr>
          <w:rFonts w:ascii="仿宋" w:hAnsi="仿宋" w:eastAsia="仿宋"/>
          <w:color w:val="FF0000"/>
          <w:sz w:val="32"/>
          <w:szCs w:val="32"/>
        </w:rPr>
      </w:pPr>
      <w:bookmarkStart w:id="42" w:name="_Toc15378460"/>
      <w:bookmarkStart w:id="43" w:name="_Toc15377213"/>
      <w:bookmarkStart w:id="44" w:name="_Toc15377444"/>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1518.10</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ascii="仿宋" w:hAnsi="仿宋" w:eastAsia="仿宋"/>
          <w:bCs/>
          <w:color w:val="000000"/>
          <w:sz w:val="32"/>
          <w:szCs w:val="32"/>
        </w:rPr>
        <w:t>100%</w:t>
      </w:r>
      <w:r>
        <w:rPr>
          <w:rStyle w:val="15"/>
          <w:rFonts w:hint="eastAsia" w:ascii="仿宋" w:hAnsi="仿宋" w:eastAsia="仿宋"/>
          <w:bCs/>
          <w:color w:val="000000"/>
          <w:sz w:val="32"/>
          <w:szCs w:val="32"/>
        </w:rPr>
        <w:t>。其中：</w:t>
      </w:r>
      <w:bookmarkEnd w:id="42"/>
      <w:bookmarkEnd w:id="43"/>
      <w:bookmarkEnd w:id="44"/>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教育（类）工资福利支出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1065.6</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widowControl/>
        <w:ind w:firstLine="643" w:firstLineChars="200"/>
        <w:rPr>
          <w:rFonts w:ascii="宋体" w:hAnsi="宋体" w:cs="Arial"/>
          <w:color w:val="000000"/>
          <w:kern w:val="0"/>
          <w:sz w:val="22"/>
          <w:szCs w:val="2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社会保障和就业（类）</w:t>
      </w:r>
      <w:r>
        <w:rPr>
          <w:rFonts w:hint="eastAsia" w:ascii="宋体" w:hAnsi="宋体" w:cs="Arial"/>
          <w:color w:val="000000"/>
          <w:kern w:val="0"/>
          <w:sz w:val="22"/>
          <w:szCs w:val="22"/>
        </w:rPr>
        <w:t xml:space="preserve"> ：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122.62</w:t>
      </w:r>
      <w:r>
        <w:rPr>
          <w:rStyle w:val="15"/>
          <w:rFonts w:hint="eastAsia" w:ascii="仿宋" w:hAnsi="仿宋" w:eastAsia="仿宋"/>
          <w:b w:val="0"/>
          <w:bCs/>
          <w:color w:val="000000"/>
          <w:sz w:val="32"/>
          <w:szCs w:val="32"/>
        </w:rPr>
        <w:t>万元</w:t>
      </w:r>
      <w:r>
        <w:rPr>
          <w:rFonts w:hint="eastAsia" w:ascii="宋体" w:hAnsi="宋体" w:cs="Arial"/>
          <w:color w:val="000000"/>
          <w:kern w:val="0"/>
          <w:sz w:val="22"/>
          <w:szCs w:val="22"/>
        </w:rPr>
        <w:t>。</w:t>
      </w:r>
      <w:r>
        <w:rPr>
          <w:rStyle w:val="15"/>
          <w:rFonts w:hint="eastAsia" w:ascii="仿宋" w:hAnsi="仿宋" w:eastAsia="仿宋"/>
          <w:b w:val="0"/>
          <w:bCs/>
          <w:color w:val="000000"/>
          <w:sz w:val="32"/>
          <w:szCs w:val="32"/>
        </w:rPr>
        <w:t>机关事业单位基本养老保险缴费支出决算为</w:t>
      </w:r>
      <w:r>
        <w:rPr>
          <w:rStyle w:val="15"/>
          <w:rFonts w:hint="eastAsia" w:ascii="仿宋" w:hAnsi="仿宋" w:eastAsia="仿宋"/>
          <w:b w:val="0"/>
          <w:bCs/>
          <w:color w:val="000000"/>
          <w:sz w:val="32"/>
          <w:szCs w:val="32"/>
          <w:lang w:val="en-US" w:eastAsia="zh-CN"/>
        </w:rPr>
        <w:t>121.48</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其他社会保险缴费支出决算为</w:t>
      </w:r>
      <w:r>
        <w:rPr>
          <w:rStyle w:val="15"/>
          <w:rFonts w:hint="eastAsia" w:ascii="仿宋" w:hAnsi="仿宋" w:eastAsia="仿宋"/>
          <w:b w:val="0"/>
          <w:bCs/>
          <w:color w:val="000000"/>
          <w:sz w:val="32"/>
          <w:szCs w:val="32"/>
          <w:lang w:val="en-US" w:eastAsia="zh-CN"/>
        </w:rPr>
        <w:t>1.14万元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Fonts w:ascii="宋体" w:hAnsi="宋体" w:cs="Arial"/>
          <w:color w:val="000000"/>
          <w:kern w:val="0"/>
          <w:sz w:val="22"/>
          <w:szCs w:val="22"/>
        </w:rPr>
        <w:t xml:space="preserve"> </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医疗卫生与计划生育（类）事业单位医疗保险及其他保险：</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39.48</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Fonts w:ascii="仿宋" w:hAnsi="仿宋" w:eastAsia="仿宋"/>
          <w:b/>
          <w:color w:val="000000"/>
          <w:sz w:val="32"/>
          <w:szCs w:val="32"/>
        </w:rPr>
        <w:t xml:space="preserve"> </w:t>
      </w:r>
    </w:p>
    <w:p>
      <w:pPr>
        <w:spacing w:line="600" w:lineRule="exact"/>
        <w:ind w:firstLine="640"/>
        <w:rPr>
          <w:rStyle w:val="15"/>
          <w:rFonts w:ascii="仿宋" w:hAnsi="仿宋" w:eastAsia="仿宋"/>
          <w:b w:val="0"/>
          <w:bCs/>
          <w:color w:val="000000"/>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color w:val="000000"/>
          <w:sz w:val="32"/>
          <w:szCs w:val="32"/>
        </w:rPr>
        <w:t xml:space="preserve"> </w:t>
      </w:r>
      <w:r>
        <w:rPr>
          <w:rStyle w:val="15"/>
          <w:rFonts w:hint="eastAsia" w:ascii="仿宋" w:hAnsi="仿宋" w:eastAsia="仿宋"/>
          <w:bCs/>
          <w:sz w:val="32"/>
          <w:szCs w:val="32"/>
        </w:rPr>
        <w:t>住房保障支出（类）住房公积金：</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77.55</w:t>
      </w:r>
      <w:r>
        <w:rPr>
          <w:rStyle w:val="15"/>
          <w:rFonts w:hint="eastAsia" w:ascii="仿宋" w:hAnsi="仿宋" w:eastAsia="仿宋"/>
          <w:b w:val="0"/>
          <w:bCs/>
          <w:color w:val="000000"/>
          <w:sz w:val="32"/>
          <w:szCs w:val="32"/>
        </w:rPr>
        <w:t>万元。完成预算1</w:t>
      </w:r>
      <w:r>
        <w:rPr>
          <w:rStyle w:val="15"/>
          <w:rFonts w:ascii="仿宋" w:hAnsi="仿宋" w:eastAsia="仿宋"/>
          <w:b w:val="0"/>
          <w:bCs/>
          <w:color w:val="000000"/>
          <w:sz w:val="32"/>
          <w:szCs w:val="32"/>
        </w:rPr>
        <w:t>00%</w:t>
      </w:r>
      <w:r>
        <w:rPr>
          <w:rStyle w:val="15"/>
          <w:rFonts w:hint="eastAsia" w:ascii="仿宋" w:hAnsi="仿宋" w:eastAsia="仿宋"/>
          <w:b w:val="0"/>
          <w:bCs/>
          <w:color w:val="000000"/>
          <w:sz w:val="32"/>
          <w:szCs w:val="32"/>
        </w:rPr>
        <w:t>。</w:t>
      </w:r>
    </w:p>
    <w:p>
      <w:pPr>
        <w:spacing w:line="600" w:lineRule="exact"/>
        <w:ind w:firstLine="640"/>
        <w:rPr>
          <w:rStyle w:val="15"/>
          <w:rFonts w:ascii="仿宋" w:hAnsi="仿宋" w:eastAsia="仿宋"/>
          <w:b w:val="0"/>
          <w:bCs/>
          <w:color w:val="000000"/>
          <w:sz w:val="32"/>
          <w:szCs w:val="32"/>
        </w:rPr>
      </w:pPr>
      <w:r>
        <w:rPr>
          <w:rStyle w:val="15"/>
          <w:rFonts w:hint="eastAsia" w:ascii="仿宋" w:hAnsi="仿宋" w:eastAsia="仿宋"/>
          <w:bCs/>
          <w:sz w:val="32"/>
          <w:szCs w:val="32"/>
        </w:rPr>
        <w:t>5</w:t>
      </w:r>
      <w:r>
        <w:rPr>
          <w:rStyle w:val="15"/>
          <w:rFonts w:ascii="仿宋" w:hAnsi="仿宋" w:eastAsia="仿宋"/>
          <w:bCs/>
          <w:sz w:val="32"/>
          <w:szCs w:val="32"/>
        </w:rPr>
        <w:t>.</w:t>
      </w:r>
      <w:r>
        <w:rPr>
          <w:rStyle w:val="15"/>
          <w:rFonts w:hint="eastAsia" w:ascii="仿宋" w:hAnsi="仿宋" w:eastAsia="仿宋"/>
          <w:bCs/>
          <w:sz w:val="32"/>
          <w:szCs w:val="32"/>
        </w:rPr>
        <w:t>对个人和家庭的补助</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101.40</w:t>
      </w:r>
      <w:r>
        <w:rPr>
          <w:rStyle w:val="15"/>
          <w:rFonts w:hint="eastAsia" w:ascii="仿宋" w:hAnsi="仿宋" w:eastAsia="仿宋"/>
          <w:b w:val="0"/>
          <w:bCs/>
          <w:color w:val="000000"/>
          <w:sz w:val="32"/>
          <w:szCs w:val="32"/>
        </w:rPr>
        <w:t>万元。完成预算1</w:t>
      </w:r>
      <w:r>
        <w:rPr>
          <w:rStyle w:val="15"/>
          <w:rFonts w:ascii="仿宋" w:hAnsi="仿宋" w:eastAsia="仿宋"/>
          <w:b w:val="0"/>
          <w:bCs/>
          <w:color w:val="000000"/>
          <w:sz w:val="32"/>
          <w:szCs w:val="32"/>
        </w:rPr>
        <w:t>00%</w:t>
      </w:r>
      <w:r>
        <w:rPr>
          <w:rStyle w:val="15"/>
          <w:rFonts w:hint="eastAsia" w:ascii="仿宋" w:hAnsi="仿宋" w:eastAsia="仿宋"/>
          <w:b w:val="0"/>
          <w:bCs/>
          <w:color w:val="000000"/>
          <w:sz w:val="32"/>
          <w:szCs w:val="32"/>
        </w:rPr>
        <w:t>。</w:t>
      </w:r>
    </w:p>
    <w:p>
      <w:pPr>
        <w:spacing w:line="600" w:lineRule="exact"/>
        <w:ind w:firstLine="640"/>
        <w:rPr>
          <w:rStyle w:val="15"/>
          <w:rFonts w:ascii="仿宋" w:hAnsi="仿宋" w:eastAsia="仿宋"/>
          <w:b w:val="0"/>
          <w:bCs/>
          <w:color w:val="000000"/>
          <w:sz w:val="32"/>
          <w:szCs w:val="32"/>
        </w:rPr>
      </w:pPr>
      <w:r>
        <w:rPr>
          <w:rStyle w:val="15"/>
          <w:rFonts w:hint="eastAsia" w:ascii="仿宋" w:hAnsi="仿宋" w:eastAsia="仿宋"/>
          <w:bCs/>
          <w:sz w:val="32"/>
          <w:szCs w:val="32"/>
        </w:rPr>
        <w:t>6</w:t>
      </w:r>
      <w:r>
        <w:rPr>
          <w:rStyle w:val="15"/>
          <w:rFonts w:ascii="仿宋" w:hAnsi="仿宋" w:eastAsia="仿宋"/>
          <w:bCs/>
          <w:sz w:val="32"/>
          <w:szCs w:val="32"/>
        </w:rPr>
        <w:t>.</w:t>
      </w:r>
      <w:r>
        <w:rPr>
          <w:rStyle w:val="15"/>
          <w:rFonts w:hint="eastAsia" w:ascii="仿宋" w:hAnsi="仿宋" w:eastAsia="仿宋"/>
          <w:bCs/>
          <w:sz w:val="32"/>
          <w:szCs w:val="32"/>
        </w:rPr>
        <w:t>商品和服务支出：</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165.05</w:t>
      </w:r>
      <w:r>
        <w:rPr>
          <w:rStyle w:val="15"/>
          <w:rFonts w:hint="eastAsia" w:ascii="仿宋" w:hAnsi="仿宋" w:eastAsia="仿宋"/>
          <w:b w:val="0"/>
          <w:bCs/>
          <w:color w:val="000000"/>
          <w:sz w:val="32"/>
          <w:szCs w:val="32"/>
        </w:rPr>
        <w:t>万元。完成预算1</w:t>
      </w:r>
      <w:r>
        <w:rPr>
          <w:rStyle w:val="15"/>
          <w:rFonts w:ascii="仿宋" w:hAnsi="仿宋" w:eastAsia="仿宋"/>
          <w:b w:val="0"/>
          <w:bCs/>
          <w:color w:val="000000"/>
          <w:sz w:val="32"/>
          <w:szCs w:val="32"/>
        </w:rPr>
        <w:t>00%</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45" w:name="_Toc15396608"/>
      <w:bookmarkStart w:id="46"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5"/>
      <w:bookmarkEnd w:id="46"/>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1518.10</w:t>
      </w:r>
      <w:r>
        <w:rPr>
          <w:rFonts w:hint="eastAsia" w:ascii="仿宋" w:hAnsi="仿宋" w:eastAsia="仿宋"/>
          <w:color w:val="000000"/>
          <w:sz w:val="32"/>
          <w:szCs w:val="32"/>
        </w:rPr>
        <w:t>万元，其中：人员经费</w:t>
      </w:r>
      <w:r>
        <w:rPr>
          <w:rFonts w:hint="eastAsia" w:ascii="仿宋" w:hAnsi="仿宋" w:eastAsia="仿宋"/>
          <w:color w:val="000000"/>
          <w:sz w:val="32"/>
          <w:szCs w:val="32"/>
          <w:lang w:val="en-US" w:eastAsia="zh-CN"/>
        </w:rPr>
        <w:t>1353.05</w:t>
      </w:r>
      <w:r>
        <w:rPr>
          <w:rFonts w:hint="eastAsia" w:ascii="仿宋" w:hAnsi="仿宋" w:eastAsia="仿宋"/>
          <w:color w:val="000000"/>
          <w:sz w:val="32"/>
          <w:szCs w:val="32"/>
        </w:rPr>
        <w:t>万元，主要包括：基本工资、津贴补贴、奖金、绩效工资、机关事业单位基本养老保险缴费、职业年金缴费、其他社会保障缴费、抚恤金、生活补助、医疗费、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165.05</w:t>
      </w:r>
      <w:r>
        <w:rPr>
          <w:rFonts w:hint="eastAsia" w:ascii="仿宋" w:hAnsi="仿宋" w:eastAsia="仿宋"/>
          <w:color w:val="000000"/>
          <w:sz w:val="32"/>
          <w:szCs w:val="32"/>
        </w:rPr>
        <w:t>万元，主要包括：办公费、印刷费、水费、电费、邮电费、物业管理费、差旅费、维修（护）费、会议费、培训费、公务接待费、劳务费、工会经费、福利费、其他商品和服务支出、办公设备购置、专用设备购置、其他资本性支出等。</w:t>
      </w:r>
    </w:p>
    <w:p>
      <w:pPr>
        <w:spacing w:line="600" w:lineRule="exact"/>
        <w:ind w:firstLine="640"/>
        <w:outlineLvl w:val="1"/>
        <w:rPr>
          <w:rStyle w:val="26"/>
          <w:rFonts w:ascii="黑体" w:hAnsi="黑体" w:eastAsia="黑体"/>
          <w:b w:val="0"/>
        </w:rPr>
      </w:pPr>
      <w:bookmarkStart w:id="47" w:name="_Toc15396609"/>
      <w:bookmarkStart w:id="48"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7"/>
      <w:bookmarkEnd w:id="48"/>
    </w:p>
    <w:p>
      <w:pPr>
        <w:spacing w:line="600" w:lineRule="exact"/>
        <w:ind w:firstLine="640"/>
        <w:outlineLvl w:val="2"/>
        <w:rPr>
          <w:rFonts w:ascii="仿宋" w:hAnsi="仿宋" w:eastAsia="仿宋"/>
          <w:b/>
          <w:color w:val="000000"/>
          <w:sz w:val="32"/>
          <w:szCs w:val="32"/>
        </w:rPr>
      </w:pPr>
      <w:bookmarkStart w:id="49" w:name="_Toc15377216"/>
      <w:r>
        <w:rPr>
          <w:rFonts w:hint="eastAsia" w:ascii="仿宋" w:hAnsi="仿宋" w:eastAsia="仿宋"/>
          <w:b/>
          <w:color w:val="000000"/>
          <w:sz w:val="32"/>
          <w:szCs w:val="32"/>
        </w:rPr>
        <w:t>（一）“三公”经费财政拨款支出决算总体情况说明</w:t>
      </w:r>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1.</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50" w:name="_Toc15377217"/>
      <w:r>
        <w:rPr>
          <w:rFonts w:hint="eastAsia" w:ascii="仿宋" w:hAnsi="仿宋" w:eastAsia="仿宋"/>
          <w:b/>
          <w:color w:val="000000"/>
          <w:sz w:val="32"/>
          <w:szCs w:val="32"/>
        </w:rPr>
        <w:t>（二）“三公”经费财政拨款支出决算具体情况说明</w:t>
      </w:r>
      <w:bookmarkEnd w:id="50"/>
    </w:p>
    <w:p>
      <w:pPr>
        <w:spacing w:line="600" w:lineRule="exact"/>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1.</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58240" behindDoc="0" locked="0" layoutInCell="1" allowOverlap="1">
            <wp:simplePos x="0" y="0"/>
            <wp:positionH relativeFrom="margin">
              <wp:posOffset>130810</wp:posOffset>
            </wp:positionH>
            <wp:positionV relativeFrom="paragraph">
              <wp:posOffset>344805</wp:posOffset>
            </wp:positionV>
            <wp:extent cx="5274310" cy="3076575"/>
            <wp:effectExtent l="0" t="0" r="2540" b="9525"/>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rPr>
          <w:rFonts w:ascii="仿宋_GB2312" w:eastAsia="仿宋_GB2312"/>
          <w:b/>
          <w:color w:val="000000"/>
          <w:sz w:val="32"/>
          <w:szCs w:val="32"/>
        </w:rPr>
      </w:pPr>
      <w:r>
        <w:rPr>
          <w:rFonts w:hint="eastAsia" w:ascii="仿宋_GB2312" w:eastAsia="仿宋_GB2312"/>
          <w:b/>
          <w:color w:val="000000"/>
          <w:sz w:val="32"/>
          <w:szCs w:val="32"/>
        </w:rPr>
        <w:t>（1）因公出国（境）经费</w:t>
      </w:r>
    </w:p>
    <w:p>
      <w:pPr>
        <w:spacing w:line="600" w:lineRule="exact"/>
        <w:ind w:firstLine="803" w:firstLineChars="250"/>
        <w:rPr>
          <w:rFonts w:ascii="仿宋_GB2312" w:eastAsia="仿宋_GB2312"/>
          <w:color w:val="000000"/>
          <w:sz w:val="32"/>
          <w:szCs w:val="32"/>
        </w:rPr>
      </w:pPr>
      <w:r>
        <w:rPr>
          <w:rFonts w:hint="eastAsia" w:ascii="仿宋_GB2312" w:eastAsia="仿宋_GB2312"/>
          <w:b/>
          <w:color w:val="000000"/>
          <w:sz w:val="32"/>
          <w:szCs w:val="32"/>
        </w:rPr>
        <w:t>201</w:t>
      </w:r>
      <w:r>
        <w:rPr>
          <w:rFonts w:hint="eastAsia" w:ascii="仿宋_GB2312" w:eastAsia="仿宋_GB2312"/>
          <w:b/>
          <w:color w:val="000000"/>
          <w:sz w:val="32"/>
          <w:szCs w:val="32"/>
          <w:lang w:val="en-US" w:eastAsia="zh-CN"/>
        </w:rPr>
        <w:t>9</w:t>
      </w:r>
      <w:r>
        <w:rPr>
          <w:rFonts w:hint="eastAsia" w:ascii="仿宋_GB2312" w:eastAsia="仿宋_GB2312"/>
          <w:b/>
          <w:color w:val="000000"/>
          <w:sz w:val="32"/>
          <w:szCs w:val="32"/>
        </w:rPr>
        <w:t>年本单位没有因公出国境。</w:t>
      </w:r>
    </w:p>
    <w:p>
      <w:pPr>
        <w:spacing w:line="600" w:lineRule="exact"/>
        <w:rPr>
          <w:rFonts w:ascii="仿宋_GB2312" w:eastAsia="仿宋_GB2312"/>
          <w:b/>
          <w:color w:val="000000"/>
          <w:sz w:val="32"/>
          <w:szCs w:val="32"/>
        </w:rPr>
      </w:pPr>
      <w:r>
        <w:rPr>
          <w:rFonts w:hint="eastAsia" w:ascii="仿宋_GB2312" w:eastAsia="仿宋_GB2312"/>
          <w:b/>
          <w:color w:val="000000"/>
          <w:sz w:val="32"/>
          <w:szCs w:val="32"/>
        </w:rPr>
        <w:t>（</w:t>
      </w: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w:t>
      </w:r>
    </w:p>
    <w:p>
      <w:pPr>
        <w:spacing w:line="600" w:lineRule="exact"/>
        <w:ind w:firstLine="803" w:firstLineChars="250"/>
        <w:rPr>
          <w:rFonts w:ascii="仿宋_GB2312" w:eastAsia="仿宋_GB2312"/>
          <w:color w:val="000000"/>
          <w:sz w:val="32"/>
          <w:szCs w:val="32"/>
        </w:rPr>
      </w:pPr>
      <w:r>
        <w:rPr>
          <w:rFonts w:hint="eastAsia" w:ascii="仿宋_GB2312" w:eastAsia="仿宋_GB2312"/>
          <w:b/>
          <w:color w:val="000000"/>
          <w:sz w:val="32"/>
          <w:szCs w:val="32"/>
        </w:rPr>
        <w:t>单位没有公务用车。</w:t>
      </w:r>
    </w:p>
    <w:p>
      <w:pPr>
        <w:spacing w:line="600" w:lineRule="exact"/>
        <w:rPr>
          <w:rFonts w:ascii="仿宋_GB2312" w:eastAsia="仿宋_GB2312"/>
          <w:b/>
          <w:color w:val="000000"/>
          <w:sz w:val="32"/>
          <w:szCs w:val="32"/>
        </w:rPr>
      </w:pPr>
      <w:r>
        <w:rPr>
          <w:rFonts w:hint="eastAsia" w:ascii="仿宋_GB2312" w:eastAsia="仿宋_GB2312"/>
          <w:b/>
          <w:color w:val="000000"/>
          <w:sz w:val="32"/>
          <w:szCs w:val="32"/>
        </w:rPr>
        <w:t>（2）公务接待费</w:t>
      </w:r>
    </w:p>
    <w:p>
      <w:pPr>
        <w:spacing w:line="600" w:lineRule="exact"/>
        <w:ind w:firstLine="803" w:firstLineChars="250"/>
        <w:rPr>
          <w:rFonts w:ascii="黑体" w:eastAsia="黑体"/>
          <w:color w:val="000000"/>
          <w:sz w:val="32"/>
          <w:szCs w:val="32"/>
        </w:rPr>
      </w:pPr>
      <w:r>
        <w:rPr>
          <w:rFonts w:hint="eastAsia" w:ascii="仿宋_GB2312" w:eastAsia="仿宋_GB2312"/>
          <w:b/>
          <w:color w:val="000000"/>
          <w:sz w:val="32"/>
          <w:szCs w:val="32"/>
        </w:rPr>
        <w:t>201</w:t>
      </w:r>
      <w:r>
        <w:rPr>
          <w:rFonts w:hint="eastAsia" w:ascii="仿宋_GB2312" w:eastAsia="仿宋_GB2312"/>
          <w:b/>
          <w:color w:val="000000"/>
          <w:sz w:val="32"/>
          <w:szCs w:val="32"/>
          <w:lang w:val="en-US" w:eastAsia="zh-CN"/>
        </w:rPr>
        <w:t>9</w:t>
      </w:r>
      <w:r>
        <w:rPr>
          <w:rFonts w:hint="eastAsia" w:ascii="仿宋_GB2312" w:eastAsia="仿宋_GB2312"/>
          <w:b/>
          <w:color w:val="000000"/>
          <w:sz w:val="32"/>
          <w:szCs w:val="32"/>
        </w:rPr>
        <w:t>年公务接待费1.</w:t>
      </w:r>
      <w:r>
        <w:rPr>
          <w:rFonts w:hint="eastAsia" w:ascii="仿宋_GB2312" w:eastAsia="仿宋_GB2312"/>
          <w:b/>
          <w:color w:val="000000"/>
          <w:sz w:val="32"/>
          <w:szCs w:val="32"/>
          <w:lang w:val="en-US" w:eastAsia="zh-CN"/>
        </w:rPr>
        <w:t>5</w:t>
      </w:r>
      <w:r>
        <w:rPr>
          <w:rFonts w:hint="eastAsia" w:ascii="仿宋_GB2312" w:eastAsia="仿宋_GB2312"/>
          <w:b/>
          <w:color w:val="000000"/>
          <w:sz w:val="32"/>
          <w:szCs w:val="32"/>
        </w:rPr>
        <w:t>万元。201</w:t>
      </w:r>
      <w:r>
        <w:rPr>
          <w:rFonts w:hint="eastAsia" w:ascii="仿宋_GB2312" w:eastAsia="仿宋_GB2312"/>
          <w:b/>
          <w:color w:val="000000"/>
          <w:sz w:val="32"/>
          <w:szCs w:val="32"/>
          <w:lang w:val="en-US" w:eastAsia="zh-CN"/>
        </w:rPr>
        <w:t>9</w:t>
      </w:r>
      <w:r>
        <w:rPr>
          <w:rFonts w:hint="eastAsia" w:ascii="仿宋_GB2312" w:eastAsia="仿宋_GB2312"/>
          <w:b/>
          <w:color w:val="000000"/>
          <w:sz w:val="32"/>
          <w:szCs w:val="32"/>
        </w:rPr>
        <w:t>年公务接待费主要用于执行公务、开展业务活动开支的交通费、住宿费、用餐费等。国内公务接待</w:t>
      </w:r>
      <w:r>
        <w:rPr>
          <w:rFonts w:hint="eastAsia" w:ascii="仿宋_GB2312" w:eastAsia="仿宋_GB2312"/>
          <w:b/>
          <w:color w:val="000000"/>
          <w:sz w:val="32"/>
          <w:szCs w:val="32"/>
          <w:lang w:val="en-US" w:eastAsia="zh-CN"/>
        </w:rPr>
        <w:t>86</w:t>
      </w:r>
      <w:r>
        <w:rPr>
          <w:rFonts w:hint="eastAsia" w:ascii="仿宋_GB2312" w:eastAsia="仿宋_GB2312"/>
          <w:b/>
          <w:color w:val="000000"/>
          <w:sz w:val="32"/>
          <w:szCs w:val="32"/>
        </w:rPr>
        <w:t>批次，1</w:t>
      </w:r>
      <w:r>
        <w:rPr>
          <w:rFonts w:hint="eastAsia" w:ascii="仿宋_GB2312" w:eastAsia="仿宋_GB2312"/>
          <w:b/>
          <w:color w:val="000000"/>
          <w:sz w:val="32"/>
          <w:szCs w:val="32"/>
          <w:lang w:val="en-US" w:eastAsia="zh-CN"/>
        </w:rPr>
        <w:t>75</w:t>
      </w:r>
      <w:r>
        <w:rPr>
          <w:rFonts w:hint="eastAsia" w:ascii="仿宋_GB2312" w:eastAsia="仿宋_GB2312"/>
          <w:b/>
          <w:color w:val="000000"/>
          <w:sz w:val="32"/>
          <w:szCs w:val="32"/>
        </w:rPr>
        <w:t>人次，共计支出1.</w:t>
      </w:r>
      <w:r>
        <w:rPr>
          <w:rFonts w:hint="eastAsia" w:ascii="仿宋_GB2312" w:eastAsia="仿宋_GB2312"/>
          <w:b/>
          <w:color w:val="000000"/>
          <w:sz w:val="32"/>
          <w:szCs w:val="32"/>
          <w:lang w:val="en-US" w:eastAsia="zh-CN"/>
        </w:rPr>
        <w:t>5</w:t>
      </w:r>
      <w:r>
        <w:rPr>
          <w:rFonts w:hint="eastAsia" w:ascii="仿宋_GB2312" w:eastAsia="仿宋_GB2312"/>
          <w:b/>
          <w:color w:val="000000"/>
          <w:sz w:val="32"/>
          <w:szCs w:val="32"/>
        </w:rPr>
        <w:t>万元。</w:t>
      </w:r>
    </w:p>
    <w:p>
      <w:pPr>
        <w:spacing w:line="600" w:lineRule="exact"/>
        <w:ind w:firstLine="640"/>
        <w:outlineLvl w:val="1"/>
        <w:rPr>
          <w:rStyle w:val="26"/>
          <w:rFonts w:ascii="黑体" w:hAnsi="黑体" w:eastAsia="黑体"/>
        </w:rPr>
      </w:pPr>
      <w:bookmarkStart w:id="51" w:name="_Toc15377218"/>
      <w:bookmarkStart w:id="52"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51"/>
      <w:bookmarkEnd w:id="5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年政府性基金预算拨款支出0万元。</w:t>
      </w:r>
    </w:p>
    <w:p>
      <w:pPr>
        <w:numPr>
          <w:ilvl w:val="0"/>
          <w:numId w:val="2"/>
        </w:numPr>
        <w:spacing w:line="600" w:lineRule="exact"/>
        <w:ind w:firstLine="640"/>
        <w:outlineLvl w:val="1"/>
        <w:rPr>
          <w:rStyle w:val="26"/>
          <w:rFonts w:ascii="黑体" w:hAnsi="黑体" w:eastAsia="黑体"/>
          <w:b w:val="0"/>
        </w:rPr>
      </w:pPr>
      <w:bookmarkStart w:id="53" w:name="_Toc15396611"/>
      <w:bookmarkStart w:id="54" w:name="_Toc15377219"/>
      <w:r>
        <w:rPr>
          <w:rStyle w:val="26"/>
          <w:rFonts w:hint="eastAsia" w:ascii="黑体" w:hAnsi="黑体" w:eastAsia="黑体"/>
          <w:b w:val="0"/>
        </w:rPr>
        <w:t>国有资本经营预算支出决算情况说明</w:t>
      </w:r>
      <w:bookmarkEnd w:id="53"/>
      <w:bookmarkEnd w:id="5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年部门整体支出开展绩效自评，从评价情况来看全面完成了预算执行，达到了预期效果。</w:t>
      </w:r>
      <w:r>
        <w:rPr>
          <w:rFonts w:ascii="仿宋_GB2312" w:hAnsi="仿宋_GB2312" w:eastAsia="仿宋_GB2312" w:cs="仿宋_GB2312"/>
          <w:sz w:val="32"/>
          <w:szCs w:val="32"/>
        </w:rPr>
        <w:t xml:space="preserve"> </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年度无项目执行情况。</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年部门整体支出绩效评价情况开展自评，《开江县长岭镇中心小学校201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6"/>
          <w:rFonts w:ascii="黑体" w:hAnsi="黑体" w:eastAsia="黑体"/>
        </w:rPr>
      </w:pPr>
      <w:bookmarkStart w:id="55" w:name="_Toc15396612"/>
      <w:bookmarkStart w:id="56"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5"/>
      <w:bookmarkEnd w:id="56"/>
    </w:p>
    <w:p>
      <w:pPr>
        <w:spacing w:line="600" w:lineRule="exact"/>
        <w:ind w:firstLine="643" w:firstLineChars="200"/>
        <w:outlineLvl w:val="2"/>
        <w:rPr>
          <w:rFonts w:ascii="仿宋" w:hAnsi="仿宋" w:eastAsia="仿宋"/>
          <w:color w:val="000000"/>
          <w:sz w:val="32"/>
          <w:szCs w:val="32"/>
        </w:rPr>
      </w:pPr>
      <w:bookmarkStart w:id="57" w:name="_Toc15377222"/>
      <w:r>
        <w:rPr>
          <w:rFonts w:hint="eastAsia" w:ascii="仿宋" w:hAnsi="仿宋" w:eastAsia="仿宋"/>
          <w:b/>
          <w:color w:val="000000"/>
          <w:sz w:val="32"/>
          <w:szCs w:val="32"/>
        </w:rPr>
        <w:t>（一）机关运行经费支出情况</w:t>
      </w:r>
      <w:bookmarkEnd w:id="57"/>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3"/>
      <w:r>
        <w:rPr>
          <w:rFonts w:hint="eastAsia" w:ascii="仿宋" w:hAnsi="仿宋" w:eastAsia="仿宋"/>
          <w:b/>
          <w:color w:val="000000"/>
          <w:sz w:val="32"/>
          <w:szCs w:val="32"/>
        </w:rPr>
        <w:t>（二）政府采购支出情况</w:t>
      </w:r>
      <w:bookmarkEnd w:id="58"/>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w:t>
      </w:r>
      <w:r>
        <w:rPr>
          <w:rFonts w:ascii="仿宋_GB2312" w:eastAsia="仿宋_GB2312"/>
          <w:color w:val="000000"/>
          <w:sz w:val="32"/>
          <w:szCs w:val="32"/>
        </w:rPr>
        <w:t>单位无此项支出</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9" w:name="_Toc15377224"/>
      <w:r>
        <w:rPr>
          <w:rFonts w:hint="eastAsia" w:ascii="仿宋" w:hAnsi="仿宋" w:eastAsia="仿宋"/>
          <w:b/>
          <w:color w:val="000000"/>
          <w:sz w:val="32"/>
          <w:szCs w:val="32"/>
        </w:rPr>
        <w:t>（三）国有资产占有使用情况</w:t>
      </w:r>
      <w:bookmarkEnd w:id="59"/>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日，本单位无国有资产占有使用情况。</w:t>
      </w:r>
    </w:p>
    <w:p>
      <w:pPr>
        <w:rPr>
          <w:rFonts w:ascii="仿宋_GB2312"/>
          <w:color w:val="000000"/>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9960"/>
      </w:tblGrid>
      <w:tr>
        <w:tblPrEx>
          <w:tblCellMar>
            <w:top w:w="0" w:type="dxa"/>
            <w:left w:w="0" w:type="dxa"/>
            <w:bottom w:w="0" w:type="dxa"/>
            <w:right w:w="0" w:type="dxa"/>
          </w:tblCellMar>
        </w:tblPrEx>
        <w:trPr>
          <w:trHeight w:val="1034" w:hRule="atLeast"/>
        </w:trPr>
        <w:tc>
          <w:tcPr>
            <w:tcW w:w="9960" w:type="dxa"/>
            <w:tcMar>
              <w:top w:w="15" w:type="dxa"/>
              <w:left w:w="15" w:type="dxa"/>
              <w:bottom w:w="0" w:type="dxa"/>
              <w:right w:w="15" w:type="dxa"/>
            </w:tcMar>
            <w:vAlign w:val="center"/>
          </w:tcPr>
          <w:p>
            <w:pPr>
              <w:jc w:val="center"/>
              <w:rPr>
                <w:rFonts w:ascii="黑体" w:hAnsi="黑体" w:eastAsia="黑体"/>
                <w:color w:val="000000"/>
                <w:sz w:val="32"/>
                <w:szCs w:val="32"/>
              </w:rPr>
            </w:pPr>
          </w:p>
          <w:p>
            <w:pPr>
              <w:pStyle w:val="24"/>
              <w:widowControl/>
              <w:ind w:left="4173" w:leftChars="1310" w:hanging="1422" w:hangingChars="395"/>
              <w:textAlignment w:val="center"/>
              <w:rPr>
                <w:rFonts w:ascii="黑体" w:hAnsi="黑体" w:eastAsia="黑体" w:cs="宋体"/>
                <w:bCs/>
                <w:color w:val="000000"/>
                <w:kern w:val="0"/>
                <w:sz w:val="36"/>
                <w:szCs w:val="36"/>
                <w:lang w:bidi="ar"/>
              </w:rPr>
            </w:pPr>
          </w:p>
          <w:p>
            <w:pPr>
              <w:pStyle w:val="24"/>
              <w:widowControl/>
              <w:ind w:left="4173" w:leftChars="1310" w:hanging="1422" w:hangingChars="395"/>
              <w:textAlignment w:val="center"/>
              <w:rPr>
                <w:rFonts w:ascii="宋体" w:hAnsi="宋体" w:cs="宋体"/>
                <w:color w:val="000000"/>
                <w:sz w:val="36"/>
                <w:szCs w:val="36"/>
              </w:rPr>
            </w:pPr>
          </w:p>
        </w:tc>
      </w:tr>
    </w:tbl>
    <w:p>
      <w:pPr>
        <w:widowControl/>
        <w:jc w:val="left"/>
        <w:rPr>
          <w:rFonts w:ascii="仿宋_GB2312" w:eastAsia="仿宋_GB2312"/>
          <w:b/>
          <w:color w:val="000000"/>
          <w:sz w:val="32"/>
          <w:szCs w:val="32"/>
        </w:rPr>
      </w:pPr>
    </w:p>
    <w:p>
      <w:pPr>
        <w:numPr>
          <w:ilvl w:val="0"/>
          <w:numId w:val="5"/>
        </w:numPr>
        <w:spacing w:line="600" w:lineRule="exact"/>
        <w:ind w:firstLine="663" w:firstLineChars="150"/>
        <w:jc w:val="center"/>
        <w:outlineLvl w:val="0"/>
        <w:rPr>
          <w:rFonts w:ascii="黑体" w:hAnsi="黑体" w:eastAsia="黑体"/>
          <w:bCs/>
          <w:kern w:val="44"/>
          <w:sz w:val="44"/>
          <w:szCs w:val="44"/>
        </w:rPr>
      </w:pPr>
      <w:bookmarkStart w:id="60" w:name="_Toc15396613"/>
      <w:bookmarkStart w:id="61"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60"/>
      <w:bookmarkEnd w:id="61"/>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其他收入：指单位取得的除上述收入以外的各项。</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 xml:space="preserve">5. </w:t>
      </w:r>
      <w:r>
        <w:rPr>
          <w:rFonts w:hint="eastAsia" w:ascii="仿宋_GB2312" w:eastAsia="仿宋_GB2312"/>
          <w:sz w:val="32"/>
          <w:szCs w:val="32"/>
        </w:rPr>
        <w:t>年末结转和结余：指单位按有关规定结转到下年或以后年度继续使用的资金。</w:t>
      </w:r>
      <w:r>
        <w:rPr>
          <w:rFonts w:ascii="仿宋_GB2312" w:eastAsia="仿宋_GB2312"/>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800" w:firstLineChars="250"/>
        <w:jc w:val="left"/>
        <w:outlineLvl w:val="0"/>
        <w:rPr>
          <w:rFonts w:ascii="黑体" w:hAnsi="黑体" w:eastAsia="黑体"/>
          <w:color w:val="000000"/>
          <w:sz w:val="44"/>
          <w:szCs w:val="44"/>
        </w:rPr>
      </w:pPr>
      <w:r>
        <w:rPr>
          <w:rFonts w:ascii="仿宋_GB2312" w:eastAsia="仿宋_GB2312"/>
          <w:sz w:val="32"/>
          <w:szCs w:val="32"/>
        </w:rPr>
        <w:t>9.</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黑体" w:hAnsi="黑体" w:eastAsia="黑体"/>
          <w:color w:val="000000"/>
          <w:sz w:val="44"/>
          <w:szCs w:val="44"/>
        </w:rPr>
        <w:t xml:space="preserve"> </w:t>
      </w: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p>
    <w:p>
      <w:pPr>
        <w:spacing w:line="600" w:lineRule="exact"/>
        <w:jc w:val="center"/>
        <w:outlineLvl w:val="0"/>
        <w:rPr>
          <w:rStyle w:val="25"/>
        </w:rPr>
      </w:pPr>
    </w:p>
    <w:p>
      <w:pPr>
        <w:pStyle w:val="3"/>
        <w:rPr>
          <w:rStyle w:val="25"/>
          <w:rFonts w:ascii="仿宋" w:hAnsi="仿宋" w:eastAsia="仿宋"/>
          <w:b w:val="0"/>
          <w:bCs w:val="0"/>
          <w:sz w:val="32"/>
          <w:szCs w:val="32"/>
        </w:rPr>
      </w:pPr>
      <w:bookmarkStart w:id="62" w:name="_Toc15396615"/>
      <w:r>
        <w:rPr>
          <w:rStyle w:val="25"/>
          <w:rFonts w:hint="eastAsia" w:ascii="仿宋" w:hAnsi="仿宋" w:eastAsia="仿宋"/>
          <w:b w:val="0"/>
          <w:bCs w:val="0"/>
          <w:sz w:val="32"/>
          <w:szCs w:val="32"/>
        </w:rPr>
        <w:t>附件1</w:t>
      </w:r>
      <w:bookmarkEnd w:id="62"/>
    </w:p>
    <w:p>
      <w:pPr>
        <w:spacing w:line="600" w:lineRule="exact"/>
        <w:jc w:val="center"/>
        <w:outlineLvl w:val="0"/>
        <w:rPr>
          <w:rFonts w:ascii="黑体" w:hAnsi="黑体" w:eastAsia="黑体" w:cs="方正小标宋简体"/>
          <w:sz w:val="36"/>
          <w:szCs w:val="36"/>
        </w:rPr>
      </w:pPr>
      <w:bookmarkStart w:id="63" w:name="_Toc15396616"/>
      <w:r>
        <w:rPr>
          <w:rFonts w:hint="eastAsia" w:ascii="黑体" w:hAnsi="黑体" w:eastAsia="黑体" w:cs="方正小标宋简体"/>
          <w:sz w:val="36"/>
          <w:szCs w:val="36"/>
        </w:rPr>
        <w:t>开江县长岭镇中心小学校</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63"/>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widowControl/>
        <w:spacing w:line="480" w:lineRule="auto"/>
        <w:ind w:firstLine="800" w:firstLineChars="250"/>
        <w:rPr>
          <w:rFonts w:ascii="仿宋" w:hAnsi="仿宋" w:eastAsia="仿宋"/>
          <w:color w:val="000000"/>
          <w:sz w:val="32"/>
          <w:szCs w:val="32"/>
        </w:rPr>
      </w:pPr>
      <w:r>
        <w:rPr>
          <w:rFonts w:hint="eastAsia" w:ascii="仿宋" w:hAnsi="仿宋" w:eastAsia="仿宋"/>
          <w:color w:val="000000"/>
          <w:sz w:val="32"/>
          <w:szCs w:val="32"/>
        </w:rPr>
        <w:t>我校是一所农村义务教育学校，位于长岭镇正街2</w:t>
      </w:r>
      <w:r>
        <w:rPr>
          <w:rFonts w:ascii="仿宋" w:hAnsi="仿宋" w:eastAsia="仿宋"/>
          <w:color w:val="000000"/>
          <w:sz w:val="32"/>
          <w:szCs w:val="32"/>
        </w:rPr>
        <w:t>5</w:t>
      </w:r>
      <w:r>
        <w:rPr>
          <w:rFonts w:hint="eastAsia" w:ascii="仿宋" w:hAnsi="仿宋" w:eastAsia="仿宋"/>
          <w:color w:val="000000"/>
          <w:sz w:val="32"/>
          <w:szCs w:val="32"/>
        </w:rPr>
        <w:t>号，辖区目前有中山坪、天马头、肖公庙、高塘坝四所村级小学。</w:t>
      </w:r>
    </w:p>
    <w:p>
      <w:pPr>
        <w:widowControl/>
        <w:spacing w:line="480" w:lineRule="auto"/>
        <w:ind w:firstLine="480"/>
        <w:rPr>
          <w:rFonts w:ascii="仿宋" w:hAnsi="仿宋" w:eastAsia="仿宋"/>
          <w:color w:val="000000"/>
          <w:sz w:val="32"/>
          <w:szCs w:val="32"/>
        </w:rPr>
      </w:pPr>
      <w:r>
        <w:rPr>
          <w:rFonts w:hint="eastAsia" w:ascii="仿宋" w:hAnsi="仿宋" w:eastAsia="仿宋"/>
          <w:color w:val="000000"/>
          <w:sz w:val="32"/>
          <w:szCs w:val="32"/>
        </w:rPr>
        <w:t>单位职责主要是实施小学义务教育，促进教育事业发展。</w:t>
      </w:r>
    </w:p>
    <w:p>
      <w:pPr>
        <w:widowControl/>
        <w:spacing w:line="480" w:lineRule="auto"/>
        <w:ind w:firstLine="480"/>
        <w:rPr>
          <w:rFonts w:ascii="仿宋" w:hAnsi="仿宋" w:eastAsia="仿宋"/>
          <w:color w:val="000000"/>
          <w:sz w:val="32"/>
          <w:szCs w:val="32"/>
        </w:rPr>
      </w:pPr>
      <w:r>
        <w:rPr>
          <w:rFonts w:hint="eastAsia" w:ascii="仿宋" w:hAnsi="仿宋" w:eastAsia="仿宋"/>
          <w:color w:val="000000"/>
          <w:sz w:val="32"/>
          <w:szCs w:val="32"/>
        </w:rPr>
        <w:t>我校是独立核算的财政全额拨款事业单位，执行政府会计制度，编制部门给我校核定事业编制</w:t>
      </w:r>
      <w:r>
        <w:rPr>
          <w:rFonts w:ascii="仿宋" w:hAnsi="仿宋" w:eastAsia="仿宋"/>
          <w:color w:val="000000"/>
          <w:sz w:val="32"/>
          <w:szCs w:val="32"/>
        </w:rPr>
        <w:t>101</w:t>
      </w:r>
      <w:r>
        <w:rPr>
          <w:rFonts w:hint="eastAsia" w:ascii="仿宋" w:hAnsi="仿宋" w:eastAsia="仿宋"/>
          <w:color w:val="000000"/>
          <w:sz w:val="32"/>
          <w:szCs w:val="32"/>
        </w:rPr>
        <w:t>个，201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年末我校共有在职教职员工</w:t>
      </w:r>
      <w:r>
        <w:rPr>
          <w:rFonts w:hint="eastAsia" w:ascii="仿宋" w:hAnsi="仿宋" w:eastAsia="仿宋"/>
          <w:color w:val="000000"/>
          <w:sz w:val="32"/>
          <w:szCs w:val="32"/>
          <w:lang w:val="en-US" w:eastAsia="zh-CN"/>
        </w:rPr>
        <w:t>103</w:t>
      </w:r>
      <w:r>
        <w:rPr>
          <w:rFonts w:hint="eastAsia" w:ascii="仿宋" w:hAnsi="仿宋" w:eastAsia="仿宋"/>
          <w:color w:val="000000"/>
          <w:sz w:val="32"/>
          <w:szCs w:val="32"/>
        </w:rPr>
        <w:t>人</w:t>
      </w:r>
      <w:r>
        <w:rPr>
          <w:rFonts w:hint="eastAsia" w:ascii="仿宋" w:hAnsi="仿宋" w:eastAsia="仿宋"/>
          <w:color w:val="000000"/>
          <w:sz w:val="32"/>
          <w:szCs w:val="32"/>
          <w:lang w:eastAsia="zh-CN"/>
        </w:rPr>
        <w:t>（含特岗教师和代民师），</w:t>
      </w:r>
      <w:r>
        <w:rPr>
          <w:rFonts w:hint="eastAsia" w:ascii="仿宋" w:hAnsi="仿宋" w:eastAsia="仿宋"/>
          <w:color w:val="000000"/>
          <w:sz w:val="32"/>
          <w:szCs w:val="32"/>
        </w:rPr>
        <w:t>退休8</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人。</w:t>
      </w:r>
    </w:p>
    <w:p>
      <w:pPr>
        <w:widowControl/>
        <w:spacing w:line="480" w:lineRule="auto"/>
        <w:ind w:firstLine="480"/>
        <w:rPr>
          <w:rFonts w:ascii="仿宋" w:hAnsi="仿宋" w:eastAsia="仿宋"/>
          <w:color w:val="000000"/>
          <w:sz w:val="32"/>
          <w:szCs w:val="32"/>
        </w:rPr>
      </w:pPr>
      <w:r>
        <w:rPr>
          <w:rFonts w:hint="eastAsia" w:ascii="仿宋" w:hAnsi="仿宋" w:eastAsia="仿宋"/>
          <w:color w:val="000000"/>
          <w:sz w:val="32"/>
          <w:szCs w:val="32"/>
        </w:rPr>
        <w:t>我校共有</w:t>
      </w:r>
      <w:r>
        <w:rPr>
          <w:rFonts w:ascii="仿宋" w:hAnsi="仿宋" w:eastAsia="仿宋"/>
          <w:color w:val="000000"/>
          <w:sz w:val="32"/>
          <w:szCs w:val="32"/>
        </w:rPr>
        <w:t>38</w:t>
      </w:r>
      <w:r>
        <w:rPr>
          <w:rFonts w:hint="eastAsia" w:ascii="仿宋" w:hAnsi="仿宋" w:eastAsia="仿宋"/>
          <w:color w:val="000000"/>
          <w:sz w:val="32"/>
          <w:szCs w:val="32"/>
        </w:rPr>
        <w:t>个教学班，</w:t>
      </w:r>
      <w:r>
        <w:rPr>
          <w:rFonts w:hint="eastAsia" w:ascii="仿宋" w:hAnsi="仿宋" w:eastAsia="仿宋"/>
          <w:color w:val="000000"/>
          <w:sz w:val="32"/>
          <w:szCs w:val="32"/>
          <w:lang w:val="en-US" w:eastAsia="zh-CN"/>
        </w:rPr>
        <w:t>1596</w:t>
      </w:r>
      <w:r>
        <w:rPr>
          <w:rFonts w:hint="eastAsia" w:ascii="仿宋" w:hAnsi="仿宋" w:eastAsia="仿宋"/>
          <w:color w:val="000000"/>
          <w:sz w:val="32"/>
          <w:szCs w:val="32"/>
        </w:rPr>
        <w:t>名学生。</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widowControl/>
        <w:ind w:firstLine="1280" w:firstLineChars="4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1923.39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1305.92</w:t>
      </w:r>
      <w:r>
        <w:rPr>
          <w:rFonts w:hint="eastAsia" w:ascii="仿宋" w:hAnsi="仿宋" w:eastAsia="仿宋"/>
          <w:color w:val="000000"/>
          <w:sz w:val="32"/>
          <w:szCs w:val="32"/>
        </w:rPr>
        <w:t>万元，占</w:t>
      </w:r>
      <w:r>
        <w:rPr>
          <w:rFonts w:ascii="仿宋" w:hAnsi="仿宋" w:eastAsia="仿宋"/>
          <w:color w:val="000000"/>
          <w:sz w:val="32"/>
          <w:szCs w:val="32"/>
        </w:rPr>
        <w:t>6</w:t>
      </w:r>
      <w:r>
        <w:rPr>
          <w:rFonts w:hint="eastAsia" w:ascii="仿宋" w:hAnsi="仿宋" w:eastAsia="仿宋"/>
          <w:color w:val="000000"/>
          <w:sz w:val="32"/>
          <w:szCs w:val="32"/>
          <w:lang w:val="en-US" w:eastAsia="zh-CN"/>
        </w:rPr>
        <w:t>8</w:t>
      </w:r>
      <w:r>
        <w:rPr>
          <w:rFonts w:ascii="仿宋" w:hAnsi="仿宋" w:eastAsia="仿宋"/>
          <w:color w:val="000000"/>
          <w:sz w:val="32"/>
          <w:szCs w:val="32"/>
        </w:rPr>
        <w:t>%</w:t>
      </w:r>
      <w:r>
        <w:rPr>
          <w:rFonts w:hint="eastAsia" w:ascii="仿宋" w:hAnsi="仿宋" w:eastAsia="仿宋"/>
          <w:color w:val="000000"/>
          <w:sz w:val="32"/>
          <w:szCs w:val="32"/>
        </w:rPr>
        <w:t>；年初结转和结余</w:t>
      </w:r>
      <w:r>
        <w:rPr>
          <w:rFonts w:hint="eastAsia" w:ascii="仿宋" w:hAnsi="仿宋" w:eastAsia="仿宋"/>
          <w:color w:val="000000"/>
          <w:sz w:val="32"/>
          <w:szCs w:val="32"/>
          <w:lang w:val="en-US" w:eastAsia="zh-CN"/>
        </w:rPr>
        <w:t>617.47</w:t>
      </w:r>
      <w:r>
        <w:rPr>
          <w:rFonts w:hint="eastAsia" w:ascii="仿宋" w:hAnsi="仿宋" w:eastAsia="仿宋"/>
          <w:color w:val="000000"/>
          <w:sz w:val="32"/>
          <w:szCs w:val="32"/>
        </w:rPr>
        <w:t>万元。占3</w:t>
      </w: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 xml:space="preserve">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lang w:val="en"/>
        </w:rPr>
      </w:pPr>
      <w:r>
        <w:rPr>
          <w:rFonts w:hint="eastAsia" w:ascii="仿宋" w:hAnsi="仿宋" w:eastAsia="仿宋" w:cs="仿宋_GB2312"/>
          <w:sz w:val="32"/>
          <w:szCs w:val="32"/>
          <w:lang w:val="en"/>
        </w:rPr>
        <w:t>教育工资福利支出</w:t>
      </w:r>
      <w:r>
        <w:rPr>
          <w:rFonts w:hint="eastAsia" w:ascii="仿宋" w:hAnsi="仿宋" w:eastAsia="仿宋" w:cs="仿宋_GB2312"/>
          <w:sz w:val="32"/>
          <w:szCs w:val="32"/>
          <w:lang w:val="en-US" w:eastAsia="zh-CN"/>
        </w:rPr>
        <w:t>1065.6</w:t>
      </w:r>
      <w:r>
        <w:rPr>
          <w:rFonts w:hint="eastAsia" w:ascii="仿宋" w:hAnsi="仿宋" w:eastAsia="仿宋" w:cs="仿宋_GB2312"/>
          <w:sz w:val="32"/>
          <w:szCs w:val="32"/>
          <w:lang w:val="en"/>
        </w:rPr>
        <w:t>万元，社会保障和就业支出（基本养老保险）</w:t>
      </w:r>
      <w:r>
        <w:rPr>
          <w:rFonts w:hint="eastAsia" w:ascii="仿宋" w:hAnsi="仿宋" w:eastAsia="仿宋" w:cs="仿宋_GB2312"/>
          <w:sz w:val="32"/>
          <w:szCs w:val="32"/>
          <w:lang w:val="en-US" w:eastAsia="zh-CN"/>
        </w:rPr>
        <w:t>121.48</w:t>
      </w:r>
      <w:r>
        <w:rPr>
          <w:rFonts w:hint="eastAsia" w:ascii="仿宋" w:hAnsi="仿宋" w:eastAsia="仿宋" w:cs="仿宋_GB2312"/>
          <w:sz w:val="32"/>
          <w:szCs w:val="32"/>
          <w:lang w:val="en"/>
        </w:rPr>
        <w:t>万</w:t>
      </w:r>
      <w:r>
        <w:rPr>
          <w:rFonts w:hint="eastAsia" w:ascii="仿宋" w:hAnsi="仿宋" w:eastAsia="仿宋" w:cs="仿宋_GB2312"/>
          <w:sz w:val="32"/>
          <w:szCs w:val="32"/>
          <w:lang w:val="en" w:eastAsia="zh-CN"/>
        </w:rPr>
        <w:t>元，其他社会保险</w:t>
      </w:r>
      <w:r>
        <w:rPr>
          <w:rFonts w:hint="eastAsia" w:ascii="仿宋" w:hAnsi="仿宋" w:eastAsia="仿宋" w:cs="仿宋_GB2312"/>
          <w:sz w:val="32"/>
          <w:szCs w:val="32"/>
          <w:lang w:val="en-US" w:eastAsia="zh-CN"/>
        </w:rPr>
        <w:t>1.14万元</w:t>
      </w:r>
      <w:r>
        <w:rPr>
          <w:rFonts w:hint="eastAsia" w:ascii="仿宋" w:hAnsi="仿宋" w:eastAsia="仿宋" w:cs="仿宋_GB2312"/>
          <w:sz w:val="32"/>
          <w:szCs w:val="32"/>
          <w:lang w:val="en"/>
        </w:rPr>
        <w:t>，医疗卫生支出（基本医疗保险）</w:t>
      </w:r>
      <w:r>
        <w:rPr>
          <w:rFonts w:hint="eastAsia" w:ascii="仿宋" w:hAnsi="仿宋" w:eastAsia="仿宋" w:cs="仿宋_GB2312"/>
          <w:sz w:val="32"/>
          <w:szCs w:val="32"/>
          <w:lang w:val="en-US" w:eastAsia="zh-CN"/>
        </w:rPr>
        <w:t>39.48</w:t>
      </w:r>
      <w:r>
        <w:rPr>
          <w:rFonts w:hint="eastAsia" w:ascii="仿宋" w:hAnsi="仿宋" w:eastAsia="仿宋" w:cs="仿宋_GB2312"/>
          <w:sz w:val="32"/>
          <w:szCs w:val="32"/>
          <w:lang w:val="en"/>
        </w:rPr>
        <w:t>万元，住房保障支出（住房公积金）</w:t>
      </w:r>
      <w:r>
        <w:rPr>
          <w:rFonts w:hint="eastAsia" w:ascii="仿宋" w:hAnsi="仿宋" w:eastAsia="仿宋" w:cs="仿宋_GB2312"/>
          <w:sz w:val="32"/>
          <w:szCs w:val="32"/>
          <w:lang w:val="en-US" w:eastAsia="zh-CN"/>
        </w:rPr>
        <w:t>77.55</w:t>
      </w:r>
      <w:r>
        <w:rPr>
          <w:rFonts w:hint="eastAsia" w:ascii="仿宋" w:hAnsi="仿宋" w:eastAsia="仿宋" w:cs="仿宋_GB2312"/>
          <w:sz w:val="32"/>
          <w:szCs w:val="32"/>
          <w:lang w:val="en"/>
        </w:rPr>
        <w:t>万元。对个人和家庭的补助</w:t>
      </w:r>
      <w:r>
        <w:rPr>
          <w:rFonts w:hint="eastAsia" w:ascii="仿宋" w:hAnsi="仿宋" w:eastAsia="仿宋" w:cs="仿宋_GB2312"/>
          <w:sz w:val="32"/>
          <w:szCs w:val="32"/>
          <w:lang w:val="en-US" w:eastAsia="zh-CN"/>
        </w:rPr>
        <w:t>101.4</w:t>
      </w:r>
      <w:r>
        <w:rPr>
          <w:rFonts w:hint="eastAsia" w:ascii="仿宋" w:hAnsi="仿宋" w:eastAsia="仿宋" w:cs="仿宋_GB2312"/>
          <w:sz w:val="32"/>
          <w:szCs w:val="32"/>
          <w:lang w:val="en"/>
        </w:rPr>
        <w:t>万元。商品和服务支出</w:t>
      </w:r>
      <w:r>
        <w:rPr>
          <w:rFonts w:hint="eastAsia" w:ascii="仿宋" w:hAnsi="仿宋" w:eastAsia="仿宋" w:cs="仿宋_GB2312"/>
          <w:sz w:val="32"/>
          <w:szCs w:val="32"/>
          <w:lang w:val="en-US" w:eastAsia="zh-CN"/>
        </w:rPr>
        <w:t>165.05</w:t>
      </w:r>
      <w:r>
        <w:rPr>
          <w:rFonts w:hint="eastAsia" w:ascii="仿宋" w:hAnsi="仿宋" w:eastAsia="仿宋" w:cs="仿宋_GB2312"/>
          <w:sz w:val="32"/>
          <w:szCs w:val="32"/>
          <w:lang w:val="en"/>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长岭镇中心小学校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通过绩效评价，我们认为，201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1、学校的固定资产管理还有待加强，下年度将按照标准逐步完善。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4、部门整体预算执行率未达到</w:t>
      </w:r>
      <w:r>
        <w:rPr>
          <w:rFonts w:ascii="仿宋_GB2312" w:hAnsi="仿宋_GB2312" w:eastAsia="仿宋_GB2312" w:cs="仿宋_GB2312"/>
          <w:sz w:val="32"/>
          <w:szCs w:val="32"/>
          <w:lang w:val="en"/>
        </w:rPr>
        <w:t>95%</w:t>
      </w:r>
      <w:r>
        <w:rPr>
          <w:rFonts w:hint="eastAsia" w:ascii="仿宋_GB2312" w:hAnsi="仿宋_GB2312" w:eastAsia="仿宋_GB2312" w:cs="仿宋_GB2312"/>
          <w:sz w:val="32"/>
          <w:szCs w:val="32"/>
          <w:lang w:val="en"/>
        </w:rPr>
        <w:t>，预算执行有待提升。</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5、尚未针对绩效考评制定比较明确的实施细则，有待进</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5"/>
          <w:rFonts w:ascii="黑体" w:hAnsi="黑体" w:eastAsia="黑体"/>
          <w:b w:val="0"/>
        </w:rPr>
      </w:pPr>
      <w:bookmarkStart w:id="64"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64"/>
    </w:p>
    <w:p>
      <w:pPr>
        <w:pStyle w:val="3"/>
        <w:rPr>
          <w:rFonts w:ascii="仿宋" w:hAnsi="仿宋" w:eastAsia="仿宋"/>
          <w:color w:val="000000"/>
        </w:rPr>
      </w:pPr>
      <w:bookmarkStart w:id="65"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5"/>
    </w:p>
    <w:p>
      <w:pPr>
        <w:pStyle w:val="3"/>
        <w:rPr>
          <w:rFonts w:ascii="仿宋" w:hAnsi="仿宋" w:eastAsia="仿宋"/>
          <w:color w:val="000000"/>
        </w:rPr>
      </w:pPr>
      <w:bookmarkStart w:id="66"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6"/>
    </w:p>
    <w:p>
      <w:pPr>
        <w:pStyle w:val="3"/>
        <w:rPr>
          <w:rFonts w:ascii="仿宋" w:hAnsi="仿宋" w:eastAsia="仿宋"/>
          <w:color w:val="000000"/>
        </w:rPr>
      </w:pPr>
      <w:bookmarkStart w:id="67"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7"/>
    </w:p>
    <w:p>
      <w:pPr>
        <w:pStyle w:val="3"/>
        <w:rPr>
          <w:rFonts w:ascii="仿宋" w:hAnsi="仿宋" w:eastAsia="仿宋"/>
          <w:b w:val="0"/>
          <w:color w:val="000000"/>
        </w:rPr>
      </w:pPr>
      <w:bookmarkStart w:id="68"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8"/>
    </w:p>
    <w:p>
      <w:pPr>
        <w:pStyle w:val="3"/>
        <w:rPr>
          <w:rFonts w:ascii="仿宋" w:hAnsi="仿宋" w:eastAsia="仿宋"/>
          <w:color w:val="000000"/>
        </w:rPr>
      </w:pPr>
      <w:bookmarkStart w:id="69"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9"/>
    </w:p>
    <w:p>
      <w:pPr>
        <w:pStyle w:val="3"/>
        <w:rPr>
          <w:rFonts w:ascii="仿宋" w:hAnsi="仿宋" w:eastAsia="仿宋"/>
          <w:color w:val="000000"/>
        </w:rPr>
      </w:pPr>
      <w:bookmarkStart w:id="70"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70"/>
    </w:p>
    <w:p>
      <w:pPr>
        <w:pStyle w:val="3"/>
        <w:rPr>
          <w:rFonts w:ascii="仿宋" w:hAnsi="仿宋" w:eastAsia="仿宋"/>
          <w:color w:val="000000"/>
        </w:rPr>
      </w:pPr>
      <w:bookmarkStart w:id="71"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71"/>
    </w:p>
    <w:p>
      <w:pPr>
        <w:pStyle w:val="3"/>
        <w:rPr>
          <w:rFonts w:ascii="仿宋" w:hAnsi="仿宋" w:eastAsia="仿宋"/>
          <w:color w:val="000000"/>
        </w:rPr>
      </w:pPr>
      <w:bookmarkStart w:id="72"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2"/>
    </w:p>
    <w:p>
      <w:pPr>
        <w:pStyle w:val="3"/>
        <w:rPr>
          <w:rFonts w:ascii="仿宋" w:hAnsi="仿宋" w:eastAsia="仿宋"/>
          <w:color w:val="000000"/>
        </w:rPr>
      </w:pPr>
      <w:bookmarkStart w:id="73"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3"/>
    </w:p>
    <w:p>
      <w:pPr>
        <w:pStyle w:val="3"/>
        <w:rPr>
          <w:rFonts w:ascii="仿宋" w:hAnsi="仿宋" w:eastAsia="仿宋"/>
          <w:color w:val="000000"/>
        </w:rPr>
      </w:pPr>
      <w:bookmarkStart w:id="74"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4"/>
    </w:p>
    <w:p>
      <w:pPr>
        <w:pStyle w:val="3"/>
        <w:rPr>
          <w:rFonts w:ascii="仿宋" w:hAnsi="仿宋" w:eastAsia="仿宋"/>
          <w:color w:val="000000"/>
        </w:rPr>
      </w:pPr>
      <w:bookmarkStart w:id="75"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5"/>
    </w:p>
    <w:p>
      <w:pPr>
        <w:pStyle w:val="3"/>
        <w:rPr>
          <w:rFonts w:ascii="仿宋" w:hAnsi="仿宋" w:eastAsia="仿宋"/>
          <w:color w:val="000000"/>
        </w:rPr>
      </w:pPr>
      <w:bookmarkStart w:id="76"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6"/>
    </w:p>
    <w:p>
      <w:pPr>
        <w:pStyle w:val="3"/>
        <w:rPr>
          <w:rStyle w:val="26"/>
          <w:rFonts w:hint="eastAsia" w:ascii="仿宋" w:hAnsi="仿宋" w:eastAsia="仿宋"/>
          <w:b w:val="0"/>
          <w:bCs w:val="0"/>
        </w:rPr>
      </w:pPr>
      <w:bookmarkStart w:id="77"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7"/>
    </w:p>
    <w:p>
      <w:pPr>
        <w:jc w:val="right"/>
        <w:rPr>
          <w:rStyle w:val="26"/>
          <w:rFonts w:hint="eastAsia" w:ascii="仿宋" w:hAnsi="仿宋" w:eastAsia="仿宋"/>
          <w:b w:val="0"/>
          <w:bCs w:val="0"/>
          <w:lang w:val="en-US" w:eastAsia="zh-CN"/>
        </w:rPr>
      </w:pPr>
      <w:r>
        <w:rPr>
          <w:rStyle w:val="26"/>
          <w:rFonts w:hint="eastAsia" w:ascii="仿宋" w:hAnsi="仿宋" w:eastAsia="仿宋"/>
          <w:b w:val="0"/>
          <w:bCs w:val="0"/>
          <w:lang w:eastAsia="zh-CN"/>
        </w:rPr>
        <w:t>开江县长岭镇中心小学校</w:t>
      </w:r>
      <w:r>
        <w:rPr>
          <w:rStyle w:val="26"/>
          <w:rFonts w:hint="eastAsia" w:ascii="仿宋" w:hAnsi="仿宋" w:eastAsia="仿宋"/>
          <w:b w:val="0"/>
          <w:bCs w:val="0"/>
          <w:lang w:val="en-US" w:eastAsia="zh-CN"/>
        </w:rPr>
        <w:t xml:space="preserve"> </w:t>
      </w:r>
    </w:p>
    <w:p>
      <w:pPr>
        <w:jc w:val="right"/>
        <w:rPr>
          <w:rFonts w:ascii="仿宋_GB2312" w:eastAsia="仿宋_GB2312"/>
          <w:sz w:val="32"/>
          <w:szCs w:val="32"/>
        </w:rPr>
      </w:pPr>
      <w:r>
        <w:rPr>
          <w:rStyle w:val="26"/>
          <w:rFonts w:hint="eastAsia" w:ascii="仿宋" w:hAnsi="仿宋" w:eastAsia="仿宋"/>
          <w:b w:val="0"/>
          <w:bCs w:val="0"/>
          <w:lang w:val="en-US" w:eastAsia="zh-CN"/>
        </w:rPr>
        <w:t>2020年9月18日</w:t>
      </w:r>
      <w:bookmarkStart w:id="78" w:name="_GoBack"/>
      <w:bookmarkEnd w:id="7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14195"/>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3298A"/>
    <w:rsid w:val="0014729F"/>
    <w:rsid w:val="00157BAB"/>
    <w:rsid w:val="001654D1"/>
    <w:rsid w:val="0018106D"/>
    <w:rsid w:val="001877A7"/>
    <w:rsid w:val="00191536"/>
    <w:rsid w:val="00196687"/>
    <w:rsid w:val="001A5278"/>
    <w:rsid w:val="001C0962"/>
    <w:rsid w:val="001D7531"/>
    <w:rsid w:val="001E737D"/>
    <w:rsid w:val="001F0592"/>
    <w:rsid w:val="001F7506"/>
    <w:rsid w:val="002006CD"/>
    <w:rsid w:val="00202B36"/>
    <w:rsid w:val="00204B7A"/>
    <w:rsid w:val="0021101A"/>
    <w:rsid w:val="00220536"/>
    <w:rsid w:val="00235629"/>
    <w:rsid w:val="00246DBD"/>
    <w:rsid w:val="00260C38"/>
    <w:rsid w:val="002616C0"/>
    <w:rsid w:val="002662AA"/>
    <w:rsid w:val="00280496"/>
    <w:rsid w:val="0029400B"/>
    <w:rsid w:val="00294780"/>
    <w:rsid w:val="00295495"/>
    <w:rsid w:val="002B2613"/>
    <w:rsid w:val="002F1818"/>
    <w:rsid w:val="002F567B"/>
    <w:rsid w:val="003137A8"/>
    <w:rsid w:val="003216A9"/>
    <w:rsid w:val="003401B4"/>
    <w:rsid w:val="003533CE"/>
    <w:rsid w:val="00354A20"/>
    <w:rsid w:val="0037013F"/>
    <w:rsid w:val="00380C92"/>
    <w:rsid w:val="0038403C"/>
    <w:rsid w:val="003A484F"/>
    <w:rsid w:val="003B0BE0"/>
    <w:rsid w:val="003B0C1B"/>
    <w:rsid w:val="003B688C"/>
    <w:rsid w:val="003C0291"/>
    <w:rsid w:val="003C39AE"/>
    <w:rsid w:val="003C7B60"/>
    <w:rsid w:val="003D1FB2"/>
    <w:rsid w:val="003D66DA"/>
    <w:rsid w:val="003E1310"/>
    <w:rsid w:val="003E6F55"/>
    <w:rsid w:val="00406254"/>
    <w:rsid w:val="004223DE"/>
    <w:rsid w:val="0043255F"/>
    <w:rsid w:val="00434489"/>
    <w:rsid w:val="00437085"/>
    <w:rsid w:val="00443880"/>
    <w:rsid w:val="004464F4"/>
    <w:rsid w:val="004679E6"/>
    <w:rsid w:val="00471401"/>
    <w:rsid w:val="00473F31"/>
    <w:rsid w:val="0048263A"/>
    <w:rsid w:val="00487E5D"/>
    <w:rsid w:val="004A711F"/>
    <w:rsid w:val="004B199D"/>
    <w:rsid w:val="004B4690"/>
    <w:rsid w:val="004C3100"/>
    <w:rsid w:val="004D38F8"/>
    <w:rsid w:val="004E0A2D"/>
    <w:rsid w:val="004E206B"/>
    <w:rsid w:val="004E6DF7"/>
    <w:rsid w:val="004F0FBD"/>
    <w:rsid w:val="005003CC"/>
    <w:rsid w:val="00505A47"/>
    <w:rsid w:val="00512FDA"/>
    <w:rsid w:val="0051345A"/>
    <w:rsid w:val="00520DA0"/>
    <w:rsid w:val="00523F19"/>
    <w:rsid w:val="00531FB8"/>
    <w:rsid w:val="005526A0"/>
    <w:rsid w:val="005664BB"/>
    <w:rsid w:val="0057481D"/>
    <w:rsid w:val="00574D8B"/>
    <w:rsid w:val="0058486E"/>
    <w:rsid w:val="00596C79"/>
    <w:rsid w:val="00597233"/>
    <w:rsid w:val="005D1C8B"/>
    <w:rsid w:val="005D5CED"/>
    <w:rsid w:val="005E1EA2"/>
    <w:rsid w:val="005F149C"/>
    <w:rsid w:val="005F1A4C"/>
    <w:rsid w:val="00605688"/>
    <w:rsid w:val="006070AF"/>
    <w:rsid w:val="00607E6C"/>
    <w:rsid w:val="006101B1"/>
    <w:rsid w:val="00614E44"/>
    <w:rsid w:val="00616027"/>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E6CE1"/>
    <w:rsid w:val="006F020C"/>
    <w:rsid w:val="007127B7"/>
    <w:rsid w:val="007416B6"/>
    <w:rsid w:val="00742AC7"/>
    <w:rsid w:val="00746F48"/>
    <w:rsid w:val="0075404D"/>
    <w:rsid w:val="00761059"/>
    <w:rsid w:val="0076182A"/>
    <w:rsid w:val="00767B7E"/>
    <w:rsid w:val="007770C3"/>
    <w:rsid w:val="00784D24"/>
    <w:rsid w:val="00785FBA"/>
    <w:rsid w:val="00786E4A"/>
    <w:rsid w:val="007875EB"/>
    <w:rsid w:val="0079426B"/>
    <w:rsid w:val="007B1B2B"/>
    <w:rsid w:val="007D312A"/>
    <w:rsid w:val="007D3F19"/>
    <w:rsid w:val="007E23B0"/>
    <w:rsid w:val="007F1991"/>
    <w:rsid w:val="007F2C2F"/>
    <w:rsid w:val="007F55FC"/>
    <w:rsid w:val="007F5665"/>
    <w:rsid w:val="00800112"/>
    <w:rsid w:val="00802349"/>
    <w:rsid w:val="008253BB"/>
    <w:rsid w:val="0083706E"/>
    <w:rsid w:val="008423A5"/>
    <w:rsid w:val="008463C1"/>
    <w:rsid w:val="00850625"/>
    <w:rsid w:val="008526D1"/>
    <w:rsid w:val="00853718"/>
    <w:rsid w:val="00855221"/>
    <w:rsid w:val="00860645"/>
    <w:rsid w:val="00871F71"/>
    <w:rsid w:val="00885AF4"/>
    <w:rsid w:val="008939CD"/>
    <w:rsid w:val="008B768C"/>
    <w:rsid w:val="008C201A"/>
    <w:rsid w:val="008C4DB1"/>
    <w:rsid w:val="008C4EAF"/>
    <w:rsid w:val="008C5176"/>
    <w:rsid w:val="008C7FD0"/>
    <w:rsid w:val="008E1DE7"/>
    <w:rsid w:val="008E707C"/>
    <w:rsid w:val="00900B08"/>
    <w:rsid w:val="00902155"/>
    <w:rsid w:val="00902FA3"/>
    <w:rsid w:val="00923564"/>
    <w:rsid w:val="0092392E"/>
    <w:rsid w:val="009315F9"/>
    <w:rsid w:val="00935096"/>
    <w:rsid w:val="00944800"/>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94DF3"/>
    <w:rsid w:val="00AC3C6A"/>
    <w:rsid w:val="00AD5620"/>
    <w:rsid w:val="00AD7C1B"/>
    <w:rsid w:val="00AE16BA"/>
    <w:rsid w:val="00AE1EBE"/>
    <w:rsid w:val="00B03C9D"/>
    <w:rsid w:val="00B060AE"/>
    <w:rsid w:val="00B07489"/>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96C83"/>
    <w:rsid w:val="00BB4DF0"/>
    <w:rsid w:val="00BC289F"/>
    <w:rsid w:val="00BC5361"/>
    <w:rsid w:val="00BC5460"/>
    <w:rsid w:val="00BC6B50"/>
    <w:rsid w:val="00BD0E25"/>
    <w:rsid w:val="00BF5BD6"/>
    <w:rsid w:val="00C03E31"/>
    <w:rsid w:val="00C33E72"/>
    <w:rsid w:val="00C354B2"/>
    <w:rsid w:val="00C35554"/>
    <w:rsid w:val="00C42709"/>
    <w:rsid w:val="00C533CC"/>
    <w:rsid w:val="00C55398"/>
    <w:rsid w:val="00C5751C"/>
    <w:rsid w:val="00C61BFC"/>
    <w:rsid w:val="00C62B85"/>
    <w:rsid w:val="00C65438"/>
    <w:rsid w:val="00C77B42"/>
    <w:rsid w:val="00C916B6"/>
    <w:rsid w:val="00C91CBB"/>
    <w:rsid w:val="00CA7BAF"/>
    <w:rsid w:val="00CC09B6"/>
    <w:rsid w:val="00CC5A9F"/>
    <w:rsid w:val="00CC666F"/>
    <w:rsid w:val="00CD1E3F"/>
    <w:rsid w:val="00CE44F6"/>
    <w:rsid w:val="00CE49DA"/>
    <w:rsid w:val="00CE7B61"/>
    <w:rsid w:val="00D00095"/>
    <w:rsid w:val="00D20620"/>
    <w:rsid w:val="00D26091"/>
    <w:rsid w:val="00D336BD"/>
    <w:rsid w:val="00D34E7C"/>
    <w:rsid w:val="00D35489"/>
    <w:rsid w:val="00D51276"/>
    <w:rsid w:val="00D7035F"/>
    <w:rsid w:val="00DA65AC"/>
    <w:rsid w:val="00DB1913"/>
    <w:rsid w:val="00DC410D"/>
    <w:rsid w:val="00DC68CA"/>
    <w:rsid w:val="00DC7CBA"/>
    <w:rsid w:val="00DD434E"/>
    <w:rsid w:val="00DD73B7"/>
    <w:rsid w:val="00DF28BC"/>
    <w:rsid w:val="00DF34B9"/>
    <w:rsid w:val="00E01053"/>
    <w:rsid w:val="00E07ACF"/>
    <w:rsid w:val="00E331A1"/>
    <w:rsid w:val="00E33202"/>
    <w:rsid w:val="00E336A9"/>
    <w:rsid w:val="00E50624"/>
    <w:rsid w:val="00E568DF"/>
    <w:rsid w:val="00E64269"/>
    <w:rsid w:val="00E805C6"/>
    <w:rsid w:val="00E82267"/>
    <w:rsid w:val="00EA010F"/>
    <w:rsid w:val="00EC0C35"/>
    <w:rsid w:val="00ED1B63"/>
    <w:rsid w:val="00ED3C1F"/>
    <w:rsid w:val="00ED4085"/>
    <w:rsid w:val="00ED420E"/>
    <w:rsid w:val="00EE00E7"/>
    <w:rsid w:val="00EE2F57"/>
    <w:rsid w:val="00EF4C34"/>
    <w:rsid w:val="00EF76D1"/>
    <w:rsid w:val="00EF77C6"/>
    <w:rsid w:val="00F05438"/>
    <w:rsid w:val="00F1361C"/>
    <w:rsid w:val="00F160C7"/>
    <w:rsid w:val="00F251F2"/>
    <w:rsid w:val="00F36D8F"/>
    <w:rsid w:val="00F417B1"/>
    <w:rsid w:val="00F50E7F"/>
    <w:rsid w:val="00F602DF"/>
    <w:rsid w:val="00F81FD9"/>
    <w:rsid w:val="00F841AA"/>
    <w:rsid w:val="00FA23E8"/>
    <w:rsid w:val="00FD3CC1"/>
    <w:rsid w:val="00FF1E02"/>
    <w:rsid w:val="00FF30B4"/>
    <w:rsid w:val="04B80874"/>
    <w:rsid w:val="10C055FF"/>
    <w:rsid w:val="16BB723D"/>
    <w:rsid w:val="2207370D"/>
    <w:rsid w:val="240371BF"/>
    <w:rsid w:val="29FD04D3"/>
    <w:rsid w:val="319F7F4E"/>
    <w:rsid w:val="36A20131"/>
    <w:rsid w:val="415A493E"/>
    <w:rsid w:val="4B4C5146"/>
    <w:rsid w:val="56EB33BD"/>
    <w:rsid w:val="6DAD55F5"/>
    <w:rsid w:val="728A5D33"/>
    <w:rsid w:val="7AAF16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2"/>
    <w:qFormat/>
    <w:uiPriority w:val="9"/>
    <w:rPr>
      <w:rFonts w:ascii="Times New Roman" w:hAnsi="Times New Roman"/>
      <w:b/>
      <w:bCs/>
      <w:kern w:val="44"/>
      <w:sz w:val="44"/>
      <w:szCs w:val="44"/>
    </w:rPr>
  </w:style>
  <w:style w:type="character" w:customStyle="1" w:styleId="26">
    <w:name w:val="标题 2 字符"/>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收入支出决算总体变动情况图</a:t>
            </a:r>
            <a:endParaRPr 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c:v>
                </c:pt>
              </c:strCache>
            </c:strRef>
          </c:tx>
          <c:spPr>
            <a:solidFill>
              <a:schemeClr val="accent6"/>
            </a:solidFill>
            <a:ln>
              <a:noFill/>
            </a:ln>
            <a:effectLst/>
          </c:spPr>
          <c:invertIfNegative val="0"/>
          <c:dLbls>
            <c:delete val="1"/>
          </c:dLbls>
          <c:cat>
            <c:strRef>
              <c:f>Sheet1!$A$2:$A$5</c:f>
              <c:strCache>
                <c:ptCount val="4"/>
                <c:pt idx="0">
                  <c:v>收入</c:v>
                </c:pt>
                <c:pt idx="1">
                  <c:v>支出</c:v>
                </c:pt>
              </c:strCache>
            </c:strRef>
          </c:cat>
          <c:val>
            <c:numRef>
              <c:f>Sheet1!$B$2:$B$5</c:f>
              <c:numCache>
                <c:formatCode>General</c:formatCode>
                <c:ptCount val="4"/>
                <c:pt idx="0">
                  <c:v>1247.73</c:v>
                </c:pt>
                <c:pt idx="1">
                  <c:v>1330.56</c:v>
                </c:pt>
              </c:numCache>
            </c:numRef>
          </c:val>
        </c:ser>
        <c:ser>
          <c:idx val="1"/>
          <c:order val="1"/>
          <c:tx>
            <c:strRef>
              <c:f>Sheet1!$C$1</c:f>
              <c:strCache>
                <c:ptCount val="1"/>
                <c:pt idx="0">
                  <c:v>2019</c:v>
                </c:pt>
              </c:strCache>
            </c:strRef>
          </c:tx>
          <c:spPr>
            <a:solidFill>
              <a:schemeClr val="accent5"/>
            </a:solidFill>
            <a:ln>
              <a:noFill/>
            </a:ln>
            <a:effectLst/>
          </c:spPr>
          <c:invertIfNegative val="0"/>
          <c:dLbls>
            <c:delete val="1"/>
          </c:dLbls>
          <c:cat>
            <c:strRef>
              <c:f>Sheet1!$A$2:$A$5</c:f>
              <c:strCache>
                <c:ptCount val="4"/>
                <c:pt idx="0">
                  <c:v>收入</c:v>
                </c:pt>
                <c:pt idx="1">
                  <c:v>支出</c:v>
                </c:pt>
              </c:strCache>
            </c:strRef>
          </c:cat>
          <c:val>
            <c:numRef>
              <c:f>Sheet1!$C$2:$C$5</c:f>
              <c:numCache>
                <c:formatCode>General</c:formatCode>
                <c:ptCount val="4"/>
                <c:pt idx="0">
                  <c:v>1305.92</c:v>
                </c:pt>
                <c:pt idx="1">
                  <c:v>1518.1</c:v>
                </c:pt>
              </c:numCache>
            </c:numRef>
          </c:val>
        </c:ser>
        <c:dLbls>
          <c:showLegendKey val="0"/>
          <c:showVal val="0"/>
          <c:showCatName val="0"/>
          <c:showSerName val="0"/>
          <c:showPercent val="0"/>
          <c:showBubbleSize val="0"/>
        </c:dLbls>
        <c:gapWidth val="219"/>
        <c:overlap val="-27"/>
        <c:axId val="499664664"/>
        <c:axId val="495838496"/>
      </c:barChart>
      <c:catAx>
        <c:axId val="499664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5838496"/>
        <c:crosses val="autoZero"/>
        <c:auto val="1"/>
        <c:lblAlgn val="ctr"/>
        <c:lblOffset val="100"/>
        <c:noMultiLvlLbl val="0"/>
      </c:catAx>
      <c:valAx>
        <c:axId val="4958384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664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Lbls>
            <c:delete val="1"/>
          </c:dLbls>
          <c:cat>
            <c:strRef>
              <c:f>Sheet1!$A$2:$A$3</c:f>
              <c:strCache>
                <c:ptCount val="2"/>
                <c:pt idx="0">
                  <c:v>一般公共预算财政拨款收入</c:v>
                </c:pt>
                <c:pt idx="1">
                  <c:v>年初结转和结余</c:v>
                </c:pt>
              </c:strCache>
            </c:strRef>
          </c:cat>
          <c:val>
            <c:numRef>
              <c:f>Sheet1!$B$2:$B$3</c:f>
              <c:numCache>
                <c:formatCode>General</c:formatCode>
                <c:ptCount val="2"/>
                <c:pt idx="0">
                  <c:v>1305.92</c:v>
                </c:pt>
                <c:pt idx="1">
                  <c:v>617.47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6"/>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1332.05</c:v>
                </c:pt>
                <c:pt idx="1">
                  <c:v>186.05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c:v>
                </c:pt>
              </c:strCache>
            </c:strRef>
          </c:tx>
          <c:spPr>
            <a:solidFill>
              <a:schemeClr val="accent6"/>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1948.03</c:v>
                </c:pt>
                <c:pt idx="1">
                  <c:v>1330.56</c:v>
                </c:pt>
              </c:numCache>
            </c:numRef>
          </c:val>
        </c:ser>
        <c:ser>
          <c:idx val="1"/>
          <c:order val="1"/>
          <c:tx>
            <c:strRef>
              <c:f>Sheet1!$C$1</c:f>
              <c:strCache>
                <c:ptCount val="1"/>
                <c:pt idx="0">
                  <c:v>2019</c:v>
                </c:pt>
              </c:strCache>
            </c:strRef>
          </c:tx>
          <c:spPr>
            <a:solidFill>
              <a:schemeClr val="accent5"/>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1923.39</c:v>
                </c:pt>
                <c:pt idx="1">
                  <c:v>1518.1</c:v>
                </c:pt>
              </c:numCache>
            </c:numRef>
          </c:val>
        </c:ser>
        <c:dLbls>
          <c:showLegendKey val="0"/>
          <c:showVal val="0"/>
          <c:showCatName val="0"/>
          <c:showSerName val="0"/>
          <c:showPercent val="0"/>
          <c:showBubbleSize val="0"/>
        </c:dLbls>
        <c:gapWidth val="219"/>
        <c:overlap val="-27"/>
        <c:axId val="777045000"/>
        <c:axId val="777039752"/>
      </c:barChart>
      <c:catAx>
        <c:axId val="77704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039752"/>
        <c:crosses val="autoZero"/>
        <c:auto val="1"/>
        <c:lblAlgn val="ctr"/>
        <c:lblOffset val="100"/>
        <c:noMultiLvlLbl val="0"/>
      </c:catAx>
      <c:valAx>
        <c:axId val="777039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045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支出</c:v>
                </c:pt>
              </c:strCache>
            </c:strRef>
          </c:tx>
          <c:spPr>
            <a:solidFill>
              <a:schemeClr val="accent3"/>
            </a:solidFill>
            <a:ln>
              <a:noFill/>
            </a:ln>
            <a:effectLst/>
          </c:spPr>
          <c:invertIfNegative val="0"/>
          <c:dLbls>
            <c:delete val="1"/>
          </c:dLbls>
          <c:cat>
            <c:numRef>
              <c:f>Sheet1!$A$2:$A$3</c:f>
              <c:numCache>
                <c:formatCode>General</c:formatCode>
                <c:ptCount val="2"/>
                <c:pt idx="0">
                  <c:v>2018</c:v>
                </c:pt>
                <c:pt idx="1">
                  <c:v>2019</c:v>
                </c:pt>
              </c:numCache>
            </c:numRef>
          </c:cat>
          <c:val>
            <c:numRef>
              <c:f>Sheet1!$B$2:$B$3</c:f>
              <c:numCache>
                <c:formatCode>General</c:formatCode>
                <c:ptCount val="2"/>
                <c:pt idx="0">
                  <c:v>1330.56</c:v>
                </c:pt>
                <c:pt idx="1">
                  <c:v>1518.1</c:v>
                </c:pt>
              </c:numCache>
            </c:numRef>
          </c:val>
        </c:ser>
        <c:dLbls>
          <c:showLegendKey val="0"/>
          <c:showVal val="0"/>
          <c:showCatName val="0"/>
          <c:showSerName val="0"/>
          <c:showPercent val="0"/>
          <c:showBubbleSize val="0"/>
        </c:dLbls>
        <c:gapWidth val="219"/>
        <c:overlap val="-27"/>
        <c:axId val="777947512"/>
        <c:axId val="777947184"/>
      </c:barChart>
      <c:catAx>
        <c:axId val="777947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947184"/>
        <c:crosses val="autoZero"/>
        <c:auto val="1"/>
        <c:lblAlgn val="ctr"/>
        <c:lblOffset val="100"/>
        <c:noMultiLvlLbl val="0"/>
      </c:catAx>
      <c:valAx>
        <c:axId val="77794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947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一般公共预算财政拨款支出决算结构情况</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3"/>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1">
                  <a:lumMod val="60000"/>
                </a:schemeClr>
              </a:solidFill>
              <a:ln>
                <a:noFill/>
              </a:ln>
              <a:effectLst>
                <a:outerShdw blurRad="254000" sx="102000" sy="102000" algn="ctr" rotWithShape="0">
                  <a:prstClr val="black">
                    <a:alpha val="20000"/>
                  </a:prstClr>
                </a:outerShdw>
              </a:effectLst>
            </c:spPr>
          </c:dPt>
          <c:dLbls>
            <c:delete val="1"/>
          </c:dLbls>
          <c:cat>
            <c:strRef>
              <c:f>Sheet1!$A$2:$A$5</c:f>
              <c:strCache>
                <c:ptCount val="4"/>
                <c:pt idx="0">
                  <c:v>教育支出</c:v>
                </c:pt>
                <c:pt idx="1">
                  <c:v>社会保障缴费</c:v>
                </c:pt>
                <c:pt idx="2">
                  <c:v>医疗卫生支出</c:v>
                </c:pt>
                <c:pt idx="3">
                  <c:v>住房保障支出</c:v>
                </c:pt>
              </c:strCache>
            </c:strRef>
          </c:cat>
          <c:val>
            <c:numRef>
              <c:f>Sheet1!$B$2:$B$5</c:f>
              <c:numCache>
                <c:formatCode>General</c:formatCode>
                <c:ptCount val="4"/>
                <c:pt idx="0">
                  <c:v>1067.4</c:v>
                </c:pt>
                <c:pt idx="1">
                  <c:v>121.48</c:v>
                </c:pt>
                <c:pt idx="2">
                  <c:v>39.48</c:v>
                </c:pt>
                <c:pt idx="3">
                  <c:v>77.55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8275945099928"/>
          <c:y val="0.0454076367389061"/>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"三公经费”财政拨款支出决算情况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c:v>
                </c:pt>
                <c:pt idx="1">
                  <c:v>公务用车购置及运行维护费</c:v>
                </c:pt>
                <c:pt idx="2">
                  <c:v>公务接待费</c:v>
                </c:pt>
              </c:strCache>
            </c:strRef>
          </c:cat>
          <c:val>
            <c:numRef>
              <c:f>Sheet1!$B$2:$B$5</c:f>
              <c:numCache>
                <c:formatCode>General</c:formatCode>
                <c:ptCount val="4"/>
                <c:pt idx="0">
                  <c:v>0</c:v>
                </c:pt>
                <c:pt idx="1">
                  <c:v>0</c:v>
                </c:pt>
                <c:pt idx="2">
                  <c:v>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58734128255639"/>
          <c:y val="0.872548532052688"/>
          <c:w val="0.764400082664841"/>
          <c:h val="0.069659930279612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27803-7599-4C63-BC58-3E0A7D7F3EF3}">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1220</Words>
  <Characters>6954</Characters>
  <Lines>57</Lines>
  <Paragraphs>16</Paragraphs>
  <TotalTime>4</TotalTime>
  <ScaleCrop>false</ScaleCrop>
  <LinksUpToDate>false</LinksUpToDate>
  <CharactersWithSpaces>8158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2019-09-20T00:41:00Z</dcterms:created>
  <dc:creator>张彬茜</dc:creator>
  <cp:lastModifiedBy>Administrator</cp:lastModifiedBy>
  <cp:lastPrinted>2019-08-01T00:48:00Z</cp:lastPrinted>
  <dcterms:modified xsi:type="dcterms:W3CDTF">2020-09-21T00:59:39Z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