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AE" w:rsidRDefault="00A977AE">
      <w:pPr>
        <w:spacing w:line="600" w:lineRule="exact"/>
        <w:jc w:val="center"/>
        <w:outlineLvl w:val="0"/>
        <w:rPr>
          <w:rFonts w:ascii="方正小标宋简体" w:eastAsia="方正小标宋简体" w:hAnsi="宋体"/>
          <w:color w:val="000000"/>
          <w:sz w:val="72"/>
          <w:szCs w:val="72"/>
        </w:rPr>
      </w:pPr>
      <w:bookmarkStart w:id="0" w:name="_Toc15306267"/>
    </w:p>
    <w:p w:rsidR="00A977AE" w:rsidRDefault="00A977AE">
      <w:pPr>
        <w:spacing w:line="600" w:lineRule="exact"/>
        <w:jc w:val="center"/>
        <w:outlineLvl w:val="0"/>
        <w:rPr>
          <w:rFonts w:ascii="方正小标宋简体" w:eastAsia="方正小标宋简体" w:hAnsi="宋体"/>
          <w:color w:val="000000"/>
          <w:sz w:val="72"/>
          <w:szCs w:val="72"/>
        </w:rPr>
      </w:pPr>
    </w:p>
    <w:p w:rsidR="00A977AE" w:rsidRDefault="00A977AE">
      <w:pPr>
        <w:spacing w:line="600" w:lineRule="exact"/>
        <w:jc w:val="center"/>
        <w:outlineLvl w:val="0"/>
        <w:rPr>
          <w:rFonts w:ascii="方正小标宋简体" w:eastAsia="方正小标宋简体" w:hAnsi="宋体"/>
          <w:color w:val="000000"/>
          <w:sz w:val="72"/>
          <w:szCs w:val="72"/>
        </w:rPr>
      </w:pPr>
    </w:p>
    <w:p w:rsidR="00A977AE" w:rsidRDefault="00A977AE">
      <w:pPr>
        <w:spacing w:line="600" w:lineRule="exact"/>
        <w:jc w:val="center"/>
        <w:outlineLvl w:val="0"/>
        <w:rPr>
          <w:rFonts w:ascii="方正小标宋简体" w:eastAsia="方正小标宋简体" w:hAnsi="宋体"/>
          <w:color w:val="000000"/>
          <w:sz w:val="72"/>
          <w:szCs w:val="72"/>
        </w:rPr>
      </w:pPr>
    </w:p>
    <w:p w:rsidR="00A977AE" w:rsidRDefault="00CB548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425"/>
      <w:bookmarkStart w:id="3" w:name="_Toc15396475"/>
      <w:bookmarkStart w:id="4" w:name="_Toc15377193"/>
      <w:bookmarkStart w:id="5"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A977AE" w:rsidRDefault="00CB548D">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96598"/>
      <w:bookmarkStart w:id="8" w:name="_Toc15377194"/>
      <w:bookmarkStart w:id="9" w:name="_Toc15378442"/>
      <w:bookmarkStart w:id="10" w:name="_Toc1537742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开江县普安中学</w:t>
      </w:r>
    </w:p>
    <w:p w:rsidR="00A977AE" w:rsidRDefault="00CB548D">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A977AE" w:rsidRDefault="00CB548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977AE" w:rsidRDefault="00CB548D">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A977AE" w:rsidRDefault="00CB548D">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17</w:t>
      </w:r>
      <w:r>
        <w:rPr>
          <w:rFonts w:hint="eastAsia"/>
        </w:rPr>
        <w:t>日</w:t>
      </w:r>
    </w:p>
    <w:p w:rsidR="00A977AE" w:rsidRDefault="00A977AE"/>
    <w:p w:rsidR="00A977AE" w:rsidRDefault="00CB548D">
      <w:pPr>
        <w:pStyle w:val="10"/>
        <w:rPr>
          <w:rFonts w:cstheme="minorBidi"/>
        </w:rPr>
      </w:pPr>
      <w:hyperlink w:anchor="_Toc15396599" w:history="1">
        <w:r>
          <w:rPr>
            <w:rStyle w:val="a8"/>
            <w:rFonts w:hint="eastAsia"/>
          </w:rPr>
          <w:t>第一部分部门概况</w:t>
        </w:r>
        <w:r>
          <w:tab/>
        </w:r>
        <w:r>
          <w:rPr>
            <w:rFonts w:hint="eastAsia"/>
          </w:rPr>
          <w:t>4</w:t>
        </w:r>
      </w:hyperlink>
    </w:p>
    <w:p w:rsidR="00A977AE" w:rsidRDefault="00CB548D">
      <w:pPr>
        <w:pStyle w:val="20"/>
        <w:rPr>
          <w:rFonts w:ascii="仿宋" w:eastAsia="仿宋" w:hAnsi="仿宋" w:cstheme="minorBidi"/>
          <w:sz w:val="28"/>
          <w:szCs w:val="28"/>
        </w:rPr>
      </w:pPr>
      <w:hyperlink w:anchor="_Toc15396600" w:history="1">
        <w:r>
          <w:rPr>
            <w:rStyle w:val="a8"/>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rsidR="00A977AE" w:rsidRDefault="00CB548D">
      <w:pPr>
        <w:pStyle w:val="20"/>
        <w:rPr>
          <w:rFonts w:ascii="仿宋" w:eastAsia="仿宋" w:hAnsi="仿宋" w:cstheme="minorBidi"/>
          <w:sz w:val="28"/>
          <w:szCs w:val="28"/>
        </w:rPr>
      </w:pPr>
      <w:hyperlink w:anchor="_Toc15396601" w:history="1">
        <w:r>
          <w:rPr>
            <w:rStyle w:val="a8"/>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4</w:t>
        </w:r>
        <w:r>
          <w:rPr>
            <w:rFonts w:ascii="仿宋" w:eastAsia="仿宋" w:hAnsi="仿宋"/>
            <w:sz w:val="28"/>
            <w:szCs w:val="28"/>
          </w:rPr>
          <w:fldChar w:fldCharType="end"/>
        </w:r>
      </w:hyperlink>
    </w:p>
    <w:p w:rsidR="00A977AE" w:rsidRDefault="00CB548D">
      <w:pPr>
        <w:pStyle w:val="10"/>
      </w:pPr>
      <w:hyperlink w:anchor="_Toc15396602" w:history="1">
        <w:r>
          <w:rPr>
            <w:rStyle w:val="a8"/>
            <w:rFonts w:hint="eastAsia"/>
          </w:rPr>
          <w:t>第二部分</w:t>
        </w:r>
        <w:r>
          <w:rPr>
            <w:rStyle w:val="a8"/>
          </w:rPr>
          <w:t xml:space="preserve"> 2019</w:t>
        </w:r>
        <w:r>
          <w:rPr>
            <w:rStyle w:val="a8"/>
            <w:rFonts w:hint="eastAsia"/>
          </w:rPr>
          <w:t>年度部门决算情况说明</w:t>
        </w:r>
        <w:r>
          <w:tab/>
        </w:r>
        <w:r>
          <w:rPr>
            <w:rFonts w:hint="eastAsia"/>
          </w:rPr>
          <w:t>5</w:t>
        </w:r>
      </w:hyperlink>
    </w:p>
    <w:p w:rsidR="00A977AE" w:rsidRDefault="00CB548D">
      <w:pPr>
        <w:pStyle w:val="20"/>
        <w:rPr>
          <w:rFonts w:ascii="仿宋" w:eastAsia="仿宋" w:hAnsi="仿宋" w:cstheme="minorBidi"/>
          <w:sz w:val="28"/>
          <w:szCs w:val="28"/>
        </w:rPr>
      </w:pPr>
      <w:hyperlink w:anchor="_Toc15396603" w:history="1">
        <w:r>
          <w:rPr>
            <w:rStyle w:val="a8"/>
            <w:rFonts w:ascii="仿宋" w:eastAsia="仿宋" w:hAnsi="仿宋" w:cstheme="majorBidi" w:hint="eastAsia"/>
            <w:bCs/>
            <w:sz w:val="28"/>
            <w:szCs w:val="28"/>
          </w:rPr>
          <w:t>一、</w:t>
        </w:r>
        <w:r>
          <w:rPr>
            <w:rStyle w:val="a8"/>
            <w:rFonts w:ascii="仿宋" w:eastAsia="仿宋" w:hAnsi="仿宋" w:hint="eastAsia"/>
            <w:sz w:val="28"/>
            <w:szCs w:val="28"/>
          </w:rPr>
          <w:t>收</w:t>
        </w:r>
        <w:r>
          <w:rPr>
            <w:rStyle w:val="a8"/>
            <w:rFonts w:ascii="仿宋" w:eastAsia="仿宋" w:hAnsi="仿宋" w:cstheme="majorBidi"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04" w:history="1">
        <w:r>
          <w:rPr>
            <w:rStyle w:val="a8"/>
            <w:rFonts w:ascii="仿宋" w:eastAsia="仿宋" w:hAnsi="仿宋" w:cstheme="majorBidi" w:hint="eastAsia"/>
            <w:bCs/>
            <w:sz w:val="28"/>
            <w:szCs w:val="28"/>
          </w:rPr>
          <w:t>二、</w:t>
        </w:r>
        <w:r>
          <w:rPr>
            <w:rStyle w:val="a8"/>
            <w:rFonts w:ascii="仿宋" w:eastAsia="仿宋" w:hAnsi="仿宋" w:hint="eastAsia"/>
            <w:sz w:val="28"/>
            <w:szCs w:val="28"/>
          </w:rPr>
          <w:t>收</w:t>
        </w:r>
        <w:r>
          <w:rPr>
            <w:rStyle w:val="a8"/>
            <w:rFonts w:ascii="仿宋" w:eastAsia="仿宋" w:hAnsi="仿宋" w:cstheme="majorBidi"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05" w:history="1">
        <w:r>
          <w:rPr>
            <w:rStyle w:val="a8"/>
            <w:rFonts w:ascii="仿宋" w:eastAsia="仿宋" w:hAnsi="仿宋" w:cstheme="majorBidi" w:hint="eastAsia"/>
            <w:bCs/>
            <w:sz w:val="28"/>
            <w:szCs w:val="28"/>
          </w:rPr>
          <w:t>三、</w:t>
        </w:r>
        <w:r>
          <w:rPr>
            <w:rStyle w:val="a8"/>
            <w:rFonts w:ascii="仿宋" w:eastAsia="仿宋" w:hAnsi="仿宋" w:hint="eastAsia"/>
            <w:sz w:val="28"/>
            <w:szCs w:val="28"/>
          </w:rPr>
          <w:t>支</w:t>
        </w:r>
        <w:r>
          <w:rPr>
            <w:rStyle w:val="a8"/>
            <w:rFonts w:ascii="仿宋" w:eastAsia="仿宋" w:hAnsi="仿宋" w:cstheme="majorBidi"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6</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06" w:history="1">
        <w:r>
          <w:rPr>
            <w:rStyle w:val="a8"/>
            <w:rFonts w:ascii="仿宋" w:eastAsia="仿宋" w:hAnsi="仿宋" w:hint="eastAsia"/>
            <w:sz w:val="28"/>
            <w:szCs w:val="28"/>
          </w:rPr>
          <w:t>四、财</w:t>
        </w:r>
        <w:r>
          <w:rPr>
            <w:rStyle w:val="a8"/>
            <w:rFonts w:ascii="仿宋" w:eastAsia="仿宋" w:hAnsi="仿宋" w:cstheme="majorBidi"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6</w:t>
        </w:r>
        <w:r>
          <w:rPr>
            <w:rFonts w:ascii="仿宋" w:eastAsia="仿宋" w:hAnsi="仿宋"/>
            <w:sz w:val="28"/>
            <w:szCs w:val="28"/>
          </w:rPr>
          <w:fldChar w:fldCharType="end"/>
        </w:r>
      </w:hyperlink>
      <w:bookmarkStart w:id="12" w:name="_GoBack"/>
      <w:bookmarkEnd w:id="12"/>
    </w:p>
    <w:p w:rsidR="00A977AE" w:rsidRDefault="00CB548D">
      <w:pPr>
        <w:pStyle w:val="20"/>
        <w:rPr>
          <w:rFonts w:ascii="仿宋" w:eastAsia="仿宋" w:hAnsi="仿宋" w:cstheme="minorBidi"/>
          <w:sz w:val="28"/>
          <w:szCs w:val="28"/>
        </w:rPr>
      </w:pPr>
      <w:hyperlink w:anchor="_Toc15396607" w:history="1">
        <w:r>
          <w:rPr>
            <w:rStyle w:val="a8"/>
            <w:rFonts w:ascii="仿宋" w:eastAsia="仿宋" w:hAnsi="仿宋" w:hint="eastAsia"/>
            <w:sz w:val="28"/>
            <w:szCs w:val="28"/>
          </w:rPr>
          <w:t>五、一</w:t>
        </w:r>
        <w:r>
          <w:rPr>
            <w:rStyle w:val="a8"/>
            <w:rFonts w:ascii="仿宋" w:eastAsia="仿宋" w:hAnsi="仿宋" w:cstheme="majorBidi"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7</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08" w:history="1">
        <w:r>
          <w:rPr>
            <w:rStyle w:val="a8"/>
            <w:rFonts w:ascii="仿宋" w:eastAsia="仿宋" w:hAnsi="仿宋" w:hint="eastAsia"/>
            <w:sz w:val="28"/>
            <w:szCs w:val="28"/>
          </w:rPr>
          <w:t>六、一</w:t>
        </w:r>
        <w:r>
          <w:rPr>
            <w:rStyle w:val="a8"/>
            <w:rFonts w:ascii="仿宋" w:eastAsia="仿宋" w:hAnsi="仿宋" w:cstheme="majorBidi"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9</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09" w:history="1">
        <w:r>
          <w:rPr>
            <w:rStyle w:val="a8"/>
            <w:rFonts w:ascii="仿宋" w:eastAsia="仿宋" w:hAnsi="仿宋" w:hint="eastAsia"/>
            <w:sz w:val="28"/>
            <w:szCs w:val="28"/>
          </w:rPr>
          <w:t>七、</w:t>
        </w:r>
        <w:r>
          <w:rPr>
            <w:rStyle w:val="a8"/>
            <w:rFonts w:ascii="仿宋" w:eastAsia="仿宋" w:hAnsi="仿宋"/>
            <w:sz w:val="28"/>
            <w:szCs w:val="28"/>
          </w:rPr>
          <w:t>“</w:t>
        </w:r>
        <w:r>
          <w:rPr>
            <w:rStyle w:val="a8"/>
            <w:rFonts w:ascii="仿宋" w:eastAsia="仿宋" w:hAnsi="仿宋" w:cstheme="majorBidi"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9</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10" w:history="1">
        <w:r>
          <w:rPr>
            <w:rStyle w:val="a8"/>
            <w:rFonts w:ascii="仿宋" w:eastAsia="仿宋" w:hAnsi="仿宋" w:hint="eastAsia"/>
            <w:sz w:val="28"/>
            <w:szCs w:val="28"/>
          </w:rPr>
          <w:t>八、</w:t>
        </w:r>
        <w:r>
          <w:rPr>
            <w:rStyle w:val="a8"/>
            <w:rFonts w:ascii="仿宋" w:eastAsia="仿宋" w:hAnsi="仿宋" w:cstheme="majorBidi"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10</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11" w:history="1">
        <w:r>
          <w:rPr>
            <w:rStyle w:val="a8"/>
            <w:rFonts w:ascii="仿宋" w:eastAsia="仿宋" w:hAnsi="仿宋" w:cstheme="majorBidi" w:hint="eastAsia"/>
            <w:bCs/>
            <w:sz w:val="28"/>
            <w:szCs w:val="28"/>
          </w:rPr>
          <w:t>九、</w:t>
        </w:r>
        <w:r>
          <w:rPr>
            <w:rStyle w:val="a8"/>
            <w:rFonts w:ascii="仿宋" w:eastAsia="仿宋" w:hAnsi="仿宋" w:hint="eastAsia"/>
            <w:sz w:val="28"/>
            <w:szCs w:val="28"/>
          </w:rPr>
          <w:t xml:space="preserve"> </w:t>
        </w:r>
        <w:r>
          <w:rPr>
            <w:rStyle w:val="a8"/>
            <w:rFonts w:ascii="仿宋" w:eastAsia="仿宋" w:hAnsi="仿宋" w:hint="eastAsia"/>
            <w:sz w:val="28"/>
            <w:szCs w:val="28"/>
          </w:rPr>
          <w:t>国</w:t>
        </w:r>
        <w:r>
          <w:rPr>
            <w:rStyle w:val="a8"/>
            <w:rFonts w:ascii="仿宋" w:eastAsia="仿宋" w:hAnsi="仿宋" w:cstheme="majorBidi" w:hint="eastAsia"/>
            <w:bCs/>
            <w:sz w:val="28"/>
            <w:szCs w:val="28"/>
          </w:rPr>
          <w:t>有资本经营预算支出决算情</w:t>
        </w:r>
        <w:r>
          <w:rPr>
            <w:rStyle w:val="a8"/>
            <w:rFonts w:ascii="仿宋" w:eastAsia="仿宋" w:hAnsi="仿宋" w:cstheme="majorBidi" w:hint="eastAsia"/>
            <w:bCs/>
            <w:sz w:val="28"/>
            <w:szCs w:val="28"/>
          </w:rPr>
          <w:t>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10</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hyperlink w:anchor="_Toc15396612" w:history="1">
        <w:r>
          <w:rPr>
            <w:rStyle w:val="a8"/>
            <w:rFonts w:ascii="仿宋" w:eastAsia="仿宋" w:hAnsi="仿宋" w:hint="eastAsia"/>
            <w:sz w:val="28"/>
            <w:szCs w:val="28"/>
          </w:rPr>
          <w:t>十</w:t>
        </w:r>
        <w:r>
          <w:rPr>
            <w:rStyle w:val="a8"/>
            <w:rFonts w:ascii="仿宋" w:eastAsia="仿宋" w:hAnsi="仿宋" w:cstheme="majorBidi"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11</w:t>
        </w:r>
        <w:r>
          <w:rPr>
            <w:rFonts w:ascii="仿宋" w:eastAsia="仿宋" w:hAnsi="仿宋"/>
            <w:sz w:val="28"/>
            <w:szCs w:val="28"/>
          </w:rPr>
          <w:fldChar w:fldCharType="end"/>
        </w:r>
      </w:hyperlink>
    </w:p>
    <w:p w:rsidR="00A977AE" w:rsidRDefault="00CB548D">
      <w:pPr>
        <w:pStyle w:val="10"/>
        <w:rPr>
          <w:rFonts w:cstheme="minorBidi"/>
        </w:rPr>
      </w:pPr>
      <w:hyperlink w:anchor="_Toc15396613" w:history="1">
        <w:r>
          <w:rPr>
            <w:rStyle w:val="a8"/>
            <w:rFonts w:hint="eastAsia"/>
            <w:bCs/>
            <w:kern w:val="44"/>
          </w:rPr>
          <w:t>第三部分</w:t>
        </w:r>
        <w:r>
          <w:rPr>
            <w:rStyle w:val="a8"/>
            <w:rFonts w:hint="eastAsia"/>
          </w:rPr>
          <w:t xml:space="preserve"> </w:t>
        </w:r>
        <w:r>
          <w:rPr>
            <w:rStyle w:val="a8"/>
            <w:rFonts w:hint="eastAsia"/>
          </w:rPr>
          <w:t>名</w:t>
        </w:r>
        <w:r>
          <w:rPr>
            <w:rStyle w:val="a8"/>
            <w:rFonts w:hint="eastAsia"/>
            <w:bCs/>
            <w:kern w:val="44"/>
          </w:rPr>
          <w:t>词解释</w:t>
        </w:r>
        <w:r>
          <w:tab/>
        </w:r>
        <w:r>
          <w:rPr>
            <w:rFonts w:hint="eastAsia"/>
          </w:rPr>
          <w:t>11</w:t>
        </w:r>
      </w:hyperlink>
    </w:p>
    <w:p w:rsidR="00A977AE" w:rsidRDefault="00CB548D">
      <w:pPr>
        <w:pStyle w:val="10"/>
        <w:rPr>
          <w:rFonts w:cstheme="minorBidi"/>
        </w:rPr>
      </w:pPr>
      <w:hyperlink w:anchor="_Toc15396618" w:history="1">
        <w:r>
          <w:rPr>
            <w:rStyle w:val="a8"/>
            <w:rFonts w:hint="eastAsia"/>
          </w:rPr>
          <w:t>第</w:t>
        </w:r>
        <w:r>
          <w:rPr>
            <w:rStyle w:val="a8"/>
            <w:rFonts w:hint="eastAsia"/>
            <w:bCs/>
            <w:kern w:val="44"/>
          </w:rPr>
          <w:t>四部分附表</w:t>
        </w:r>
        <w:r>
          <w:tab/>
        </w:r>
        <w:r>
          <w:fldChar w:fldCharType="begin"/>
        </w:r>
        <w:r>
          <w:instrText xml:space="preserve"> PAGEREF _Toc15396618 \h </w:instrText>
        </w:r>
        <w:r>
          <w:fldChar w:fldCharType="separate"/>
        </w:r>
        <w:r w:rsidR="003E7002">
          <w:rPr>
            <w:noProof/>
          </w:rPr>
          <w:t>15</w:t>
        </w:r>
        <w: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w:instrText>
        </w:r>
        <w:r>
          <w:rPr>
            <w:rFonts w:ascii="仿宋" w:eastAsia="仿宋" w:hAnsi="仿宋"/>
            <w:sz w:val="28"/>
            <w:szCs w:val="28"/>
          </w:rPr>
          <w:instrText xml:space="preserve">396619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lastRenderedPageBreak/>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w:instrText>
        </w:r>
        <w:r>
          <w:rPr>
            <w:rFonts w:ascii="仿宋" w:eastAsia="仿宋" w:hAnsi="仿宋"/>
            <w:sz w:val="28"/>
            <w:szCs w:val="28"/>
          </w:rPr>
          <w:instrText xml:space="preserve">GEREF _Toc15396621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w:t>
        </w:r>
        <w:r>
          <w:rPr>
            <w:rStyle w:val="a8"/>
            <w:rFonts w:ascii="仿宋" w:eastAsia="仿宋" w:hAnsi="仿宋" w:hint="eastAsia"/>
            <w:sz w:val="28"/>
            <w:szCs w:val="28"/>
          </w:rPr>
          <w:t>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w:instrText>
        </w:r>
        <w:r>
          <w:rPr>
            <w:rFonts w:ascii="仿宋" w:eastAsia="仿宋" w:hAnsi="仿宋"/>
            <w:sz w:val="28"/>
            <w:szCs w:val="28"/>
          </w:rPr>
          <w:instrText xml:space="preserve">9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r>
        <w:r>
          <w:rPr>
            <w:rFonts w:ascii="仿宋" w:eastAsia="仿宋" w:hAnsi="仿宋"/>
            <w:sz w:val="28"/>
            <w:szCs w:val="28"/>
          </w:rPr>
          <w:fldChar w:fldCharType="separate"/>
        </w:r>
        <w:r w:rsidR="003E7002">
          <w:rPr>
            <w:rFonts w:ascii="仿宋" w:eastAsia="仿宋" w:hAnsi="仿宋"/>
            <w:noProof/>
            <w:sz w:val="28"/>
            <w:szCs w:val="28"/>
          </w:rPr>
          <w:t>15</w:t>
        </w:r>
        <w:r>
          <w:rPr>
            <w:rFonts w:ascii="仿宋" w:eastAsia="仿宋" w:hAnsi="仿宋"/>
            <w:sz w:val="28"/>
            <w:szCs w:val="28"/>
          </w:rPr>
          <w:fldChar w:fldCharType="end"/>
        </w:r>
      </w:hyperlink>
    </w:p>
    <w:p w:rsidR="00A977AE" w:rsidRDefault="00CB548D">
      <w:pPr>
        <w:widowControl/>
        <w:jc w:val="left"/>
        <w:rPr>
          <w:rFonts w:ascii="仿宋" w:eastAsia="仿宋" w:hAnsi="仿宋"/>
          <w:color w:val="000000"/>
          <w:sz w:val="24"/>
        </w:rPr>
      </w:pPr>
      <w:r>
        <w:rPr>
          <w:rFonts w:ascii="仿宋" w:eastAsia="仿宋" w:hAnsi="仿宋"/>
          <w:color w:val="000000"/>
          <w:sz w:val="24"/>
        </w:rPr>
        <w:fldChar w:fldCharType="end"/>
      </w:r>
    </w:p>
    <w:p w:rsidR="00A977AE" w:rsidRDefault="00CB548D">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A977AE" w:rsidRDefault="00CB548D">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A977AE" w:rsidRDefault="00CB548D">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A977AE" w:rsidRDefault="00CB548D">
      <w:pPr>
        <w:pStyle w:val="a3"/>
        <w:adjustRightInd w:val="0"/>
        <w:snapToGrid w:val="0"/>
        <w:spacing w:before="93" w:line="600" w:lineRule="exact"/>
        <w:ind w:firstLineChars="100" w:firstLine="320"/>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p>
    <w:p w:rsidR="00A977AE" w:rsidRDefault="00CB548D">
      <w:pPr>
        <w:spacing w:line="700" w:lineRule="exact"/>
        <w:ind w:firstLineChars="200" w:firstLine="640"/>
        <w:jc w:val="left"/>
        <w:rPr>
          <w:bCs/>
          <w:color w:val="000000"/>
          <w:sz w:val="32"/>
          <w:szCs w:val="32"/>
        </w:rPr>
      </w:pPr>
      <w:bookmarkStart w:id="19" w:name="_Toc15377199"/>
      <w:bookmarkStart w:id="20" w:name="_Toc15378446"/>
      <w:bookmarkEnd w:id="17"/>
      <w:bookmarkEnd w:id="18"/>
      <w:r>
        <w:rPr>
          <w:bCs/>
          <w:color w:val="000000"/>
          <w:sz w:val="32"/>
          <w:szCs w:val="32"/>
        </w:rPr>
        <w:t>开江县</w:t>
      </w:r>
      <w:r>
        <w:rPr>
          <w:rFonts w:hint="eastAsia"/>
          <w:bCs/>
          <w:color w:val="000000"/>
          <w:sz w:val="32"/>
          <w:szCs w:val="32"/>
        </w:rPr>
        <w:t>普安中学</w:t>
      </w:r>
      <w:r>
        <w:rPr>
          <w:bCs/>
          <w:color w:val="000000"/>
          <w:sz w:val="32"/>
          <w:szCs w:val="32"/>
        </w:rPr>
        <w:t>隶属于</w:t>
      </w:r>
      <w:r>
        <w:rPr>
          <w:rFonts w:hint="eastAsia"/>
          <w:bCs/>
          <w:color w:val="000000"/>
          <w:sz w:val="32"/>
          <w:szCs w:val="32"/>
        </w:rPr>
        <w:t>开江</w:t>
      </w:r>
      <w:r>
        <w:rPr>
          <w:bCs/>
          <w:color w:val="000000"/>
          <w:sz w:val="32"/>
          <w:szCs w:val="32"/>
        </w:rPr>
        <w:t>县教科局，是一所</w:t>
      </w:r>
      <w:r>
        <w:rPr>
          <w:rFonts w:hint="eastAsia"/>
          <w:bCs/>
          <w:color w:val="000000"/>
          <w:sz w:val="32"/>
          <w:szCs w:val="32"/>
        </w:rPr>
        <w:t>农村完全中学</w:t>
      </w:r>
      <w:r>
        <w:rPr>
          <w:bCs/>
          <w:color w:val="000000"/>
          <w:sz w:val="32"/>
          <w:szCs w:val="32"/>
        </w:rPr>
        <w:t>。</w:t>
      </w:r>
      <w:r>
        <w:rPr>
          <w:rFonts w:hint="eastAsia"/>
          <w:bCs/>
          <w:color w:val="000000"/>
          <w:sz w:val="32"/>
          <w:szCs w:val="32"/>
        </w:rPr>
        <w:t>学校</w:t>
      </w:r>
      <w:r>
        <w:rPr>
          <w:bCs/>
          <w:color w:val="000000"/>
          <w:sz w:val="32"/>
          <w:szCs w:val="32"/>
        </w:rPr>
        <w:t>确立了</w:t>
      </w:r>
      <w:r>
        <w:rPr>
          <w:bCs/>
          <w:color w:val="000000"/>
          <w:sz w:val="32"/>
          <w:szCs w:val="32"/>
        </w:rPr>
        <w:t>“</w:t>
      </w:r>
      <w:r>
        <w:rPr>
          <w:bCs/>
          <w:color w:val="000000"/>
          <w:sz w:val="32"/>
          <w:szCs w:val="32"/>
        </w:rPr>
        <w:t>以市场为导向，以服务为宗旨，以需求为目标，以管理促效益，以质量求生存</w:t>
      </w:r>
      <w:r>
        <w:rPr>
          <w:bCs/>
          <w:color w:val="000000"/>
          <w:sz w:val="32"/>
          <w:szCs w:val="32"/>
        </w:rPr>
        <w:t>”</w:t>
      </w:r>
      <w:r>
        <w:rPr>
          <w:bCs/>
          <w:color w:val="000000"/>
          <w:sz w:val="32"/>
          <w:szCs w:val="32"/>
        </w:rPr>
        <w:t>的办学理念和工作思路。</w:t>
      </w:r>
    </w:p>
    <w:p w:rsidR="00A977AE" w:rsidRDefault="00CB548D">
      <w:pPr>
        <w:pStyle w:val="a3"/>
        <w:adjustRightInd w:val="0"/>
        <w:snapToGrid w:val="0"/>
        <w:spacing w:before="93"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9"/>
      <w:bookmarkEnd w:id="20"/>
    </w:p>
    <w:p w:rsidR="00A977AE" w:rsidRDefault="00CB548D">
      <w:pPr>
        <w:snapToGrid w:val="0"/>
        <w:spacing w:line="700" w:lineRule="exact"/>
        <w:ind w:firstLineChars="200" w:firstLine="640"/>
        <w:rPr>
          <w:bCs/>
          <w:color w:val="000000"/>
          <w:sz w:val="32"/>
          <w:szCs w:val="32"/>
        </w:rPr>
      </w:pPr>
      <w:r>
        <w:rPr>
          <w:rFonts w:hint="eastAsia"/>
          <w:bCs/>
          <w:color w:val="000000"/>
          <w:sz w:val="32"/>
          <w:szCs w:val="32"/>
        </w:rPr>
        <w:t>教育教学质量进一步提高，办学条件得到改善。办学水平和办学质量得到社会和教育行政部门的认可，为地方教育事业发展做出了贡献。按照县委县政府、县教科局</w:t>
      </w:r>
      <w:r>
        <w:rPr>
          <w:rFonts w:hint="eastAsia"/>
          <w:bCs/>
          <w:color w:val="000000"/>
          <w:sz w:val="32"/>
          <w:szCs w:val="32"/>
        </w:rPr>
        <w:t>2019</w:t>
      </w:r>
      <w:r>
        <w:rPr>
          <w:rFonts w:hint="eastAsia"/>
          <w:bCs/>
          <w:color w:val="000000"/>
          <w:sz w:val="32"/>
          <w:szCs w:val="32"/>
        </w:rPr>
        <w:t>年工作部署，高质量、高标准落实完成目标任务。</w:t>
      </w:r>
      <w:r>
        <w:rPr>
          <w:rFonts w:hint="eastAsia"/>
          <w:bCs/>
          <w:color w:val="000000"/>
          <w:sz w:val="32"/>
          <w:szCs w:val="32"/>
        </w:rPr>
        <w:t xml:space="preserve">  </w:t>
      </w:r>
    </w:p>
    <w:p w:rsidR="00A977AE" w:rsidRDefault="00CB548D">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A977AE" w:rsidRDefault="00CB548D">
      <w:pPr>
        <w:spacing w:line="700" w:lineRule="exact"/>
        <w:ind w:firstLineChars="200" w:firstLine="640"/>
        <w:jc w:val="left"/>
        <w:rPr>
          <w:bCs/>
          <w:color w:val="000000"/>
          <w:sz w:val="32"/>
          <w:szCs w:val="32"/>
        </w:rPr>
      </w:pPr>
      <w:bookmarkStart w:id="23" w:name="_Toc15377204"/>
      <w:bookmarkStart w:id="24" w:name="_Toc15396602"/>
      <w:r>
        <w:rPr>
          <w:rFonts w:hint="eastAsia"/>
          <w:bCs/>
          <w:color w:val="000000"/>
          <w:sz w:val="32"/>
          <w:szCs w:val="32"/>
        </w:rPr>
        <w:t>2019</w:t>
      </w:r>
      <w:r>
        <w:rPr>
          <w:bCs/>
          <w:color w:val="000000"/>
          <w:sz w:val="32"/>
          <w:szCs w:val="32"/>
        </w:rPr>
        <w:t>年末单位机构数</w:t>
      </w:r>
      <w:r>
        <w:rPr>
          <w:bCs/>
          <w:color w:val="000000"/>
          <w:sz w:val="32"/>
          <w:szCs w:val="32"/>
        </w:rPr>
        <w:t>1</w:t>
      </w:r>
      <w:r>
        <w:rPr>
          <w:rFonts w:hint="eastAsia"/>
          <w:bCs/>
          <w:color w:val="000000"/>
          <w:sz w:val="32"/>
          <w:szCs w:val="32"/>
        </w:rPr>
        <w:t>个</w:t>
      </w:r>
      <w:r>
        <w:rPr>
          <w:bCs/>
          <w:color w:val="000000"/>
          <w:sz w:val="32"/>
          <w:szCs w:val="32"/>
        </w:rPr>
        <w:t>，预算单位数</w:t>
      </w:r>
      <w:r>
        <w:rPr>
          <w:bCs/>
          <w:color w:val="000000"/>
          <w:sz w:val="32"/>
          <w:szCs w:val="32"/>
        </w:rPr>
        <w:t>1</w:t>
      </w:r>
      <w:r>
        <w:rPr>
          <w:rFonts w:hint="eastAsia"/>
          <w:bCs/>
          <w:color w:val="000000"/>
          <w:sz w:val="32"/>
          <w:szCs w:val="32"/>
        </w:rPr>
        <w:t>个，</w:t>
      </w:r>
      <w:r>
        <w:rPr>
          <w:bCs/>
          <w:color w:val="000000"/>
          <w:sz w:val="32"/>
          <w:szCs w:val="32"/>
        </w:rPr>
        <w:t>机构无变动情况</w:t>
      </w:r>
      <w:r>
        <w:rPr>
          <w:rFonts w:hint="eastAsia"/>
          <w:bCs/>
          <w:color w:val="000000"/>
          <w:sz w:val="32"/>
          <w:szCs w:val="32"/>
        </w:rPr>
        <w:t>。</w:t>
      </w:r>
    </w:p>
    <w:p w:rsidR="00A977AE" w:rsidRDefault="00CB548D">
      <w:pPr>
        <w:spacing w:line="700" w:lineRule="exact"/>
        <w:ind w:firstLineChars="200" w:firstLine="640"/>
        <w:jc w:val="left"/>
        <w:rPr>
          <w:bCs/>
          <w:color w:val="000000"/>
          <w:sz w:val="32"/>
          <w:szCs w:val="32"/>
        </w:rPr>
      </w:pPr>
      <w:r>
        <w:rPr>
          <w:rFonts w:hint="eastAsia"/>
          <w:bCs/>
          <w:color w:val="000000"/>
          <w:sz w:val="32"/>
          <w:szCs w:val="32"/>
        </w:rPr>
        <w:t>2019</w:t>
      </w:r>
      <w:r>
        <w:rPr>
          <w:rFonts w:hint="eastAsia"/>
          <w:bCs/>
          <w:color w:val="000000"/>
          <w:sz w:val="32"/>
          <w:szCs w:val="32"/>
        </w:rPr>
        <w:t>年末财政供养人数在职教职工</w:t>
      </w:r>
      <w:r>
        <w:rPr>
          <w:rFonts w:hint="eastAsia"/>
          <w:bCs/>
          <w:color w:val="000000"/>
          <w:sz w:val="32"/>
          <w:szCs w:val="32"/>
        </w:rPr>
        <w:t>205</w:t>
      </w:r>
      <w:r>
        <w:rPr>
          <w:rFonts w:hint="eastAsia"/>
          <w:bCs/>
          <w:color w:val="000000"/>
          <w:sz w:val="32"/>
          <w:szCs w:val="32"/>
        </w:rPr>
        <w:t>人，本年共调出</w:t>
      </w:r>
      <w:r>
        <w:rPr>
          <w:rFonts w:hint="eastAsia"/>
          <w:bCs/>
          <w:color w:val="000000"/>
          <w:sz w:val="32"/>
          <w:szCs w:val="32"/>
        </w:rPr>
        <w:t>0</w:t>
      </w:r>
      <w:r>
        <w:rPr>
          <w:rFonts w:hint="eastAsia"/>
          <w:bCs/>
          <w:color w:val="000000"/>
          <w:sz w:val="32"/>
          <w:szCs w:val="32"/>
        </w:rPr>
        <w:t>人，退休</w:t>
      </w:r>
      <w:r>
        <w:rPr>
          <w:rFonts w:hint="eastAsia"/>
          <w:bCs/>
          <w:color w:val="000000"/>
          <w:sz w:val="32"/>
          <w:szCs w:val="32"/>
        </w:rPr>
        <w:t>1</w:t>
      </w:r>
      <w:r>
        <w:rPr>
          <w:rFonts w:hint="eastAsia"/>
          <w:bCs/>
          <w:color w:val="000000"/>
          <w:sz w:val="32"/>
          <w:szCs w:val="32"/>
        </w:rPr>
        <w:t>人，共调进</w:t>
      </w:r>
      <w:r>
        <w:rPr>
          <w:rFonts w:hint="eastAsia"/>
          <w:bCs/>
          <w:color w:val="000000"/>
          <w:sz w:val="32"/>
          <w:szCs w:val="32"/>
        </w:rPr>
        <w:t>0</w:t>
      </w:r>
      <w:r>
        <w:rPr>
          <w:rFonts w:hint="eastAsia"/>
          <w:bCs/>
          <w:color w:val="000000"/>
          <w:sz w:val="32"/>
          <w:szCs w:val="32"/>
        </w:rPr>
        <w:t>人，新进教师</w:t>
      </w:r>
      <w:r>
        <w:rPr>
          <w:rFonts w:hint="eastAsia"/>
          <w:bCs/>
          <w:color w:val="000000"/>
          <w:sz w:val="32"/>
          <w:szCs w:val="32"/>
        </w:rPr>
        <w:t>13</w:t>
      </w:r>
      <w:r>
        <w:rPr>
          <w:rFonts w:hint="eastAsia"/>
          <w:bCs/>
          <w:color w:val="000000"/>
          <w:sz w:val="32"/>
          <w:szCs w:val="32"/>
        </w:rPr>
        <w:t>人。当年变动情况：人数比去年增加</w:t>
      </w:r>
      <w:r>
        <w:rPr>
          <w:rFonts w:hint="eastAsia"/>
          <w:bCs/>
          <w:color w:val="000000"/>
          <w:sz w:val="32"/>
          <w:szCs w:val="32"/>
        </w:rPr>
        <w:t>10</w:t>
      </w:r>
      <w:r>
        <w:rPr>
          <w:rFonts w:hint="eastAsia"/>
          <w:bCs/>
          <w:color w:val="000000"/>
          <w:sz w:val="32"/>
          <w:szCs w:val="32"/>
        </w:rPr>
        <w:t>人。共有在校学生</w:t>
      </w:r>
      <w:r>
        <w:rPr>
          <w:rFonts w:hint="eastAsia"/>
          <w:bCs/>
          <w:color w:val="000000"/>
          <w:sz w:val="32"/>
          <w:szCs w:val="32"/>
        </w:rPr>
        <w:t>3696</w:t>
      </w:r>
      <w:r>
        <w:rPr>
          <w:rFonts w:hint="eastAsia"/>
          <w:bCs/>
          <w:color w:val="000000"/>
          <w:sz w:val="32"/>
          <w:szCs w:val="32"/>
        </w:rPr>
        <w:t>人。</w:t>
      </w:r>
    </w:p>
    <w:p w:rsidR="00A977AE" w:rsidRDefault="00CB548D">
      <w:pPr>
        <w:pStyle w:val="1"/>
        <w:ind w:right="440"/>
        <w:jc w:val="center"/>
        <w:rPr>
          <w:rStyle w:val="1Char"/>
          <w:rFonts w:ascii="黑体" w:eastAsia="黑体" w:hAnsi="黑体"/>
        </w:rPr>
      </w:pPr>
      <w:r>
        <w:rPr>
          <w:rFonts w:ascii="黑体" w:eastAsia="黑体" w:hAnsi="黑体" w:hint="eastAsia"/>
          <w:b w:val="0"/>
          <w:color w:val="000000"/>
        </w:rPr>
        <w:lastRenderedPageBreak/>
        <w:t>第二部分</w:t>
      </w:r>
      <w:r>
        <w:rPr>
          <w:rStyle w:val="1Char"/>
          <w:rFonts w:ascii="黑体" w:eastAsia="黑体" w:hAnsi="黑体" w:hint="eastAsia"/>
        </w:rPr>
        <w:t>2019</w:t>
      </w:r>
      <w:r>
        <w:rPr>
          <w:rStyle w:val="1Char"/>
          <w:rFonts w:ascii="黑体" w:eastAsia="黑体" w:hAnsi="黑体" w:hint="eastAsia"/>
        </w:rPr>
        <w:t>年度部门决算情况说明</w:t>
      </w:r>
      <w:bookmarkEnd w:id="23"/>
      <w:bookmarkEnd w:id="24"/>
    </w:p>
    <w:p w:rsidR="00A977AE" w:rsidRDefault="00A977AE"/>
    <w:p w:rsidR="00A977AE" w:rsidRDefault="00CB548D">
      <w:pPr>
        <w:pStyle w:val="a9"/>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A977AE" w:rsidRDefault="00CB548D">
      <w:pPr>
        <w:ind w:firstLineChars="200" w:firstLine="640"/>
        <w:rPr>
          <w:rFonts w:ascii="宋体" w:hAnsi="宋体" w:cs="Arial"/>
          <w:color w:val="000000"/>
          <w:kern w:val="0"/>
          <w:sz w:val="22"/>
          <w:szCs w:val="22"/>
        </w:rPr>
      </w:pPr>
      <w:r>
        <w:rPr>
          <w:rFonts w:ascii="仿宋" w:eastAsia="仿宋" w:hAnsi="仿宋" w:hint="eastAsia"/>
          <w:color w:val="000000"/>
          <w:sz w:val="32"/>
          <w:szCs w:val="32"/>
        </w:rPr>
        <w:t>2019</w:t>
      </w:r>
      <w:r>
        <w:rPr>
          <w:rFonts w:ascii="仿宋" w:eastAsia="仿宋" w:hAnsi="仿宋" w:hint="eastAsia"/>
          <w:color w:val="000000"/>
          <w:sz w:val="32"/>
          <w:szCs w:val="32"/>
        </w:rPr>
        <w:t>年度收入</w:t>
      </w:r>
      <w:r>
        <w:rPr>
          <w:rFonts w:ascii="仿宋" w:eastAsia="仿宋" w:hAnsi="仿宋" w:hint="eastAsia"/>
          <w:color w:val="000000"/>
          <w:sz w:val="32"/>
          <w:szCs w:val="32"/>
        </w:rPr>
        <w:t>3,682.47</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年相比，收入增加</w:t>
      </w:r>
      <w:r>
        <w:rPr>
          <w:rFonts w:ascii="仿宋" w:eastAsia="仿宋" w:hAnsi="仿宋" w:hint="eastAsia"/>
          <w:color w:val="000000"/>
          <w:sz w:val="32"/>
          <w:szCs w:val="32"/>
        </w:rPr>
        <w:t>591.7</w:t>
      </w:r>
      <w:r>
        <w:rPr>
          <w:rFonts w:ascii="仿宋" w:eastAsia="仿宋" w:hAnsi="仿宋" w:hint="eastAsia"/>
          <w:color w:val="000000"/>
          <w:sz w:val="32"/>
          <w:szCs w:val="32"/>
        </w:rPr>
        <w:t>元、增长</w:t>
      </w:r>
      <w:r>
        <w:rPr>
          <w:rFonts w:ascii="仿宋" w:eastAsia="仿宋" w:hAnsi="仿宋" w:hint="eastAsia"/>
          <w:color w:val="000000"/>
          <w:sz w:val="32"/>
          <w:szCs w:val="32"/>
        </w:rPr>
        <w:t>19.14%</w:t>
      </w:r>
      <w:r>
        <w:rPr>
          <w:rFonts w:ascii="仿宋" w:eastAsia="仿宋" w:hAnsi="仿宋" w:hint="eastAsia"/>
          <w:color w:val="000000"/>
          <w:sz w:val="32"/>
          <w:szCs w:val="32"/>
        </w:rPr>
        <w:t>；总支出</w:t>
      </w:r>
      <w:r>
        <w:rPr>
          <w:rFonts w:ascii="仿宋" w:eastAsia="仿宋" w:hAnsi="仿宋" w:hint="eastAsia"/>
          <w:color w:val="000000"/>
          <w:sz w:val="32"/>
          <w:szCs w:val="32"/>
        </w:rPr>
        <w:t>3,200.11</w:t>
      </w:r>
      <w:r>
        <w:rPr>
          <w:rFonts w:ascii="仿宋" w:eastAsia="仿宋" w:hAnsi="仿宋" w:hint="eastAsia"/>
          <w:color w:val="000000"/>
          <w:sz w:val="32"/>
          <w:szCs w:val="32"/>
        </w:rPr>
        <w:t>万元，支出增加</w:t>
      </w:r>
      <w:r>
        <w:rPr>
          <w:rFonts w:ascii="仿宋" w:eastAsia="仿宋" w:hAnsi="仿宋" w:hint="eastAsia"/>
          <w:color w:val="000000"/>
          <w:sz w:val="32"/>
          <w:szCs w:val="32"/>
        </w:rPr>
        <w:t>212.71</w:t>
      </w:r>
      <w:r>
        <w:rPr>
          <w:rFonts w:ascii="仿宋" w:eastAsia="仿宋" w:hAnsi="仿宋" w:hint="eastAsia"/>
          <w:color w:val="000000"/>
          <w:sz w:val="32"/>
          <w:szCs w:val="32"/>
        </w:rPr>
        <w:t>万元，增长</w:t>
      </w:r>
      <w:r>
        <w:rPr>
          <w:rFonts w:ascii="仿宋" w:eastAsia="仿宋" w:hAnsi="仿宋" w:hint="eastAsia"/>
          <w:color w:val="000000"/>
          <w:sz w:val="32"/>
          <w:szCs w:val="32"/>
        </w:rPr>
        <w:t>7.12</w:t>
      </w:r>
      <w:r>
        <w:rPr>
          <w:rFonts w:ascii="仿宋" w:eastAsia="仿宋" w:hAnsi="仿宋"/>
          <w:color w:val="000000"/>
          <w:sz w:val="32"/>
          <w:szCs w:val="32"/>
        </w:rPr>
        <w:t>%</w:t>
      </w:r>
      <w:r>
        <w:rPr>
          <w:rFonts w:ascii="仿宋" w:eastAsia="仿宋" w:hAnsi="仿宋" w:hint="eastAsia"/>
          <w:color w:val="000000"/>
          <w:sz w:val="32"/>
          <w:szCs w:val="32"/>
        </w:rPr>
        <w:t>。主要变动原因是人员增加工资增资、财政加大对薄弱学校投入。</w:t>
      </w:r>
    </w:p>
    <w:p w:rsidR="00A977AE" w:rsidRDefault="00CB548D" w:rsidP="001F11FE">
      <w:pPr>
        <w:spacing w:line="600" w:lineRule="exact"/>
        <w:ind w:firstLineChars="200" w:firstLine="640"/>
        <w:rPr>
          <w:rFonts w:ascii="仿宋" w:eastAsia="仿宋" w:hAnsi="仿宋" w:hint="eastAsia"/>
          <w:noProof/>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bookmarkStart w:id="27" w:name="_Toc15377206"/>
      <w:bookmarkStart w:id="28" w:name="_Toc15396604"/>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1824" behindDoc="0" locked="0" layoutInCell="1" allowOverlap="1" wp14:anchorId="23321DD5" wp14:editId="54AF4B4B">
            <wp:simplePos x="0" y="0"/>
            <wp:positionH relativeFrom="column">
              <wp:posOffset>239947</wp:posOffset>
            </wp:positionH>
            <wp:positionV relativeFrom="paragraph">
              <wp:posOffset>210820</wp:posOffset>
            </wp:positionV>
            <wp:extent cx="5017273" cy="3077155"/>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Default="001F11FE" w:rsidP="001F11FE">
      <w:pPr>
        <w:spacing w:line="600" w:lineRule="exact"/>
        <w:ind w:firstLineChars="200" w:firstLine="640"/>
        <w:rPr>
          <w:rFonts w:ascii="仿宋" w:eastAsia="仿宋" w:hAnsi="仿宋" w:hint="eastAsia"/>
          <w:noProof/>
          <w:color w:val="000000" w:themeColor="text1"/>
          <w:sz w:val="32"/>
          <w:szCs w:val="32"/>
        </w:rPr>
      </w:pPr>
    </w:p>
    <w:p w:rsidR="001F11FE" w:rsidRPr="001F11FE" w:rsidRDefault="001F11FE" w:rsidP="001F11FE">
      <w:pPr>
        <w:spacing w:line="600" w:lineRule="exact"/>
        <w:rPr>
          <w:rFonts w:ascii="仿宋" w:eastAsia="仿宋" w:hAnsi="仿宋"/>
          <w:color w:val="000000" w:themeColor="text1"/>
          <w:sz w:val="32"/>
          <w:szCs w:val="32"/>
        </w:rPr>
      </w:pPr>
    </w:p>
    <w:p w:rsidR="00A977AE" w:rsidRPr="001F11FE" w:rsidRDefault="00CB548D" w:rsidP="001F11FE">
      <w:pPr>
        <w:pStyle w:val="a9"/>
        <w:spacing w:line="600" w:lineRule="exact"/>
        <w:ind w:left="640" w:firstLineChars="0" w:firstLine="0"/>
        <w:outlineLvl w:val="1"/>
        <w:rPr>
          <w:rFonts w:ascii="黑体" w:eastAsia="黑体" w:hAnsi="黑体" w:cstheme="majorBidi"/>
          <w:bCs/>
          <w:sz w:val="32"/>
          <w:szCs w:val="32"/>
        </w:rPr>
      </w:pPr>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7"/>
      <w:bookmarkEnd w:id="28"/>
    </w:p>
    <w:p w:rsidR="00A977AE" w:rsidRPr="001F11FE" w:rsidRDefault="00CB548D" w:rsidP="001F11FE">
      <w:pPr>
        <w:rPr>
          <w:rFonts w:ascii="宋体" w:hAnsi="宋体" w:cs="Arial"/>
          <w:color w:val="000000"/>
          <w:kern w:val="0"/>
          <w:sz w:val="22"/>
          <w:szCs w:val="2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hint="eastAsia"/>
          <w:color w:val="000000"/>
          <w:sz w:val="32"/>
          <w:szCs w:val="32"/>
        </w:rPr>
        <w:t>3,682.47</w:t>
      </w:r>
      <w:r>
        <w:rPr>
          <w:rFonts w:ascii="仿宋" w:eastAsia="仿宋" w:hAnsi="仿宋" w:hint="eastAsia"/>
          <w:color w:val="000000"/>
          <w:sz w:val="32"/>
          <w:szCs w:val="32"/>
        </w:rPr>
        <w:t>万元，其中：一般公共预算</w:t>
      </w:r>
      <w:r>
        <w:rPr>
          <w:rFonts w:ascii="仿宋" w:eastAsia="仿宋" w:hAnsi="仿宋" w:hint="eastAsia"/>
          <w:color w:val="000000"/>
          <w:sz w:val="32"/>
          <w:szCs w:val="32"/>
        </w:rPr>
        <w:t>财政拨款收入</w:t>
      </w:r>
      <w:r>
        <w:rPr>
          <w:rFonts w:ascii="仿宋" w:eastAsia="仿宋" w:hAnsi="仿宋" w:hint="eastAsia"/>
          <w:color w:val="000000"/>
          <w:sz w:val="32"/>
          <w:szCs w:val="32"/>
        </w:rPr>
        <w:t>3,631.09</w:t>
      </w:r>
      <w:r>
        <w:rPr>
          <w:rFonts w:ascii="仿宋" w:eastAsia="仿宋" w:hAnsi="仿宋" w:hint="eastAsia"/>
          <w:color w:val="000000"/>
          <w:sz w:val="32"/>
          <w:szCs w:val="32"/>
        </w:rPr>
        <w:t>万元，占</w:t>
      </w:r>
      <w:r>
        <w:rPr>
          <w:rFonts w:ascii="仿宋" w:eastAsia="仿宋" w:hAnsi="仿宋" w:hint="eastAsia"/>
          <w:color w:val="000000"/>
          <w:sz w:val="32"/>
          <w:szCs w:val="32"/>
        </w:rPr>
        <w:t>98.6</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51.38</w:t>
      </w:r>
      <w:r>
        <w:rPr>
          <w:rFonts w:ascii="仿宋" w:eastAsia="仿宋" w:hAnsi="仿宋" w:hint="eastAsia"/>
          <w:color w:val="000000"/>
          <w:sz w:val="32"/>
          <w:szCs w:val="32"/>
        </w:rPr>
        <w:t>万元，占</w:t>
      </w:r>
      <w:r>
        <w:rPr>
          <w:rFonts w:ascii="仿宋" w:eastAsia="仿宋" w:hAnsi="仿宋" w:hint="eastAsia"/>
          <w:color w:val="000000"/>
          <w:sz w:val="32"/>
          <w:szCs w:val="32"/>
        </w:rPr>
        <w:t>0.4</w:t>
      </w:r>
      <w:r>
        <w:rPr>
          <w:rFonts w:ascii="仿宋" w:eastAsia="仿宋" w:hAnsi="仿宋"/>
          <w:color w:val="000000"/>
          <w:sz w:val="32"/>
          <w:szCs w:val="32"/>
        </w:rPr>
        <w:t>%</w:t>
      </w:r>
      <w:r>
        <w:rPr>
          <w:rFonts w:ascii="仿宋" w:eastAsia="仿宋" w:hAnsi="仿宋" w:hint="eastAsia"/>
          <w:color w:val="000000"/>
          <w:sz w:val="32"/>
          <w:szCs w:val="32"/>
        </w:rPr>
        <w:t>。</w:t>
      </w:r>
    </w:p>
    <w:p w:rsidR="00A977AE" w:rsidRPr="0093636D" w:rsidRDefault="0093636D" w:rsidP="0093636D">
      <w:pPr>
        <w:spacing w:line="600" w:lineRule="exact"/>
        <w:ind w:firstLineChars="200" w:firstLine="640"/>
        <w:rPr>
          <w:rFonts w:ascii="仿宋" w:eastAsia="仿宋" w:hAnsi="仿宋"/>
          <w:color w:val="000000" w:themeColor="text1"/>
          <w:sz w:val="32"/>
          <w:szCs w:val="32"/>
        </w:rPr>
      </w:pPr>
      <w:r>
        <w:rPr>
          <w:rFonts w:ascii="仿宋_GB2312" w:eastAsia="仿宋_GB2312" w:hint="eastAsia"/>
          <w:noProof/>
          <w:color w:val="FF0000"/>
          <w:sz w:val="32"/>
          <w:szCs w:val="32"/>
        </w:rPr>
        <w:lastRenderedPageBreak/>
        <w:drawing>
          <wp:anchor distT="0" distB="0" distL="114300" distR="114300" simplePos="0" relativeHeight="251658752" behindDoc="0" locked="0" layoutInCell="1" allowOverlap="1" wp14:anchorId="3001ADFB" wp14:editId="4B7C49BA">
            <wp:simplePos x="0" y="0"/>
            <wp:positionH relativeFrom="column">
              <wp:posOffset>160655</wp:posOffset>
            </wp:positionH>
            <wp:positionV relativeFrom="paragraph">
              <wp:posOffset>429260</wp:posOffset>
            </wp:positionV>
            <wp:extent cx="5072380" cy="2527935"/>
            <wp:effectExtent l="0" t="0" r="0" b="571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B548D">
        <w:rPr>
          <w:rFonts w:ascii="仿宋" w:eastAsia="仿宋" w:hAnsi="仿宋" w:hint="eastAsia"/>
          <w:color w:val="000000" w:themeColor="text1"/>
          <w:sz w:val="32"/>
          <w:szCs w:val="32"/>
        </w:rPr>
        <w:t>（图</w:t>
      </w:r>
      <w:r w:rsidR="00CB548D">
        <w:rPr>
          <w:rFonts w:ascii="仿宋" w:eastAsia="仿宋" w:hAnsi="仿宋" w:hint="eastAsia"/>
          <w:color w:val="000000" w:themeColor="text1"/>
          <w:sz w:val="32"/>
          <w:szCs w:val="32"/>
        </w:rPr>
        <w:t>2</w:t>
      </w:r>
      <w:r w:rsidR="00CB548D">
        <w:rPr>
          <w:rFonts w:ascii="仿宋" w:eastAsia="仿宋" w:hAnsi="仿宋" w:hint="eastAsia"/>
          <w:color w:val="000000" w:themeColor="text1"/>
          <w:sz w:val="32"/>
          <w:szCs w:val="32"/>
        </w:rPr>
        <w:t>：收入决算结构图）（饼状图）</w:t>
      </w:r>
      <w:bookmarkStart w:id="29" w:name="_Toc15377207"/>
      <w:bookmarkStart w:id="30" w:name="_Toc15396605"/>
    </w:p>
    <w:p w:rsidR="00A977AE" w:rsidRDefault="00CB548D">
      <w:pPr>
        <w:pStyle w:val="a9"/>
        <w:spacing w:line="600" w:lineRule="exact"/>
        <w:ind w:firstLineChars="0" w:firstLine="0"/>
        <w:outlineLvl w:val="1"/>
        <w:rPr>
          <w:rStyle w:val="2Char"/>
          <w:rFonts w:ascii="黑体" w:eastAsia="黑体" w:hAnsi="黑体"/>
          <w:b w:val="0"/>
        </w:rPr>
      </w:pPr>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29"/>
      <w:bookmarkEnd w:id="30"/>
    </w:p>
    <w:p w:rsidR="00A977AE" w:rsidRDefault="00CB548D" w:rsidP="0093636D">
      <w:pPr>
        <w:ind w:firstLineChars="200" w:firstLine="640"/>
        <w:rPr>
          <w:rFonts w:ascii="宋体" w:hAnsi="宋体" w:cs="Arial"/>
          <w:b/>
          <w:bCs/>
          <w:color w:val="000000"/>
          <w:kern w:val="0"/>
          <w:sz w:val="22"/>
          <w:szCs w:val="2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hint="eastAsia"/>
          <w:color w:val="000000"/>
          <w:sz w:val="32"/>
          <w:szCs w:val="32"/>
        </w:rPr>
        <w:t>3,200.10</w:t>
      </w:r>
      <w:r>
        <w:rPr>
          <w:rFonts w:ascii="仿宋" w:eastAsia="仿宋" w:hAnsi="仿宋" w:hint="eastAsia"/>
          <w:color w:val="000000"/>
          <w:sz w:val="32"/>
          <w:szCs w:val="32"/>
        </w:rPr>
        <w:t>万元，其中：基本支出</w:t>
      </w:r>
      <w:r>
        <w:rPr>
          <w:rFonts w:ascii="仿宋" w:eastAsia="仿宋" w:hAnsi="仿宋" w:hint="eastAsia"/>
          <w:color w:val="000000"/>
          <w:sz w:val="32"/>
          <w:szCs w:val="32"/>
        </w:rPr>
        <w:t>2,904.72</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；项目支出</w:t>
      </w:r>
      <w:r>
        <w:rPr>
          <w:rFonts w:ascii="仿宋" w:eastAsia="仿宋" w:hAnsi="仿宋" w:hint="eastAsia"/>
          <w:color w:val="000000"/>
          <w:sz w:val="32"/>
          <w:szCs w:val="32"/>
        </w:rPr>
        <w:t>295.38</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；上</w:t>
      </w:r>
      <w:r>
        <w:rPr>
          <w:rFonts w:ascii="仿宋" w:eastAsia="仿宋" w:hAnsi="仿宋" w:hint="eastAsia"/>
          <w:color w:val="000000"/>
          <w:sz w:val="32"/>
          <w:szCs w:val="32"/>
        </w:rPr>
        <w:t>缴上级支出</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977AE" w:rsidRPr="0093636D" w:rsidRDefault="0093636D" w:rsidP="0093636D">
      <w:pPr>
        <w:spacing w:line="600" w:lineRule="exact"/>
        <w:ind w:firstLineChars="200" w:firstLine="640"/>
        <w:rPr>
          <w:rFonts w:ascii="仿宋" w:eastAsia="仿宋" w:hAnsi="仿宋"/>
          <w:color w:val="000000" w:themeColor="text1"/>
          <w:sz w:val="32"/>
          <w:szCs w:val="32"/>
        </w:rPr>
      </w:pPr>
      <w:r>
        <w:rPr>
          <w:rFonts w:ascii="仿宋_GB2312" w:eastAsia="仿宋_GB2312" w:hint="eastAsia"/>
          <w:noProof/>
          <w:color w:val="FF0000"/>
          <w:sz w:val="32"/>
          <w:szCs w:val="32"/>
        </w:rPr>
        <w:drawing>
          <wp:anchor distT="0" distB="0" distL="114300" distR="114300" simplePos="0" relativeHeight="251659776" behindDoc="0" locked="0" layoutInCell="1" allowOverlap="1" wp14:anchorId="74623B90" wp14:editId="7793F4AD">
            <wp:simplePos x="0" y="0"/>
            <wp:positionH relativeFrom="column">
              <wp:posOffset>224155</wp:posOffset>
            </wp:positionH>
            <wp:positionV relativeFrom="paragraph">
              <wp:posOffset>436880</wp:posOffset>
            </wp:positionV>
            <wp:extent cx="4802505" cy="2480310"/>
            <wp:effectExtent l="0" t="0" r="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CB548D">
        <w:rPr>
          <w:rFonts w:ascii="仿宋" w:eastAsia="仿宋" w:hAnsi="仿宋" w:hint="eastAsia"/>
          <w:color w:val="000000" w:themeColor="text1"/>
          <w:sz w:val="32"/>
          <w:szCs w:val="32"/>
        </w:rPr>
        <w:t>（图</w:t>
      </w:r>
      <w:r w:rsidR="00CB548D">
        <w:rPr>
          <w:rFonts w:ascii="仿宋" w:eastAsia="仿宋" w:hAnsi="仿宋" w:hint="eastAsia"/>
          <w:color w:val="000000" w:themeColor="text1"/>
          <w:sz w:val="32"/>
          <w:szCs w:val="32"/>
        </w:rPr>
        <w:t>3</w:t>
      </w:r>
      <w:r w:rsidR="00CB548D">
        <w:rPr>
          <w:rFonts w:ascii="仿宋" w:eastAsia="仿宋" w:hAnsi="仿宋" w:hint="eastAsia"/>
          <w:color w:val="000000" w:themeColor="text1"/>
          <w:sz w:val="32"/>
          <w:szCs w:val="32"/>
        </w:rPr>
        <w:t>：支出决算结构图）（饼状图）</w:t>
      </w:r>
      <w:bookmarkStart w:id="31" w:name="_Toc15377208"/>
      <w:bookmarkStart w:id="32" w:name="_Toc15396606"/>
    </w:p>
    <w:p w:rsidR="00A977AE" w:rsidRDefault="00CB548D">
      <w:pPr>
        <w:spacing w:line="600" w:lineRule="exact"/>
        <w:ind w:firstLineChars="100" w:firstLine="32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93636D" w:rsidRDefault="00CB548D" w:rsidP="0093636D">
      <w:pPr>
        <w:ind w:firstLineChars="200" w:firstLine="640"/>
        <w:rPr>
          <w:rFonts w:ascii="宋体" w:hAnsi="宋体" w:cs="Arial"/>
          <w:color w:val="000000"/>
          <w:kern w:val="0"/>
          <w:sz w:val="22"/>
          <w:szCs w:val="22"/>
        </w:rPr>
      </w:pPr>
      <w:r>
        <w:rPr>
          <w:rFonts w:ascii="仿宋" w:eastAsia="仿宋" w:hAnsi="仿宋" w:hint="eastAsia"/>
          <w:color w:val="000000"/>
          <w:sz w:val="32"/>
          <w:szCs w:val="32"/>
        </w:rPr>
        <w:t>2</w:t>
      </w:r>
      <w:r w:rsidR="0093636D">
        <w:rPr>
          <w:rFonts w:ascii="仿宋" w:eastAsia="仿宋" w:hAnsi="仿宋" w:hint="eastAsia"/>
          <w:color w:val="000000"/>
          <w:sz w:val="32"/>
          <w:szCs w:val="32"/>
        </w:rPr>
        <w:t>019年度收入3,682.47万元，与2018年相比，收入增加591.7元、增长19.14%；总支出3,200.11万元，支出增</w:t>
      </w:r>
      <w:r w:rsidR="0093636D">
        <w:rPr>
          <w:rFonts w:ascii="仿宋" w:eastAsia="仿宋" w:hAnsi="仿宋" w:hint="eastAsia"/>
          <w:color w:val="000000"/>
          <w:sz w:val="32"/>
          <w:szCs w:val="32"/>
        </w:rPr>
        <w:lastRenderedPageBreak/>
        <w:t>加212.71万元，增长7.12</w:t>
      </w:r>
      <w:r w:rsidR="0093636D">
        <w:rPr>
          <w:rFonts w:ascii="仿宋" w:eastAsia="仿宋" w:hAnsi="仿宋"/>
          <w:color w:val="000000"/>
          <w:sz w:val="32"/>
          <w:szCs w:val="32"/>
        </w:rPr>
        <w:t>%</w:t>
      </w:r>
      <w:r w:rsidR="0093636D">
        <w:rPr>
          <w:rFonts w:ascii="仿宋" w:eastAsia="仿宋" w:hAnsi="仿宋" w:hint="eastAsia"/>
          <w:color w:val="000000"/>
          <w:sz w:val="32"/>
          <w:szCs w:val="32"/>
        </w:rPr>
        <w:t>。主要变动原因是人员增加工资增资、财政加大对薄弱学校投入。</w:t>
      </w:r>
    </w:p>
    <w:p w:rsidR="00A977AE" w:rsidRDefault="0093636D" w:rsidP="0093636D">
      <w:pPr>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3872" behindDoc="0" locked="0" layoutInCell="1" allowOverlap="1" wp14:anchorId="6D31C3AC" wp14:editId="292C81E4">
            <wp:simplePos x="0" y="0"/>
            <wp:positionH relativeFrom="column">
              <wp:posOffset>256430</wp:posOffset>
            </wp:positionH>
            <wp:positionV relativeFrom="paragraph">
              <wp:posOffset>352508</wp:posOffset>
            </wp:positionV>
            <wp:extent cx="5017273" cy="2369489"/>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CB548D">
        <w:rPr>
          <w:rFonts w:ascii="仿宋" w:eastAsia="仿宋" w:hAnsi="仿宋" w:hint="eastAsia"/>
          <w:color w:val="000000" w:themeColor="text1"/>
          <w:sz w:val="32"/>
          <w:szCs w:val="32"/>
        </w:rPr>
        <w:t>（图</w:t>
      </w:r>
      <w:r w:rsidR="00CB548D">
        <w:rPr>
          <w:rFonts w:ascii="仿宋" w:eastAsia="仿宋" w:hAnsi="仿宋" w:hint="eastAsia"/>
          <w:color w:val="000000" w:themeColor="text1"/>
          <w:sz w:val="32"/>
          <w:szCs w:val="32"/>
        </w:rPr>
        <w:t>4</w:t>
      </w:r>
      <w:r w:rsidR="00CB548D">
        <w:rPr>
          <w:rFonts w:ascii="仿宋" w:eastAsia="仿宋" w:hAnsi="仿宋" w:hint="eastAsia"/>
          <w:color w:val="000000" w:themeColor="text1"/>
          <w:sz w:val="32"/>
          <w:szCs w:val="32"/>
        </w:rPr>
        <w:t>：财政拨款收、支决算总计变动情况）（柱状图）</w:t>
      </w:r>
    </w:p>
    <w:p w:rsidR="00A977AE" w:rsidRDefault="00A977AE">
      <w:pPr>
        <w:spacing w:line="600" w:lineRule="exact"/>
        <w:ind w:firstLineChars="200" w:firstLine="640"/>
        <w:outlineLvl w:val="1"/>
        <w:rPr>
          <w:rFonts w:ascii="黑体" w:eastAsia="黑体" w:hAnsi="黑体"/>
          <w:color w:val="000000"/>
          <w:sz w:val="32"/>
          <w:szCs w:val="32"/>
        </w:rPr>
      </w:pPr>
      <w:bookmarkStart w:id="33" w:name="_Toc15377209"/>
      <w:bookmarkStart w:id="34" w:name="_Toc15396607"/>
    </w:p>
    <w:p w:rsidR="00A977AE" w:rsidRDefault="00A977AE">
      <w:pPr>
        <w:spacing w:line="600" w:lineRule="exact"/>
        <w:outlineLvl w:val="1"/>
        <w:rPr>
          <w:rFonts w:ascii="黑体" w:eastAsia="黑体" w:hAnsi="黑体"/>
          <w:color w:val="000000"/>
          <w:sz w:val="32"/>
          <w:szCs w:val="32"/>
        </w:rPr>
      </w:pPr>
    </w:p>
    <w:p w:rsidR="00A977AE" w:rsidRDefault="00A977AE">
      <w:pPr>
        <w:spacing w:line="600" w:lineRule="exact"/>
        <w:ind w:firstLineChars="200" w:firstLine="640"/>
        <w:outlineLvl w:val="1"/>
        <w:rPr>
          <w:rFonts w:ascii="黑体" w:eastAsia="黑体" w:hAnsi="黑体"/>
          <w:color w:val="000000"/>
          <w:sz w:val="32"/>
          <w:szCs w:val="32"/>
        </w:rPr>
      </w:pPr>
    </w:p>
    <w:p w:rsidR="00A977AE" w:rsidRDefault="00A977AE" w:rsidP="0093636D">
      <w:pPr>
        <w:spacing w:line="600" w:lineRule="exact"/>
        <w:ind w:firstLineChars="200" w:firstLine="640"/>
        <w:outlineLvl w:val="1"/>
        <w:rPr>
          <w:rFonts w:ascii="黑体" w:eastAsia="黑体" w:hAnsi="黑体"/>
          <w:color w:val="000000"/>
          <w:sz w:val="32"/>
          <w:szCs w:val="32"/>
        </w:rPr>
      </w:pPr>
    </w:p>
    <w:p w:rsidR="00A977AE" w:rsidRDefault="00A977AE" w:rsidP="00112713">
      <w:pPr>
        <w:spacing w:line="600" w:lineRule="exact"/>
        <w:ind w:firstLineChars="200" w:firstLine="640"/>
        <w:outlineLvl w:val="1"/>
        <w:rPr>
          <w:rFonts w:ascii="黑体" w:eastAsia="黑体" w:hAnsi="黑体"/>
          <w:color w:val="000000"/>
          <w:sz w:val="32"/>
          <w:szCs w:val="32"/>
        </w:rPr>
      </w:pPr>
    </w:p>
    <w:p w:rsidR="00A977AE" w:rsidRDefault="00A977AE" w:rsidP="0093636D">
      <w:pPr>
        <w:spacing w:line="600" w:lineRule="exact"/>
        <w:outlineLvl w:val="1"/>
        <w:rPr>
          <w:rFonts w:ascii="黑体" w:eastAsia="黑体" w:hAnsi="黑体"/>
          <w:color w:val="000000"/>
          <w:sz w:val="32"/>
          <w:szCs w:val="32"/>
        </w:rPr>
      </w:pPr>
    </w:p>
    <w:p w:rsidR="00A977AE" w:rsidRDefault="00CB548D">
      <w:pPr>
        <w:spacing w:line="600" w:lineRule="exact"/>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A977AE" w:rsidRDefault="00CB548D">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A977AE" w:rsidRDefault="00CB548D">
      <w:pPr>
        <w:ind w:firstLineChars="200" w:firstLine="640"/>
        <w:rPr>
          <w:rFonts w:ascii="宋体" w:hAnsi="宋体" w:cs="Arial"/>
          <w:b/>
          <w:bCs/>
          <w:color w:val="000000"/>
          <w:kern w:val="0"/>
          <w:sz w:val="22"/>
          <w:szCs w:val="22"/>
        </w:rPr>
      </w:pPr>
      <w:r>
        <w:rPr>
          <w:rFonts w:ascii="仿宋" w:eastAsia="仿宋" w:hAnsi="仿宋" w:hint="eastAsia"/>
          <w:color w:val="000000"/>
          <w:sz w:val="32"/>
          <w:szCs w:val="32"/>
        </w:rPr>
        <w:t>2019</w:t>
      </w:r>
      <w:r>
        <w:rPr>
          <w:rFonts w:ascii="仿宋" w:eastAsia="仿宋" w:hAnsi="仿宋" w:hint="eastAsia"/>
          <w:color w:val="000000"/>
          <w:sz w:val="32"/>
          <w:szCs w:val="32"/>
        </w:rPr>
        <w:t>年度收入</w:t>
      </w:r>
      <w:r>
        <w:rPr>
          <w:rFonts w:ascii="仿宋" w:eastAsia="仿宋" w:hAnsi="仿宋" w:hint="eastAsia"/>
          <w:color w:val="000000"/>
          <w:sz w:val="32"/>
          <w:szCs w:val="32"/>
        </w:rPr>
        <w:t>3,631.09</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年相比，收入增加</w:t>
      </w:r>
      <w:r>
        <w:rPr>
          <w:rFonts w:ascii="仿宋" w:eastAsia="仿宋" w:hAnsi="仿宋" w:hint="eastAsia"/>
          <w:color w:val="000000"/>
          <w:sz w:val="32"/>
          <w:szCs w:val="32"/>
        </w:rPr>
        <w:t>621.1</w:t>
      </w:r>
      <w:r>
        <w:rPr>
          <w:rFonts w:ascii="仿宋" w:eastAsia="仿宋" w:hAnsi="仿宋" w:hint="eastAsia"/>
          <w:color w:val="000000"/>
          <w:sz w:val="32"/>
          <w:szCs w:val="32"/>
        </w:rPr>
        <w:t>万元、增长</w:t>
      </w:r>
      <w:r>
        <w:rPr>
          <w:rFonts w:ascii="仿宋" w:eastAsia="仿宋" w:hAnsi="仿宋" w:hint="eastAsia"/>
          <w:color w:val="000000"/>
          <w:sz w:val="32"/>
          <w:szCs w:val="32"/>
        </w:rPr>
        <w:t>20.64%</w:t>
      </w:r>
      <w:r>
        <w:rPr>
          <w:rFonts w:ascii="仿宋" w:eastAsia="仿宋" w:hAnsi="仿宋" w:hint="eastAsia"/>
          <w:color w:val="000000"/>
          <w:sz w:val="32"/>
          <w:szCs w:val="32"/>
        </w:rPr>
        <w:t>；总支出</w:t>
      </w:r>
      <w:r>
        <w:rPr>
          <w:rFonts w:ascii="仿宋" w:eastAsia="仿宋" w:hAnsi="仿宋" w:hint="eastAsia"/>
          <w:color w:val="000000"/>
          <w:sz w:val="32"/>
          <w:szCs w:val="32"/>
        </w:rPr>
        <w:t>3,148.72</w:t>
      </w:r>
      <w:r>
        <w:rPr>
          <w:rFonts w:ascii="仿宋" w:eastAsia="仿宋" w:hAnsi="仿宋" w:hint="eastAsia"/>
          <w:color w:val="000000"/>
          <w:sz w:val="32"/>
          <w:szCs w:val="32"/>
        </w:rPr>
        <w:t>万元，支出增加</w:t>
      </w:r>
      <w:r>
        <w:rPr>
          <w:rFonts w:ascii="仿宋" w:eastAsia="仿宋" w:hAnsi="仿宋" w:hint="eastAsia"/>
          <w:color w:val="000000"/>
          <w:sz w:val="32"/>
          <w:szCs w:val="32"/>
        </w:rPr>
        <w:t>562.63</w:t>
      </w:r>
      <w:r>
        <w:rPr>
          <w:rFonts w:ascii="仿宋" w:eastAsia="仿宋" w:hAnsi="仿宋" w:hint="eastAsia"/>
          <w:color w:val="000000"/>
          <w:sz w:val="32"/>
          <w:szCs w:val="32"/>
        </w:rPr>
        <w:t>万元，增长</w:t>
      </w:r>
      <w:r>
        <w:rPr>
          <w:rFonts w:ascii="仿宋" w:eastAsia="仿宋" w:hAnsi="仿宋" w:hint="eastAsia"/>
          <w:color w:val="000000"/>
          <w:sz w:val="32"/>
          <w:szCs w:val="32"/>
        </w:rPr>
        <w:t>18.34</w:t>
      </w:r>
      <w:r>
        <w:rPr>
          <w:rFonts w:ascii="仿宋" w:eastAsia="仿宋" w:hAnsi="仿宋"/>
          <w:color w:val="000000"/>
          <w:sz w:val="32"/>
          <w:szCs w:val="32"/>
        </w:rPr>
        <w:t>%</w:t>
      </w:r>
      <w:r>
        <w:rPr>
          <w:rFonts w:ascii="仿宋" w:eastAsia="仿宋" w:hAnsi="仿宋" w:hint="eastAsia"/>
          <w:color w:val="000000"/>
          <w:sz w:val="32"/>
          <w:szCs w:val="32"/>
        </w:rPr>
        <w:t>。主要变动原因是人员增加工资增资、财政加大对薄弱学校投入。</w:t>
      </w:r>
    </w:p>
    <w:p w:rsidR="00A977AE" w:rsidRDefault="00CB548D" w:rsidP="00112713">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A977AE" w:rsidRDefault="00112713" w:rsidP="0093636D">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b/>
          <w:noProof/>
          <w:color w:val="000000"/>
          <w:sz w:val="32"/>
          <w:szCs w:val="32"/>
        </w:rPr>
        <w:drawing>
          <wp:anchor distT="0" distB="0" distL="114300" distR="114300" simplePos="0" relativeHeight="251664896" behindDoc="0" locked="0" layoutInCell="1" allowOverlap="1" wp14:anchorId="4ADE3861" wp14:editId="4A25CF28">
            <wp:simplePos x="0" y="0"/>
            <wp:positionH relativeFrom="column">
              <wp:posOffset>509905</wp:posOffset>
            </wp:positionH>
            <wp:positionV relativeFrom="paragraph">
              <wp:posOffset>62865</wp:posOffset>
            </wp:positionV>
            <wp:extent cx="4142105" cy="2265680"/>
            <wp:effectExtent l="0" t="0" r="0" b="12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A977AE" w:rsidRDefault="00A977AE">
      <w:pPr>
        <w:spacing w:line="600" w:lineRule="exact"/>
        <w:ind w:firstLineChars="200" w:firstLine="643"/>
        <w:outlineLvl w:val="2"/>
        <w:rPr>
          <w:rFonts w:ascii="仿宋" w:eastAsia="仿宋" w:hAnsi="仿宋"/>
          <w:b/>
          <w:color w:val="000000"/>
          <w:sz w:val="32"/>
          <w:szCs w:val="32"/>
        </w:rPr>
      </w:pPr>
    </w:p>
    <w:p w:rsidR="00A977AE" w:rsidRDefault="00A977AE">
      <w:pPr>
        <w:spacing w:line="600" w:lineRule="exact"/>
        <w:ind w:firstLineChars="200" w:firstLine="643"/>
        <w:outlineLvl w:val="2"/>
        <w:rPr>
          <w:rFonts w:ascii="仿宋" w:eastAsia="仿宋" w:hAnsi="仿宋"/>
          <w:b/>
          <w:color w:val="000000"/>
          <w:sz w:val="32"/>
          <w:szCs w:val="32"/>
        </w:rPr>
      </w:pPr>
    </w:p>
    <w:p w:rsidR="00A977AE" w:rsidRDefault="00A977AE">
      <w:pPr>
        <w:spacing w:line="600" w:lineRule="exact"/>
        <w:ind w:firstLineChars="200" w:firstLine="643"/>
        <w:outlineLvl w:val="2"/>
        <w:rPr>
          <w:rFonts w:ascii="仿宋" w:eastAsia="仿宋" w:hAnsi="仿宋"/>
          <w:b/>
          <w:color w:val="000000"/>
          <w:sz w:val="32"/>
          <w:szCs w:val="32"/>
        </w:rPr>
      </w:pPr>
    </w:p>
    <w:p w:rsidR="00A977AE" w:rsidRDefault="00A977AE" w:rsidP="00112713">
      <w:pPr>
        <w:spacing w:line="600" w:lineRule="exact"/>
        <w:outlineLvl w:val="2"/>
        <w:rPr>
          <w:rFonts w:ascii="仿宋" w:eastAsia="仿宋" w:hAnsi="仿宋"/>
          <w:b/>
          <w:color w:val="000000"/>
          <w:sz w:val="32"/>
          <w:szCs w:val="32"/>
        </w:rPr>
      </w:pPr>
    </w:p>
    <w:p w:rsidR="00A977AE" w:rsidRDefault="00CB548D">
      <w:pPr>
        <w:spacing w:line="600" w:lineRule="exact"/>
        <w:ind w:firstLineChars="100" w:firstLine="321"/>
        <w:outlineLvl w:val="2"/>
        <w:rPr>
          <w:rFonts w:ascii="仿宋" w:eastAsia="仿宋" w:hAnsi="仿宋"/>
          <w:b/>
          <w:color w:val="000000"/>
          <w:sz w:val="32"/>
          <w:szCs w:val="32"/>
        </w:rPr>
      </w:pPr>
      <w:r>
        <w:rPr>
          <w:rFonts w:ascii="仿宋" w:eastAsia="仿宋" w:hAnsi="仿宋" w:hint="eastAsia"/>
          <w:b/>
          <w:color w:val="000000"/>
          <w:sz w:val="32"/>
          <w:szCs w:val="32"/>
        </w:rPr>
        <w:lastRenderedPageBreak/>
        <w:t>（二）一般公共预算财政拨款支出决算结构情况</w:t>
      </w:r>
      <w:bookmarkEnd w:id="36"/>
    </w:p>
    <w:p w:rsidR="00A977AE" w:rsidRDefault="00CB548D">
      <w:pPr>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3,148.72</w:t>
      </w:r>
      <w:r>
        <w:rPr>
          <w:rFonts w:ascii="仿宋" w:eastAsia="仿宋" w:hAnsi="仿宋" w:hint="eastAsia"/>
          <w:color w:val="000000"/>
          <w:sz w:val="32"/>
          <w:szCs w:val="32"/>
        </w:rPr>
        <w:t>万元，主要用于以下方面</w:t>
      </w:r>
      <w:r>
        <w:rPr>
          <w:rFonts w:ascii="仿宋" w:eastAsia="仿宋" w:hAnsi="仿宋" w:hint="eastAsia"/>
          <w:color w:val="000000"/>
          <w:sz w:val="32"/>
          <w:szCs w:val="32"/>
        </w:rPr>
        <w:t>:</w:t>
      </w:r>
      <w:r>
        <w:rPr>
          <w:rFonts w:ascii="仿宋" w:eastAsia="仿宋" w:hAnsi="仿宋" w:hint="eastAsia"/>
          <w:color w:val="000000"/>
          <w:sz w:val="32"/>
          <w:szCs w:val="32"/>
        </w:rPr>
        <w:t>一般公共服务（类）支出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hint="eastAsia"/>
          <w:color w:val="000000"/>
          <w:sz w:val="32"/>
          <w:szCs w:val="32"/>
        </w:rPr>
        <w:t>；教育支出（类）</w:t>
      </w:r>
      <w:r>
        <w:rPr>
          <w:rFonts w:ascii="仿宋" w:eastAsia="仿宋" w:hAnsi="仿宋" w:hint="eastAsia"/>
          <w:color w:val="000000"/>
          <w:sz w:val="32"/>
          <w:szCs w:val="32"/>
        </w:rPr>
        <w:t>2,630.66</w:t>
      </w:r>
      <w:r>
        <w:rPr>
          <w:rFonts w:ascii="仿宋" w:eastAsia="仿宋" w:hAnsi="仿宋" w:hint="eastAsia"/>
          <w:color w:val="000000"/>
          <w:sz w:val="32"/>
          <w:szCs w:val="32"/>
        </w:rPr>
        <w:t>万元，占</w:t>
      </w:r>
      <w:r>
        <w:rPr>
          <w:rFonts w:ascii="仿宋" w:eastAsia="仿宋" w:hAnsi="仿宋" w:hint="eastAsia"/>
          <w:color w:val="000000"/>
          <w:sz w:val="32"/>
          <w:szCs w:val="32"/>
        </w:rPr>
        <w:t>4.3%</w:t>
      </w:r>
      <w:r>
        <w:rPr>
          <w:rFonts w:ascii="仿宋" w:eastAsia="仿宋" w:hAnsi="仿宋" w:hint="eastAsia"/>
          <w:color w:val="000000"/>
          <w:sz w:val="32"/>
          <w:szCs w:val="32"/>
        </w:rPr>
        <w:t>；社会保障和就业（类）支出</w:t>
      </w:r>
      <w:r>
        <w:rPr>
          <w:rFonts w:ascii="仿宋" w:eastAsia="仿宋" w:hAnsi="仿宋" w:hint="eastAsia"/>
          <w:color w:val="000000"/>
          <w:sz w:val="32"/>
          <w:szCs w:val="32"/>
        </w:rPr>
        <w:t>248.90</w:t>
      </w:r>
      <w:r>
        <w:rPr>
          <w:rFonts w:ascii="仿宋" w:eastAsia="仿宋" w:hAnsi="仿宋" w:hint="eastAsia"/>
          <w:color w:val="000000"/>
          <w:sz w:val="32"/>
          <w:szCs w:val="32"/>
        </w:rPr>
        <w:t>万元，占</w:t>
      </w:r>
      <w:r>
        <w:rPr>
          <w:rFonts w:ascii="仿宋" w:eastAsia="仿宋" w:hAnsi="仿宋" w:hint="eastAsia"/>
          <w:color w:val="000000"/>
          <w:sz w:val="32"/>
          <w:szCs w:val="32"/>
        </w:rPr>
        <w:t>11.53</w:t>
      </w:r>
      <w:r>
        <w:rPr>
          <w:rFonts w:ascii="仿宋" w:eastAsia="仿宋" w:hAnsi="仿宋"/>
          <w:color w:val="000000"/>
          <w:sz w:val="32"/>
          <w:szCs w:val="32"/>
        </w:rPr>
        <w:t>%</w:t>
      </w:r>
      <w:r>
        <w:rPr>
          <w:rFonts w:ascii="仿宋" w:eastAsia="仿宋" w:hAnsi="仿宋" w:hint="eastAsia"/>
          <w:color w:val="000000"/>
          <w:sz w:val="32"/>
          <w:szCs w:val="32"/>
        </w:rPr>
        <w:t>；医疗卫生支出</w:t>
      </w:r>
      <w:r>
        <w:rPr>
          <w:rFonts w:ascii="仿宋" w:eastAsia="仿宋" w:hAnsi="仿宋" w:hint="eastAsia"/>
          <w:color w:val="000000"/>
          <w:sz w:val="32"/>
          <w:szCs w:val="32"/>
        </w:rPr>
        <w:t>95.82</w:t>
      </w:r>
      <w:r>
        <w:rPr>
          <w:rFonts w:ascii="仿宋" w:eastAsia="仿宋" w:hAnsi="仿宋" w:hint="eastAsia"/>
          <w:color w:val="000000"/>
          <w:sz w:val="32"/>
          <w:szCs w:val="32"/>
        </w:rPr>
        <w:t>万元，占</w:t>
      </w:r>
      <w:r>
        <w:rPr>
          <w:rFonts w:ascii="仿宋" w:eastAsia="仿宋" w:hAnsi="仿宋" w:hint="eastAsia"/>
          <w:color w:val="000000"/>
          <w:sz w:val="32"/>
          <w:szCs w:val="32"/>
        </w:rPr>
        <w:t>4.04</w:t>
      </w:r>
      <w:r>
        <w:rPr>
          <w:rFonts w:ascii="仿宋" w:eastAsia="仿宋" w:hAnsi="仿宋"/>
          <w:color w:val="000000"/>
          <w:sz w:val="32"/>
          <w:szCs w:val="32"/>
        </w:rPr>
        <w:t>%</w:t>
      </w:r>
      <w:r>
        <w:rPr>
          <w:rFonts w:ascii="仿宋" w:eastAsia="仿宋" w:hAnsi="仿宋" w:hint="eastAsia"/>
          <w:color w:val="000000"/>
          <w:sz w:val="32"/>
          <w:szCs w:val="32"/>
        </w:rPr>
        <w:t>；住房保障支出</w:t>
      </w:r>
      <w:r>
        <w:rPr>
          <w:rFonts w:ascii="仿宋" w:eastAsia="仿宋" w:hAnsi="仿宋" w:hint="eastAsia"/>
          <w:color w:val="000000"/>
          <w:sz w:val="32"/>
          <w:szCs w:val="32"/>
        </w:rPr>
        <w:t>173.34</w:t>
      </w:r>
      <w:r>
        <w:rPr>
          <w:rFonts w:ascii="仿宋" w:eastAsia="仿宋" w:hAnsi="仿宋" w:hint="eastAsia"/>
          <w:color w:val="000000"/>
          <w:sz w:val="32"/>
          <w:szCs w:val="32"/>
        </w:rPr>
        <w:t>元，占</w:t>
      </w:r>
      <w:r>
        <w:rPr>
          <w:rFonts w:ascii="仿宋" w:eastAsia="仿宋" w:hAnsi="仿宋" w:hint="eastAsia"/>
          <w:color w:val="000000"/>
          <w:sz w:val="32"/>
          <w:szCs w:val="32"/>
        </w:rPr>
        <w:t>6.99</w:t>
      </w:r>
      <w:r>
        <w:rPr>
          <w:rFonts w:ascii="仿宋" w:eastAsia="仿宋" w:hAnsi="仿宋"/>
          <w:color w:val="000000"/>
          <w:sz w:val="32"/>
          <w:szCs w:val="32"/>
        </w:rPr>
        <w:t>%</w:t>
      </w:r>
      <w:r>
        <w:rPr>
          <w:rFonts w:ascii="仿宋" w:eastAsia="仿宋" w:hAnsi="仿宋"/>
          <w:color w:val="000000"/>
          <w:sz w:val="32"/>
          <w:szCs w:val="32"/>
        </w:rPr>
        <w:t>。</w:t>
      </w:r>
    </w:p>
    <w:p w:rsidR="00A977AE" w:rsidRDefault="00CB548D">
      <w:pPr>
        <w:rPr>
          <w:rFonts w:ascii="宋体" w:hAnsi="宋体" w:cs="Arial"/>
          <w:color w:val="000000"/>
          <w:kern w:val="0"/>
          <w:sz w:val="22"/>
          <w:szCs w:val="2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A977AE" w:rsidRPr="00112713" w:rsidRDefault="00112713" w:rsidP="00112713">
      <w:pPr>
        <w:rPr>
          <w:rFonts w:ascii="宋体" w:hAnsi="宋体" w:cs="Arial"/>
          <w:color w:val="000000"/>
          <w:kern w:val="0"/>
          <w:sz w:val="22"/>
          <w:szCs w:val="22"/>
        </w:rPr>
      </w:pPr>
      <w:r>
        <w:rPr>
          <w:rFonts w:ascii="仿宋_GB2312" w:eastAsia="仿宋_GB2312" w:hint="eastAsia"/>
          <w:noProof/>
          <w:color w:val="FF0000"/>
          <w:sz w:val="32"/>
          <w:szCs w:val="32"/>
        </w:rPr>
        <w:drawing>
          <wp:anchor distT="0" distB="0" distL="114300" distR="114300" simplePos="0" relativeHeight="251666944" behindDoc="0" locked="0" layoutInCell="1" allowOverlap="1" wp14:anchorId="0893C218" wp14:editId="2789C260">
            <wp:simplePos x="0" y="0"/>
            <wp:positionH relativeFrom="column">
              <wp:posOffset>375285</wp:posOffset>
            </wp:positionH>
            <wp:positionV relativeFrom="paragraph">
              <wp:posOffset>215265</wp:posOffset>
            </wp:positionV>
            <wp:extent cx="4802505" cy="2425065"/>
            <wp:effectExtent l="0" t="0" r="0" b="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Start w:id="37" w:name="_Toc15377212"/>
    </w:p>
    <w:p w:rsidR="00A977AE" w:rsidRDefault="00CB548D">
      <w:pPr>
        <w:spacing w:line="600" w:lineRule="exact"/>
        <w:ind w:firstLineChars="100" w:firstLine="321"/>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7"/>
    </w:p>
    <w:p w:rsidR="00A977AE" w:rsidRDefault="00CB548D">
      <w:pPr>
        <w:spacing w:line="600" w:lineRule="exact"/>
        <w:ind w:firstLineChars="200" w:firstLine="643"/>
        <w:outlineLvl w:val="2"/>
        <w:rPr>
          <w:rFonts w:ascii="仿宋" w:eastAsia="仿宋" w:hAnsi="仿宋"/>
          <w:color w:val="FF0000"/>
          <w:sz w:val="32"/>
          <w:szCs w:val="32"/>
        </w:rPr>
      </w:pPr>
      <w:bookmarkStart w:id="38" w:name="_Toc15378460"/>
      <w:bookmarkStart w:id="39" w:name="_Toc15377444"/>
      <w:bookmarkStart w:id="40" w:name="_Toc15377213"/>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color w:val="000000"/>
          <w:sz w:val="32"/>
          <w:szCs w:val="32"/>
        </w:rPr>
        <w:t>3,148.72</w:t>
      </w:r>
      <w:r>
        <w:rPr>
          <w:rFonts w:ascii="仿宋" w:eastAsia="仿宋" w:hAnsi="仿宋" w:hint="eastAsia"/>
          <w:color w:val="000000"/>
          <w:sz w:val="32"/>
          <w:szCs w:val="32"/>
        </w:rPr>
        <w:t>完成预算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A977AE" w:rsidRDefault="00CB548D">
      <w:pPr>
        <w:rPr>
          <w:rStyle w:val="a7"/>
          <w:rFonts w:ascii="仿宋" w:eastAsia="仿宋" w:hAnsi="仿宋"/>
          <w:bCs/>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教育支出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2,630.66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977AE" w:rsidRDefault="00CB548D">
      <w:pPr>
        <w:rPr>
          <w:rFonts w:ascii="宋体" w:hAnsi="宋体" w:cs="Arial"/>
          <w:color w:val="000000"/>
          <w:kern w:val="0"/>
          <w:sz w:val="22"/>
          <w:szCs w:val="2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住房保障支出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173.34</w:t>
      </w:r>
      <w:r>
        <w:rPr>
          <w:rFonts w:ascii="仿宋" w:eastAsia="仿宋" w:hAnsi="仿宋"/>
          <w:color w:val="000000" w:themeColor="text1"/>
          <w:sz w:val="32"/>
          <w:szCs w:val="32"/>
        </w:rPr>
        <w:t>万元，完成预算</w:t>
      </w:r>
      <w:r>
        <w:rPr>
          <w:rFonts w:ascii="仿宋" w:eastAsia="仿宋" w:hAnsi="仿宋" w:hint="eastAsia"/>
          <w:color w:val="000000" w:themeColor="text1"/>
          <w:sz w:val="32"/>
          <w:szCs w:val="32"/>
        </w:rPr>
        <w:t>1</w:t>
      </w:r>
      <w:r>
        <w:rPr>
          <w:rFonts w:ascii="仿宋" w:eastAsia="仿宋" w:hAnsi="仿宋"/>
          <w:color w:val="000000" w:themeColor="text1"/>
          <w:sz w:val="32"/>
          <w:szCs w:val="32"/>
        </w:rPr>
        <w:t>00%</w:t>
      </w:r>
      <w:r>
        <w:rPr>
          <w:rFonts w:ascii="仿宋" w:eastAsia="仿宋" w:hAnsi="仿宋"/>
          <w:color w:val="000000" w:themeColor="text1"/>
          <w:sz w:val="32"/>
          <w:szCs w:val="32"/>
        </w:rPr>
        <w:t>。</w:t>
      </w:r>
    </w:p>
    <w:p w:rsidR="00A977AE" w:rsidRDefault="00CB548D">
      <w:pPr>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248.90</w:t>
      </w:r>
      <w:r>
        <w:rPr>
          <w:rStyle w:val="a7"/>
          <w:rFonts w:ascii="仿宋" w:eastAsia="仿宋" w:hAnsi="仿宋"/>
          <w:b w:val="0"/>
          <w:bCs/>
          <w:color w:val="000000"/>
          <w:sz w:val="32"/>
          <w:szCs w:val="32"/>
        </w:rPr>
        <w:t>万元，完成预算</w:t>
      </w:r>
      <w:r>
        <w:rPr>
          <w:rStyle w:val="a7"/>
          <w:rFonts w:ascii="仿宋" w:eastAsia="仿宋" w:hAnsi="仿宋" w:hint="eastAsia"/>
          <w:b w:val="0"/>
          <w:bCs/>
          <w:color w:val="000000"/>
          <w:sz w:val="32"/>
          <w:szCs w:val="32"/>
        </w:rPr>
        <w:t>1</w:t>
      </w:r>
      <w:r>
        <w:rPr>
          <w:rStyle w:val="a7"/>
          <w:rFonts w:ascii="仿宋" w:eastAsia="仿宋" w:hAnsi="仿宋"/>
          <w:b w:val="0"/>
          <w:bCs/>
          <w:color w:val="000000"/>
          <w:sz w:val="32"/>
          <w:szCs w:val="32"/>
        </w:rPr>
        <w:t>00%</w:t>
      </w:r>
      <w:r>
        <w:rPr>
          <w:rStyle w:val="a7"/>
          <w:rFonts w:ascii="仿宋" w:eastAsia="仿宋" w:hAnsi="仿宋"/>
          <w:b w:val="0"/>
          <w:bCs/>
          <w:color w:val="000000"/>
          <w:sz w:val="32"/>
          <w:szCs w:val="32"/>
        </w:rPr>
        <w:t>。</w:t>
      </w:r>
    </w:p>
    <w:p w:rsidR="00A977AE" w:rsidRDefault="00CB548D">
      <w:pPr>
        <w:rPr>
          <w:rFonts w:ascii="宋体" w:hAnsi="宋体" w:cs="Arial"/>
          <w:color w:val="000000"/>
          <w:kern w:val="0"/>
          <w:sz w:val="22"/>
          <w:szCs w:val="2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医疗卫生与计划生育支出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95.82</w:t>
      </w:r>
      <w:r>
        <w:rPr>
          <w:rFonts w:ascii="仿宋" w:eastAsia="仿宋" w:hAnsi="仿宋"/>
          <w:color w:val="000000" w:themeColor="text1"/>
          <w:sz w:val="32"/>
          <w:szCs w:val="32"/>
        </w:rPr>
        <w:t>万元，完成预算</w:t>
      </w:r>
      <w:r>
        <w:rPr>
          <w:rFonts w:ascii="仿宋" w:eastAsia="仿宋" w:hAnsi="仿宋" w:hint="eastAsia"/>
          <w:color w:val="000000" w:themeColor="text1"/>
          <w:sz w:val="32"/>
          <w:szCs w:val="32"/>
        </w:rPr>
        <w:t>1</w:t>
      </w:r>
      <w:r>
        <w:rPr>
          <w:rFonts w:ascii="仿宋" w:eastAsia="仿宋" w:hAnsi="仿宋"/>
          <w:color w:val="000000" w:themeColor="text1"/>
          <w:sz w:val="32"/>
          <w:szCs w:val="32"/>
        </w:rPr>
        <w:t>00%</w:t>
      </w:r>
      <w:r>
        <w:rPr>
          <w:rFonts w:ascii="仿宋" w:eastAsia="仿宋" w:hAnsi="仿宋"/>
          <w:color w:val="000000" w:themeColor="text1"/>
          <w:sz w:val="32"/>
          <w:szCs w:val="32"/>
        </w:rPr>
        <w:t>。</w:t>
      </w:r>
    </w:p>
    <w:p w:rsidR="00A977AE" w:rsidRDefault="00CB548D">
      <w:pPr>
        <w:tabs>
          <w:tab w:val="right" w:pos="8306"/>
        </w:tabs>
        <w:spacing w:line="600" w:lineRule="exact"/>
        <w:ind w:firstLineChars="200" w:firstLine="640"/>
        <w:outlineLvl w:val="1"/>
        <w:rPr>
          <w:rStyle w:val="2Char"/>
        </w:rPr>
      </w:pPr>
      <w:bookmarkStart w:id="41" w:name="_Toc15396608"/>
      <w:bookmarkStart w:id="42" w:name="_Toc15377214"/>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A977AE" w:rsidRDefault="00CB548D">
      <w:pPr>
        <w:rPr>
          <w:rFonts w:ascii="宋体" w:hAnsi="宋体" w:cs="Arial"/>
          <w:b/>
          <w:bCs/>
          <w:color w:val="000000"/>
          <w:kern w:val="0"/>
          <w:sz w:val="22"/>
          <w:szCs w:val="2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2,853.34</w:t>
      </w:r>
      <w:r>
        <w:rPr>
          <w:rFonts w:ascii="仿宋" w:eastAsia="仿宋" w:hAnsi="仿宋" w:hint="eastAsia"/>
          <w:color w:val="000000"/>
          <w:sz w:val="32"/>
          <w:szCs w:val="32"/>
        </w:rPr>
        <w:t>万元，其中：人员经费</w:t>
      </w:r>
      <w:r>
        <w:rPr>
          <w:rFonts w:ascii="仿宋" w:eastAsia="仿宋" w:hAnsi="仿宋" w:hint="eastAsia"/>
          <w:color w:val="000000"/>
          <w:sz w:val="32"/>
          <w:szCs w:val="32"/>
        </w:rPr>
        <w:t>2,220.97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hint="eastAsia"/>
          <w:color w:val="000000"/>
          <w:sz w:val="32"/>
          <w:szCs w:val="32"/>
        </w:rPr>
        <w:t>32.40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w:t>
      </w:r>
      <w:r>
        <w:rPr>
          <w:rFonts w:ascii="仿宋" w:eastAsia="仿宋" w:hAnsi="仿宋" w:hint="eastAsia"/>
          <w:color w:val="000000"/>
          <w:sz w:val="32"/>
          <w:szCs w:val="32"/>
        </w:rPr>
        <w:t>费、公务接待费、劳务费、委托业务费、工会经费、福利费、公务用车运行维护费、其他交通费、税金及附加费用、其他商品和服务支出、办公设备购置、专用设备购置、信息网络及软件购置更新、其他资本性支出等。</w:t>
      </w:r>
    </w:p>
    <w:p w:rsidR="00A977AE" w:rsidRDefault="00CB548D">
      <w:pPr>
        <w:spacing w:line="600" w:lineRule="exact"/>
        <w:ind w:firstLineChars="200"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A977AE" w:rsidRDefault="00CB548D">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A977AE" w:rsidRDefault="00CB548D">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2</w:t>
      </w:r>
      <w:r>
        <w:rPr>
          <w:rFonts w:ascii="仿宋" w:eastAsia="仿宋" w:hAnsi="仿宋"/>
          <w:color w:val="000000"/>
          <w:sz w:val="32"/>
          <w:szCs w:val="32"/>
        </w:rPr>
        <w:t>.12</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A977AE" w:rsidRDefault="00CB548D">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A977AE" w:rsidRDefault="00CB548D">
      <w:pPr>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2.40</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A977AE" w:rsidRDefault="00CB548D">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8</w:t>
      </w:r>
      <w:r>
        <w:rPr>
          <w:rFonts w:ascii="仿宋" w:eastAsia="仿宋" w:hAnsi="仿宋" w:hint="eastAsia"/>
          <w:color w:val="000000"/>
          <w:sz w:val="32"/>
          <w:szCs w:val="32"/>
        </w:rPr>
        <w:t>：“三公”经费财政拨款支出结构）（饼状图）</w:t>
      </w:r>
    </w:p>
    <w:p w:rsidR="00A977AE" w:rsidRDefault="00CB548D">
      <w:pPr>
        <w:spacing w:line="600" w:lineRule="exact"/>
        <w:ind w:firstLine="640"/>
        <w:rPr>
          <w:rFonts w:ascii="仿宋_GB2312" w:eastAsia="仿宋_GB2312"/>
          <w:b/>
          <w:color w:val="000000"/>
          <w:sz w:val="32"/>
          <w:szCs w:val="32"/>
        </w:rPr>
      </w:pPr>
      <w:r>
        <w:rPr>
          <w:noProof/>
        </w:rPr>
        <w:drawing>
          <wp:anchor distT="0" distB="0" distL="114300" distR="114300" simplePos="0" relativeHeight="251656704" behindDoc="0" locked="0" layoutInCell="1" allowOverlap="1">
            <wp:simplePos x="0" y="0"/>
            <wp:positionH relativeFrom="column">
              <wp:posOffset>132080</wp:posOffset>
            </wp:positionH>
            <wp:positionV relativeFrom="paragraph">
              <wp:posOffset>205740</wp:posOffset>
            </wp:positionV>
            <wp:extent cx="4578350" cy="2755265"/>
            <wp:effectExtent l="0" t="0" r="8890" b="317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4578350" cy="2755265"/>
                    </a:xfrm>
                    <a:prstGeom prst="rect">
                      <a:avLst/>
                    </a:prstGeom>
                    <a:noFill/>
                    <a:ln>
                      <a:noFill/>
                    </a:ln>
                  </pic:spPr>
                </pic:pic>
              </a:graphicData>
            </a:graphic>
          </wp:anchor>
        </w:drawing>
      </w: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A977AE">
      <w:pPr>
        <w:spacing w:line="600" w:lineRule="exact"/>
        <w:ind w:firstLine="640"/>
        <w:rPr>
          <w:rFonts w:ascii="仿宋_GB2312" w:eastAsia="仿宋_GB2312"/>
          <w:b/>
          <w:color w:val="000000"/>
          <w:sz w:val="32"/>
          <w:szCs w:val="32"/>
        </w:rPr>
      </w:pPr>
    </w:p>
    <w:p w:rsidR="00A977AE" w:rsidRDefault="00CB548D">
      <w:pPr>
        <w:rPr>
          <w:rFonts w:ascii="宋体" w:hAnsi="宋体" w:cs="Arial"/>
          <w:color w:val="000000"/>
          <w:kern w:val="0"/>
          <w:sz w:val="22"/>
          <w:szCs w:val="2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2.40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hint="eastAsia"/>
          <w:color w:val="000000"/>
          <w:sz w:val="32"/>
          <w:szCs w:val="32"/>
        </w:rPr>
        <w:t>0.12</w:t>
      </w:r>
      <w:r>
        <w:rPr>
          <w:rFonts w:ascii="仿宋_GB2312" w:eastAsia="仿宋_GB2312" w:hint="eastAsia"/>
          <w:color w:val="000000"/>
          <w:sz w:val="32"/>
          <w:szCs w:val="32"/>
        </w:rPr>
        <w:t>万元，下降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48</w:t>
      </w:r>
      <w:r>
        <w:rPr>
          <w:rFonts w:ascii="仿宋_GB2312" w:eastAsia="仿宋_GB2312"/>
          <w:color w:val="000000"/>
          <w:sz w:val="32"/>
          <w:szCs w:val="32"/>
        </w:rPr>
        <w:t>%</w:t>
      </w:r>
      <w:r>
        <w:rPr>
          <w:rFonts w:ascii="仿宋_GB2312" w:eastAsia="仿宋_GB2312" w:hint="eastAsia"/>
          <w:color w:val="000000"/>
          <w:sz w:val="32"/>
          <w:szCs w:val="32"/>
        </w:rPr>
        <w:t>。主要原因是贯彻执行中央八项规定。</w:t>
      </w:r>
    </w:p>
    <w:p w:rsidR="00A977AE" w:rsidRDefault="00CB548D">
      <w:pPr>
        <w:spacing w:line="600" w:lineRule="exact"/>
        <w:ind w:firstLineChars="200"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A977AE" w:rsidRDefault="00CB548D">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A977AE" w:rsidRDefault="00CB548D">
      <w:pPr>
        <w:spacing w:line="600" w:lineRule="exact"/>
        <w:ind w:firstLineChars="20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九、国有资本经营预算支出决算情况说明</w:t>
      </w:r>
      <w:bookmarkEnd w:id="49"/>
      <w:bookmarkEnd w:id="50"/>
    </w:p>
    <w:p w:rsidR="00A977AE" w:rsidRDefault="00CB548D">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A977AE" w:rsidRDefault="00CB548D">
      <w:pPr>
        <w:pStyle w:val="a9"/>
        <w:numPr>
          <w:ilvl w:val="0"/>
          <w:numId w:val="2"/>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A977AE" w:rsidRDefault="00CB548D">
      <w:pPr>
        <w:numPr>
          <w:ilvl w:val="0"/>
          <w:numId w:val="3"/>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A977AE" w:rsidRDefault="00CB54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年部门整体支出开展绩效自评，从评价情况来看全面完成了预算执行，达到了预期效果。</w:t>
      </w:r>
    </w:p>
    <w:p w:rsidR="00A977AE" w:rsidRDefault="00CB548D">
      <w:pPr>
        <w:numPr>
          <w:ilvl w:val="0"/>
          <w:numId w:val="3"/>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lastRenderedPageBreak/>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年度无项目执行情况。</w:t>
      </w:r>
    </w:p>
    <w:p w:rsidR="00A977AE" w:rsidRDefault="00CB548D">
      <w:pPr>
        <w:numPr>
          <w:ilvl w:val="0"/>
          <w:numId w:val="3"/>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A977AE" w:rsidRDefault="00CB54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p>
    <w:p w:rsidR="00A977AE" w:rsidRDefault="00CB548D">
      <w:pPr>
        <w:spacing w:line="600" w:lineRule="exact"/>
        <w:ind w:firstLineChars="200" w:firstLine="64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A977AE" w:rsidRDefault="00CB548D">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A977AE" w:rsidRDefault="00CB548D">
      <w:pPr>
        <w:ind w:firstLineChars="200" w:firstLine="640"/>
        <w:rPr>
          <w:rFonts w:ascii="宋体" w:hAnsi="宋体" w:cs="Arial"/>
          <w:color w:val="000000"/>
          <w:kern w:val="0"/>
          <w:sz w:val="22"/>
          <w:szCs w:val="22"/>
        </w:rPr>
      </w:p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 w:eastAsia="仿宋" w:hAnsi="仿宋" w:hint="eastAsia"/>
          <w:color w:val="000000"/>
          <w:sz w:val="32"/>
          <w:szCs w:val="32"/>
        </w:rPr>
        <w:t>公用经费</w:t>
      </w:r>
      <w:r>
        <w:rPr>
          <w:rFonts w:ascii="仿宋" w:eastAsia="仿宋" w:hAnsi="仿宋" w:hint="eastAsia"/>
          <w:color w:val="000000"/>
          <w:sz w:val="32"/>
          <w:szCs w:val="32"/>
        </w:rPr>
        <w:t>248.83</w:t>
      </w:r>
      <w:r>
        <w:rPr>
          <w:rFonts w:ascii="仿宋" w:eastAsia="仿宋" w:hAnsi="仿宋" w:hint="eastAsia"/>
          <w:color w:val="000000"/>
          <w:sz w:val="32"/>
          <w:szCs w:val="32"/>
        </w:rPr>
        <w:t>万元</w:t>
      </w:r>
      <w:r>
        <w:rPr>
          <w:rFonts w:ascii="仿宋_GB2312" w:eastAsia="仿宋_GB2312" w:hint="eastAsia"/>
          <w:color w:val="000000"/>
          <w:sz w:val="32"/>
          <w:szCs w:val="32"/>
        </w:rPr>
        <w:t>，与</w:t>
      </w:r>
      <w:r>
        <w:rPr>
          <w:rFonts w:ascii="仿宋_GB2312" w:eastAsia="仿宋_GB2312"/>
          <w:color w:val="000000"/>
          <w:sz w:val="32"/>
          <w:szCs w:val="32"/>
        </w:rPr>
        <w:t>2018</w:t>
      </w:r>
      <w:r>
        <w:rPr>
          <w:rFonts w:ascii="仿宋_GB2312" w:eastAsia="仿宋_GB2312" w:hint="eastAsia"/>
          <w:color w:val="000000"/>
          <w:sz w:val="32"/>
          <w:szCs w:val="32"/>
        </w:rPr>
        <w:t>年有增加。</w:t>
      </w:r>
    </w:p>
    <w:p w:rsidR="00A977AE" w:rsidRDefault="00CB548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A977AE" w:rsidRDefault="00CB548D">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年，普安中填写政府采购支出总额</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A977AE" w:rsidRDefault="00CB548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A977AE" w:rsidRDefault="00CB548D">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日，普安中学共有车辆</w:t>
      </w:r>
      <w:r>
        <w:rPr>
          <w:rFonts w:ascii="仿宋_GB2312" w:eastAsia="仿宋_GB2312" w:hint="eastAsia"/>
          <w:color w:val="000000"/>
          <w:sz w:val="32"/>
          <w:szCs w:val="32"/>
        </w:rPr>
        <w:t>0</w:t>
      </w:r>
      <w:r>
        <w:rPr>
          <w:rFonts w:ascii="仿宋_GB2312" w:eastAsia="仿宋_GB2312" w:hint="eastAsia"/>
          <w:color w:val="000000"/>
          <w:sz w:val="32"/>
          <w:szCs w:val="32"/>
        </w:rPr>
        <w:t>辆，其中：其他用车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w:t>
      </w:r>
    </w:p>
    <w:p w:rsidR="00A977AE" w:rsidRDefault="00CB548D">
      <w:pPr>
        <w:numPr>
          <w:ilvl w:val="0"/>
          <w:numId w:val="4"/>
        </w:numPr>
        <w:spacing w:line="600" w:lineRule="exact"/>
        <w:ind w:firstLineChars="150" w:firstLine="663"/>
        <w:outlineLvl w:val="0"/>
        <w:rPr>
          <w:rStyle w:val="1Char"/>
          <w:rFonts w:ascii="黑体" w:eastAsia="黑体" w:hAnsi="黑体"/>
          <w:b w:val="0"/>
        </w:rPr>
      </w:pPr>
      <w:r>
        <w:rPr>
          <w:rFonts w:ascii="黑体" w:eastAsia="黑体" w:hAnsi="黑体" w:hint="eastAsia"/>
          <w:b/>
          <w:color w:val="000000"/>
          <w:sz w:val="44"/>
          <w:szCs w:val="44"/>
        </w:rPr>
        <w:t xml:space="preserve">        </w:t>
      </w:r>
      <w:r>
        <w:rPr>
          <w:rFonts w:ascii="黑体" w:eastAsia="黑体" w:hAnsi="黑体" w:hint="eastAsia"/>
          <w:b/>
          <w:color w:val="000000"/>
          <w:sz w:val="44"/>
          <w:szCs w:val="44"/>
        </w:rPr>
        <w:t>名</w:t>
      </w:r>
      <w:r>
        <w:rPr>
          <w:rStyle w:val="1Char"/>
          <w:rFonts w:ascii="黑体" w:eastAsia="黑体" w:hAnsi="黑体" w:hint="eastAsia"/>
          <w:b w:val="0"/>
        </w:rPr>
        <w:t>词解释</w:t>
      </w:r>
    </w:p>
    <w:p w:rsidR="00A977AE" w:rsidRDefault="00A977AE">
      <w:pPr>
        <w:spacing w:line="600" w:lineRule="atLeast"/>
        <w:ind w:firstLineChars="200" w:firstLine="643"/>
        <w:rPr>
          <w:rFonts w:ascii="仿宋_GB2312" w:eastAsia="仿宋_GB2312"/>
          <w:b/>
          <w:color w:val="000000"/>
          <w:sz w:val="32"/>
          <w:szCs w:val="32"/>
        </w:rPr>
      </w:pPr>
    </w:p>
    <w:p w:rsidR="00A977AE" w:rsidRDefault="00CB548D">
      <w:pPr>
        <w:widowControl/>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w:t>
      </w:r>
      <w:r>
        <w:rPr>
          <w:rFonts w:ascii="仿宋_GB2312" w:eastAsia="仿宋_GB2312" w:hint="eastAsia"/>
          <w:sz w:val="32"/>
          <w:szCs w:val="32"/>
        </w:rPr>
        <w:lastRenderedPageBreak/>
        <w:t>入。主要是…（收入类型）等。</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w:t>
      </w:r>
      <w:r>
        <w:rPr>
          <w:rFonts w:ascii="仿宋_GB2312" w:eastAsia="仿宋_GB2312" w:hint="eastAsia"/>
          <w:color w:val="000000"/>
          <w:sz w:val="32"/>
          <w:szCs w:val="32"/>
        </w:rPr>
        <w:t>）…（款）…（项）：指……。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20.</w:t>
      </w:r>
      <w:r>
        <w:rPr>
          <w:rFonts w:ascii="仿宋_GB2312" w:eastAsia="仿宋_GB2312" w:hint="eastAsia"/>
          <w:color w:val="000000"/>
          <w:sz w:val="32"/>
          <w:szCs w:val="32"/>
        </w:rPr>
        <w:t>交通运输（类）…（款）…（项）：指……。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A977AE" w:rsidRDefault="00CB548D">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977AE" w:rsidRDefault="00CB548D">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977AE" w:rsidRDefault="00CB548D">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A977AE" w:rsidRDefault="00CB548D">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p>
    <w:p w:rsidR="00A977AE" w:rsidRDefault="00CB548D">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w:t>
      </w:r>
      <w:r>
        <w:rPr>
          <w:rFonts w:ascii="仿宋_GB2312" w:eastAsia="仿宋_GB2312" w:hint="eastAsia"/>
          <w:sz w:val="32"/>
          <w:szCs w:val="32"/>
        </w:rPr>
        <w:lastRenderedPageBreak/>
        <w:t>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A977AE" w:rsidRDefault="00CB548D">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A977AE" w:rsidRDefault="00A977AE">
      <w:pPr>
        <w:pStyle w:val="Default"/>
        <w:spacing w:line="560" w:lineRule="exact"/>
        <w:ind w:firstLineChars="200" w:firstLine="640"/>
        <w:rPr>
          <w:rFonts w:ascii="仿宋_GB2312" w:eastAsia="仿宋_GB2312" w:cs="黑体"/>
          <w:sz w:val="32"/>
          <w:szCs w:val="32"/>
        </w:rPr>
      </w:pPr>
    </w:p>
    <w:p w:rsidR="00A977AE" w:rsidRDefault="00CB548D">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A977AE" w:rsidRDefault="00CB548D">
      <w:pPr>
        <w:widowControl/>
        <w:jc w:val="left"/>
        <w:rPr>
          <w:rFonts w:ascii="仿宋_GB2312" w:eastAsia="仿宋_GB2312" w:hAnsi="仿宋_GB2312" w:cs="仿宋_GB2312"/>
          <w:sz w:val="32"/>
          <w:szCs w:val="32"/>
        </w:rPr>
      </w:pPr>
      <w:bookmarkStart w:id="56" w:name="_Toc15377226"/>
      <w:r>
        <w:rPr>
          <w:rFonts w:ascii="宋体"/>
          <w:b/>
          <w:color w:val="000000"/>
          <w:sz w:val="44"/>
          <w:szCs w:val="44"/>
        </w:rPr>
        <w:br w:type="page"/>
      </w:r>
    </w:p>
    <w:p w:rsidR="00A977AE" w:rsidRDefault="00CB548D">
      <w:pPr>
        <w:spacing w:line="600" w:lineRule="exact"/>
        <w:jc w:val="center"/>
        <w:outlineLvl w:val="0"/>
        <w:rPr>
          <w:rStyle w:val="1Char"/>
          <w:rFonts w:ascii="黑体" w:eastAsia="黑体" w:hAnsi="黑体"/>
          <w:b w:val="0"/>
        </w:rPr>
      </w:pPr>
      <w:bookmarkStart w:id="57" w:name="_Toc15396618"/>
      <w:r>
        <w:rPr>
          <w:rFonts w:ascii="黑体" w:eastAsia="黑体" w:hAnsi="黑体" w:hint="eastAsia"/>
          <w:color w:val="000000"/>
          <w:sz w:val="44"/>
          <w:szCs w:val="44"/>
        </w:rPr>
        <w:lastRenderedPageBreak/>
        <w:t>第四</w:t>
      </w:r>
      <w:r>
        <w:rPr>
          <w:rStyle w:val="1Char"/>
          <w:rFonts w:ascii="黑体" w:eastAsia="黑体" w:hAnsi="黑体" w:hint="eastAsia"/>
          <w:b w:val="0"/>
        </w:rPr>
        <w:t>部分</w:t>
      </w:r>
      <w:r>
        <w:rPr>
          <w:rStyle w:val="1Char"/>
          <w:rFonts w:ascii="黑体" w:eastAsia="黑体" w:hAnsi="黑体" w:hint="eastAsia"/>
          <w:b w:val="0"/>
        </w:rPr>
        <w:t xml:space="preserve"> </w:t>
      </w:r>
      <w:r>
        <w:rPr>
          <w:rStyle w:val="1Char"/>
          <w:rFonts w:ascii="黑体" w:eastAsia="黑体" w:hAnsi="黑体" w:hint="eastAsia"/>
          <w:b w:val="0"/>
        </w:rPr>
        <w:t>附表</w:t>
      </w:r>
      <w:bookmarkEnd w:id="56"/>
      <w:bookmarkEnd w:id="57"/>
    </w:p>
    <w:p w:rsidR="00A977AE" w:rsidRDefault="00A977AE">
      <w:pPr>
        <w:spacing w:line="600" w:lineRule="exact"/>
        <w:jc w:val="center"/>
        <w:outlineLvl w:val="0"/>
        <w:rPr>
          <w:rFonts w:ascii="仿宋" w:eastAsia="仿宋" w:hAnsi="仿宋"/>
          <w:b/>
          <w:color w:val="000000"/>
          <w:sz w:val="44"/>
          <w:szCs w:val="44"/>
        </w:rPr>
      </w:pPr>
    </w:p>
    <w:p w:rsidR="00A977AE" w:rsidRDefault="00CB548D">
      <w:pPr>
        <w:pStyle w:val="2"/>
        <w:rPr>
          <w:rFonts w:ascii="仿宋" w:eastAsia="仿宋" w:hAnsi="仿宋"/>
          <w:color w:val="000000"/>
        </w:rPr>
      </w:pPr>
      <w:bookmarkStart w:id="58" w:name="_Toc15396619"/>
      <w:r>
        <w:rPr>
          <w:rFonts w:ascii="仿宋" w:eastAsia="仿宋" w:hAnsi="仿宋" w:hint="eastAsia"/>
          <w:b w:val="0"/>
          <w:color w:val="000000"/>
        </w:rPr>
        <w:t>一、收</w:t>
      </w:r>
      <w:r>
        <w:rPr>
          <w:rStyle w:val="2Char"/>
          <w:rFonts w:ascii="仿宋" w:eastAsia="仿宋" w:hAnsi="仿宋" w:hint="eastAsia"/>
        </w:rPr>
        <w:t>入支出决算总表</w:t>
      </w:r>
      <w:bookmarkEnd w:id="58"/>
    </w:p>
    <w:p w:rsidR="00A977AE" w:rsidRDefault="00CB548D">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入总表</w:t>
      </w:r>
      <w:bookmarkEnd w:id="59"/>
    </w:p>
    <w:p w:rsidR="00A977AE" w:rsidRDefault="00CB548D">
      <w:pPr>
        <w:pStyle w:val="2"/>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0"/>
    </w:p>
    <w:p w:rsidR="00A977AE" w:rsidRDefault="00CB548D">
      <w:pPr>
        <w:pStyle w:val="2"/>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A977AE" w:rsidRDefault="00CB548D">
      <w:pPr>
        <w:pStyle w:val="2"/>
        <w:rPr>
          <w:rFonts w:ascii="仿宋" w:eastAsia="仿宋" w:hAnsi="仿宋"/>
          <w:color w:val="000000"/>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2"/>
    </w:p>
    <w:p w:rsidR="00A977AE" w:rsidRDefault="00CB548D">
      <w:pPr>
        <w:pStyle w:val="2"/>
        <w:rPr>
          <w:rFonts w:ascii="仿宋" w:eastAsia="仿宋" w:hAnsi="仿宋"/>
          <w:color w:val="000000"/>
        </w:rPr>
      </w:pPr>
      <w:bookmarkStart w:id="63"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A977AE" w:rsidRDefault="00CB548D">
      <w:pPr>
        <w:pStyle w:val="2"/>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A977AE" w:rsidRDefault="00CB548D">
      <w:pPr>
        <w:pStyle w:val="2"/>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A977AE" w:rsidRDefault="00CB548D">
      <w:pPr>
        <w:pStyle w:val="2"/>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A977AE" w:rsidRDefault="00CB548D">
      <w:pPr>
        <w:pStyle w:val="2"/>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A977AE" w:rsidRDefault="00CB548D">
      <w:pPr>
        <w:pStyle w:val="2"/>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A977AE" w:rsidRDefault="00CB548D">
      <w:pPr>
        <w:pStyle w:val="2"/>
        <w:rPr>
          <w:rFonts w:ascii="仿宋" w:eastAsia="仿宋" w:hAnsi="仿宋"/>
          <w:color w:val="000000"/>
        </w:rPr>
      </w:pPr>
      <w:bookmarkStart w:id="69"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9"/>
    </w:p>
    <w:p w:rsidR="00A977AE" w:rsidRDefault="00CB548D">
      <w:pPr>
        <w:pStyle w:val="2"/>
        <w:rPr>
          <w:rFonts w:ascii="仿宋" w:eastAsia="仿宋" w:hAnsi="仿宋"/>
          <w:color w:val="000000" w:themeColor="text1"/>
        </w:rPr>
      </w:pPr>
      <w:bookmarkStart w:id="70"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0"/>
    </w:p>
    <w:sectPr w:rsidR="00A977AE">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48D">
      <w:r>
        <w:separator/>
      </w:r>
    </w:p>
  </w:endnote>
  <w:endnote w:type="continuationSeparator" w:id="0">
    <w:p w:rsidR="00000000" w:rsidRDefault="00CB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A977AE" w:rsidRDefault="00CB548D">
        <w:pPr>
          <w:pStyle w:val="a5"/>
          <w:jc w:val="center"/>
        </w:pPr>
        <w:r>
          <w:fldChar w:fldCharType="begin"/>
        </w:r>
        <w:r>
          <w:instrText>PAGE   \* MERGEFORMAT</w:instrText>
        </w:r>
        <w:r>
          <w:fldChar w:fldCharType="separate"/>
        </w:r>
        <w:r w:rsidRPr="00CB548D">
          <w:rPr>
            <w:noProof/>
            <w:lang w:val="zh-CN"/>
          </w:rPr>
          <w:t>2</w:t>
        </w:r>
        <w:r>
          <w:fldChar w:fldCharType="end"/>
        </w:r>
      </w:p>
    </w:sdtContent>
  </w:sdt>
  <w:p w:rsidR="00A977AE" w:rsidRDefault="00A977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48D">
      <w:r>
        <w:separator/>
      </w:r>
    </w:p>
  </w:footnote>
  <w:footnote w:type="continuationSeparator" w:id="0">
    <w:p w:rsidR="00000000" w:rsidRDefault="00CB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AE" w:rsidRDefault="00A977A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start w:val="3"/>
      <w:numFmt w:val="chineseCounting"/>
      <w:suff w:val="space"/>
      <w:lvlText w:val="第%1部分"/>
      <w:lvlJc w:val="left"/>
      <w:rPr>
        <w:rFonts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1606"/>
    <w:rsid w:val="000222C6"/>
    <w:rsid w:val="0002233E"/>
    <w:rsid w:val="0002549F"/>
    <w:rsid w:val="0006487A"/>
    <w:rsid w:val="00065F8F"/>
    <w:rsid w:val="000768F2"/>
    <w:rsid w:val="00081AAB"/>
    <w:rsid w:val="0009184B"/>
    <w:rsid w:val="0009593C"/>
    <w:rsid w:val="000B047F"/>
    <w:rsid w:val="000B5923"/>
    <w:rsid w:val="000B5A48"/>
    <w:rsid w:val="000B6FF3"/>
    <w:rsid w:val="000C2C8F"/>
    <w:rsid w:val="000C3467"/>
    <w:rsid w:val="000C3CA6"/>
    <w:rsid w:val="000D1267"/>
    <w:rsid w:val="000D1D50"/>
    <w:rsid w:val="000D5782"/>
    <w:rsid w:val="000E6613"/>
    <w:rsid w:val="000E7119"/>
    <w:rsid w:val="00112713"/>
    <w:rsid w:val="00114E9B"/>
    <w:rsid w:val="00117C7D"/>
    <w:rsid w:val="0014729F"/>
    <w:rsid w:val="00157BAB"/>
    <w:rsid w:val="001654D1"/>
    <w:rsid w:val="0018106D"/>
    <w:rsid w:val="001877A7"/>
    <w:rsid w:val="00191536"/>
    <w:rsid w:val="00196687"/>
    <w:rsid w:val="001B1092"/>
    <w:rsid w:val="001C0962"/>
    <w:rsid w:val="001D7531"/>
    <w:rsid w:val="001E737D"/>
    <w:rsid w:val="001F0592"/>
    <w:rsid w:val="001F11FE"/>
    <w:rsid w:val="001F7506"/>
    <w:rsid w:val="002006CD"/>
    <w:rsid w:val="00202B36"/>
    <w:rsid w:val="00204B7A"/>
    <w:rsid w:val="00207E0F"/>
    <w:rsid w:val="0021101A"/>
    <w:rsid w:val="00220536"/>
    <w:rsid w:val="00235629"/>
    <w:rsid w:val="00260C38"/>
    <w:rsid w:val="002616C0"/>
    <w:rsid w:val="002662AA"/>
    <w:rsid w:val="00280496"/>
    <w:rsid w:val="00295495"/>
    <w:rsid w:val="002B2613"/>
    <w:rsid w:val="002F1818"/>
    <w:rsid w:val="002F567B"/>
    <w:rsid w:val="003056CC"/>
    <w:rsid w:val="003216A9"/>
    <w:rsid w:val="0037013F"/>
    <w:rsid w:val="00380C92"/>
    <w:rsid w:val="003872C5"/>
    <w:rsid w:val="003A484F"/>
    <w:rsid w:val="003B0BE0"/>
    <w:rsid w:val="003B0C1B"/>
    <w:rsid w:val="003B688C"/>
    <w:rsid w:val="003C0291"/>
    <w:rsid w:val="003C39AE"/>
    <w:rsid w:val="003C5DDF"/>
    <w:rsid w:val="003C6C60"/>
    <w:rsid w:val="003C7B60"/>
    <w:rsid w:val="003D1FB2"/>
    <w:rsid w:val="003D66DA"/>
    <w:rsid w:val="003E1310"/>
    <w:rsid w:val="003E6F55"/>
    <w:rsid w:val="003E7002"/>
    <w:rsid w:val="00406254"/>
    <w:rsid w:val="004223DE"/>
    <w:rsid w:val="00434489"/>
    <w:rsid w:val="00437085"/>
    <w:rsid w:val="00443880"/>
    <w:rsid w:val="004464F4"/>
    <w:rsid w:val="00471401"/>
    <w:rsid w:val="00473F31"/>
    <w:rsid w:val="0048263A"/>
    <w:rsid w:val="00484150"/>
    <w:rsid w:val="00487E5D"/>
    <w:rsid w:val="004A0650"/>
    <w:rsid w:val="004A711F"/>
    <w:rsid w:val="004B199D"/>
    <w:rsid w:val="004B4690"/>
    <w:rsid w:val="004C0A07"/>
    <w:rsid w:val="004C57E5"/>
    <w:rsid w:val="004E0A2D"/>
    <w:rsid w:val="004E206B"/>
    <w:rsid w:val="004E6DF7"/>
    <w:rsid w:val="004F0FBD"/>
    <w:rsid w:val="00505A47"/>
    <w:rsid w:val="00512FDA"/>
    <w:rsid w:val="00520DA0"/>
    <w:rsid w:val="005372D0"/>
    <w:rsid w:val="005664BB"/>
    <w:rsid w:val="0057481D"/>
    <w:rsid w:val="0058486E"/>
    <w:rsid w:val="005C0D9B"/>
    <w:rsid w:val="005D1C8B"/>
    <w:rsid w:val="005D5CED"/>
    <w:rsid w:val="005F1A4C"/>
    <w:rsid w:val="00605688"/>
    <w:rsid w:val="006070AF"/>
    <w:rsid w:val="00607E6C"/>
    <w:rsid w:val="006101B1"/>
    <w:rsid w:val="00614E44"/>
    <w:rsid w:val="006217DE"/>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675D"/>
    <w:rsid w:val="008253BB"/>
    <w:rsid w:val="0083706E"/>
    <w:rsid w:val="008410E2"/>
    <w:rsid w:val="008423A5"/>
    <w:rsid w:val="00850625"/>
    <w:rsid w:val="00853718"/>
    <w:rsid w:val="00855221"/>
    <w:rsid w:val="00860645"/>
    <w:rsid w:val="00871F71"/>
    <w:rsid w:val="00885AF4"/>
    <w:rsid w:val="008939CD"/>
    <w:rsid w:val="008B3AE8"/>
    <w:rsid w:val="008B768C"/>
    <w:rsid w:val="008C4DB1"/>
    <w:rsid w:val="008C4EAF"/>
    <w:rsid w:val="008C5176"/>
    <w:rsid w:val="008C7FD0"/>
    <w:rsid w:val="008E1DE7"/>
    <w:rsid w:val="008E707C"/>
    <w:rsid w:val="00900B08"/>
    <w:rsid w:val="00902155"/>
    <w:rsid w:val="00902FA3"/>
    <w:rsid w:val="00916451"/>
    <w:rsid w:val="00923564"/>
    <w:rsid w:val="0092392E"/>
    <w:rsid w:val="00923D23"/>
    <w:rsid w:val="009315F9"/>
    <w:rsid w:val="0093636D"/>
    <w:rsid w:val="00946945"/>
    <w:rsid w:val="00951248"/>
    <w:rsid w:val="0095152F"/>
    <w:rsid w:val="00954C49"/>
    <w:rsid w:val="0097099F"/>
    <w:rsid w:val="00971997"/>
    <w:rsid w:val="00971FFC"/>
    <w:rsid w:val="0098660A"/>
    <w:rsid w:val="009931C3"/>
    <w:rsid w:val="009B2447"/>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977AE"/>
    <w:rsid w:val="00AC3C6A"/>
    <w:rsid w:val="00AD5620"/>
    <w:rsid w:val="00AD7C1B"/>
    <w:rsid w:val="00AE16BA"/>
    <w:rsid w:val="00AE1EBE"/>
    <w:rsid w:val="00AF4458"/>
    <w:rsid w:val="00B03C9D"/>
    <w:rsid w:val="00B060AE"/>
    <w:rsid w:val="00B10517"/>
    <w:rsid w:val="00B146E2"/>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5E19"/>
    <w:rsid w:val="00C27FBC"/>
    <w:rsid w:val="00C33E72"/>
    <w:rsid w:val="00C354B2"/>
    <w:rsid w:val="00C35554"/>
    <w:rsid w:val="00C42709"/>
    <w:rsid w:val="00C533CC"/>
    <w:rsid w:val="00C5751C"/>
    <w:rsid w:val="00C61BFC"/>
    <w:rsid w:val="00C62B85"/>
    <w:rsid w:val="00C65438"/>
    <w:rsid w:val="00C91CBB"/>
    <w:rsid w:val="00CA5E29"/>
    <w:rsid w:val="00CA704F"/>
    <w:rsid w:val="00CB548D"/>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B3D98"/>
    <w:rsid w:val="00DC410D"/>
    <w:rsid w:val="00DC68CA"/>
    <w:rsid w:val="00DC7CBA"/>
    <w:rsid w:val="00DD73B7"/>
    <w:rsid w:val="00DF28BC"/>
    <w:rsid w:val="00DF34B9"/>
    <w:rsid w:val="00E01053"/>
    <w:rsid w:val="00E07ACF"/>
    <w:rsid w:val="00E331A1"/>
    <w:rsid w:val="00E33202"/>
    <w:rsid w:val="00E336A9"/>
    <w:rsid w:val="00E50624"/>
    <w:rsid w:val="00E51A14"/>
    <w:rsid w:val="00E54D58"/>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D55C8E"/>
    <w:rsid w:val="023D4695"/>
    <w:rsid w:val="08FC45BB"/>
    <w:rsid w:val="10C055FF"/>
    <w:rsid w:val="12D37F4B"/>
    <w:rsid w:val="16BB723D"/>
    <w:rsid w:val="1BE33E30"/>
    <w:rsid w:val="240371BF"/>
    <w:rsid w:val="294F1CC9"/>
    <w:rsid w:val="29FD04D3"/>
    <w:rsid w:val="319F7F4E"/>
    <w:rsid w:val="36AC7D80"/>
    <w:rsid w:val="37C312A2"/>
    <w:rsid w:val="39826D49"/>
    <w:rsid w:val="45117608"/>
    <w:rsid w:val="46A13436"/>
    <w:rsid w:val="4B2E75FE"/>
    <w:rsid w:val="4EB97A34"/>
    <w:rsid w:val="503D3D51"/>
    <w:rsid w:val="56D921AE"/>
    <w:rsid w:val="6BF25257"/>
    <w:rsid w:val="726C0197"/>
    <w:rsid w:val="7BE93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系列 1</c:v>
                </c:pt>
              </c:strCache>
            </c:strRef>
          </c:tx>
          <c:invertIfNegative val="0"/>
          <c:cat>
            <c:strRef>
              <c:f>Sheet1!$A$2:$A$5</c:f>
              <c:strCache>
                <c:ptCount val="4"/>
                <c:pt idx="0">
                  <c:v>2018年收入</c:v>
                </c:pt>
                <c:pt idx="1">
                  <c:v>2019年收入</c:v>
                </c:pt>
                <c:pt idx="2">
                  <c:v>2018年支出</c:v>
                </c:pt>
                <c:pt idx="3">
                  <c:v>2019年支出</c:v>
                </c:pt>
              </c:strCache>
            </c:strRef>
          </c:cat>
          <c:val>
            <c:numRef>
              <c:f>Sheet1!$B$2:$B$5</c:f>
              <c:numCache>
                <c:formatCode>#,##0.00</c:formatCode>
                <c:ptCount val="4"/>
                <c:pt idx="0">
                  <c:v>3090.78</c:v>
                </c:pt>
                <c:pt idx="1">
                  <c:v>3682.47</c:v>
                </c:pt>
                <c:pt idx="2" formatCode="General">
                  <c:v>3068.46</c:v>
                </c:pt>
                <c:pt idx="3">
                  <c:v>3200.11</c:v>
                </c:pt>
              </c:numCache>
            </c:numRef>
          </c:val>
        </c:ser>
        <c:ser>
          <c:idx val="1"/>
          <c:order val="1"/>
          <c:tx>
            <c:strRef>
              <c:f>Sheet1!$C$1</c:f>
              <c:strCache>
                <c:ptCount val="1"/>
                <c:pt idx="0">
                  <c:v>列1</c:v>
                </c:pt>
              </c:strCache>
            </c:strRef>
          </c:tx>
          <c:invertIfNegative val="0"/>
          <c:cat>
            <c:strRef>
              <c:f>Sheet1!$A$2:$A$5</c:f>
              <c:strCache>
                <c:ptCount val="4"/>
                <c:pt idx="0">
                  <c:v>2018年收入</c:v>
                </c:pt>
                <c:pt idx="1">
                  <c:v>2019年收入</c:v>
                </c:pt>
                <c:pt idx="2">
                  <c:v>2018年支出</c:v>
                </c:pt>
                <c:pt idx="3">
                  <c:v>2019年支出</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cat>
            <c:strRef>
              <c:f>Sheet1!$A$2:$A$5</c:f>
              <c:strCache>
                <c:ptCount val="4"/>
                <c:pt idx="0">
                  <c:v>2018年收入</c:v>
                </c:pt>
                <c:pt idx="1">
                  <c:v>2019年收入</c:v>
                </c:pt>
                <c:pt idx="2">
                  <c:v>2018年支出</c:v>
                </c:pt>
                <c:pt idx="3">
                  <c:v>2019年支出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07604992"/>
        <c:axId val="107606784"/>
      </c:barChart>
      <c:catAx>
        <c:axId val="107604992"/>
        <c:scaling>
          <c:orientation val="minMax"/>
        </c:scaling>
        <c:delete val="0"/>
        <c:axPos val="b"/>
        <c:majorTickMark val="out"/>
        <c:minorTickMark val="none"/>
        <c:tickLblPos val="nextTo"/>
        <c:crossAx val="107606784"/>
        <c:crosses val="autoZero"/>
        <c:auto val="1"/>
        <c:lblAlgn val="ctr"/>
        <c:lblOffset val="100"/>
        <c:noMultiLvlLbl val="0"/>
      </c:catAx>
      <c:valAx>
        <c:axId val="107606784"/>
        <c:scaling>
          <c:orientation val="minMax"/>
        </c:scaling>
        <c:delete val="0"/>
        <c:axPos val="l"/>
        <c:majorGridlines/>
        <c:numFmt formatCode="#,##0.00" sourceLinked="1"/>
        <c:majorTickMark val="out"/>
        <c:minorTickMark val="none"/>
        <c:tickLblPos val="nextTo"/>
        <c:crossAx val="107604992"/>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一般公共预算财政拨款收入</c:v>
                </c:pt>
                <c:pt idx="1">
                  <c:v>事业收入</c:v>
                </c:pt>
              </c:strCache>
            </c:strRef>
          </c:cat>
          <c:val>
            <c:numRef>
              <c:f>Sheet1!$B$2:$B$5</c:f>
              <c:numCache>
                <c:formatCode>General</c:formatCode>
                <c:ptCount val="4"/>
                <c:pt idx="0">
                  <c:v>3631.09</c:v>
                </c:pt>
                <c:pt idx="1">
                  <c:v>51.38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基本支出</c:v>
                </c:pt>
                <c:pt idx="1">
                  <c:v>项目支出</c:v>
                </c:pt>
              </c:strCache>
            </c:strRef>
          </c:cat>
          <c:val>
            <c:numRef>
              <c:f>Sheet1!$B$2:$B$5</c:f>
              <c:numCache>
                <c:formatCode>General</c:formatCode>
                <c:ptCount val="4"/>
                <c:pt idx="0">
                  <c:v>2904.72</c:v>
                </c:pt>
                <c:pt idx="1">
                  <c:v>295.38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系列 1</c:v>
                </c:pt>
              </c:strCache>
            </c:strRef>
          </c:tx>
          <c:invertIfNegative val="0"/>
          <c:cat>
            <c:strRef>
              <c:f>Sheet1!$A$2:$A$5</c:f>
              <c:strCache>
                <c:ptCount val="4"/>
                <c:pt idx="0">
                  <c:v>2018年收入</c:v>
                </c:pt>
                <c:pt idx="1">
                  <c:v>2019年收入</c:v>
                </c:pt>
                <c:pt idx="2">
                  <c:v>2018年支出</c:v>
                </c:pt>
                <c:pt idx="3">
                  <c:v>2019年支出</c:v>
                </c:pt>
              </c:strCache>
            </c:strRef>
          </c:cat>
          <c:val>
            <c:numRef>
              <c:f>Sheet1!$B$2:$B$5</c:f>
              <c:numCache>
                <c:formatCode>#,##0.00</c:formatCode>
                <c:ptCount val="4"/>
                <c:pt idx="0">
                  <c:v>3090.78</c:v>
                </c:pt>
                <c:pt idx="1">
                  <c:v>3682.47</c:v>
                </c:pt>
                <c:pt idx="2" formatCode="General">
                  <c:v>3068.46</c:v>
                </c:pt>
                <c:pt idx="3">
                  <c:v>3200.11</c:v>
                </c:pt>
              </c:numCache>
            </c:numRef>
          </c:val>
        </c:ser>
        <c:ser>
          <c:idx val="1"/>
          <c:order val="1"/>
          <c:tx>
            <c:strRef>
              <c:f>Sheet1!$C$1</c:f>
              <c:strCache>
                <c:ptCount val="1"/>
                <c:pt idx="0">
                  <c:v>列1</c:v>
                </c:pt>
              </c:strCache>
            </c:strRef>
          </c:tx>
          <c:invertIfNegative val="0"/>
          <c:cat>
            <c:strRef>
              <c:f>Sheet1!$A$2:$A$5</c:f>
              <c:strCache>
                <c:ptCount val="4"/>
                <c:pt idx="0">
                  <c:v>2018年收入</c:v>
                </c:pt>
                <c:pt idx="1">
                  <c:v>2019年收入</c:v>
                </c:pt>
                <c:pt idx="2">
                  <c:v>2018年支出</c:v>
                </c:pt>
                <c:pt idx="3">
                  <c:v>2019年支出</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cat>
            <c:strRef>
              <c:f>Sheet1!$A$2:$A$5</c:f>
              <c:strCache>
                <c:ptCount val="4"/>
                <c:pt idx="0">
                  <c:v>2018年收入</c:v>
                </c:pt>
                <c:pt idx="1">
                  <c:v>2019年收入</c:v>
                </c:pt>
                <c:pt idx="2">
                  <c:v>2018年支出</c:v>
                </c:pt>
                <c:pt idx="3">
                  <c:v>2019年支出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07150336"/>
        <c:axId val="107066112"/>
      </c:barChart>
      <c:catAx>
        <c:axId val="107150336"/>
        <c:scaling>
          <c:orientation val="minMax"/>
        </c:scaling>
        <c:delete val="0"/>
        <c:axPos val="b"/>
        <c:majorTickMark val="out"/>
        <c:minorTickMark val="none"/>
        <c:tickLblPos val="nextTo"/>
        <c:crossAx val="107066112"/>
        <c:crosses val="autoZero"/>
        <c:auto val="1"/>
        <c:lblAlgn val="ctr"/>
        <c:lblOffset val="100"/>
        <c:noMultiLvlLbl val="0"/>
      </c:catAx>
      <c:valAx>
        <c:axId val="107066112"/>
        <c:scaling>
          <c:orientation val="minMax"/>
        </c:scaling>
        <c:delete val="0"/>
        <c:axPos val="l"/>
        <c:majorGridlines/>
        <c:numFmt formatCode="#,##0.00" sourceLinked="1"/>
        <c:majorTickMark val="out"/>
        <c:minorTickMark val="none"/>
        <c:tickLblPos val="nextTo"/>
        <c:crossAx val="107150336"/>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列3</c:v>
                </c:pt>
              </c:strCache>
            </c:strRef>
          </c:tx>
          <c:invertIfNegative val="0"/>
          <c:cat>
            <c:strRef>
              <c:f>Sheet1!$A$2:$A$5</c:f>
              <c:strCache>
                <c:ptCount val="2"/>
                <c:pt idx="0">
                  <c:v>2018年支出</c:v>
                </c:pt>
                <c:pt idx="1">
                  <c:v>2019年支出</c:v>
                </c:pt>
              </c:strCache>
            </c:strRef>
          </c:cat>
          <c:val>
            <c:numRef>
              <c:f>Sheet1!$B$2:$B$5</c:f>
              <c:numCache>
                <c:formatCode>General</c:formatCode>
                <c:ptCount val="4"/>
                <c:pt idx="0">
                  <c:v>2586.09</c:v>
                </c:pt>
                <c:pt idx="1">
                  <c:v>3148.72</c:v>
                </c:pt>
              </c:numCache>
            </c:numRef>
          </c:val>
        </c:ser>
        <c:ser>
          <c:idx val="1"/>
          <c:order val="1"/>
          <c:tx>
            <c:strRef>
              <c:f>Sheet1!$C$1</c:f>
              <c:strCache>
                <c:ptCount val="1"/>
                <c:pt idx="0">
                  <c:v>列2</c:v>
                </c:pt>
              </c:strCache>
            </c:strRef>
          </c:tx>
          <c:invertIfNegative val="0"/>
          <c:cat>
            <c:strRef>
              <c:f>Sheet1!$A$2:$A$5</c:f>
              <c:strCache>
                <c:ptCount val="2"/>
                <c:pt idx="0">
                  <c:v>2018年支出</c:v>
                </c:pt>
                <c:pt idx="1">
                  <c:v>2019年支出</c:v>
                </c:pt>
              </c:strCache>
            </c:strRef>
          </c:cat>
          <c:val>
            <c:numRef>
              <c:f>Sheet1!$C$2:$C$5</c:f>
              <c:numCache>
                <c:formatCode>General</c:formatCode>
                <c:ptCount val="4"/>
              </c:numCache>
            </c:numRef>
          </c:val>
        </c:ser>
        <c:ser>
          <c:idx val="2"/>
          <c:order val="2"/>
          <c:tx>
            <c:strRef>
              <c:f>Sheet1!$D$1</c:f>
              <c:strCache>
                <c:ptCount val="1"/>
                <c:pt idx="0">
                  <c:v>列1</c:v>
                </c:pt>
              </c:strCache>
            </c:strRef>
          </c:tx>
          <c:invertIfNegative val="0"/>
          <c:cat>
            <c:strRef>
              <c:f>Sheet1!$A$2:$A$5</c:f>
              <c:strCache>
                <c:ptCount val="2"/>
                <c:pt idx="0">
                  <c:v>2018年支出</c:v>
                </c:pt>
                <c:pt idx="1">
                  <c:v>2019年支出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93832320"/>
        <c:axId val="93833856"/>
      </c:barChart>
      <c:catAx>
        <c:axId val="93832320"/>
        <c:scaling>
          <c:orientation val="minMax"/>
        </c:scaling>
        <c:delete val="0"/>
        <c:axPos val="b"/>
        <c:majorTickMark val="out"/>
        <c:minorTickMark val="none"/>
        <c:tickLblPos val="nextTo"/>
        <c:crossAx val="93833856"/>
        <c:crosses val="autoZero"/>
        <c:auto val="1"/>
        <c:lblAlgn val="ctr"/>
        <c:lblOffset val="100"/>
        <c:noMultiLvlLbl val="0"/>
      </c:catAx>
      <c:valAx>
        <c:axId val="93833856"/>
        <c:scaling>
          <c:orientation val="minMax"/>
        </c:scaling>
        <c:delete val="0"/>
        <c:axPos val="l"/>
        <c:majorGridlines/>
        <c:numFmt formatCode="General" sourceLinked="1"/>
        <c:majorTickMark val="out"/>
        <c:minorTickMark val="none"/>
        <c:tickLblPos val="nextTo"/>
        <c:crossAx val="93832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4"/>
                <c:pt idx="0">
                  <c:v>教育支出</c:v>
                </c:pt>
                <c:pt idx="1">
                  <c:v>社会保障和就业</c:v>
                </c:pt>
                <c:pt idx="2">
                  <c:v>医疗卫生支出</c:v>
                </c:pt>
                <c:pt idx="3">
                  <c:v>住房保障支出</c:v>
                </c:pt>
              </c:strCache>
            </c:strRef>
          </c:cat>
          <c:val>
            <c:numRef>
              <c:f>Sheet1!$B$2:$B$5</c:f>
              <c:numCache>
                <c:formatCode>General</c:formatCode>
                <c:ptCount val="4"/>
                <c:pt idx="0">
                  <c:v>2630.66</c:v>
                </c:pt>
                <c:pt idx="1">
                  <c:v>248.9</c:v>
                </c:pt>
                <c:pt idx="2">
                  <c:v>95.82</c:v>
                </c:pt>
                <c:pt idx="3">
                  <c:v>173.34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5398F-D1ED-4EE5-B201-537BD204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4178</Words>
  <Characters>2381</Characters>
  <Application>Microsoft Office Word</Application>
  <DocSecurity>0</DocSecurity>
  <Lines>19</Lines>
  <Paragraphs>13</Paragraphs>
  <ScaleCrop>false</ScaleCrop>
  <Company>四川省财政厅</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12</cp:revision>
  <cp:lastPrinted>2020-09-24T03:45:00Z</cp:lastPrinted>
  <dcterms:created xsi:type="dcterms:W3CDTF">2020-09-22T14:41:00Z</dcterms:created>
  <dcterms:modified xsi:type="dcterms:W3CDTF">2020-09-24T03:47:00Z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