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/>
        <w:jc w:val="center"/>
        <w:outlineLvl w:val="1"/>
        <w:rPr>
          <w:rStyle w:val="10"/>
          <w:rFonts w:ascii="方正小标宋简体" w:hAnsi="黑体" w:eastAsia="方正小标宋简体"/>
          <w:b w:val="0"/>
          <w:sz w:val="44"/>
          <w:szCs w:val="44"/>
        </w:rPr>
      </w:pPr>
      <w:r>
        <w:rPr>
          <w:rStyle w:val="10"/>
          <w:rFonts w:hint="eastAsia" w:ascii="方正小标宋简体" w:hAnsi="黑体" w:eastAsia="方正小标宋简体"/>
          <w:b w:val="0"/>
          <w:sz w:val="44"/>
          <w:szCs w:val="44"/>
        </w:rPr>
        <w:t>开江县</w:t>
      </w:r>
      <w:r>
        <w:rPr>
          <w:rStyle w:val="10"/>
          <w:rFonts w:hint="eastAsia" w:ascii="方正小标宋简体" w:hAnsi="黑体" w:eastAsia="方正小标宋简体"/>
          <w:b w:val="0"/>
          <w:sz w:val="44"/>
          <w:szCs w:val="44"/>
          <w:lang w:eastAsia="zh-CN"/>
        </w:rPr>
        <w:t>八庙镇</w:t>
      </w:r>
      <w:r>
        <w:rPr>
          <w:rStyle w:val="10"/>
          <w:rFonts w:hint="eastAsia" w:ascii="方正小标宋简体" w:hAnsi="黑体" w:eastAsia="方正小标宋简体"/>
          <w:b w:val="0"/>
          <w:sz w:val="44"/>
          <w:szCs w:val="44"/>
        </w:rPr>
        <w:t>中心小学201</w:t>
      </w:r>
      <w:r>
        <w:rPr>
          <w:rStyle w:val="10"/>
          <w:rFonts w:hint="eastAsia" w:ascii="方正小标宋简体" w:hAnsi="黑体" w:eastAsia="方正小标宋简体"/>
          <w:b w:val="0"/>
          <w:sz w:val="44"/>
          <w:szCs w:val="44"/>
          <w:lang w:val="en-US" w:eastAsia="zh-CN"/>
        </w:rPr>
        <w:t>9</w:t>
      </w:r>
      <w:r>
        <w:rPr>
          <w:rStyle w:val="10"/>
          <w:rFonts w:hint="eastAsia" w:ascii="方正小标宋简体" w:hAnsi="黑体" w:eastAsia="方正小标宋简体"/>
          <w:b w:val="0"/>
          <w:sz w:val="44"/>
          <w:szCs w:val="44"/>
        </w:rPr>
        <w:t>年</w:t>
      </w:r>
    </w:p>
    <w:p>
      <w:pPr>
        <w:spacing w:line="600" w:lineRule="exact"/>
        <w:ind w:firstLine="640"/>
        <w:jc w:val="center"/>
        <w:outlineLvl w:val="1"/>
        <w:rPr>
          <w:rStyle w:val="10"/>
          <w:rFonts w:ascii="方正小标宋简体" w:hAnsi="黑体" w:eastAsia="方正小标宋简体"/>
          <w:b w:val="0"/>
          <w:sz w:val="44"/>
          <w:szCs w:val="44"/>
        </w:rPr>
      </w:pPr>
      <w:r>
        <w:rPr>
          <w:rStyle w:val="10"/>
          <w:rFonts w:hint="eastAsia" w:ascii="方正小标宋简体" w:hAnsi="黑体" w:eastAsia="方正小标宋简体"/>
          <w:b w:val="0"/>
          <w:sz w:val="44"/>
          <w:szCs w:val="44"/>
        </w:rPr>
        <w:t>“三公”经费财政拨款支出决算情况说明</w:t>
      </w:r>
    </w:p>
    <w:p>
      <w:pPr>
        <w:spacing w:line="600" w:lineRule="exact"/>
        <w:ind w:firstLine="643"/>
        <w:outlineLvl w:val="2"/>
        <w:rPr>
          <w:rFonts w:ascii="仿宋" w:hAnsi="仿宋" w:eastAsia="仿宋"/>
          <w:b/>
          <w:color w:val="000000"/>
          <w:sz w:val="32"/>
          <w:szCs w:val="32"/>
        </w:rPr>
      </w:pPr>
      <w:bookmarkStart w:id="0" w:name="_Toc15377216"/>
    </w:p>
    <w:p>
      <w:pPr>
        <w:spacing w:line="600" w:lineRule="exact"/>
        <w:ind w:firstLine="643"/>
        <w:outlineLvl w:val="2"/>
        <w:rPr>
          <w:rFonts w:hint="eastAsia" w:ascii="方正黑体简体" w:hAnsi="仿宋" w:eastAsia="方正黑体简体"/>
          <w:color w:val="000000"/>
          <w:sz w:val="32"/>
          <w:szCs w:val="32"/>
        </w:rPr>
      </w:pPr>
      <w:r>
        <w:rPr>
          <w:rFonts w:hint="eastAsia" w:ascii="方正黑体简体" w:hAnsi="仿宋" w:eastAsia="方正黑体简体"/>
          <w:color w:val="000000"/>
          <w:sz w:val="32"/>
          <w:szCs w:val="32"/>
        </w:rPr>
        <w:t>一、“三公”经费财政拨款支出决算总体情况说明</w:t>
      </w:r>
      <w:bookmarkEnd w:id="0"/>
    </w:p>
    <w:p>
      <w:pPr>
        <w:spacing w:line="600" w:lineRule="exact"/>
        <w:ind w:firstLine="64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201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color w:val="000000"/>
          <w:sz w:val="32"/>
          <w:szCs w:val="32"/>
        </w:rPr>
        <w:t>年“三公”经费财政拨款支出决算为0.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color w:val="000000"/>
          <w:sz w:val="32"/>
          <w:szCs w:val="32"/>
        </w:rPr>
        <w:t>9万元，完成预算100</w:t>
      </w:r>
      <w:r>
        <w:rPr>
          <w:rFonts w:ascii="仿宋" w:hAnsi="仿宋" w:eastAsia="仿宋"/>
          <w:color w:val="000000"/>
          <w:sz w:val="32"/>
          <w:szCs w:val="32"/>
        </w:rPr>
        <w:t>%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spacing w:line="600" w:lineRule="exact"/>
        <w:ind w:firstLine="643"/>
        <w:outlineLvl w:val="2"/>
        <w:rPr>
          <w:rFonts w:hint="eastAsia" w:ascii="方正黑体简体" w:hAnsi="仿宋" w:eastAsia="方正黑体简体"/>
          <w:color w:val="000000"/>
          <w:sz w:val="32"/>
          <w:szCs w:val="32"/>
        </w:rPr>
      </w:pPr>
      <w:bookmarkStart w:id="1" w:name="_Toc15377217"/>
      <w:r>
        <w:rPr>
          <w:rFonts w:hint="eastAsia" w:ascii="方正黑体简体" w:hAnsi="仿宋" w:eastAsia="方正黑体简体"/>
          <w:color w:val="000000"/>
          <w:sz w:val="32"/>
          <w:szCs w:val="32"/>
        </w:rPr>
        <w:t>二、“三公”经费财政拨款支出决算具体情况说明</w:t>
      </w:r>
      <w:bookmarkEnd w:id="1"/>
    </w:p>
    <w:p>
      <w:pPr>
        <w:spacing w:line="600" w:lineRule="exact"/>
        <w:ind w:firstLine="64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201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color w:val="000000"/>
          <w:sz w:val="32"/>
          <w:szCs w:val="32"/>
        </w:rPr>
        <w:t>年“三公”经费财政拨款支出决算中，因公出国（境）费支出决算0万元，占0</w:t>
      </w:r>
      <w:r>
        <w:rPr>
          <w:rFonts w:ascii="仿宋" w:hAnsi="仿宋" w:eastAsia="仿宋"/>
          <w:color w:val="000000"/>
          <w:sz w:val="32"/>
          <w:szCs w:val="32"/>
        </w:rPr>
        <w:t>%</w:t>
      </w:r>
      <w:r>
        <w:rPr>
          <w:rFonts w:hint="eastAsia" w:ascii="仿宋" w:hAnsi="仿宋" w:eastAsia="仿宋"/>
          <w:color w:val="000000"/>
          <w:sz w:val="32"/>
          <w:szCs w:val="32"/>
        </w:rPr>
        <w:t>；公务用车购置及运行维护费支出决算0万元，占0</w:t>
      </w:r>
      <w:r>
        <w:rPr>
          <w:rFonts w:ascii="仿宋" w:hAnsi="仿宋" w:eastAsia="仿宋"/>
          <w:color w:val="000000"/>
          <w:sz w:val="32"/>
          <w:szCs w:val="32"/>
        </w:rPr>
        <w:t>%</w:t>
      </w:r>
      <w:r>
        <w:rPr>
          <w:rFonts w:hint="eastAsia" w:ascii="仿宋" w:hAnsi="仿宋" w:eastAsia="仿宋"/>
          <w:color w:val="000000"/>
          <w:sz w:val="32"/>
          <w:szCs w:val="32"/>
        </w:rPr>
        <w:t>；公务接待费支出决算0.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color w:val="000000"/>
          <w:sz w:val="32"/>
          <w:szCs w:val="32"/>
        </w:rPr>
        <w:t>9万元，占100</w:t>
      </w:r>
      <w:r>
        <w:rPr>
          <w:rFonts w:ascii="仿宋" w:hAnsi="仿宋" w:eastAsia="仿宋"/>
          <w:color w:val="000000"/>
          <w:sz w:val="32"/>
          <w:szCs w:val="32"/>
        </w:rPr>
        <w:t>%</w:t>
      </w:r>
      <w:r>
        <w:rPr>
          <w:rFonts w:hint="eastAsia" w:ascii="仿宋" w:hAnsi="仿宋" w:eastAsia="仿宋"/>
          <w:color w:val="000000"/>
          <w:sz w:val="32"/>
          <w:szCs w:val="32"/>
        </w:rPr>
        <w:t>。具体情况如下：</w:t>
      </w:r>
    </w:p>
    <w:p>
      <w:pPr>
        <w:spacing w:line="600" w:lineRule="exact"/>
        <w:ind w:firstLine="64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（图1：“三公”经费财政拨款支出结构）（饼状图）</w:t>
      </w:r>
    </w:p>
    <w:p>
      <w:pPr>
        <w:spacing w:line="60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146685</wp:posOffset>
            </wp:positionV>
            <wp:extent cx="5424805" cy="3373120"/>
            <wp:effectExtent l="0" t="0" r="23495" b="17780"/>
            <wp:wrapNone/>
            <wp:docPr id="1" name="图表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>
      <w:pPr>
        <w:spacing w:line="600" w:lineRule="exact"/>
        <w:ind w:firstLine="64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600" w:lineRule="exact"/>
        <w:ind w:firstLine="64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600" w:lineRule="exact"/>
        <w:ind w:firstLine="64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600" w:lineRule="exact"/>
        <w:ind w:firstLine="64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600" w:lineRule="exact"/>
        <w:ind w:firstLine="64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600" w:lineRule="exact"/>
        <w:ind w:firstLine="64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600" w:lineRule="exact"/>
        <w:ind w:firstLine="64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600" w:lineRule="exact"/>
        <w:ind w:firstLine="64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600" w:lineRule="exact"/>
        <w:ind w:firstLine="640"/>
        <w:rPr>
          <w:rFonts w:ascii="仿宋" w:hAnsi="仿宋" w:eastAsia="仿宋"/>
          <w:color w:val="000000"/>
          <w:sz w:val="32"/>
          <w:szCs w:val="32"/>
        </w:rPr>
      </w:pPr>
    </w:p>
    <w:p>
      <w:pPr>
        <w:pStyle w:val="11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公务接待费支出</w:t>
      </w:r>
      <w:r>
        <w:rPr>
          <w:rFonts w:hint="eastAsia" w:ascii="仿宋_GB2312" w:eastAsia="仿宋_GB2312"/>
          <w:color w:val="000000"/>
          <w:sz w:val="32"/>
          <w:szCs w:val="32"/>
        </w:rPr>
        <w:t>0.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000000"/>
          <w:sz w:val="32"/>
          <w:szCs w:val="32"/>
        </w:rPr>
        <w:t>9万元，</w:t>
      </w:r>
      <w:r>
        <w:rPr>
          <w:rStyle w:val="8"/>
          <w:rFonts w:hint="eastAsia" w:ascii="仿宋" w:hAnsi="仿宋" w:eastAsia="仿宋"/>
          <w:bCs/>
          <w:color w:val="000000"/>
          <w:sz w:val="32"/>
          <w:szCs w:val="32"/>
        </w:rPr>
        <w:t>完成预算100</w:t>
      </w:r>
      <w:r>
        <w:rPr>
          <w:rStyle w:val="8"/>
          <w:rFonts w:ascii="仿宋" w:hAnsi="仿宋" w:eastAsia="仿宋"/>
          <w:bCs/>
          <w:color w:val="000000"/>
          <w:sz w:val="32"/>
          <w:szCs w:val="32"/>
        </w:rPr>
        <w:t>%</w:t>
      </w:r>
      <w:r>
        <w:rPr>
          <w:rStyle w:val="8"/>
          <w:rFonts w:hint="eastAsia" w:ascii="仿宋" w:hAnsi="仿宋" w:eastAsia="仿宋"/>
          <w:bCs/>
          <w:color w:val="000000"/>
          <w:sz w:val="32"/>
          <w:szCs w:val="32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公务接待</w:t>
      </w:r>
    </w:p>
    <w:p>
      <w:pPr>
        <w:pStyle w:val="11"/>
        <w:spacing w:line="600" w:lineRule="exact"/>
        <w:ind w:firstLine="0" w:firstLineChars="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经费支出决算比</w:t>
      </w:r>
      <w:r>
        <w:rPr>
          <w:rFonts w:ascii="仿宋_GB2312" w:eastAsia="仿宋_GB2312"/>
          <w:color w:val="000000"/>
          <w:sz w:val="32"/>
          <w:szCs w:val="32"/>
        </w:rPr>
        <w:t>201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000000"/>
          <w:sz w:val="32"/>
          <w:szCs w:val="32"/>
        </w:rPr>
        <w:t>年减少0.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.01</w:t>
      </w:r>
      <w:r>
        <w:rPr>
          <w:rFonts w:hint="eastAsia" w:ascii="仿宋_GB2312" w:eastAsia="仿宋_GB2312"/>
          <w:color w:val="000000"/>
          <w:sz w:val="32"/>
          <w:szCs w:val="32"/>
        </w:rPr>
        <w:t>万元，下降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11</w:t>
      </w:r>
      <w:r>
        <w:rPr>
          <w:rFonts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。主要原因是贯彻执行中央八项规定。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（1）主要用于执行公务、开展业务活动开支的交通费、住宿费、用餐费等。国内公务接待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color w:val="000000"/>
          <w:sz w:val="32"/>
          <w:szCs w:val="32"/>
        </w:rPr>
        <w:t>批次，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291</w:t>
      </w:r>
      <w:r>
        <w:rPr>
          <w:rFonts w:hint="eastAsia" w:ascii="仿宋_GB2312" w:eastAsia="仿宋_GB2312"/>
          <w:color w:val="000000"/>
          <w:sz w:val="32"/>
          <w:szCs w:val="32"/>
        </w:rPr>
        <w:t>人次（不包括陪同人员），共计支出0.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000000"/>
          <w:sz w:val="32"/>
          <w:szCs w:val="32"/>
        </w:rPr>
        <w:t>9万元，具体内容包括：级来校指导工作、开展业务活动等工作餐支出0.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000000"/>
          <w:sz w:val="32"/>
          <w:szCs w:val="32"/>
        </w:rPr>
        <w:t>9万元。</w:t>
      </w:r>
      <w:bookmarkStart w:id="2" w:name="_GoBack"/>
      <w:bookmarkEnd w:id="2"/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 w:ascii="方正黑体简体" w:eastAsia="方正黑体简体"/>
          <w:color w:val="000000"/>
          <w:sz w:val="32"/>
          <w:szCs w:val="32"/>
        </w:rPr>
      </w:pPr>
      <w:r>
        <w:rPr>
          <w:rFonts w:hint="eastAsia" w:ascii="方正黑体简体" w:eastAsia="方正黑体简体"/>
          <w:color w:val="000000"/>
          <w:sz w:val="32"/>
          <w:szCs w:val="32"/>
        </w:rPr>
        <w:t>三、附表</w:t>
      </w:r>
    </w:p>
    <w:p>
      <w:pPr>
        <w:ind w:firstLine="64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 一般公共预算财政拨款“三公”经费支出决算表</w:t>
      </w:r>
    </w:p>
    <w:p>
      <w:pPr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 政府性基金预算财政拨款“三公”经费支出决算表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DA5"/>
    <w:multiLevelType w:val="multilevel"/>
    <w:tmpl w:val="03464DA5"/>
    <w:lvl w:ilvl="0" w:tentative="0">
      <w:start w:val="1"/>
      <w:numFmt w:val="decimal"/>
      <w:lvlText w:val="%1."/>
      <w:lvlJc w:val="left"/>
      <w:pPr>
        <w:ind w:left="1003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57"/>
    <w:rsid w:val="003B07BD"/>
    <w:rsid w:val="00556A3B"/>
    <w:rsid w:val="006F0E21"/>
    <w:rsid w:val="00AA4D34"/>
    <w:rsid w:val="00C27737"/>
    <w:rsid w:val="00EA2D7F"/>
    <w:rsid w:val="00F75157"/>
    <w:rsid w:val="00F97872"/>
    <w:rsid w:val="05716693"/>
    <w:rsid w:val="5B132AC0"/>
    <w:rsid w:val="786E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eastAsia="方正黑体简体" w:asciiTheme="majorHAnsi" w:hAnsiTheme="majorHAnsi" w:cstheme="majorBidi"/>
      <w:b/>
      <w:bCs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99"/>
    <w:rPr>
      <w:b/>
    </w:rPr>
  </w:style>
  <w:style w:type="character" w:customStyle="1" w:styleId="9">
    <w:name w:val="标题 1 Char"/>
    <w:basedOn w:val="7"/>
    <w:link w:val="2"/>
    <w:uiPriority w:val="9"/>
    <w:rPr>
      <w:rFonts w:eastAsia="方正小标宋简体"/>
      <w:b/>
      <w:bCs/>
      <w:kern w:val="44"/>
      <w:sz w:val="44"/>
      <w:szCs w:val="44"/>
    </w:rPr>
  </w:style>
  <w:style w:type="character" w:customStyle="1" w:styleId="10">
    <w:name w:val="标题 2 Char"/>
    <w:basedOn w:val="7"/>
    <w:link w:val="3"/>
    <w:qFormat/>
    <w:uiPriority w:val="9"/>
    <w:rPr>
      <w:rFonts w:eastAsia="方正黑体简体" w:asciiTheme="majorHAnsi" w:hAnsiTheme="majorHAnsi" w:cstheme="majorBidi"/>
      <w:b/>
      <w:bCs/>
      <w:sz w:val="32"/>
      <w:szCs w:val="32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 w="28133">
          <a:noFill/>
        </a:ln>
      </c:spPr>
      <c:txPr>
        <a:bodyPr rot="0" spcFirstLastPara="0" vertOverflow="ellipsis" vert="horz" wrap="square" anchor="ctr" anchorCtr="1"/>
        <a:lstStyle/>
        <a:p>
          <a:pPr>
            <a:defRPr lang="zh-CN"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三公经费财政拨款支出结构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spPr>
              <a:noFill/>
              <a:ln w="28133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Sheet1!$A$2:$A$7</c:f>
              <c:strCache>
                <c:ptCount val="3"/>
                <c:pt idx="0">
                  <c:v>因公出国费支持</c:v>
                </c:pt>
                <c:pt idx="1">
                  <c:v>公务用车购置及运行维护费</c:v>
                </c:pt>
                <c:pt idx="2">
                  <c:v>公务接待费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0.49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/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spPr>
              <a:noFill/>
              <a:ln w="28133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Sheet1!$A$2:$A$7</c:f>
              <c:strCache>
                <c:ptCount val="3"/>
                <c:pt idx="0">
                  <c:v>因公出国费支持</c:v>
                </c:pt>
                <c:pt idx="1">
                  <c:v>公务用车购置及运行维护费</c:v>
                </c:pt>
                <c:pt idx="2">
                  <c:v>公务接待费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/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spPr>
              <a:noFill/>
              <a:ln w="28133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Sheet1!$A$2:$A$7</c:f>
              <c:strCache>
                <c:ptCount val="3"/>
                <c:pt idx="0">
                  <c:v>因公出国费支持</c:v>
                </c:pt>
                <c:pt idx="1">
                  <c:v>公务用车购置及运行维护费</c:v>
                </c:pt>
                <c:pt idx="2">
                  <c:v>公务接待费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8133">
          <a:noFill/>
        </a:ln>
      </c:spPr>
    </c:plotArea>
    <c:legend>
      <c:legendPos val="r"/>
      <c:layout/>
      <c:overlay val="0"/>
      <c:spPr>
        <a:noFill/>
        <a:ln w="28133">
          <a:noFill/>
        </a:ln>
      </c:spPr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72</Words>
  <Characters>414</Characters>
  <Lines>3</Lines>
  <Paragraphs>1</Paragraphs>
  <TotalTime>7</TotalTime>
  <ScaleCrop>false</ScaleCrop>
  <LinksUpToDate>false</LinksUpToDate>
  <CharactersWithSpaces>485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2019-09-23T07:49:00Z</dcterms:created>
  <dc:creator>Administrator</dc:creator>
  <cp:lastModifiedBy>刘茂勇</cp:lastModifiedBy>
  <dcterms:modified xsi:type="dcterms:W3CDTF">2020-09-22T04:34:35Z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