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8441"/>
      <w:bookmarkStart w:id="4" w:name="_Toc15396475"/>
      <w:bookmarkStart w:id="5" w:name="_Toc15377425"/>
      <w:r>
        <w:rPr>
          <w:rFonts w:hint="eastAsia" w:ascii="黑体" w:hAnsi="黑体" w:eastAsia="黑体"/>
          <w:color w:val="000000"/>
          <w:sz w:val="72"/>
          <w:szCs w:val="72"/>
          <w:lang w:val="en-US" w:eastAsia="zh-CN"/>
        </w:rPr>
        <w:t>2019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7194"/>
      <w:bookmarkStart w:id="7" w:name="_Toc15396598"/>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开江县</w:t>
      </w:r>
      <w:r>
        <w:rPr>
          <w:rFonts w:hint="eastAsia" w:ascii="方正小标宋简体" w:hAnsi="宋体" w:eastAsia="方正小标宋简体"/>
          <w:color w:val="000000"/>
          <w:sz w:val="72"/>
          <w:szCs w:val="72"/>
          <w:lang w:eastAsia="zh-CN"/>
        </w:rPr>
        <w:t>复兴</w:t>
      </w:r>
      <w:r>
        <w:rPr>
          <w:rFonts w:hint="eastAsia" w:ascii="方正小标宋简体" w:hAnsi="宋体" w:eastAsia="方正小标宋简体"/>
          <w:color w:val="000000"/>
          <w:sz w:val="72"/>
          <w:szCs w:val="72"/>
        </w:rPr>
        <w:t>小学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年9月</w:t>
      </w:r>
      <w:r>
        <w:rPr>
          <w:rFonts w:hint="eastAsia"/>
          <w:lang w:val="en-US" w:eastAsia="zh-CN"/>
        </w:rPr>
        <w:t>17</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w:t>
      </w:r>
      <w:r>
        <w:rPr>
          <w:rStyle w:val="16"/>
          <w:rFonts w:hint="eastAsia"/>
          <w:lang w:val="en-US" w:eastAsia="zh-CN"/>
        </w:rPr>
        <w:t>9</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bookmarkStart w:id="18" w:name="_Toc15377200"/>
      <w:bookmarkStart w:id="19" w:name="_Toc15396601"/>
      <w:r>
        <w:rPr>
          <w:rFonts w:hint="eastAsia" w:ascii="仿宋" w:hAnsi="仿宋" w:eastAsia="仿宋"/>
          <w:bCs/>
          <w:color w:val="000000"/>
          <w:sz w:val="32"/>
          <w:szCs w:val="32"/>
        </w:rPr>
        <w:t>（一）主要职能</w:t>
      </w:r>
    </w:p>
    <w:bookmarkEnd w:id="16"/>
    <w:bookmarkEnd w:id="17"/>
    <w:p>
      <w:pPr>
        <w:pStyle w:val="5"/>
        <w:adjustRightInd w:val="0"/>
        <w:snapToGrid w:val="0"/>
        <w:spacing w:before="93" w:line="600" w:lineRule="exact"/>
        <w:ind w:firstLine="672" w:firstLineChars="210"/>
        <w:rPr>
          <w:bCs/>
          <w:color w:val="000000"/>
          <w:sz w:val="32"/>
          <w:szCs w:val="32"/>
        </w:rPr>
      </w:pPr>
      <w:bookmarkStart w:id="20" w:name="_Toc15377199"/>
      <w:bookmarkStart w:id="21" w:name="_Toc15378446"/>
      <w:r>
        <w:rPr>
          <w:rFonts w:hint="eastAsia"/>
          <w:bCs/>
          <w:color w:val="000000"/>
          <w:sz w:val="32"/>
          <w:szCs w:val="32"/>
        </w:rPr>
        <w:t>开江县</w:t>
      </w:r>
      <w:r>
        <w:rPr>
          <w:rFonts w:hint="eastAsia"/>
          <w:bCs/>
          <w:color w:val="000000"/>
          <w:sz w:val="32"/>
          <w:szCs w:val="32"/>
          <w:lang w:eastAsia="zh-CN"/>
        </w:rPr>
        <w:t>复兴</w:t>
      </w:r>
      <w:r>
        <w:rPr>
          <w:rFonts w:hint="eastAsia"/>
          <w:bCs/>
          <w:color w:val="000000"/>
          <w:sz w:val="32"/>
          <w:szCs w:val="32"/>
        </w:rPr>
        <w:t>小学是一所完全农村小学，主要实施小学义务教育，促进基础教育发展，进行小学学历教育及相关社会服务。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20"/>
      <w:bookmarkEnd w:id="21"/>
    </w:p>
    <w:p>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学校全面贯彻党的教育方针政策，加强教师队伍建设，加强党的建设，加强义务教育均衡发展建设，加强学生素质能力的培养，提升教学质量，办人民满意教育。</w:t>
      </w:r>
    </w:p>
    <w:p>
      <w:pPr>
        <w:pStyle w:val="3"/>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8"/>
      <w:bookmarkEnd w:id="19"/>
    </w:p>
    <w:p>
      <w:pPr>
        <w:pStyle w:val="5"/>
        <w:adjustRightInd w:val="0"/>
        <w:snapToGrid w:val="0"/>
        <w:spacing w:before="93" w:line="600" w:lineRule="exact"/>
        <w:ind w:firstLine="672" w:firstLineChars="210"/>
        <w:rPr>
          <w:color w:val="000000"/>
          <w:sz w:val="32"/>
          <w:szCs w:val="32"/>
        </w:rPr>
      </w:pPr>
      <w:bookmarkStart w:id="22" w:name="_Toc15396602"/>
      <w:bookmarkStart w:id="23" w:name="_Toc15377204"/>
      <w:r>
        <w:rPr>
          <w:rFonts w:hint="eastAsia" w:ascii="方正仿宋简体" w:hAnsi="方正仿宋简体" w:eastAsia="方正仿宋简体" w:cs="方正仿宋简体"/>
          <w:sz w:val="32"/>
          <w:szCs w:val="32"/>
        </w:rPr>
        <w:t>开江县</w:t>
      </w:r>
      <w:r>
        <w:rPr>
          <w:rFonts w:hint="eastAsia" w:ascii="方正仿宋简体" w:hAnsi="方正仿宋简体" w:eastAsia="方正仿宋简体" w:cs="方正仿宋简体"/>
          <w:sz w:val="32"/>
          <w:szCs w:val="32"/>
          <w:lang w:eastAsia="zh-CN"/>
        </w:rPr>
        <w:t>复兴</w:t>
      </w:r>
      <w:r>
        <w:rPr>
          <w:rFonts w:hint="eastAsia" w:ascii="方正仿宋简体" w:hAnsi="方正仿宋简体" w:eastAsia="方正仿宋简体" w:cs="方正仿宋简体"/>
          <w:sz w:val="32"/>
          <w:szCs w:val="32"/>
        </w:rPr>
        <w:t>小学具有独立编制和独立核算的机构1个。小学教学班</w:t>
      </w:r>
      <w:r>
        <w:rPr>
          <w:rFonts w:hint="eastAsia" w:ascii="方正仿宋简体" w:hAnsi="方正仿宋简体" w:eastAsia="方正仿宋简体" w:cs="方正仿宋简体"/>
          <w:sz w:val="32"/>
          <w:szCs w:val="32"/>
          <w:lang w:val="en-US" w:eastAsia="zh-CN"/>
        </w:rPr>
        <w:t>45</w:t>
      </w:r>
      <w:r>
        <w:rPr>
          <w:rFonts w:hint="eastAsia" w:ascii="方正仿宋简体" w:hAnsi="方正仿宋简体" w:eastAsia="方正仿宋简体" w:cs="方正仿宋简体"/>
          <w:sz w:val="32"/>
          <w:szCs w:val="32"/>
        </w:rPr>
        <w:t>个，学生数</w:t>
      </w:r>
      <w:r>
        <w:rPr>
          <w:rFonts w:hint="eastAsia" w:ascii="方正仿宋简体" w:hAnsi="方正仿宋简体" w:eastAsia="方正仿宋简体" w:cs="方正仿宋简体"/>
          <w:sz w:val="32"/>
          <w:szCs w:val="32"/>
          <w:lang w:val="en-US" w:eastAsia="zh-CN"/>
        </w:rPr>
        <w:t>1895</w:t>
      </w:r>
      <w:r>
        <w:rPr>
          <w:rFonts w:hint="eastAsia" w:ascii="方正仿宋简体" w:hAnsi="方正仿宋简体" w:eastAsia="方正仿宋简体" w:cs="方正仿宋简体"/>
          <w:sz w:val="32"/>
          <w:szCs w:val="32"/>
        </w:rPr>
        <w:t>人，定编教职工</w:t>
      </w:r>
      <w:r>
        <w:rPr>
          <w:rFonts w:hint="eastAsia" w:ascii="方正仿宋简体" w:hAnsi="方正仿宋简体" w:eastAsia="方正仿宋简体" w:cs="方正仿宋简体"/>
          <w:sz w:val="32"/>
          <w:szCs w:val="32"/>
          <w:lang w:val="en-US" w:eastAsia="zh-CN"/>
        </w:rPr>
        <w:t>85</w:t>
      </w:r>
      <w:r>
        <w:rPr>
          <w:rFonts w:hint="eastAsia" w:ascii="方正仿宋简体" w:hAnsi="方正仿宋简体" w:eastAsia="方正仿宋简体" w:cs="方正仿宋简体"/>
          <w:sz w:val="32"/>
          <w:szCs w:val="32"/>
        </w:rPr>
        <w:t>人。</w:t>
      </w:r>
    </w:p>
    <w:p>
      <w:pPr>
        <w:rPr>
          <w:rFonts w:hint="eastAsia" w:ascii="黑体" w:hAnsi="黑体" w:eastAsia="黑体"/>
          <w:b w:val="0"/>
          <w:color w:val="000000"/>
        </w:rPr>
      </w:pPr>
      <w:r>
        <w:rPr>
          <w:rFonts w:hint="eastAsia" w:ascii="黑体" w:hAnsi="黑体" w:eastAsia="黑体"/>
          <w:b w:val="0"/>
          <w:color w:val="000000"/>
        </w:rPr>
        <w:br w:type="page"/>
      </w:r>
    </w:p>
    <w:p>
      <w:pPr>
        <w:pStyle w:val="2"/>
        <w:ind w:right="440" w:firstLine="440" w:firstLineChars="100"/>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1,854.98</w:t>
      </w:r>
      <w:r>
        <w:rPr>
          <w:rFonts w:hint="eastAsia" w:ascii="仿宋" w:hAnsi="仿宋" w:eastAsia="仿宋"/>
          <w:color w:val="000000"/>
          <w:sz w:val="32"/>
          <w:szCs w:val="32"/>
        </w:rPr>
        <w:t>万元、支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1,901.85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收入</w:t>
      </w:r>
      <w:r>
        <w:rPr>
          <w:rFonts w:hint="eastAsia" w:ascii="仿宋" w:hAnsi="仿宋" w:eastAsia="仿宋"/>
          <w:color w:val="000000"/>
          <w:sz w:val="32"/>
          <w:szCs w:val="32"/>
        </w:rPr>
        <w:t>1,430.36</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相比，收入</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424.62万元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增加29.69</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支出</w:t>
      </w:r>
      <w:r>
        <w:rPr>
          <w:rFonts w:hint="eastAsia" w:ascii="仿宋" w:hAnsi="仿宋" w:eastAsia="仿宋"/>
          <w:color w:val="000000"/>
          <w:sz w:val="32"/>
          <w:szCs w:val="32"/>
        </w:rPr>
        <w:t>2,647.03</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相比，</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745.18万元，支出</w:t>
      </w:r>
      <w:r>
        <w:rPr>
          <w:rFonts w:hint="eastAsia" w:ascii="仿宋" w:hAnsi="仿宋" w:eastAsia="仿宋"/>
          <w:color w:val="000000"/>
          <w:sz w:val="32"/>
          <w:szCs w:val="32"/>
          <w:lang w:val="en-US" w:eastAsia="zh-CN"/>
        </w:rPr>
        <w:t>减少28.15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工程款</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560" w:firstLineChars="200"/>
        <w:jc w:val="left"/>
        <w:rPr>
          <w:rFonts w:ascii="仿宋_GB2312" w:eastAsia="仿宋_GB2312"/>
          <w:color w:val="000000"/>
          <w:sz w:val="32"/>
          <w:szCs w:val="32"/>
        </w:rPr>
      </w:pPr>
      <w:r>
        <w:rPr>
          <w:rFonts w:hint="eastAsia" w:ascii="宋体" w:hAnsi="宋体" w:cs="宋体"/>
          <w:sz w:val="28"/>
          <w:szCs w:val="28"/>
        </w:rPr>
        <w:drawing>
          <wp:anchor distT="0" distB="0" distL="114300" distR="114300" simplePos="0" relativeHeight="251658240" behindDoc="0" locked="0" layoutInCell="1" allowOverlap="1">
            <wp:simplePos x="0" y="0"/>
            <wp:positionH relativeFrom="column">
              <wp:posOffset>340995</wp:posOffset>
            </wp:positionH>
            <wp:positionV relativeFrom="paragraph">
              <wp:posOffset>80645</wp:posOffset>
            </wp:positionV>
            <wp:extent cx="4765675" cy="2839085"/>
            <wp:effectExtent l="5080" t="4445" r="10795" b="1397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1,854.98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1,854.98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7456" behindDoc="0" locked="0" layoutInCell="1" allowOverlap="1">
            <wp:simplePos x="0" y="0"/>
            <wp:positionH relativeFrom="column">
              <wp:posOffset>568960</wp:posOffset>
            </wp:positionH>
            <wp:positionV relativeFrom="paragraph">
              <wp:posOffset>86360</wp:posOffset>
            </wp:positionV>
            <wp:extent cx="4154170" cy="3115945"/>
            <wp:effectExtent l="4445" t="5080" r="13335" b="222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pStyle w:val="24"/>
        <w:spacing w:line="600" w:lineRule="exact"/>
        <w:ind w:firstLine="0" w:firstLineChars="0"/>
        <w:outlineLvl w:val="1"/>
        <w:rPr>
          <w:rFonts w:ascii="黑体" w:hAnsi="黑体" w:eastAsia="黑体"/>
          <w:color w:val="000000"/>
          <w:sz w:val="32"/>
          <w:szCs w:val="32"/>
        </w:rPr>
      </w:pPr>
      <w:bookmarkStart w:id="28" w:name="_Toc15396605"/>
      <w:bookmarkStart w:id="29" w:name="_Toc15377207"/>
    </w:p>
    <w:p>
      <w:pPr>
        <w:pStyle w:val="24"/>
        <w:spacing w:line="600" w:lineRule="exact"/>
        <w:ind w:firstLine="0" w:firstLineChars="0"/>
        <w:outlineLvl w:val="1"/>
        <w:rPr>
          <w:rFonts w:ascii="黑体" w:hAnsi="黑体" w:eastAsia="黑体"/>
          <w:color w:val="000000"/>
          <w:sz w:val="32"/>
          <w:szCs w:val="32"/>
        </w:rPr>
      </w:pPr>
    </w:p>
    <w:p>
      <w:pPr>
        <w:pStyle w:val="24"/>
        <w:spacing w:line="600" w:lineRule="exact"/>
        <w:ind w:firstLine="0" w:firstLineChars="0"/>
        <w:outlineLvl w:val="1"/>
        <w:rPr>
          <w:rStyle w:val="26"/>
          <w:rFonts w:ascii="黑体" w:hAnsi="黑体" w:eastAsia="黑体"/>
          <w:b w:val="0"/>
        </w:rPr>
      </w:pPr>
      <w:r>
        <w:rPr>
          <w:rFonts w:hint="eastAsia" w:ascii="黑体" w:hAnsi="黑体" w:eastAsia="黑体"/>
          <w:color w:val="000000"/>
          <w:sz w:val="32"/>
          <w:szCs w:val="32"/>
        </w:rPr>
        <w:t>三、支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1,854.98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1,480.75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77.86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421.11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22.14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，结转</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560" w:firstLineChars="200"/>
        <w:rPr>
          <w:rFonts w:ascii="仿宋_GB2312" w:eastAsia="仿宋_GB2312"/>
          <w:color w:val="FF0000"/>
          <w:sz w:val="32"/>
          <w:szCs w:val="32"/>
        </w:rPr>
      </w:pPr>
      <w:r>
        <w:rPr>
          <w:rFonts w:hint="eastAsia" w:ascii="宋体" w:hAnsi="宋体" w:cs="宋体"/>
          <w:color w:val="000000"/>
          <w:sz w:val="28"/>
          <w:szCs w:val="28"/>
        </w:rPr>
        <w:drawing>
          <wp:anchor distT="0" distB="0" distL="114300" distR="114300" simplePos="0" relativeHeight="251661312" behindDoc="0" locked="0" layoutInCell="1" allowOverlap="1">
            <wp:simplePos x="0" y="0"/>
            <wp:positionH relativeFrom="column">
              <wp:posOffset>524510</wp:posOffset>
            </wp:positionH>
            <wp:positionV relativeFrom="paragraph">
              <wp:posOffset>156845</wp:posOffset>
            </wp:positionV>
            <wp:extent cx="4003675" cy="2378075"/>
            <wp:effectExtent l="5080" t="4445" r="10795" b="1778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1,854.98</w:t>
      </w:r>
      <w:r>
        <w:rPr>
          <w:rFonts w:hint="eastAsia" w:ascii="仿宋" w:hAnsi="仿宋" w:eastAsia="仿宋"/>
          <w:color w:val="000000"/>
          <w:sz w:val="32"/>
          <w:szCs w:val="32"/>
        </w:rPr>
        <w:t>万元、支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1,901.85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收入</w:t>
      </w:r>
      <w:r>
        <w:rPr>
          <w:rFonts w:hint="eastAsia" w:ascii="仿宋" w:hAnsi="仿宋" w:eastAsia="仿宋"/>
          <w:color w:val="000000"/>
          <w:sz w:val="32"/>
          <w:szCs w:val="32"/>
        </w:rPr>
        <w:t>1,430.36</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相比，收入</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424.62万元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增加29.69</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支出</w:t>
      </w:r>
      <w:r>
        <w:rPr>
          <w:rFonts w:hint="eastAsia" w:ascii="仿宋" w:hAnsi="仿宋" w:eastAsia="仿宋"/>
          <w:color w:val="000000"/>
          <w:sz w:val="32"/>
          <w:szCs w:val="32"/>
        </w:rPr>
        <w:t>2,647.03</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相比，</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745.18万元，支出增加</w:t>
      </w:r>
      <w:r>
        <w:rPr>
          <w:rFonts w:hint="eastAsia" w:ascii="仿宋" w:hAnsi="仿宋" w:eastAsia="仿宋"/>
          <w:color w:val="000000"/>
          <w:sz w:val="32"/>
          <w:szCs w:val="32"/>
          <w:lang w:val="en-US" w:eastAsia="zh-CN"/>
        </w:rPr>
        <w:t>28.15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工程款</w:t>
      </w:r>
      <w:r>
        <w:rPr>
          <w:rFonts w:hint="eastAsia" w:ascii="仿宋" w:hAnsi="仿宋" w:eastAsia="仿宋"/>
          <w:color w:val="000000"/>
          <w:sz w:val="32"/>
          <w:szCs w:val="32"/>
          <w:lang w:val="en-US" w:eastAsia="zh-CN"/>
        </w:rPr>
        <w:t>增加收入支出</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562" w:firstLineChars="200"/>
        <w:rPr>
          <w:rFonts w:ascii="仿宋" w:hAnsi="仿宋" w:eastAsia="仿宋"/>
          <w:color w:val="000000" w:themeColor="text1"/>
          <w:sz w:val="32"/>
          <w:szCs w:val="32"/>
          <w14:textFill>
            <w14:solidFill>
              <w14:schemeClr w14:val="tx1"/>
            </w14:solidFill>
          </w14:textFill>
        </w:rPr>
      </w:pPr>
      <w:r>
        <w:rPr>
          <w:rFonts w:hint="eastAsia" w:ascii="宋体" w:hAnsi="宋体" w:cs="宋体"/>
          <w:b/>
          <w:color w:val="000000"/>
          <w:sz w:val="28"/>
          <w:szCs w:val="28"/>
        </w:rPr>
        <w:drawing>
          <wp:anchor distT="0" distB="0" distL="114300" distR="114300" simplePos="0" relativeHeight="251660288" behindDoc="0" locked="0" layoutInCell="1" allowOverlap="1">
            <wp:simplePos x="0" y="0"/>
            <wp:positionH relativeFrom="column">
              <wp:posOffset>369570</wp:posOffset>
            </wp:positionH>
            <wp:positionV relativeFrom="paragraph">
              <wp:posOffset>156845</wp:posOffset>
            </wp:positionV>
            <wp:extent cx="4803140" cy="2626995"/>
            <wp:effectExtent l="4445" t="5080" r="12065" b="1587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1,901.86</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支出</w:t>
      </w:r>
      <w:r>
        <w:rPr>
          <w:rFonts w:hint="eastAsia" w:ascii="仿宋" w:hAnsi="仿宋" w:eastAsia="仿宋"/>
          <w:color w:val="000000"/>
          <w:sz w:val="32"/>
          <w:szCs w:val="32"/>
        </w:rPr>
        <w:t>2,647.03</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相比，一般公共预算财政拨款</w:t>
      </w:r>
      <w:r>
        <w:rPr>
          <w:rFonts w:hint="eastAsia" w:ascii="仿宋" w:hAnsi="仿宋" w:eastAsia="仿宋"/>
          <w:color w:val="000000"/>
          <w:sz w:val="32"/>
          <w:szCs w:val="32"/>
          <w:lang w:val="en-US" w:eastAsia="zh-CN"/>
        </w:rPr>
        <w:t>支出减少</w:t>
      </w:r>
      <w:r>
        <w:rPr>
          <w:rFonts w:hint="eastAsia" w:ascii="仿宋" w:hAnsi="仿宋" w:eastAsia="仿宋"/>
          <w:color w:val="000000"/>
          <w:sz w:val="32"/>
          <w:szCs w:val="32"/>
        </w:rPr>
        <w:t>745.18万元，</w:t>
      </w:r>
      <w:r>
        <w:rPr>
          <w:rFonts w:hint="eastAsia" w:ascii="仿宋" w:hAnsi="仿宋" w:eastAsia="仿宋"/>
          <w:color w:val="000000"/>
          <w:sz w:val="32"/>
          <w:szCs w:val="32"/>
          <w:lang w:val="en-US" w:eastAsia="zh-CN"/>
        </w:rPr>
        <w:t>减少28.15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工程款增加</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6432" behindDoc="0" locked="0" layoutInCell="1" allowOverlap="1">
            <wp:simplePos x="0" y="0"/>
            <wp:positionH relativeFrom="column">
              <wp:posOffset>224790</wp:posOffset>
            </wp:positionH>
            <wp:positionV relativeFrom="paragraph">
              <wp:posOffset>-226695</wp:posOffset>
            </wp:positionV>
            <wp:extent cx="5075555" cy="2653665"/>
            <wp:effectExtent l="4445" t="4445" r="6350" b="889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1,901.86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1,729.49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90.94%</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89.68</w:t>
      </w:r>
      <w:r>
        <w:rPr>
          <w:rFonts w:hint="eastAsia" w:ascii="仿宋" w:hAnsi="仿宋" w:eastAsia="仿宋"/>
          <w:color w:val="000000" w:themeColor="text1"/>
          <w:sz w:val="32"/>
          <w:szCs w:val="32"/>
          <w14:textFill>
            <w14:solidFill>
              <w14:schemeClr w14:val="tx1"/>
            </w14:solidFill>
          </w14:textFill>
        </w:rPr>
        <w:t>万元，占4.72%；医疗卫生支出</w:t>
      </w:r>
      <w:r>
        <w:rPr>
          <w:rFonts w:hint="eastAsia" w:ascii="仿宋" w:hAnsi="仿宋" w:eastAsia="仿宋"/>
          <w:color w:val="000000" w:themeColor="text1"/>
          <w:sz w:val="32"/>
          <w:szCs w:val="32"/>
          <w:lang w:val="en-US" w:eastAsia="zh-CN"/>
          <w14:textFill>
            <w14:solidFill>
              <w14:schemeClr w14:val="tx1"/>
            </w14:solidFill>
          </w14:textFill>
        </w:rPr>
        <w:t>29.94</w:t>
      </w:r>
      <w:r>
        <w:rPr>
          <w:rFonts w:hint="eastAsia" w:ascii="仿宋" w:hAnsi="仿宋" w:eastAsia="仿宋"/>
          <w:color w:val="000000" w:themeColor="text1"/>
          <w:sz w:val="32"/>
          <w:szCs w:val="32"/>
          <w14:textFill>
            <w14:solidFill>
              <w14:schemeClr w14:val="tx1"/>
            </w14:solidFill>
          </w14:textFill>
        </w:rPr>
        <w:t>万元，占1.57%；住房保障支出</w:t>
      </w:r>
      <w:r>
        <w:rPr>
          <w:rFonts w:hint="eastAsia" w:ascii="仿宋" w:hAnsi="仿宋" w:eastAsia="仿宋"/>
          <w:color w:val="000000" w:themeColor="text1"/>
          <w:sz w:val="32"/>
          <w:szCs w:val="32"/>
          <w:lang w:val="en-US" w:eastAsia="zh-CN"/>
          <w14:textFill>
            <w14:solidFill>
              <w14:schemeClr w14:val="tx1"/>
            </w14:solidFill>
          </w14:textFill>
        </w:rPr>
        <w:t>52.74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2.77%;</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562" w:firstLineChars="200"/>
        <w:rPr>
          <w:rFonts w:ascii="仿宋" w:hAnsi="仿宋" w:eastAsia="仿宋"/>
          <w:color w:val="000000"/>
          <w:sz w:val="32"/>
          <w:szCs w:val="32"/>
        </w:rPr>
      </w:pPr>
      <w:r>
        <w:rPr>
          <w:rFonts w:hint="eastAsia" w:ascii="宋体" w:hAnsi="宋体" w:cs="宋体"/>
          <w:b/>
          <w:color w:val="000000"/>
          <w:sz w:val="28"/>
          <w:szCs w:val="28"/>
        </w:rPr>
        <w:drawing>
          <wp:anchor distT="0" distB="0" distL="114300" distR="114300" simplePos="0" relativeHeight="251663360" behindDoc="0" locked="0" layoutInCell="1" allowOverlap="1">
            <wp:simplePos x="0" y="0"/>
            <wp:positionH relativeFrom="column">
              <wp:posOffset>843915</wp:posOffset>
            </wp:positionH>
            <wp:positionV relativeFrom="paragraph">
              <wp:posOffset>26670</wp:posOffset>
            </wp:positionV>
            <wp:extent cx="3863340" cy="2843530"/>
            <wp:effectExtent l="4445" t="4445" r="18415" b="952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（三）一般公共预算财政拨款支出决算具体情况</w:t>
      </w:r>
      <w:bookmarkEnd w:id="36"/>
      <w:bookmarkStart w:id="37" w:name="_Toc15377213"/>
      <w:bookmarkStart w:id="38" w:name="_Toc15377444"/>
      <w:bookmarkStart w:id="39" w:name="_Toc15378460"/>
    </w:p>
    <w:p>
      <w:pPr>
        <w:spacing w:line="600" w:lineRule="exact"/>
        <w:ind w:firstLine="643" w:firstLineChars="200"/>
        <w:outlineLvl w:val="2"/>
        <w:rPr>
          <w:rFonts w:ascii="仿宋" w:hAnsi="仿宋" w:eastAsia="仿宋"/>
          <w:color w:val="FF0000"/>
          <w:sz w:val="32"/>
          <w:szCs w:val="32"/>
        </w:rPr>
      </w:pPr>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1,901.86万元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教育</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1,729.49</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89.68</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29.94</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4.住房保障支出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52.74</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1480.74</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1,202.62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278.12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2.57</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2.57</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r>
        <w:rPr>
          <w:rFonts w:hint="eastAsia" w:ascii="宋体" w:hAnsi="宋体" w:cs="宋体"/>
          <w:sz w:val="28"/>
          <w:szCs w:val="28"/>
        </w:rPr>
        <w:drawing>
          <wp:anchor distT="0" distB="0" distL="114300" distR="114300" simplePos="0" relativeHeight="251664384" behindDoc="0" locked="0" layoutInCell="1" allowOverlap="1">
            <wp:simplePos x="0" y="0"/>
            <wp:positionH relativeFrom="column">
              <wp:posOffset>330200</wp:posOffset>
            </wp:positionH>
            <wp:positionV relativeFrom="paragraph">
              <wp:posOffset>257175</wp:posOffset>
            </wp:positionV>
            <wp:extent cx="4596130" cy="2761615"/>
            <wp:effectExtent l="0" t="0" r="13970" b="635"/>
            <wp:wrapNone/>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2"/>
                    <a:stretch>
                      <a:fillRect/>
                    </a:stretch>
                  </pic:blipFill>
                  <pic:spPr>
                    <a:xfrm>
                      <a:off x="0" y="0"/>
                      <a:ext cx="4596130" cy="2761615"/>
                    </a:xfrm>
                    <a:prstGeom prst="rect">
                      <a:avLst/>
                    </a:prstGeom>
                    <a:noFill/>
                    <a:ln>
                      <a:noFill/>
                    </a:ln>
                  </pic:spPr>
                </pic:pic>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2.57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年相同。主要原因是贯彻执行中央八项规定。</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年政府性基金预算拨款支出0万元。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年度无项目执行情况。</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bookmarkStart w:id="75" w:name="_GoBack"/>
      <w:bookmarkEnd w:id="75"/>
      <w:r>
        <w:rPr>
          <w:rFonts w:hint="eastAsia" w:ascii="仿宋_GB2312" w:hAnsi="仿宋_GB2312" w:eastAsia="仿宋_GB2312" w:cs="仿宋_GB2312"/>
          <w:sz w:val="32"/>
          <w:szCs w:val="32"/>
          <w:lang w:eastAsia="zh-CN"/>
        </w:rPr>
        <w:t>开江县复兴小学</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（一）学校运行经费支出情况</w:t>
      </w:r>
      <w:bookmarkEnd w:id="52"/>
    </w:p>
    <w:p>
      <w:pPr>
        <w:spacing w:line="580" w:lineRule="exact"/>
        <w:ind w:firstLine="640" w:firstLineChars="200"/>
        <w:rPr>
          <w:rFonts w:hint="eastAsia" w:ascii="仿宋_GB2312" w:hAnsi="仿宋_GB2312" w:eastAsia="仿宋_GB2312" w:cs="仿宋_GB2312"/>
          <w:sz w:val="32"/>
          <w:szCs w:val="32"/>
        </w:rPr>
      </w:pPr>
      <w:bookmarkStart w:id="53" w:name="_Toc15377223"/>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年度运行经费支出</w:t>
      </w:r>
      <w:r>
        <w:rPr>
          <w:rFonts w:hint="eastAsia" w:ascii="仿宋_GB2312" w:hAnsi="仿宋_GB2312" w:eastAsia="仿宋_GB2312" w:cs="仿宋_GB2312"/>
          <w:sz w:val="32"/>
          <w:szCs w:val="32"/>
          <w:lang w:val="en-US" w:eastAsia="zh-CN"/>
        </w:rPr>
        <w:t>278.12</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减少83.55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减少43.22</w:t>
      </w:r>
      <w:r>
        <w:rPr>
          <w:rFonts w:hint="eastAsia" w:ascii="仿宋_GB2312" w:hAnsi="仿宋_GB2312" w:eastAsia="仿宋_GB2312" w:cs="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开江县复兴小学</w:t>
      </w:r>
      <w:r>
        <w:rPr>
          <w:rFonts w:hint="eastAsia" w:ascii="仿宋_GB2312" w:eastAsia="仿宋_GB2312"/>
          <w:color w:val="000000"/>
          <w:sz w:val="32"/>
          <w:szCs w:val="32"/>
        </w:rPr>
        <w:t>政府采够金额为0.</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日，开江县</w:t>
      </w:r>
      <w:r>
        <w:rPr>
          <w:rFonts w:hint="eastAsia" w:ascii="仿宋_GB2312" w:eastAsia="仿宋_GB2312"/>
          <w:color w:val="000000"/>
          <w:sz w:val="32"/>
          <w:szCs w:val="32"/>
          <w:lang w:val="en-US" w:eastAsia="zh-CN"/>
        </w:rPr>
        <w:t>复兴</w:t>
      </w:r>
      <w:r>
        <w:rPr>
          <w:rFonts w:hint="eastAsia" w:ascii="仿宋_GB2312" w:eastAsia="仿宋_GB2312"/>
          <w:color w:val="000000"/>
          <w:sz w:val="32"/>
          <w:szCs w:val="32"/>
        </w:rPr>
        <w:t>小学共有车辆0辆。</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val="en-US" w:eastAsia="zh-CN"/>
        </w:rPr>
        <w:t>复兴</w:t>
      </w:r>
      <w:r>
        <w:rPr>
          <w:rFonts w:hint="eastAsia" w:ascii="黑体" w:hAnsi="黑体" w:eastAsia="黑体" w:cs="方正小标宋简体"/>
          <w:sz w:val="36"/>
          <w:szCs w:val="36"/>
        </w:rPr>
        <w:t>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600" w:firstLineChars="200"/>
        <w:rPr>
          <w:rFonts w:ascii="仿宋_GB2312" w:hAnsi="Calibri" w:eastAsia="仿宋_GB2312"/>
          <w:sz w:val="30"/>
          <w:szCs w:val="30"/>
        </w:rPr>
      </w:pPr>
      <w:r>
        <w:rPr>
          <w:rFonts w:hint="eastAsia" w:ascii="Calibri" w:hAnsi="Calibri" w:eastAsia="仿宋_GB2312"/>
          <w:sz w:val="30"/>
          <w:szCs w:val="30"/>
        </w:rPr>
        <w:t>1</w:t>
      </w:r>
      <w:r>
        <w:rPr>
          <w:rFonts w:hint="eastAsia" w:ascii="仿宋_GB2312" w:hAnsi="Calibri" w:eastAsia="仿宋_GB2312"/>
          <w:sz w:val="30"/>
          <w:szCs w:val="30"/>
        </w:rPr>
        <w:t>、基本职能：</w:t>
      </w:r>
      <w:r>
        <w:rPr>
          <w:rFonts w:hint="eastAsia" w:ascii="Calibri" w:hAnsi="Calibri" w:eastAsia="仿宋_GB2312"/>
          <w:sz w:val="30"/>
          <w:szCs w:val="30"/>
        </w:rPr>
        <w:t>达州市开江县</w:t>
      </w:r>
      <w:r>
        <w:rPr>
          <w:rFonts w:hint="eastAsia" w:ascii="Calibri" w:hAnsi="Calibri" w:eastAsia="仿宋_GB2312"/>
          <w:sz w:val="30"/>
          <w:szCs w:val="30"/>
          <w:lang w:eastAsia="zh-CN"/>
        </w:rPr>
        <w:t>复兴</w:t>
      </w:r>
      <w:r>
        <w:rPr>
          <w:rFonts w:hint="eastAsia" w:ascii="Calibri" w:hAnsi="Calibri" w:eastAsia="仿宋_GB2312"/>
          <w:sz w:val="30"/>
          <w:szCs w:val="30"/>
        </w:rPr>
        <w:t>小学</w:t>
      </w:r>
      <w:r>
        <w:rPr>
          <w:rFonts w:hint="eastAsia" w:ascii="仿宋_GB2312" w:hAnsi="Calibri" w:eastAsia="仿宋_GB2312"/>
          <w:sz w:val="30"/>
          <w:szCs w:val="30"/>
        </w:rPr>
        <w:t>是一所普通小学。确立了以素质育素质的办学理念和“一年一个新变化，三年上台阶，五年促发展，力争达到全县同类学校中等水平，努力办好家门口的学校”的工作思路。</w:t>
      </w:r>
    </w:p>
    <w:p>
      <w:pPr>
        <w:ind w:firstLine="600" w:firstLineChars="200"/>
        <w:rPr>
          <w:rFonts w:ascii="仿宋_GB2312" w:hAnsi="Calibri" w:eastAsia="仿宋_GB2312"/>
          <w:sz w:val="30"/>
          <w:szCs w:val="30"/>
        </w:rPr>
      </w:pPr>
      <w:r>
        <w:rPr>
          <w:rFonts w:hint="eastAsia" w:ascii="仿宋_GB2312" w:hAnsi="Calibri" w:eastAsia="仿宋_GB2312"/>
          <w:sz w:val="30"/>
          <w:szCs w:val="30"/>
        </w:rPr>
        <w:t>2、机构设置</w:t>
      </w:r>
    </w:p>
    <w:p>
      <w:pPr>
        <w:ind w:firstLine="600" w:firstLineChars="200"/>
        <w:rPr>
          <w:rFonts w:ascii="仿宋_GB2312" w:hAnsi="Calibri" w:eastAsia="仿宋_GB2312"/>
          <w:sz w:val="30"/>
          <w:szCs w:val="30"/>
        </w:rPr>
      </w:pPr>
      <w:r>
        <w:rPr>
          <w:rFonts w:hint="eastAsia" w:ascii="仿宋_GB2312" w:hAnsi="Calibri" w:eastAsia="仿宋_GB2312"/>
          <w:sz w:val="30"/>
          <w:szCs w:val="30"/>
        </w:rPr>
        <w:t>本单位编制人数71人，其中事业行政编制0人，财政补助71人；单位年初人数68人，年末实有人数6</w:t>
      </w:r>
      <w:r>
        <w:rPr>
          <w:rFonts w:hint="eastAsia" w:ascii="仿宋_GB2312" w:hAnsi="Calibri" w:eastAsia="仿宋_GB2312"/>
          <w:sz w:val="30"/>
          <w:szCs w:val="30"/>
          <w:lang w:val="en-US" w:eastAsia="zh-CN"/>
        </w:rPr>
        <w:t>9</w:t>
      </w:r>
      <w:r>
        <w:rPr>
          <w:rFonts w:hint="eastAsia" w:ascii="仿宋_GB2312" w:hAnsi="Calibri" w:eastAsia="仿宋_GB2312"/>
          <w:sz w:val="30"/>
          <w:szCs w:val="30"/>
        </w:rPr>
        <w:t>人，其中在职6</w:t>
      </w:r>
      <w:r>
        <w:rPr>
          <w:rFonts w:hint="eastAsia" w:ascii="仿宋_GB2312" w:hAnsi="Calibri" w:eastAsia="仿宋_GB2312"/>
          <w:sz w:val="30"/>
          <w:szCs w:val="30"/>
          <w:lang w:val="en-US" w:eastAsia="zh-CN"/>
        </w:rPr>
        <w:t>9</w:t>
      </w:r>
      <w:r>
        <w:rPr>
          <w:rFonts w:hint="eastAsia" w:ascii="仿宋_GB2312" w:hAnsi="Calibri" w:eastAsia="仿宋_GB2312"/>
          <w:sz w:val="30"/>
          <w:szCs w:val="30"/>
        </w:rPr>
        <w:t>人，退休54人。</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3、执行情况及完成情况</w:t>
      </w:r>
    </w:p>
    <w:p>
      <w:pPr>
        <w:ind w:firstLine="600" w:firstLineChars="200"/>
        <w:rPr>
          <w:rFonts w:ascii="仿宋_GB2312" w:hAnsi="Calibri" w:eastAsia="仿宋_GB2312"/>
          <w:sz w:val="30"/>
          <w:szCs w:val="30"/>
        </w:rPr>
      </w:pPr>
      <w:r>
        <w:rPr>
          <w:rFonts w:hint="eastAsia" w:ascii="仿宋_GB2312" w:hAnsi="Calibri" w:eastAsia="仿宋_GB2312"/>
          <w:sz w:val="30"/>
          <w:szCs w:val="30"/>
        </w:rPr>
        <w:t>达州市开江县</w:t>
      </w:r>
      <w:r>
        <w:rPr>
          <w:rFonts w:hint="eastAsia" w:ascii="仿宋_GB2312" w:hAnsi="Calibri" w:eastAsia="仿宋_GB2312"/>
          <w:sz w:val="30"/>
          <w:szCs w:val="30"/>
          <w:lang w:eastAsia="zh-CN"/>
        </w:rPr>
        <w:t>复兴</w:t>
      </w:r>
      <w:r>
        <w:rPr>
          <w:rFonts w:hint="eastAsia" w:ascii="仿宋_GB2312" w:hAnsi="Calibri" w:eastAsia="仿宋_GB2312"/>
          <w:sz w:val="30"/>
          <w:szCs w:val="30"/>
        </w:rPr>
        <w:t>小学以提高教育教学质量，促进学生身心健康全面发展为重任，以建设好、维护好、引领好、使用好现代教育设备手段，努力满足学校现代教育教学需求，促进学校教育教学质量和教育科研水平的提高为目的，积极推进教育信息化建设，开展了大量的、具体的工作，圆满完成了各项工作任务，取得了可喜的成绩。</w:t>
      </w:r>
    </w:p>
    <w:p>
      <w:pPr>
        <w:ind w:firstLine="600" w:firstLineChars="200"/>
        <w:rPr>
          <w:rFonts w:ascii="仿宋_GB2312" w:hAnsi="Calibri" w:eastAsia="仿宋_GB2312"/>
          <w:sz w:val="30"/>
          <w:szCs w:val="30"/>
        </w:rPr>
      </w:pPr>
      <w:r>
        <w:rPr>
          <w:rFonts w:hint="eastAsia" w:ascii="仿宋_GB2312" w:hAnsi="Calibri" w:eastAsia="仿宋_GB2312"/>
          <w:sz w:val="30"/>
          <w:szCs w:val="30"/>
        </w:rPr>
        <w:t>4、绩效目标及完成情况</w:t>
      </w:r>
    </w:p>
    <w:p>
      <w:pPr>
        <w:spacing w:line="580" w:lineRule="exact"/>
        <w:ind w:firstLine="600" w:firstLineChars="200"/>
        <w:rPr>
          <w:rFonts w:ascii="仿宋_GB2312" w:hAnsi="Calibri" w:eastAsia="仿宋_GB2312"/>
          <w:sz w:val="30"/>
          <w:szCs w:val="30"/>
        </w:rPr>
      </w:pPr>
      <w:r>
        <w:rPr>
          <w:rFonts w:hint="eastAsia" w:ascii="仿宋_GB2312" w:hAnsi="Calibri" w:eastAsia="仿宋_GB2312"/>
          <w:sz w:val="30"/>
          <w:szCs w:val="30"/>
        </w:rPr>
        <w:t>通过对单位的工作和运营目标进行分解，设定各级的绩效 目标，对部门和个人的绩效进行沟通、反馈、考评，从而将个人、部门与单位目标有机结合，提高单位整体绩效，促进职工发展和增强单位竞争力。</w:t>
      </w:r>
    </w:p>
    <w:p>
      <w:pPr>
        <w:spacing w:line="580" w:lineRule="exact"/>
        <w:ind w:left="420" w:leftChars="200" w:firstLine="320" w:firstLineChars="1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 xml:space="preserve"> </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1,854.98</w:t>
      </w:r>
      <w:r>
        <w:rPr>
          <w:rFonts w:hint="eastAsia" w:ascii="仿宋" w:hAnsi="仿宋" w:eastAsia="仿宋"/>
          <w:color w:val="000000"/>
          <w:sz w:val="32"/>
          <w:szCs w:val="32"/>
        </w:rPr>
        <w:t>万元、支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1,901.85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收入</w:t>
      </w:r>
      <w:r>
        <w:rPr>
          <w:rFonts w:hint="eastAsia" w:ascii="仿宋" w:hAnsi="仿宋" w:eastAsia="仿宋"/>
          <w:color w:val="000000"/>
          <w:sz w:val="32"/>
          <w:szCs w:val="32"/>
        </w:rPr>
        <w:t>1,430.36</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相比，收入</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rPr>
        <w:t>424.62万元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增加29.69</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支出</w:t>
      </w:r>
      <w:r>
        <w:rPr>
          <w:rFonts w:hint="eastAsia" w:ascii="仿宋" w:hAnsi="仿宋" w:eastAsia="仿宋"/>
          <w:color w:val="000000"/>
          <w:sz w:val="32"/>
          <w:szCs w:val="32"/>
        </w:rPr>
        <w:t>2,647.03</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相比，</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745.18万元，支出</w:t>
      </w:r>
      <w:r>
        <w:rPr>
          <w:rFonts w:hint="eastAsia" w:ascii="仿宋" w:hAnsi="仿宋" w:eastAsia="仿宋"/>
          <w:color w:val="000000"/>
          <w:sz w:val="32"/>
          <w:szCs w:val="32"/>
          <w:lang w:val="en-US" w:eastAsia="zh-CN"/>
        </w:rPr>
        <w:t>减少28.15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工程款</w:t>
      </w:r>
      <w:r>
        <w:rPr>
          <w:rFonts w:hint="eastAsia" w:ascii="仿宋" w:hAnsi="仿宋" w:eastAsia="仿宋"/>
          <w:color w:val="000000"/>
          <w:sz w:val="32"/>
          <w:szCs w:val="32"/>
          <w:lang w:val="en-US" w:eastAsia="zh-CN"/>
        </w:rPr>
        <w:t>增加收入支出</w:t>
      </w:r>
      <w:r>
        <w:rPr>
          <w:rFonts w:hint="eastAsia" w:ascii="仿宋" w:hAnsi="仿宋" w:eastAsia="仿宋"/>
          <w:color w:val="000000"/>
          <w:sz w:val="32"/>
          <w:szCs w:val="32"/>
        </w:rPr>
        <w:t>。</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1,854.98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1,480.75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77.86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421.11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22.14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，结转</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根据预算绩效管理要求，开江县</w:t>
      </w:r>
      <w:r>
        <w:rPr>
          <w:rFonts w:hint="eastAsia" w:ascii="仿宋" w:hAnsi="仿宋" w:eastAsia="仿宋" w:cs="仿宋_GB2312"/>
          <w:sz w:val="32"/>
          <w:szCs w:val="32"/>
          <w:lang w:val="en-US" w:eastAsia="zh-CN"/>
        </w:rPr>
        <w:t>复兴</w:t>
      </w:r>
      <w:r>
        <w:rPr>
          <w:rFonts w:hint="eastAsia" w:ascii="仿宋" w:hAnsi="仿宋" w:eastAsia="仿宋" w:cs="仿宋_GB2312"/>
          <w:sz w:val="32"/>
          <w:szCs w:val="32"/>
        </w:rPr>
        <w:t>小学以“部门职责—工作方案”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2、财政资金拨付到位及时。</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3、已建立项目管理制度并按照项目管理制度要求执行。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宋体" w:hAnsi="宋体" w:cs="宋体"/>
          <w:color w:val="000000"/>
          <w:sz w:val="28"/>
          <w:szCs w:val="28"/>
        </w:rPr>
      </w:pPr>
      <w:r>
        <w:rPr>
          <w:rFonts w:ascii="黑体" w:hAnsi="黑体" w:eastAsia="黑体" w:cs="黑体"/>
          <w:sz w:val="32"/>
          <w:szCs w:val="32"/>
        </w:rPr>
        <w:t>四、</w:t>
      </w:r>
      <w:r>
        <w:rPr>
          <w:rFonts w:hint="eastAsia" w:ascii="黑体" w:hAnsi="黑体" w:eastAsia="黑体" w:cs="黑体"/>
          <w:sz w:val="32"/>
          <w:szCs w:val="32"/>
        </w:rPr>
        <w:t>部门整体支出绩效自评开展情况</w:t>
      </w:r>
      <w:r>
        <w:rPr>
          <w:rFonts w:hint="eastAsia" w:ascii="宋体" w:hAnsi="宋体" w:cs="宋体"/>
          <w:color w:val="000000"/>
          <w:sz w:val="28"/>
          <w:szCs w:val="28"/>
        </w:rPr>
        <w:t>。</w:t>
      </w:r>
    </w:p>
    <w:p>
      <w:pPr>
        <w:spacing w:line="600" w:lineRule="exact"/>
        <w:ind w:firstLine="640" w:firstLineChars="200"/>
        <w:rPr>
          <w:rFonts w:ascii="仿宋_GB2312" w:hAnsi="仿宋_GB2312" w:eastAsia="仿宋_GB2312" w:cs="仿宋_GB2312"/>
          <w:sz w:val="32"/>
          <w:szCs w:val="32"/>
        </w:rPr>
      </w:pPr>
      <w:r>
        <w:rPr>
          <w:rFonts w:hint="eastAsia" w:ascii="仿宋" w:hAnsi="仿宋" w:eastAsia="仿宋"/>
          <w:color w:val="000000"/>
          <w:sz w:val="32"/>
          <w:szCs w:val="32"/>
        </w:rPr>
        <w:t>按照预算绩效管理要求，我校对201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年整体支出开展绩效自评，自评得分</w:t>
      </w:r>
      <w:r>
        <w:rPr>
          <w:rFonts w:hint="eastAsia" w:ascii="仿宋" w:hAnsi="仿宋" w:eastAsia="仿宋"/>
          <w:color w:val="000000"/>
          <w:sz w:val="32"/>
          <w:szCs w:val="32"/>
          <w:lang w:val="en-US" w:eastAsia="zh-CN"/>
        </w:rPr>
        <w:t>91</w:t>
      </w:r>
      <w:r>
        <w:rPr>
          <w:rFonts w:hint="eastAsia" w:ascii="仿宋" w:hAnsi="仿宋" w:eastAsia="仿宋"/>
          <w:color w:val="000000"/>
          <w:sz w:val="32"/>
          <w:szCs w:val="32"/>
        </w:rPr>
        <w:t>分，存在的问题：一是实施过程缓慢，二是风险防控不完善。下一步改进措施：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r>
        <w:rPr>
          <w:rFonts w:ascii="仿宋_GB2312" w:hAnsi="仿宋_GB2312" w:eastAsia="仿宋_GB2312" w:cs="仿宋_GB2312"/>
          <w:sz w:val="32"/>
          <w:szCs w:val="32"/>
        </w:rPr>
        <w:br w:type="page"/>
      </w:r>
    </w:p>
    <w:p>
      <w:pPr>
        <w:spacing w:line="580" w:lineRule="exact"/>
        <w:ind w:firstLine="640" w:firstLineChars="200"/>
        <w:rPr>
          <w:rStyle w:val="25"/>
          <w:rFonts w:ascii="仿宋" w:hAnsi="仿宋" w:eastAsia="仿宋" w:cs="仿宋_GB2312"/>
          <w:b w:val="0"/>
          <w:bCs w:val="0"/>
          <w:kern w:val="2"/>
          <w:sz w:val="32"/>
          <w:szCs w:val="32"/>
        </w:rPr>
      </w:pPr>
    </w:p>
    <w:p>
      <w:pPr>
        <w:spacing w:line="600" w:lineRule="exact"/>
        <w:jc w:val="center"/>
        <w:outlineLvl w:val="0"/>
        <w:rPr>
          <w:rStyle w:val="25"/>
          <w:rFonts w:ascii="黑体" w:hAnsi="黑体" w:eastAsia="黑体"/>
          <w:b w:val="0"/>
        </w:rPr>
      </w:pPr>
      <w:bookmarkStart w:id="61"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4D0EDA4C"/>
    <w:multiLevelType w:val="singleLevel"/>
    <w:tmpl w:val="4D0EDA4C"/>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6332"/>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11D6"/>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F094609"/>
    <w:rsid w:val="106A287D"/>
    <w:rsid w:val="10C055FF"/>
    <w:rsid w:val="10F81B3E"/>
    <w:rsid w:val="132C7216"/>
    <w:rsid w:val="16BB723D"/>
    <w:rsid w:val="1B40521C"/>
    <w:rsid w:val="240371BF"/>
    <w:rsid w:val="28F5084A"/>
    <w:rsid w:val="29FD04D3"/>
    <w:rsid w:val="2E4C600A"/>
    <w:rsid w:val="30972E30"/>
    <w:rsid w:val="319F7F4E"/>
    <w:rsid w:val="31CF1688"/>
    <w:rsid w:val="32DF57E6"/>
    <w:rsid w:val="35EF027E"/>
    <w:rsid w:val="39AE0F51"/>
    <w:rsid w:val="3BE0120B"/>
    <w:rsid w:val="3C616331"/>
    <w:rsid w:val="3F966ACD"/>
    <w:rsid w:val="46846F83"/>
    <w:rsid w:val="46D50E00"/>
    <w:rsid w:val="4B48125A"/>
    <w:rsid w:val="4FC81C43"/>
    <w:rsid w:val="54A95B81"/>
    <w:rsid w:val="54E64A77"/>
    <w:rsid w:val="5BFA088D"/>
    <w:rsid w:val="63765E5F"/>
    <w:rsid w:val="75893912"/>
    <w:rsid w:val="75E66494"/>
    <w:rsid w:val="76BE1191"/>
    <w:rsid w:val="7B756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280" w:after="280"/>
      <w:jc w:val="left"/>
    </w:pPr>
    <w:rPr>
      <w:kern w:val="1"/>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857561625582945"/>
          <c:y val="0.264370386938045"/>
          <c:w val="0.89892071952032"/>
          <c:h val="0.642227689554909"/>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Sheet1!#REF!</c:f>
              <c:numCache>
                <c:formatCode>General</c:formatCode>
                <c:ptCount val="1"/>
                <c:pt idx="0">
                  <c:v>1</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Sheet1!$B$2:$B$3</c:f>
              <c:numCache>
                <c:formatCode>#,##0.00</c:formatCode>
                <c:ptCount val="2"/>
                <c:pt idx="0">
                  <c:v>1854.98</c:v>
                </c:pt>
                <c:pt idx="1">
                  <c:v>1430.36</c:v>
                </c:pt>
              </c:numCache>
            </c:numRef>
          </c:val>
        </c:ser>
        <c:dLbls>
          <c:showLegendKey val="0"/>
          <c:showVal val="0"/>
          <c:showCatName val="0"/>
          <c:showSerName val="0"/>
          <c:showPercent val="0"/>
          <c:showBubbleSize val="0"/>
        </c:dLbls>
        <c:gapWidth val="150"/>
        <c:overlap val="100"/>
        <c:axId val="81863424"/>
        <c:axId val="81864960"/>
      </c:barChart>
      <c:catAx>
        <c:axId val="818634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64960"/>
        <c:crosses val="autoZero"/>
        <c:auto val="1"/>
        <c:lblAlgn val="ctr"/>
        <c:lblOffset val="100"/>
        <c:noMultiLvlLbl val="0"/>
      </c:catAx>
      <c:valAx>
        <c:axId val="81864960"/>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63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c:v>
                </c:pt>
              </c:strCache>
            </c:strRef>
          </c:cat>
          <c:val>
            <c:numRef>
              <c:f>Sheet1!$B$2</c:f>
              <c:numCache>
                <c:formatCode>#,##0.00</c:formatCode>
                <c:ptCount val="1"/>
                <c:pt idx="0">
                  <c:v>1854.98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1480.75</c:v>
                </c:pt>
                <c:pt idx="1" c:formatCode="General">
                  <c:v>421.11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44575"/>
          <c:y val="0.131"/>
          <c:w val="0.927925"/>
          <c:h val="0.7165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strRef>
              <c:f>Sheet1!$A$2:$A$5</c:f>
              <c:strCache>
                <c:ptCount val="4"/>
                <c:pt idx="0">
                  <c:v>2019年收入</c:v>
                </c:pt>
                <c:pt idx="1">
                  <c:v>2018年收入</c:v>
                </c:pt>
                <c:pt idx="2">
                  <c:v>2019年支出</c:v>
                </c:pt>
                <c:pt idx="3">
                  <c:v>2018年支出</c:v>
                </c:pt>
              </c:strCache>
            </c:strRef>
          </c:cat>
          <c:val>
            <c:numRef>
              <c:f>Sheet1!#REF!</c:f>
              <c:numCache>
                <c:formatCode>General</c:formatCode>
                <c:ptCount val="1"/>
                <c:pt idx="0">
                  <c:v>1</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2019年收入</c:v>
                </c:pt>
                <c:pt idx="1">
                  <c:v>2018年收入</c:v>
                </c:pt>
                <c:pt idx="2">
                  <c:v>2019年支出</c:v>
                </c:pt>
                <c:pt idx="3">
                  <c:v>2018年支出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2019年收入</c:v>
                </c:pt>
                <c:pt idx="1">
                  <c:v>2018年收入</c:v>
                </c:pt>
                <c:pt idx="2">
                  <c:v>2019年支出</c:v>
                </c:pt>
                <c:pt idx="3">
                  <c:v>2018年支出</c:v>
                </c:pt>
              </c:strCache>
            </c:strRef>
          </c:cat>
          <c:val>
            <c:numRef>
              <c:f>Sheet1!$D$2:$D$5</c:f>
              <c:numCache>
                <c:formatCode>#,##0.00</c:formatCode>
                <c:ptCount val="4"/>
                <c:pt idx="0">
                  <c:v>1854.98</c:v>
                </c:pt>
                <c:pt idx="1">
                  <c:v>1430.36</c:v>
                </c:pt>
                <c:pt idx="2">
                  <c:v>1901.85</c:v>
                </c:pt>
                <c:pt idx="3">
                  <c:v>2647.03</c:v>
                </c:pt>
              </c:numCache>
            </c:numRef>
          </c:val>
        </c:ser>
        <c:dLbls>
          <c:showLegendKey val="0"/>
          <c:showVal val="0"/>
          <c:showCatName val="0"/>
          <c:showSerName val="0"/>
          <c:showPercent val="0"/>
          <c:showBubbleSize val="0"/>
        </c:dLbls>
        <c:gapWidth val="150"/>
        <c:overlap val="100"/>
        <c:axId val="83059456"/>
        <c:axId val="83060992"/>
      </c:barChart>
      <c:catAx>
        <c:axId val="83059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60992"/>
        <c:crosses val="autoZero"/>
        <c:auto val="1"/>
        <c:lblAlgn val="ctr"/>
        <c:lblOffset val="100"/>
        <c:noMultiLvlLbl val="0"/>
      </c:catAx>
      <c:valAx>
        <c:axId val="8306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059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Sheet1!#REF!</c:f>
              <c:strCache>
                <c:ptCount val="1"/>
                <c:pt idx="0">
                  <c:v/>
                </c:pt>
              </c:strCache>
            </c:strRef>
          </c:tx>
          <c:spPr>
            <a:solidFill>
              <a:schemeClr val="accent3"/>
            </a:solidFill>
            <a:ln>
              <a:noFill/>
            </a:ln>
            <a:effectLst/>
          </c:spPr>
          <c:invertIfNegative val="0"/>
          <c:dLbls>
            <c:delete val="1"/>
          </c:dLbls>
          <c:cat>
            <c:strRef>
              <c:f>Sheet1!$A$1:$A$2</c:f>
              <c:strCache>
                <c:ptCount val="2"/>
                <c:pt idx="0">
                  <c:v>2019年一般公共预算财政拨款支出</c:v>
                </c:pt>
                <c:pt idx="1">
                  <c:v>2018年一般公共预算财政拨款支出</c:v>
                </c:pt>
              </c:strCache>
            </c:strRef>
          </c:cat>
          <c:val>
            <c:numRef>
              <c:f>Sheet1!$B$1:$B$2</c:f>
              <c:numCache>
                <c:formatCode>#,##0.00</c:formatCode>
                <c:ptCount val="2"/>
                <c:pt idx="0">
                  <c:v>1901.86</c:v>
                </c:pt>
                <c:pt idx="1">
                  <c:v>2647.03</c:v>
                </c:pt>
              </c:numCache>
            </c:numRef>
          </c:val>
        </c:ser>
        <c:dLbls>
          <c:showLegendKey val="0"/>
          <c:showVal val="0"/>
          <c:showCatName val="0"/>
          <c:showSerName val="0"/>
          <c:showPercent val="0"/>
          <c:showBubbleSize val="0"/>
        </c:dLbls>
        <c:gapWidth val="219"/>
        <c:overlap val="-27"/>
        <c:axId val="398581154"/>
        <c:axId val="354593474"/>
      </c:barChart>
      <c:catAx>
        <c:axId val="39858115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593474"/>
        <c:crosses val="autoZero"/>
        <c:auto val="1"/>
        <c:lblAlgn val="ctr"/>
        <c:lblOffset val="100"/>
        <c:noMultiLvlLbl val="0"/>
      </c:catAx>
      <c:valAx>
        <c:axId val="35459347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5811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79675884626821"/>
          <c:y val="0.127247020803878"/>
          <c:w val="0.575825156110616"/>
          <c:h val="0.782266208846698"/>
        </c:manualLayout>
      </c:layout>
      <c:pieChart>
        <c:varyColors val="1"/>
        <c:ser>
          <c:idx val="0"/>
          <c:order val="0"/>
          <c:tx>
            <c:strRef>
              <c:f>Sheet1!$B$1</c:f>
              <c:strCache>
                <c:ptCount val="1"/>
                <c:pt idx="0">
                  <c:v>财政拨款支出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教育支出</c:v>
                </c:pt>
                <c:pt idx="1">
                  <c:v>医疗卫生支出</c:v>
                </c:pt>
                <c:pt idx="2">
                  <c:v>住房保障支出</c:v>
                </c:pt>
                <c:pt idx="3">
                  <c:v>社会保障和就业</c:v>
                </c:pt>
                <c:pt idx="4">
                  <c:v>其它支出</c:v>
                </c:pt>
              </c:strCache>
            </c:strRef>
          </c:cat>
          <c:val>
            <c:numRef>
              <c:f>Sheet1!$B$2:$B$6</c:f>
              <c:numCache>
                <c:formatCode>#,##0.00</c:formatCode>
                <c:ptCount val="5"/>
                <c:pt idx="0">
                  <c:v>1272.13</c:v>
                </c:pt>
                <c:pt idx="1">
                  <c:v>91.01</c:v>
                </c:pt>
                <c:pt idx="2">
                  <c:v>29.64</c:v>
                </c:pt>
                <c:pt idx="3">
                  <c:v>53.32</c:v>
                </c:pt>
                <c:pt idx="4">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74F30-F022-49BF-A04F-269F0D24F55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5195</Words>
  <Characters>2689</Characters>
  <Lines>22</Lines>
  <Paragraphs>15</Paragraphs>
  <TotalTime>22</TotalTime>
  <ScaleCrop>false</ScaleCrop>
  <LinksUpToDate>false</LinksUpToDate>
  <CharactersWithSpaces>7869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唐智明</cp:lastModifiedBy>
  <cp:lastPrinted>2019-08-01T00:48:00Z</cp:lastPrinted>
  <dcterms:modified xsi:type="dcterms:W3CDTF">2020-09-24T03:09:30Z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