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475"/>
      <w:bookmarkStart w:id="3" w:name="_Toc15377425"/>
      <w:bookmarkStart w:id="4" w:name="_Toc15377193"/>
      <w:bookmarkStart w:id="5" w:name="_Toc15396597"/>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96476"/>
      <w:bookmarkStart w:id="8" w:name="_Toc15396598"/>
      <w:bookmarkStart w:id="9" w:name="_Toc15306268"/>
      <w:bookmarkStart w:id="10" w:name="_Toc15378442"/>
      <w:bookmarkStart w:id="11" w:name="_Toc15377194"/>
      <w:r>
        <w:rPr>
          <w:rFonts w:hint="eastAsia" w:ascii="方正小标宋简体" w:hAnsi="宋体" w:eastAsia="方正小标宋简体"/>
          <w:color w:val="000000"/>
          <w:sz w:val="72"/>
          <w:szCs w:val="72"/>
        </w:rPr>
        <w:t>开江县</w:t>
      </w:r>
      <w:r>
        <w:rPr>
          <w:rFonts w:hint="eastAsia" w:ascii="方正小标宋简体" w:hAnsi="宋体" w:eastAsia="方正小标宋简体"/>
          <w:color w:val="000000"/>
          <w:sz w:val="72"/>
          <w:szCs w:val="72"/>
          <w:lang w:eastAsia="zh-CN"/>
        </w:rPr>
        <w:t>靖安乡</w:t>
      </w:r>
      <w:r>
        <w:rPr>
          <w:rFonts w:hint="eastAsia" w:ascii="方正小标宋简体" w:hAnsi="宋体" w:eastAsia="方正小标宋简体"/>
          <w:color w:val="000000"/>
          <w:sz w:val="72"/>
          <w:szCs w:val="72"/>
        </w:rPr>
        <w:t>中心小学部门决算</w:t>
      </w:r>
      <w:bookmarkEnd w:id="6"/>
      <w:bookmarkEnd w:id="7"/>
      <w:bookmarkEnd w:id="8"/>
      <w:bookmarkEnd w:id="9"/>
      <w:bookmarkEnd w:id="10"/>
      <w:bookmarkEnd w:id="11"/>
    </w:p>
    <w:p>
      <w:pPr>
        <w:widowControl/>
        <w:jc w:val="center"/>
        <w:rPr>
          <w:rFonts w:ascii="黑体" w:hAnsi="黑体" w:eastAsia="黑体" w:cstheme="minorBidi"/>
          <w:sz w:val="28"/>
          <w:szCs w:val="2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10"/>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w:t>
      </w:r>
      <w:r>
        <w:rPr>
          <w:rStyle w:val="16"/>
          <w:rFonts w:hint="eastAsia"/>
          <w:lang w:val="en-US" w:eastAsia="zh-CN"/>
        </w:rPr>
        <w:t>9</w:t>
      </w:r>
      <w:r>
        <w:rPr>
          <w:rStyle w:val="16"/>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12</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16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19</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仿宋" w:hAnsi="仿宋" w:eastAsia="仿宋"/>
          <w:color w:val="000000"/>
          <w:sz w:val="24"/>
        </w:rPr>
      </w:pP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7199"/>
      <w:bookmarkStart w:id="19" w:name="_Toc15378446"/>
    </w:p>
    <w:p>
      <w:pPr>
        <w:pStyle w:val="5"/>
        <w:adjustRightInd w:val="0"/>
        <w:snapToGrid w:val="0"/>
        <w:spacing w:before="93" w:line="600" w:lineRule="exact"/>
        <w:ind w:firstLine="960" w:firstLineChars="300"/>
        <w:rPr>
          <w:bCs/>
          <w:color w:val="000000"/>
          <w:sz w:val="32"/>
          <w:szCs w:val="32"/>
        </w:rPr>
      </w:pPr>
      <w:r>
        <w:rPr>
          <w:rFonts w:hint="eastAsia"/>
          <w:bCs/>
          <w:color w:val="000000"/>
          <w:sz w:val="32"/>
          <w:szCs w:val="32"/>
        </w:rPr>
        <w:t>负责贯彻执行国家和省有关教育行业的法律、法规和方针、政策，根据国民经济和社会发展需要，拟定学校教育教学的开展，认真实施义务教育。</w:t>
      </w:r>
    </w:p>
    <w:p>
      <w:pPr>
        <w:pStyle w:val="5"/>
        <w:adjustRightInd w:val="0"/>
        <w:snapToGrid w:val="0"/>
        <w:spacing w:before="93" w:line="600" w:lineRule="exact"/>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年重点工作完成情况。</w:t>
      </w:r>
      <w:bookmarkEnd w:id="18"/>
      <w:bookmarkEnd w:id="19"/>
    </w:p>
    <w:p>
      <w:pPr>
        <w:pStyle w:val="5"/>
        <w:adjustRightInd w:val="0"/>
        <w:snapToGrid w:val="0"/>
        <w:spacing w:before="93" w:line="600" w:lineRule="exact"/>
        <w:ind w:firstLine="640" w:firstLineChars="200"/>
        <w:rPr>
          <w:rFonts w:hint="default" w:eastAsia="仿宋_GB2312"/>
          <w:bCs/>
          <w:color w:val="000000"/>
          <w:sz w:val="32"/>
          <w:szCs w:val="32"/>
          <w:lang w:val="en-US" w:eastAsia="zh-CN"/>
        </w:rPr>
      </w:pPr>
      <w:r>
        <w:rPr>
          <w:rFonts w:hint="eastAsia"/>
          <w:bCs/>
          <w:color w:val="000000"/>
          <w:sz w:val="32"/>
          <w:szCs w:val="32"/>
        </w:rPr>
        <w:t>201</w:t>
      </w:r>
      <w:r>
        <w:rPr>
          <w:rFonts w:hint="eastAsia"/>
          <w:bCs/>
          <w:color w:val="000000"/>
          <w:sz w:val="32"/>
          <w:szCs w:val="32"/>
          <w:lang w:val="en-US" w:eastAsia="zh-CN"/>
        </w:rPr>
        <w:t>9</w:t>
      </w:r>
      <w:r>
        <w:rPr>
          <w:rFonts w:hint="eastAsia"/>
          <w:bCs/>
          <w:color w:val="000000"/>
          <w:sz w:val="32"/>
          <w:szCs w:val="32"/>
        </w:rPr>
        <w:t>年</w:t>
      </w:r>
      <w:r>
        <w:rPr>
          <w:rFonts w:hint="eastAsia"/>
          <w:bCs/>
          <w:color w:val="000000"/>
          <w:sz w:val="32"/>
          <w:szCs w:val="32"/>
          <w:lang w:eastAsia="zh-CN"/>
        </w:rPr>
        <w:t>，获得县</w:t>
      </w:r>
      <w:r>
        <w:rPr>
          <w:rFonts w:hint="eastAsia"/>
          <w:bCs/>
          <w:color w:val="000000"/>
          <w:sz w:val="32"/>
          <w:szCs w:val="32"/>
          <w:lang w:val="en-US" w:eastAsia="zh-CN"/>
        </w:rPr>
        <w:t>2018－2019学年度学校办学目标考核“二等奖。</w:t>
      </w:r>
    </w:p>
    <w:p>
      <w:pPr>
        <w:pStyle w:val="3"/>
        <w:rPr>
          <w:rStyle w:val="26"/>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pStyle w:val="12"/>
        <w:widowControl/>
        <w:spacing w:before="0" w:beforeAutospacing="0" w:after="0" w:afterAutospacing="0" w:line="240" w:lineRule="atLeast"/>
        <w:ind w:firstLine="600" w:firstLineChars="200"/>
        <w:jc w:val="both"/>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开江县</w:t>
      </w:r>
      <w:r>
        <w:rPr>
          <w:rFonts w:hint="eastAsia" w:ascii="仿宋" w:hAnsi="仿宋" w:eastAsia="仿宋" w:cs="仿宋"/>
          <w:color w:val="000000" w:themeColor="text1"/>
          <w:sz w:val="30"/>
          <w:szCs w:val="30"/>
          <w:shd w:val="clear" w:color="auto" w:fill="FFFFFF"/>
          <w:lang w:eastAsia="zh-CN"/>
          <w14:textFill>
            <w14:solidFill>
              <w14:schemeClr w14:val="tx1"/>
            </w14:solidFill>
          </w14:textFill>
        </w:rPr>
        <w:t>靖安乡</w:t>
      </w:r>
      <w:r>
        <w:rPr>
          <w:rFonts w:hint="eastAsia" w:ascii="仿宋" w:hAnsi="仿宋" w:eastAsia="仿宋" w:cs="仿宋"/>
          <w:color w:val="000000" w:themeColor="text1"/>
          <w:sz w:val="30"/>
          <w:szCs w:val="30"/>
          <w:shd w:val="clear" w:color="auto" w:fill="FFFFFF"/>
          <w14:textFill>
            <w14:solidFill>
              <w14:schemeClr w14:val="tx1"/>
            </w14:solidFill>
          </w14:textFill>
        </w:rPr>
        <w:t>中心小学是一级预算单位。隶属于开江县教科局，单位执行事业单位财务管理制度。</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Fonts w:ascii="黑体" w:hAnsi="黑体" w:eastAsia="黑体"/>
          <w:b w:val="0"/>
          <w:color w:val="000000"/>
        </w:rPr>
      </w:pPr>
      <w:bookmarkStart w:id="22" w:name="_Toc15377204"/>
      <w:bookmarkStart w:id="23" w:name="_Toc15396602"/>
    </w:p>
    <w:p>
      <w:pPr>
        <w:pStyle w:val="2"/>
        <w:ind w:right="440"/>
        <w:jc w:val="right"/>
        <w:rPr>
          <w:rStyle w:val="25"/>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w:t>
      </w:r>
      <w:r>
        <w:rPr>
          <w:rStyle w:val="25"/>
          <w:rFonts w:hint="eastAsia" w:ascii="黑体" w:hAnsi="黑体" w:eastAsia="黑体"/>
          <w:b w:val="0"/>
          <w:bCs w:val="0"/>
          <w:lang w:val="en-US" w:eastAsia="zh-CN"/>
        </w:rPr>
        <w:t>9</w:t>
      </w:r>
      <w:r>
        <w:rPr>
          <w:rStyle w:val="25"/>
          <w:rFonts w:hint="eastAsia" w:ascii="黑体" w:hAnsi="黑体" w:eastAsia="黑体"/>
          <w:b w:val="0"/>
          <w:bCs w:val="0"/>
        </w:rPr>
        <w:t>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widowControl/>
        <w:ind w:firstLine="640" w:firstLineChars="200"/>
        <w:rPr>
          <w:rFonts w:ascii="仿宋_GB2312" w:eastAsia="仿宋_GB2312"/>
          <w:color w:val="000000"/>
          <w:sz w:val="32"/>
          <w:szCs w:val="32"/>
        </w:rPr>
      </w:pPr>
      <w:bookmarkStart w:id="26" w:name="_Hlk20159952"/>
      <w:bookmarkStart w:id="27" w:name="_Hlk19870464"/>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年度收入合计</w:t>
      </w:r>
      <w:r>
        <w:rPr>
          <w:rFonts w:hint="eastAsia" w:ascii="仿宋" w:hAnsi="仿宋" w:eastAsia="仿宋"/>
          <w:color w:val="000000"/>
          <w:sz w:val="32"/>
          <w:szCs w:val="32"/>
          <w:lang w:val="en-US" w:eastAsia="zh-CN"/>
        </w:rPr>
        <w:t>796.26</w:t>
      </w:r>
      <w:r>
        <w:rPr>
          <w:rFonts w:hint="eastAsia" w:ascii="仿宋" w:hAnsi="仿宋" w:eastAsia="仿宋"/>
          <w:color w:val="000000"/>
          <w:sz w:val="32"/>
          <w:szCs w:val="32"/>
        </w:rPr>
        <w:t>万元</w:t>
      </w:r>
      <w:bookmarkEnd w:id="26"/>
      <w:r>
        <w:rPr>
          <w:rFonts w:hint="eastAsia" w:ascii="仿宋" w:hAnsi="仿宋" w:eastAsia="仿宋"/>
          <w:color w:val="000000"/>
          <w:sz w:val="32"/>
          <w:szCs w:val="32"/>
        </w:rPr>
        <w:t>。本年财政拨款收入</w:t>
      </w:r>
      <w:bookmarkStart w:id="28" w:name="_Hlk19869093"/>
      <w:r>
        <w:rPr>
          <w:rFonts w:hint="eastAsia" w:ascii="仿宋" w:hAnsi="仿宋" w:eastAsia="仿宋"/>
          <w:color w:val="000000"/>
          <w:sz w:val="32"/>
          <w:szCs w:val="32"/>
          <w:lang w:val="en-US" w:eastAsia="zh-CN"/>
        </w:rPr>
        <w:t>796.26</w:t>
      </w:r>
      <w:r>
        <w:rPr>
          <w:rFonts w:hint="eastAsia" w:ascii="仿宋" w:hAnsi="仿宋" w:eastAsia="仿宋"/>
          <w:color w:val="000000"/>
          <w:sz w:val="32"/>
          <w:szCs w:val="32"/>
        </w:rPr>
        <w:t>万元</w:t>
      </w:r>
      <w:bookmarkEnd w:id="28"/>
      <w:r>
        <w:rPr>
          <w:rFonts w:hint="eastAsia" w:ascii="仿宋" w:hAnsi="仿宋" w:eastAsia="仿宋"/>
          <w:color w:val="000000"/>
          <w:sz w:val="32"/>
          <w:szCs w:val="32"/>
        </w:rPr>
        <w:t>，。2</w:t>
      </w:r>
      <w:r>
        <w:rPr>
          <w:rFonts w:ascii="仿宋" w:hAnsi="仿宋" w:eastAsia="仿宋"/>
          <w:color w:val="000000"/>
          <w:sz w:val="32"/>
          <w:szCs w:val="32"/>
        </w:rPr>
        <w:t>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年度本年支出</w:t>
      </w:r>
      <w:bookmarkStart w:id="29" w:name="_Hlk19869198"/>
      <w:r>
        <w:rPr>
          <w:rFonts w:hint="eastAsia" w:ascii="仿宋" w:hAnsi="仿宋" w:eastAsia="仿宋"/>
          <w:color w:val="000000"/>
          <w:sz w:val="32"/>
          <w:szCs w:val="32"/>
          <w:lang w:val="en-US" w:eastAsia="zh-CN"/>
        </w:rPr>
        <w:t>893.52</w:t>
      </w:r>
      <w:r>
        <w:rPr>
          <w:rFonts w:hint="eastAsia" w:ascii="仿宋" w:hAnsi="仿宋" w:eastAsia="仿宋"/>
          <w:color w:val="000000"/>
          <w:sz w:val="32"/>
          <w:szCs w:val="32"/>
        </w:rPr>
        <w:t>万元</w:t>
      </w:r>
      <w:bookmarkEnd w:id="29"/>
      <w:r>
        <w:rPr>
          <w:rFonts w:hint="eastAsia" w:ascii="仿宋" w:hAnsi="仿宋" w:eastAsia="仿宋"/>
          <w:color w:val="000000"/>
          <w:sz w:val="32"/>
          <w:szCs w:val="32"/>
        </w:rPr>
        <w:t>。与201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年相比，收入</w:t>
      </w:r>
      <w:r>
        <w:rPr>
          <w:rFonts w:hint="eastAsia" w:ascii="仿宋" w:hAnsi="仿宋" w:eastAsia="仿宋"/>
          <w:color w:val="000000"/>
          <w:sz w:val="32"/>
          <w:szCs w:val="32"/>
          <w:lang w:eastAsia="zh-CN"/>
        </w:rPr>
        <w:t>增加了</w:t>
      </w:r>
      <w:r>
        <w:rPr>
          <w:rFonts w:hint="eastAsia" w:ascii="仿宋" w:hAnsi="仿宋" w:eastAsia="仿宋"/>
          <w:color w:val="000000"/>
          <w:sz w:val="32"/>
          <w:szCs w:val="32"/>
          <w:lang w:val="en-US" w:eastAsia="zh-CN"/>
        </w:rPr>
        <w:t>30.68</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rPr>
        <w:t>了</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。主要变动原</w:t>
      </w:r>
      <w:r>
        <w:rPr>
          <w:rFonts w:hint="eastAsia" w:ascii="仿宋_GB2312" w:eastAsia="仿宋_GB2312"/>
          <w:color w:val="000000"/>
          <w:sz w:val="32"/>
          <w:szCs w:val="32"/>
          <w:lang w:eastAsia="zh-CN"/>
        </w:rPr>
        <w:t>因是</w:t>
      </w:r>
      <w:r>
        <w:rPr>
          <w:rFonts w:hint="eastAsia" w:ascii="仿宋_GB2312" w:eastAsia="仿宋_GB2312"/>
          <w:color w:val="000000"/>
          <w:sz w:val="32"/>
          <w:szCs w:val="32"/>
        </w:rPr>
        <w:t>年初有结余。与2</w:t>
      </w:r>
      <w:r>
        <w:rPr>
          <w:rFonts w:ascii="仿宋_GB2312" w:eastAsia="仿宋_GB2312"/>
          <w:color w:val="000000"/>
          <w:sz w:val="32"/>
          <w:szCs w:val="32"/>
        </w:rPr>
        <w:t>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年相比，支出</w:t>
      </w:r>
      <w:r>
        <w:rPr>
          <w:rFonts w:hint="eastAsia" w:ascii="仿宋_GB2312" w:eastAsia="仿宋_GB2312"/>
          <w:color w:val="000000"/>
          <w:sz w:val="32"/>
          <w:szCs w:val="32"/>
          <w:lang w:eastAsia="zh-CN"/>
        </w:rPr>
        <w:t>减少</w:t>
      </w:r>
      <w:r>
        <w:rPr>
          <w:rFonts w:hint="eastAsia" w:ascii="仿宋_GB2312" w:eastAsia="仿宋_GB2312"/>
          <w:color w:val="000000"/>
          <w:sz w:val="32"/>
          <w:szCs w:val="32"/>
        </w:rPr>
        <w:t>了</w:t>
      </w:r>
      <w:r>
        <w:rPr>
          <w:rFonts w:hint="eastAsia" w:ascii="仿宋_GB2312" w:eastAsia="仿宋_GB2312"/>
          <w:color w:val="000000"/>
          <w:sz w:val="32"/>
          <w:szCs w:val="32"/>
          <w:lang w:val="en-US" w:eastAsia="zh-CN"/>
        </w:rPr>
        <w:t>111.74</w:t>
      </w:r>
      <w:r>
        <w:rPr>
          <w:rFonts w:hint="eastAsia" w:ascii="仿宋_GB2312" w:eastAsia="仿宋_GB2312"/>
          <w:color w:val="000000"/>
          <w:sz w:val="32"/>
          <w:szCs w:val="32"/>
        </w:rPr>
        <w:t>万元。</w:t>
      </w:r>
    </w:p>
    <w:bookmarkEnd w:id="27"/>
    <w:p>
      <w:pPr>
        <w:widowControl/>
        <w:rPr>
          <w:rFonts w:ascii="仿宋" w:hAnsi="仿宋" w:eastAsia="仿宋"/>
          <w:color w:val="000000"/>
          <w:sz w:val="32"/>
          <w:szCs w:val="32"/>
        </w:rPr>
      </w:pPr>
      <w:r>
        <w:rPr>
          <w:rFonts w:hint="eastAsia" w:ascii="仿宋" w:hAnsi="仿宋" w:eastAsia="仿宋"/>
          <w:color w:val="000000"/>
          <w:sz w:val="32"/>
          <w:szCs w:val="32"/>
        </w:rPr>
        <w:drawing>
          <wp:inline distT="0" distB="0" distL="0" distR="0">
            <wp:extent cx="5274310" cy="3076575"/>
            <wp:effectExtent l="0" t="0" r="254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4"/>
        <w:numPr>
          <w:ilvl w:val="0"/>
          <w:numId w:val="1"/>
        </w:numPr>
        <w:spacing w:line="600" w:lineRule="exact"/>
        <w:ind w:firstLineChars="0"/>
        <w:outlineLvl w:val="1"/>
        <w:rPr>
          <w:rStyle w:val="26"/>
          <w:rFonts w:ascii="黑体" w:hAnsi="黑体" w:eastAsia="黑体"/>
          <w:b w:val="0"/>
        </w:rPr>
      </w:pPr>
      <w:bookmarkStart w:id="30" w:name="_Toc15396604"/>
      <w:bookmarkStart w:id="31"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30"/>
      <w:bookmarkEnd w:id="31"/>
    </w:p>
    <w:p>
      <w:pPr>
        <w:widowControl/>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1010.07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796.26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78</w:t>
      </w:r>
      <w:r>
        <w:rPr>
          <w:rFonts w:ascii="仿宋" w:hAnsi="仿宋" w:eastAsia="仿宋"/>
          <w:color w:val="000000"/>
          <w:sz w:val="32"/>
          <w:szCs w:val="32"/>
        </w:rPr>
        <w:t>%</w:t>
      </w:r>
      <w:r>
        <w:rPr>
          <w:rFonts w:hint="eastAsia" w:ascii="仿宋" w:hAnsi="仿宋" w:eastAsia="仿宋"/>
          <w:color w:val="000000"/>
          <w:sz w:val="32"/>
          <w:szCs w:val="32"/>
        </w:rPr>
        <w:t>；年初结转和结余</w:t>
      </w:r>
      <w:r>
        <w:rPr>
          <w:rFonts w:hint="eastAsia" w:ascii="仿宋" w:hAnsi="仿宋" w:eastAsia="仿宋"/>
          <w:color w:val="000000"/>
          <w:sz w:val="32"/>
          <w:szCs w:val="32"/>
          <w:lang w:val="en-US" w:eastAsia="zh-CN"/>
        </w:rPr>
        <w:t>213.81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22</w:t>
      </w:r>
      <w:r>
        <w:rPr>
          <w:rFonts w:ascii="仿宋" w:hAnsi="仿宋" w:eastAsia="仿宋"/>
          <w:color w:val="000000"/>
          <w:sz w:val="32"/>
          <w:szCs w:val="32"/>
        </w:rPr>
        <w:t>%</w:t>
      </w:r>
      <w:r>
        <w:rPr>
          <w:rFonts w:hint="eastAsia" w:ascii="仿宋" w:hAnsi="仿宋" w:eastAsia="仿宋"/>
          <w:color w:val="000000"/>
          <w:sz w:val="32"/>
          <w:szCs w:val="32"/>
        </w:rPr>
        <w:t>。</w:t>
      </w:r>
      <w:r>
        <w:rPr>
          <w:rFonts w:ascii="仿宋" w:hAnsi="仿宋" w:eastAsia="仿宋"/>
          <w:color w:val="000000"/>
          <w:sz w:val="32"/>
          <w:szCs w:val="32"/>
        </w:rPr>
        <w:t xml:space="preserve"> </w:t>
      </w:r>
    </w:p>
    <w:p>
      <w:pPr>
        <w:widowControl/>
        <w:rPr>
          <w:rFonts w:ascii="宋体" w:hAnsi="宋体" w:cs="Arial"/>
          <w:color w:val="000000"/>
          <w:kern w:val="0"/>
          <w:sz w:val="22"/>
          <w:szCs w:val="22"/>
        </w:rPr>
      </w:pPr>
      <w:r>
        <w:rPr>
          <w:rFonts w:hint="eastAsia" w:ascii="仿宋" w:hAnsi="仿宋" w:eastAsia="仿宋"/>
          <w:color w:val="000000" w:themeColor="text1"/>
          <w:sz w:val="32"/>
          <w:szCs w:val="32"/>
          <w:lang w:val="zh-CN"/>
          <w14:textFill>
            <w14:solidFill>
              <w14:schemeClr w14:val="tx1"/>
            </w14:solidFill>
          </w14:textFill>
        </w:rPr>
        <w:drawing>
          <wp:inline distT="0" distB="0" distL="0" distR="0">
            <wp:extent cx="5274310" cy="3076575"/>
            <wp:effectExtent l="5080" t="4445" r="16510" b="50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4"/>
        <w:numPr>
          <w:ilvl w:val="0"/>
          <w:numId w:val="1"/>
        </w:numPr>
        <w:spacing w:line="600" w:lineRule="exact"/>
        <w:ind w:firstLineChars="0"/>
        <w:outlineLvl w:val="1"/>
        <w:rPr>
          <w:rStyle w:val="26"/>
          <w:rFonts w:ascii="黑体" w:hAnsi="黑体" w:eastAsia="黑体"/>
          <w:b w:val="0"/>
        </w:rPr>
      </w:pPr>
      <w:bookmarkStart w:id="32" w:name="_Toc15396605"/>
      <w:bookmarkStart w:id="33"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32"/>
      <w:bookmarkEnd w:id="33"/>
    </w:p>
    <w:p>
      <w:pPr>
        <w:widowControl/>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893.52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776.26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117.27</w:t>
      </w:r>
      <w:r>
        <w:rPr>
          <w:rFonts w:hint="eastAsia" w:ascii="仿宋" w:hAnsi="仿宋" w:eastAsia="仿宋"/>
          <w:color w:val="000000"/>
          <w:sz w:val="32"/>
          <w:szCs w:val="32"/>
        </w:rPr>
        <w:t>万元，占</w:t>
      </w:r>
      <w:r>
        <w:rPr>
          <w:rFonts w:ascii="仿宋" w:hAnsi="仿宋" w:eastAsia="仿宋"/>
          <w:color w:val="000000"/>
          <w:sz w:val="32"/>
          <w:szCs w:val="32"/>
        </w:rPr>
        <w:t>1</w:t>
      </w:r>
      <w:r>
        <w:rPr>
          <w:rFonts w:hint="eastAsia" w:ascii="仿宋" w:hAnsi="仿宋" w:eastAsia="仿宋"/>
          <w:color w:val="000000"/>
          <w:sz w:val="32"/>
          <w:szCs w:val="32"/>
          <w:lang w:val="en-US" w:eastAsia="zh-CN"/>
        </w:rPr>
        <w:t>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drawing>
          <wp:inline distT="0" distB="0" distL="0" distR="0">
            <wp:extent cx="5274310" cy="3076575"/>
            <wp:effectExtent l="5080" t="4445" r="16510" b="50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rPr>
          <w:rFonts w:ascii="仿宋_GB2312" w:eastAsia="仿宋_GB2312"/>
          <w:color w:val="FF0000"/>
          <w:sz w:val="32"/>
          <w:szCs w:val="32"/>
        </w:rPr>
      </w:pPr>
    </w:p>
    <w:p>
      <w:pPr>
        <w:spacing w:line="600" w:lineRule="exact"/>
        <w:ind w:firstLine="640" w:firstLineChars="200"/>
        <w:outlineLvl w:val="1"/>
        <w:rPr>
          <w:rFonts w:ascii="黑体" w:hAnsi="黑体" w:eastAsia="黑体"/>
          <w:color w:val="000000"/>
          <w:sz w:val="32"/>
          <w:szCs w:val="32"/>
        </w:rPr>
      </w:pPr>
      <w:bookmarkStart w:id="34" w:name="_Toc15396606"/>
      <w:bookmarkStart w:id="35" w:name="_Toc15377208"/>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Style w:val="26"/>
          <w:rFonts w:ascii="黑体" w:hAnsi="黑体" w:eastAsia="黑体"/>
          <w:b w:val="0"/>
        </w:rPr>
      </w:pPr>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4"/>
      <w:bookmarkEnd w:id="35"/>
    </w:p>
    <w:p>
      <w:pPr>
        <w:widowControl/>
        <w:ind w:firstLine="640" w:firstLineChars="200"/>
        <w:rPr>
          <w:rFonts w:ascii="宋体" w:hAnsi="宋体" w:cs="Arial"/>
          <w:color w:val="000000"/>
          <w:kern w:val="0"/>
          <w:sz w:val="22"/>
          <w:szCs w:val="2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年度收入总计</w:t>
      </w:r>
      <w:r>
        <w:rPr>
          <w:rFonts w:hint="eastAsia" w:ascii="仿宋" w:hAnsi="仿宋" w:eastAsia="仿宋"/>
          <w:color w:val="000000"/>
          <w:sz w:val="32"/>
          <w:szCs w:val="32"/>
          <w:lang w:val="en-US" w:eastAsia="zh-CN"/>
        </w:rPr>
        <w:t>1010.07</w:t>
      </w:r>
      <w:r>
        <w:rPr>
          <w:rFonts w:hint="eastAsia" w:ascii="仿宋" w:hAnsi="仿宋" w:eastAsia="仿宋"/>
          <w:color w:val="000000"/>
          <w:sz w:val="32"/>
          <w:szCs w:val="32"/>
        </w:rPr>
        <w:t>万元。本年财政拨款收入</w:t>
      </w:r>
      <w:r>
        <w:rPr>
          <w:rFonts w:hint="eastAsia" w:ascii="仿宋" w:hAnsi="仿宋" w:eastAsia="仿宋"/>
          <w:color w:val="000000"/>
          <w:sz w:val="32"/>
          <w:szCs w:val="32"/>
          <w:lang w:val="en-US" w:eastAsia="zh-CN"/>
        </w:rPr>
        <w:t>796.26</w:t>
      </w:r>
      <w:r>
        <w:rPr>
          <w:rFonts w:hint="eastAsia" w:ascii="仿宋" w:hAnsi="仿宋" w:eastAsia="仿宋"/>
          <w:color w:val="000000"/>
          <w:sz w:val="32"/>
          <w:szCs w:val="32"/>
        </w:rPr>
        <w:t>万元，年初结转和结余</w:t>
      </w:r>
      <w:r>
        <w:rPr>
          <w:rFonts w:hint="eastAsia" w:ascii="仿宋" w:hAnsi="仿宋" w:eastAsia="仿宋"/>
          <w:color w:val="000000"/>
          <w:sz w:val="32"/>
          <w:szCs w:val="32"/>
          <w:lang w:val="en-US" w:eastAsia="zh-CN"/>
        </w:rPr>
        <w:t>213.81</w:t>
      </w:r>
      <w:r>
        <w:rPr>
          <w:rFonts w:hint="eastAsia" w:ascii="仿宋" w:hAnsi="仿宋" w:eastAsia="仿宋"/>
          <w:color w:val="000000"/>
          <w:sz w:val="32"/>
          <w:szCs w:val="32"/>
        </w:rPr>
        <w:t>万元。2</w:t>
      </w:r>
      <w:r>
        <w:rPr>
          <w:rFonts w:ascii="仿宋" w:hAnsi="仿宋" w:eastAsia="仿宋"/>
          <w:color w:val="000000"/>
          <w:sz w:val="32"/>
          <w:szCs w:val="32"/>
        </w:rPr>
        <w:t>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年度本年支出</w:t>
      </w:r>
      <w:r>
        <w:rPr>
          <w:rFonts w:hint="eastAsia" w:ascii="仿宋" w:hAnsi="仿宋" w:eastAsia="仿宋"/>
          <w:color w:val="000000"/>
          <w:sz w:val="32"/>
          <w:szCs w:val="32"/>
          <w:lang w:val="en-US" w:eastAsia="zh-CN"/>
        </w:rPr>
        <w:t>893.52</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年相比，收入</w:t>
      </w:r>
      <w:r>
        <w:rPr>
          <w:rFonts w:hint="eastAsia" w:ascii="仿宋" w:hAnsi="仿宋" w:eastAsia="仿宋"/>
          <w:color w:val="000000"/>
          <w:sz w:val="32"/>
          <w:szCs w:val="32"/>
          <w:lang w:eastAsia="zh-CN"/>
        </w:rPr>
        <w:t>减少了</w:t>
      </w:r>
      <w:r>
        <w:rPr>
          <w:rFonts w:hint="eastAsia" w:ascii="仿宋" w:hAnsi="仿宋" w:eastAsia="仿宋"/>
          <w:color w:val="000000"/>
          <w:sz w:val="32"/>
          <w:szCs w:val="32"/>
          <w:lang w:val="en-US" w:eastAsia="zh-CN"/>
        </w:rPr>
        <w:t>14.49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减少</w:t>
      </w:r>
      <w:r>
        <w:rPr>
          <w:rFonts w:hint="eastAsia" w:ascii="仿宋_GB2312" w:eastAsia="仿宋_GB2312"/>
          <w:color w:val="000000"/>
          <w:sz w:val="32"/>
          <w:szCs w:val="32"/>
        </w:rPr>
        <w:t>了</w:t>
      </w: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。主要变动原因是</w:t>
      </w:r>
      <w:r>
        <w:rPr>
          <w:rFonts w:hint="eastAsia" w:ascii="仿宋_GB2312" w:eastAsia="仿宋_GB2312"/>
          <w:color w:val="000000"/>
          <w:sz w:val="32"/>
          <w:szCs w:val="32"/>
          <w:lang w:eastAsia="zh-CN"/>
        </w:rPr>
        <w:t>与</w:t>
      </w:r>
      <w:r>
        <w:rPr>
          <w:rFonts w:hint="eastAsia" w:ascii="仿宋_GB2312" w:eastAsia="仿宋_GB2312"/>
          <w:color w:val="000000"/>
          <w:sz w:val="32"/>
          <w:szCs w:val="32"/>
          <w:lang w:val="en-US" w:eastAsia="zh-CN"/>
        </w:rPr>
        <w:t>2019年相比，</w:t>
      </w:r>
      <w:r>
        <w:rPr>
          <w:rFonts w:hint="eastAsia" w:ascii="仿宋_GB2312" w:eastAsia="仿宋_GB2312"/>
          <w:color w:val="000000"/>
          <w:sz w:val="32"/>
          <w:szCs w:val="32"/>
        </w:rPr>
        <w:t>年初结转和结余</w:t>
      </w:r>
      <w:r>
        <w:rPr>
          <w:rFonts w:hint="eastAsia" w:ascii="仿宋_GB2312" w:eastAsia="仿宋_GB2312"/>
          <w:color w:val="000000"/>
          <w:sz w:val="32"/>
          <w:szCs w:val="32"/>
          <w:lang w:eastAsia="zh-CN"/>
        </w:rPr>
        <w:t>减少</w:t>
      </w:r>
      <w:r>
        <w:rPr>
          <w:rFonts w:hint="eastAsia" w:ascii="仿宋_GB2312" w:eastAsia="仿宋_GB2312"/>
          <w:color w:val="000000"/>
          <w:sz w:val="32"/>
          <w:szCs w:val="32"/>
        </w:rPr>
        <w:t>。与2</w:t>
      </w:r>
      <w:r>
        <w:rPr>
          <w:rFonts w:ascii="仿宋_GB2312" w:eastAsia="仿宋_GB2312"/>
          <w:color w:val="000000"/>
          <w:sz w:val="32"/>
          <w:szCs w:val="32"/>
        </w:rPr>
        <w:t>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年相比，支出</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111.74</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减少了</w:t>
      </w:r>
      <w:r>
        <w:rPr>
          <w:rFonts w:hint="eastAsia" w:ascii="仿宋_GB2312" w:eastAsia="仿宋_GB2312"/>
          <w:color w:val="000000"/>
          <w:sz w:val="32"/>
          <w:szCs w:val="32"/>
          <w:lang w:val="en-US" w:eastAsia="zh-CN"/>
        </w:rPr>
        <w:t>14.29</w:t>
      </w:r>
      <w:r>
        <w:rPr>
          <w:rFonts w:ascii="仿宋_GB2312" w:eastAsia="仿宋_GB2312"/>
          <w:color w:val="000000"/>
          <w:sz w:val="32"/>
          <w:szCs w:val="32"/>
        </w:rPr>
        <w:t>%</w:t>
      </w:r>
      <w:r>
        <w:rPr>
          <w:rFonts w:hint="eastAsia" w:ascii="仿宋_GB2312" w:eastAsia="仿宋_GB2312"/>
          <w:color w:val="000000"/>
          <w:sz w:val="32"/>
          <w:szCs w:val="32"/>
        </w:rPr>
        <w:t>。年末结转和结余</w:t>
      </w:r>
      <w:r>
        <w:rPr>
          <w:rFonts w:hint="eastAsia" w:ascii="仿宋_GB2312" w:eastAsia="仿宋_GB2312"/>
          <w:color w:val="000000"/>
          <w:sz w:val="32"/>
          <w:szCs w:val="32"/>
          <w:lang w:val="en-US" w:eastAsia="zh-CN"/>
        </w:rPr>
        <w:t>116.54</w:t>
      </w:r>
      <w:r>
        <w:rPr>
          <w:rFonts w:hint="eastAsia" w:ascii="仿宋_GB2312" w:eastAsia="仿宋_GB2312"/>
          <w:color w:val="000000"/>
          <w:sz w:val="32"/>
          <w:szCs w:val="32"/>
        </w:rPr>
        <w:t>万元。</w:t>
      </w:r>
    </w:p>
    <w:p>
      <w:pPr>
        <w:widowControl/>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ascii="宋体" w:hAnsi="宋体" w:cs="Arial"/>
          <w:color w:val="000000"/>
          <w:kern w:val="0"/>
          <w:sz w:val="22"/>
          <w:szCs w:val="22"/>
        </w:rPr>
        <w:t xml:space="preserve">   </w:t>
      </w:r>
      <w:r>
        <w:rPr>
          <w:rFonts w:ascii="宋体" w:hAnsi="宋体" w:cs="Arial"/>
          <w:color w:val="000000"/>
          <w:kern w:val="0"/>
          <w:sz w:val="22"/>
          <w:szCs w:val="22"/>
        </w:rPr>
        <w:drawing>
          <wp:inline distT="0" distB="0" distL="0" distR="0">
            <wp:extent cx="5274310" cy="3076575"/>
            <wp:effectExtent l="0" t="0" r="2540"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6"/>
          <w:rFonts w:ascii="黑体" w:hAnsi="黑体" w:eastAsia="黑体"/>
          <w:b w:val="0"/>
        </w:rPr>
      </w:pPr>
      <w:bookmarkStart w:id="36" w:name="_Toc15377209"/>
      <w:bookmarkStart w:id="37"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6"/>
      <w:bookmarkEnd w:id="37"/>
    </w:p>
    <w:p>
      <w:pPr>
        <w:spacing w:line="600" w:lineRule="exact"/>
        <w:ind w:firstLine="643" w:firstLineChars="200"/>
        <w:outlineLvl w:val="2"/>
        <w:rPr>
          <w:rFonts w:ascii="仿宋" w:hAnsi="仿宋" w:eastAsia="仿宋"/>
          <w:b/>
          <w:color w:val="000000"/>
          <w:sz w:val="32"/>
          <w:szCs w:val="32"/>
        </w:rPr>
      </w:pPr>
      <w:bookmarkStart w:id="38" w:name="_Toc15377210"/>
      <w:r>
        <w:rPr>
          <w:rFonts w:hint="eastAsia" w:ascii="仿宋" w:hAnsi="仿宋" w:eastAsia="仿宋"/>
          <w:b/>
          <w:color w:val="000000"/>
          <w:sz w:val="32"/>
          <w:szCs w:val="32"/>
        </w:rPr>
        <w:t>（一）一般公共预算财政拨款支出决算总体情况</w:t>
      </w:r>
      <w:bookmarkEnd w:id="38"/>
    </w:p>
    <w:p>
      <w:pPr>
        <w:widowControl/>
        <w:ind w:firstLine="480" w:firstLineChars="150"/>
        <w:rPr>
          <w:rFonts w:ascii="仿宋_GB2312" w:eastAsia="仿宋_GB2312"/>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bookmarkStart w:id="39" w:name="_Hlk19885094"/>
      <w:r>
        <w:rPr>
          <w:rFonts w:hint="eastAsia" w:ascii="仿宋" w:hAnsi="仿宋" w:eastAsia="仿宋"/>
          <w:color w:val="000000"/>
          <w:sz w:val="32"/>
          <w:szCs w:val="32"/>
          <w:lang w:val="en-US" w:eastAsia="zh-CN"/>
        </w:rPr>
        <w:t>893.52</w:t>
      </w:r>
      <w:r>
        <w:rPr>
          <w:rFonts w:hint="eastAsia" w:ascii="仿宋" w:hAnsi="仿宋" w:eastAsia="仿宋"/>
          <w:color w:val="000000"/>
          <w:sz w:val="32"/>
          <w:szCs w:val="32"/>
        </w:rPr>
        <w:t>万元</w:t>
      </w:r>
      <w:bookmarkEnd w:id="39"/>
      <w:r>
        <w:rPr>
          <w:rFonts w:hint="eastAsia" w:ascii="仿宋" w:hAnsi="仿宋" w:eastAsia="仿宋"/>
          <w:color w:val="000000"/>
          <w:sz w:val="32"/>
          <w:szCs w:val="32"/>
        </w:rPr>
        <w:t>，占本年支出合计的</w:t>
      </w:r>
      <w:r>
        <w:rPr>
          <w:rFonts w:hint="eastAsia" w:ascii="仿宋" w:hAnsi="仿宋" w:eastAsia="仿宋"/>
          <w:color w:val="000000"/>
          <w:sz w:val="32"/>
          <w:szCs w:val="32"/>
          <w:lang w:val="en-US" w:eastAsia="zh-CN"/>
        </w:rPr>
        <w:t>88</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年相比，一般公共预算财政拨款增加</w:t>
      </w:r>
      <w:r>
        <w:rPr>
          <w:rFonts w:hint="eastAsia" w:ascii="仿宋_GB2312" w:hAnsi="宋体" w:eastAsia="仿宋_GB2312" w:cs="宋体"/>
          <w:color w:val="000000"/>
          <w:sz w:val="32"/>
          <w:szCs w:val="32"/>
          <w:lang w:val="en-US" w:eastAsia="zh-CN"/>
        </w:rPr>
        <w:t>30.68</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w:t>
      </w:r>
      <w:r>
        <w:rPr>
          <w:rFonts w:ascii="仿宋" w:hAnsi="仿宋" w:eastAsia="仿宋"/>
          <w:color w:val="000000"/>
          <w:sz w:val="32"/>
          <w:szCs w:val="32"/>
        </w:rPr>
        <w:t>%</w:t>
      </w:r>
      <w:r>
        <w:rPr>
          <w:rFonts w:hint="eastAsia" w:ascii="仿宋" w:hAnsi="仿宋" w:eastAsia="仿宋"/>
          <w:color w:val="000000"/>
          <w:sz w:val="32"/>
          <w:szCs w:val="32"/>
        </w:rPr>
        <w:t>。主要变动原因是未付款已付。人员增加。年末结余</w:t>
      </w:r>
      <w:r>
        <w:rPr>
          <w:rFonts w:hint="eastAsia" w:ascii="仿宋_GB2312" w:eastAsia="仿宋_GB2312"/>
          <w:color w:val="000000"/>
          <w:sz w:val="32"/>
          <w:szCs w:val="32"/>
          <w:lang w:val="en-US" w:eastAsia="zh-CN"/>
        </w:rPr>
        <w:t>116.54</w:t>
      </w:r>
      <w:r>
        <w:rPr>
          <w:rFonts w:hint="eastAsia" w:ascii="仿宋_GB2312" w:eastAsia="仿宋_GB2312"/>
          <w:color w:val="000000"/>
          <w:sz w:val="32"/>
          <w:szCs w:val="32"/>
        </w:rPr>
        <w:t>万元。</w:t>
      </w:r>
    </w:p>
    <w:p>
      <w:pPr>
        <w:widowControl/>
        <w:ind w:firstLine="330" w:firstLineChars="150"/>
        <w:rPr>
          <w:rFonts w:ascii="宋体" w:hAnsi="宋体" w:cs="Arial"/>
          <w:color w:val="000000"/>
          <w:kern w:val="0"/>
          <w:sz w:val="22"/>
          <w:szCs w:val="22"/>
        </w:rPr>
      </w:pPr>
      <w:r>
        <w:rPr>
          <w:rFonts w:hint="eastAsia" w:ascii="宋体" w:hAnsi="宋体" w:cs="Arial"/>
          <w:color w:val="000000"/>
          <w:kern w:val="0"/>
          <w:sz w:val="22"/>
          <w:szCs w:val="22"/>
        </w:rPr>
        <w:drawing>
          <wp:inline distT="0" distB="0" distL="0" distR="0">
            <wp:extent cx="5274310" cy="3076575"/>
            <wp:effectExtent l="0" t="0" r="254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color w:val="000000"/>
          <w:sz w:val="32"/>
          <w:szCs w:val="32"/>
        </w:rPr>
      </w:pPr>
      <w:bookmarkStart w:id="40" w:name="_Toc15377211"/>
      <w:r>
        <w:rPr>
          <w:rFonts w:hint="eastAsia" w:ascii="仿宋" w:hAnsi="仿宋" w:eastAsia="仿宋"/>
          <w:b/>
          <w:color w:val="000000"/>
          <w:sz w:val="32"/>
          <w:szCs w:val="32"/>
        </w:rPr>
        <w:t>（二）一般公共预算财政拨款支出决算结构情况</w:t>
      </w:r>
      <w:bookmarkEnd w:id="40"/>
    </w:p>
    <w:p>
      <w:pPr>
        <w:widowControl/>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893.52</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747.16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74.69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24.57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47.10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widowControl/>
        <w:rPr>
          <w:rFonts w:ascii="宋体" w:hAnsi="宋体" w:cs="Arial"/>
          <w:color w:val="000000"/>
          <w:kern w:val="0"/>
          <w:sz w:val="22"/>
          <w:szCs w:val="22"/>
        </w:rPr>
      </w:pPr>
      <w:r>
        <w:rPr>
          <w:rFonts w:ascii="宋体" w:hAnsi="宋体" w:cs="Arial"/>
          <w:color w:val="000000"/>
          <w:kern w:val="0"/>
          <w:sz w:val="22"/>
          <w:szCs w:val="22"/>
        </w:rPr>
        <w:drawing>
          <wp:inline distT="0" distB="0" distL="0" distR="0">
            <wp:extent cx="5274310" cy="3076575"/>
            <wp:effectExtent l="5080" t="4445" r="16510" b="508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宋体" w:hAnsi="宋体" w:cs="Arial"/>
          <w:color w:val="000000"/>
          <w:kern w:val="0"/>
          <w:sz w:val="22"/>
          <w:szCs w:val="22"/>
        </w:rPr>
        <w:t xml:space="preserve"> </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41" w:name="_Toc15377212"/>
      <w:r>
        <w:rPr>
          <w:rFonts w:hint="eastAsia" w:ascii="仿宋" w:hAnsi="仿宋" w:eastAsia="仿宋"/>
          <w:b/>
          <w:color w:val="000000"/>
          <w:sz w:val="32"/>
          <w:szCs w:val="32"/>
        </w:rPr>
        <w:t>（三）一般公共预算财政拨款支出决算具体情况</w:t>
      </w:r>
      <w:bookmarkEnd w:id="41"/>
    </w:p>
    <w:p>
      <w:pPr>
        <w:spacing w:line="600" w:lineRule="exact"/>
        <w:ind w:firstLine="643" w:firstLineChars="200"/>
        <w:outlineLvl w:val="2"/>
        <w:rPr>
          <w:rFonts w:ascii="仿宋" w:hAnsi="仿宋" w:eastAsia="仿宋"/>
          <w:color w:val="FF0000"/>
          <w:sz w:val="32"/>
          <w:szCs w:val="32"/>
        </w:rPr>
      </w:pPr>
      <w:bookmarkStart w:id="42" w:name="_Toc15378460"/>
      <w:bookmarkStart w:id="43" w:name="_Toc15377213"/>
      <w:bookmarkStart w:id="44" w:name="_Toc15377444"/>
      <w:r>
        <w:rPr>
          <w:rFonts w:hint="eastAsia" w:ascii="仿宋" w:hAnsi="仿宋" w:eastAsia="仿宋"/>
          <w:b/>
          <w:color w:val="000000" w:themeColor="text1"/>
          <w:sz w:val="32"/>
          <w:szCs w:val="32"/>
          <w14:textFill>
            <w14:solidFill>
              <w14:schemeClr w14:val="tx1"/>
            </w14:solidFill>
          </w14:textFill>
        </w:rPr>
        <w:t>201</w:t>
      </w: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893.52</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ascii="仿宋" w:hAnsi="仿宋" w:eastAsia="仿宋"/>
          <w:bCs/>
          <w:color w:val="000000"/>
          <w:sz w:val="32"/>
          <w:szCs w:val="32"/>
        </w:rPr>
        <w:t>100%</w:t>
      </w:r>
      <w:r>
        <w:rPr>
          <w:rStyle w:val="15"/>
          <w:rFonts w:hint="eastAsia" w:ascii="仿宋" w:hAnsi="仿宋" w:eastAsia="仿宋"/>
          <w:bCs/>
          <w:color w:val="000000"/>
          <w:sz w:val="32"/>
          <w:szCs w:val="32"/>
        </w:rPr>
        <w:t>。其中：</w:t>
      </w:r>
      <w:bookmarkEnd w:id="42"/>
      <w:bookmarkEnd w:id="43"/>
      <w:bookmarkEnd w:id="44"/>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教育（类）工资福利支出</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747.16</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widowControl/>
        <w:ind w:firstLine="643" w:firstLineChars="200"/>
        <w:rPr>
          <w:rFonts w:ascii="宋体" w:hAnsi="宋体" w:cs="Arial"/>
          <w:color w:val="000000"/>
          <w:kern w:val="0"/>
          <w:sz w:val="22"/>
          <w:szCs w:val="2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社会保障和就业（类）</w:t>
      </w:r>
      <w:r>
        <w:rPr>
          <w:rFonts w:hint="eastAsia" w:ascii="宋体" w:hAnsi="宋体" w:cs="Arial"/>
          <w:color w:val="000000"/>
          <w:kern w:val="0"/>
          <w:sz w:val="22"/>
          <w:szCs w:val="22"/>
        </w:rPr>
        <w:t xml:space="preserve"> ：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74.69</w:t>
      </w:r>
      <w:r>
        <w:rPr>
          <w:rStyle w:val="15"/>
          <w:rFonts w:hint="eastAsia" w:ascii="仿宋" w:hAnsi="仿宋" w:eastAsia="仿宋"/>
          <w:b w:val="0"/>
          <w:bCs/>
          <w:color w:val="000000"/>
          <w:sz w:val="32"/>
          <w:szCs w:val="32"/>
        </w:rPr>
        <w:t>万元</w:t>
      </w:r>
      <w:r>
        <w:rPr>
          <w:rFonts w:hint="eastAsia" w:ascii="宋体" w:hAnsi="宋体" w:cs="Arial"/>
          <w:color w:val="000000"/>
          <w:kern w:val="0"/>
          <w:sz w:val="22"/>
          <w:szCs w:val="22"/>
        </w:rPr>
        <w:t>。</w:t>
      </w:r>
      <w:r>
        <w:rPr>
          <w:rFonts w:hint="eastAsia" w:ascii="宋体" w:hAnsi="宋体" w:cs="Arial"/>
          <w:color w:val="000000"/>
          <w:kern w:val="0"/>
          <w:sz w:val="22"/>
          <w:szCs w:val="22"/>
          <w:lang w:eastAsia="zh-CN"/>
        </w:rPr>
        <w:t>其中</w:t>
      </w:r>
      <w:r>
        <w:rPr>
          <w:rStyle w:val="15"/>
          <w:rFonts w:hint="eastAsia" w:ascii="仿宋" w:hAnsi="仿宋" w:eastAsia="仿宋"/>
          <w:b w:val="0"/>
          <w:bCs/>
          <w:color w:val="000000"/>
          <w:sz w:val="32"/>
          <w:szCs w:val="32"/>
        </w:rPr>
        <w:t>机关事业单位基本养老保险缴费支出决算为</w:t>
      </w:r>
      <w:r>
        <w:rPr>
          <w:rStyle w:val="15"/>
          <w:rFonts w:hint="eastAsia" w:ascii="仿宋" w:hAnsi="仿宋" w:eastAsia="仿宋"/>
          <w:b w:val="0"/>
          <w:bCs/>
          <w:color w:val="000000"/>
          <w:sz w:val="32"/>
          <w:szCs w:val="32"/>
          <w:lang w:val="en-US" w:eastAsia="zh-CN"/>
        </w:rPr>
        <w:t>69.94</w:t>
      </w:r>
      <w:r>
        <w:rPr>
          <w:rStyle w:val="15"/>
          <w:rFonts w:hint="eastAsia" w:ascii="仿宋" w:hAnsi="仿宋" w:eastAsia="仿宋"/>
          <w:b w:val="0"/>
          <w:bCs/>
          <w:color w:val="000000"/>
          <w:sz w:val="32"/>
          <w:szCs w:val="32"/>
        </w:rPr>
        <w:t>万</w:t>
      </w:r>
      <w:r>
        <w:rPr>
          <w:rStyle w:val="15"/>
          <w:rFonts w:hint="eastAsia" w:ascii="仿宋" w:hAnsi="仿宋" w:eastAsia="仿宋"/>
          <w:b w:val="0"/>
          <w:bCs/>
          <w:color w:val="000000"/>
          <w:sz w:val="32"/>
          <w:szCs w:val="32"/>
          <w:lang w:eastAsia="zh-CN"/>
        </w:rPr>
        <w:t>元。</w:t>
      </w:r>
      <w:r>
        <w:rPr>
          <w:rStyle w:val="15"/>
          <w:rFonts w:hint="eastAsia" w:ascii="仿宋" w:hAnsi="仿宋" w:eastAsia="仿宋"/>
          <w:b w:val="0"/>
          <w:bCs/>
          <w:color w:val="000000"/>
          <w:sz w:val="32"/>
          <w:szCs w:val="32"/>
        </w:rPr>
        <w:t>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r>
        <w:rPr>
          <w:rFonts w:ascii="宋体" w:hAnsi="宋体" w:cs="Arial"/>
          <w:color w:val="000000"/>
          <w:kern w:val="0"/>
          <w:sz w:val="22"/>
          <w:szCs w:val="22"/>
        </w:rPr>
        <w:t xml:space="preserve"> </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医疗卫生与计划生育（类）事业单位医疗保险及其他保险：</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24.57</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r>
        <w:rPr>
          <w:rFonts w:ascii="仿宋" w:hAnsi="仿宋" w:eastAsia="仿宋"/>
          <w:b/>
          <w:color w:val="000000"/>
          <w:sz w:val="32"/>
          <w:szCs w:val="32"/>
        </w:rPr>
        <w:t xml:space="preserve"> </w:t>
      </w:r>
    </w:p>
    <w:p>
      <w:pPr>
        <w:spacing w:line="600" w:lineRule="exact"/>
        <w:ind w:firstLine="640"/>
        <w:rPr>
          <w:rStyle w:val="15"/>
          <w:rFonts w:ascii="仿宋" w:hAnsi="仿宋" w:eastAsia="仿宋"/>
          <w:b w:val="0"/>
          <w:bCs/>
          <w:color w:val="000000"/>
          <w:sz w:val="32"/>
          <w:szCs w:val="32"/>
        </w:rPr>
      </w:pPr>
      <w:r>
        <w:rPr>
          <w:rStyle w:val="15"/>
          <w:rFonts w:hint="eastAsia" w:ascii="仿宋" w:hAnsi="仿宋" w:eastAsia="仿宋"/>
          <w:bCs/>
          <w:sz w:val="32"/>
          <w:szCs w:val="32"/>
        </w:rPr>
        <w:t>4</w:t>
      </w:r>
      <w:r>
        <w:rPr>
          <w:rStyle w:val="15"/>
          <w:rFonts w:ascii="仿宋" w:hAnsi="仿宋" w:eastAsia="仿宋"/>
          <w:bCs/>
          <w:sz w:val="32"/>
          <w:szCs w:val="32"/>
        </w:rPr>
        <w:t>.</w:t>
      </w:r>
      <w:r>
        <w:rPr>
          <w:rStyle w:val="15"/>
          <w:rFonts w:hint="eastAsia" w:ascii="仿宋" w:hAnsi="仿宋" w:eastAsia="仿宋"/>
          <w:bCs/>
          <w:color w:val="000000"/>
          <w:sz w:val="32"/>
          <w:szCs w:val="32"/>
        </w:rPr>
        <w:t xml:space="preserve"> </w:t>
      </w:r>
      <w:r>
        <w:rPr>
          <w:rStyle w:val="15"/>
          <w:rFonts w:hint="eastAsia" w:ascii="仿宋" w:hAnsi="仿宋" w:eastAsia="仿宋"/>
          <w:bCs/>
          <w:sz w:val="32"/>
          <w:szCs w:val="32"/>
        </w:rPr>
        <w:t>住房保障支出（类）住房公积金：</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47.10</w:t>
      </w:r>
      <w:r>
        <w:rPr>
          <w:rStyle w:val="15"/>
          <w:rFonts w:hint="eastAsia" w:ascii="仿宋" w:hAnsi="仿宋" w:eastAsia="仿宋"/>
          <w:b w:val="0"/>
          <w:bCs/>
          <w:color w:val="000000"/>
          <w:sz w:val="32"/>
          <w:szCs w:val="32"/>
        </w:rPr>
        <w:t>万元。完成预算1</w:t>
      </w:r>
      <w:r>
        <w:rPr>
          <w:rStyle w:val="15"/>
          <w:rFonts w:ascii="仿宋" w:hAnsi="仿宋" w:eastAsia="仿宋"/>
          <w:b w:val="0"/>
          <w:bCs/>
          <w:color w:val="000000"/>
          <w:sz w:val="32"/>
          <w:szCs w:val="32"/>
        </w:rPr>
        <w:t>00%</w:t>
      </w:r>
      <w:r>
        <w:rPr>
          <w:rStyle w:val="15"/>
          <w:rFonts w:hint="eastAsia" w:ascii="仿宋" w:hAnsi="仿宋" w:eastAsia="仿宋"/>
          <w:b w:val="0"/>
          <w:bCs/>
          <w:color w:val="000000"/>
          <w:sz w:val="32"/>
          <w:szCs w:val="32"/>
        </w:rPr>
        <w:t>。</w:t>
      </w:r>
    </w:p>
    <w:p>
      <w:pPr>
        <w:spacing w:line="600" w:lineRule="exact"/>
        <w:ind w:firstLine="640"/>
        <w:rPr>
          <w:rStyle w:val="15"/>
          <w:rFonts w:ascii="仿宋" w:hAnsi="仿宋" w:eastAsia="仿宋"/>
          <w:b w:val="0"/>
          <w:bCs/>
          <w:color w:val="000000"/>
          <w:sz w:val="32"/>
          <w:szCs w:val="32"/>
        </w:rPr>
      </w:pPr>
      <w:r>
        <w:rPr>
          <w:rStyle w:val="15"/>
          <w:rFonts w:hint="eastAsia" w:ascii="仿宋" w:hAnsi="仿宋" w:eastAsia="仿宋"/>
          <w:bCs/>
          <w:sz w:val="32"/>
          <w:szCs w:val="32"/>
        </w:rPr>
        <w:t>5</w:t>
      </w:r>
      <w:r>
        <w:rPr>
          <w:rStyle w:val="15"/>
          <w:rFonts w:ascii="仿宋" w:hAnsi="仿宋" w:eastAsia="仿宋"/>
          <w:bCs/>
          <w:sz w:val="32"/>
          <w:szCs w:val="32"/>
        </w:rPr>
        <w:t>.</w:t>
      </w:r>
      <w:r>
        <w:rPr>
          <w:rStyle w:val="15"/>
          <w:rFonts w:hint="eastAsia" w:ascii="仿宋" w:hAnsi="仿宋" w:eastAsia="仿宋"/>
          <w:bCs/>
          <w:sz w:val="32"/>
          <w:szCs w:val="32"/>
        </w:rPr>
        <w:t>对个人和家庭的补助</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160.52</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其中抚恤金</w:t>
      </w:r>
      <w:r>
        <w:rPr>
          <w:rStyle w:val="15"/>
          <w:rFonts w:hint="eastAsia" w:ascii="仿宋" w:hAnsi="仿宋" w:eastAsia="仿宋"/>
          <w:b w:val="0"/>
          <w:bCs/>
          <w:color w:val="000000"/>
          <w:sz w:val="32"/>
          <w:szCs w:val="32"/>
          <w:lang w:val="en-US" w:eastAsia="zh-CN"/>
        </w:rPr>
        <w:t>4.75万元，</w:t>
      </w:r>
      <w:r>
        <w:rPr>
          <w:rStyle w:val="15"/>
          <w:rFonts w:hint="eastAsia" w:ascii="仿宋" w:hAnsi="仿宋" w:eastAsia="仿宋"/>
          <w:b w:val="0"/>
          <w:bCs/>
          <w:color w:val="000000"/>
          <w:sz w:val="32"/>
          <w:szCs w:val="32"/>
        </w:rPr>
        <w:t>完成预算1</w:t>
      </w:r>
      <w:r>
        <w:rPr>
          <w:rStyle w:val="15"/>
          <w:rFonts w:ascii="仿宋" w:hAnsi="仿宋" w:eastAsia="仿宋"/>
          <w:b w:val="0"/>
          <w:bCs/>
          <w:color w:val="000000"/>
          <w:sz w:val="32"/>
          <w:szCs w:val="32"/>
        </w:rPr>
        <w:t>00%</w:t>
      </w:r>
      <w:r>
        <w:rPr>
          <w:rStyle w:val="15"/>
          <w:rFonts w:hint="eastAsia" w:ascii="仿宋" w:hAnsi="仿宋" w:eastAsia="仿宋"/>
          <w:b w:val="0"/>
          <w:bCs/>
          <w:color w:val="000000"/>
          <w:sz w:val="32"/>
          <w:szCs w:val="32"/>
        </w:rPr>
        <w:t>。</w:t>
      </w:r>
    </w:p>
    <w:p>
      <w:pPr>
        <w:spacing w:line="600" w:lineRule="exact"/>
        <w:ind w:firstLine="640"/>
        <w:rPr>
          <w:rStyle w:val="15"/>
          <w:rFonts w:ascii="仿宋" w:hAnsi="仿宋" w:eastAsia="仿宋"/>
          <w:b w:val="0"/>
          <w:bCs/>
          <w:color w:val="000000"/>
          <w:sz w:val="32"/>
          <w:szCs w:val="32"/>
        </w:rPr>
      </w:pPr>
      <w:r>
        <w:rPr>
          <w:rStyle w:val="15"/>
          <w:rFonts w:hint="eastAsia" w:ascii="仿宋" w:hAnsi="仿宋" w:eastAsia="仿宋"/>
          <w:bCs/>
          <w:sz w:val="32"/>
          <w:szCs w:val="32"/>
        </w:rPr>
        <w:t>6</w:t>
      </w:r>
      <w:r>
        <w:rPr>
          <w:rStyle w:val="15"/>
          <w:rFonts w:ascii="仿宋" w:hAnsi="仿宋" w:eastAsia="仿宋"/>
          <w:bCs/>
          <w:sz w:val="32"/>
          <w:szCs w:val="32"/>
        </w:rPr>
        <w:t>.</w:t>
      </w:r>
      <w:r>
        <w:rPr>
          <w:rStyle w:val="15"/>
          <w:rFonts w:hint="eastAsia" w:ascii="仿宋" w:hAnsi="仿宋" w:eastAsia="仿宋"/>
          <w:bCs/>
          <w:sz w:val="32"/>
          <w:szCs w:val="32"/>
        </w:rPr>
        <w:t>商品和服务支出：</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67.90</w:t>
      </w:r>
      <w:r>
        <w:rPr>
          <w:rStyle w:val="15"/>
          <w:rFonts w:hint="eastAsia" w:ascii="仿宋" w:hAnsi="仿宋" w:eastAsia="仿宋"/>
          <w:b w:val="0"/>
          <w:bCs/>
          <w:color w:val="000000"/>
          <w:sz w:val="32"/>
          <w:szCs w:val="32"/>
        </w:rPr>
        <w:t>万元。完成预算1</w:t>
      </w:r>
      <w:r>
        <w:rPr>
          <w:rStyle w:val="15"/>
          <w:rFonts w:ascii="仿宋" w:hAnsi="仿宋" w:eastAsia="仿宋"/>
          <w:b w:val="0"/>
          <w:bCs/>
          <w:color w:val="000000"/>
          <w:sz w:val="32"/>
          <w:szCs w:val="32"/>
        </w:rPr>
        <w:t>00%</w:t>
      </w:r>
      <w:r>
        <w:rPr>
          <w:rStyle w:val="15"/>
          <w:rFonts w:hint="eastAsia" w:ascii="仿宋" w:hAnsi="仿宋" w:eastAsia="仿宋"/>
          <w:b w:val="0"/>
          <w:bCs/>
          <w:color w:val="000000"/>
          <w:sz w:val="32"/>
          <w:szCs w:val="32"/>
        </w:rPr>
        <w:t>。</w:t>
      </w:r>
    </w:p>
    <w:p>
      <w:pPr>
        <w:tabs>
          <w:tab w:val="right" w:pos="8306"/>
        </w:tabs>
        <w:spacing w:line="600" w:lineRule="exact"/>
        <w:ind w:firstLine="640"/>
        <w:outlineLvl w:val="1"/>
        <w:rPr>
          <w:rStyle w:val="26"/>
        </w:rPr>
      </w:pPr>
      <w:bookmarkStart w:id="45" w:name="_Toc15396608"/>
      <w:bookmarkStart w:id="46"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5"/>
      <w:bookmarkEnd w:id="46"/>
      <w:r>
        <w:rPr>
          <w:rStyle w:val="26"/>
          <w:rFonts w:ascii="黑体" w:hAnsi="黑体" w:eastAsia="黑体"/>
          <w:b w:val="0"/>
        </w:rPr>
        <w:tab/>
      </w:r>
    </w:p>
    <w:p>
      <w:pPr>
        <w:spacing w:line="600" w:lineRule="exact"/>
        <w:ind w:firstLine="645"/>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893.52</w:t>
      </w:r>
      <w:r>
        <w:rPr>
          <w:rFonts w:hint="eastAsia" w:ascii="仿宋" w:hAnsi="仿宋" w:eastAsia="仿宋"/>
          <w:color w:val="000000"/>
          <w:sz w:val="32"/>
          <w:szCs w:val="32"/>
        </w:rPr>
        <w:t>万元，其中：人员经费</w:t>
      </w:r>
      <w:r>
        <w:rPr>
          <w:rFonts w:hint="eastAsia" w:ascii="仿宋" w:hAnsi="仿宋" w:eastAsia="仿宋"/>
          <w:color w:val="000000"/>
          <w:sz w:val="32"/>
          <w:szCs w:val="32"/>
          <w:lang w:val="en-US" w:eastAsia="zh-CN"/>
        </w:rPr>
        <w:t>557.83</w:t>
      </w:r>
      <w:r>
        <w:rPr>
          <w:rFonts w:hint="eastAsia" w:ascii="仿宋" w:hAnsi="仿宋" w:eastAsia="仿宋"/>
          <w:color w:val="000000"/>
          <w:sz w:val="32"/>
          <w:szCs w:val="32"/>
        </w:rPr>
        <w:t>万元，主要包括：基本工资、津贴补贴、奖金、绩效工资、机关事业单位基本养老保险缴费、职业年金缴费、其他社会保障缴费、抚恤金、生活补助、医疗费、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67.9</w:t>
      </w:r>
      <w:r>
        <w:rPr>
          <w:rFonts w:hint="eastAsia" w:ascii="仿宋" w:hAnsi="仿宋" w:eastAsia="仿宋"/>
          <w:color w:val="000000"/>
          <w:sz w:val="32"/>
          <w:szCs w:val="32"/>
        </w:rPr>
        <w:t>万元，主要包括：办公费、印刷费、水费、电费、邮电费、物业管理费、差旅费、维修（护）费、会议费、培训费、公务接待费、劳务费、工会经费、福利费、其他商品和服务支出、办公设备购置、专用设备购置、其他资本性支出等。</w:t>
      </w:r>
    </w:p>
    <w:p>
      <w:pPr>
        <w:spacing w:line="600" w:lineRule="exact"/>
        <w:ind w:firstLine="645"/>
        <w:rPr>
          <w:rFonts w:hint="eastAsia" w:ascii="仿宋" w:hAnsi="仿宋" w:eastAsia="仿宋"/>
          <w:color w:val="000000"/>
          <w:sz w:val="32"/>
          <w:szCs w:val="32"/>
          <w:lang w:val="en-US" w:eastAsia="zh-CN"/>
        </w:rPr>
      </w:pPr>
      <w:r>
        <w:rPr>
          <w:rFonts w:hint="eastAsia" w:ascii="仿宋" w:hAnsi="仿宋" w:eastAsia="仿宋"/>
          <w:color w:val="000000"/>
          <w:sz w:val="32"/>
          <w:szCs w:val="32"/>
          <w:lang w:eastAsia="zh-CN"/>
        </w:rPr>
        <w:t>对家庭和个人的补助</w:t>
      </w:r>
      <w:r>
        <w:rPr>
          <w:rFonts w:hint="eastAsia" w:ascii="仿宋" w:hAnsi="仿宋" w:eastAsia="仿宋"/>
          <w:color w:val="000000"/>
          <w:sz w:val="32"/>
          <w:szCs w:val="32"/>
          <w:lang w:val="en-US" w:eastAsia="zh-CN"/>
        </w:rPr>
        <w:t>160.52万元，主要包括：抚恤金和生活补助。</w:t>
      </w:r>
    </w:p>
    <w:p>
      <w:pPr>
        <w:spacing w:line="600" w:lineRule="exact"/>
        <w:ind w:firstLine="645"/>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资本性支出107.27万元，主要包括：房屋建筑物购建、专用设备购置、基础设施建设。</w:t>
      </w:r>
    </w:p>
    <w:p>
      <w:pPr>
        <w:spacing w:line="600" w:lineRule="exact"/>
        <w:ind w:firstLine="640"/>
        <w:outlineLvl w:val="1"/>
        <w:rPr>
          <w:rStyle w:val="26"/>
          <w:rFonts w:ascii="黑体" w:hAnsi="黑体" w:eastAsia="黑体"/>
          <w:b w:val="0"/>
        </w:rPr>
      </w:pPr>
      <w:bookmarkStart w:id="47" w:name="_Toc15396609"/>
      <w:bookmarkStart w:id="48"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7"/>
      <w:bookmarkEnd w:id="48"/>
    </w:p>
    <w:p>
      <w:pPr>
        <w:spacing w:line="600" w:lineRule="exact"/>
        <w:ind w:firstLine="640"/>
        <w:outlineLvl w:val="2"/>
        <w:rPr>
          <w:rFonts w:ascii="仿宋" w:hAnsi="仿宋" w:eastAsia="仿宋"/>
          <w:b/>
          <w:color w:val="000000"/>
          <w:sz w:val="32"/>
          <w:szCs w:val="32"/>
        </w:rPr>
      </w:pPr>
      <w:bookmarkStart w:id="49" w:name="_Toc15377216"/>
      <w:r>
        <w:rPr>
          <w:rFonts w:hint="eastAsia" w:ascii="仿宋" w:hAnsi="仿宋" w:eastAsia="仿宋"/>
          <w:b/>
          <w:color w:val="000000"/>
          <w:sz w:val="32"/>
          <w:szCs w:val="32"/>
        </w:rPr>
        <w:t>（一）“三公”经费财政拨款支出决算总体情况说明</w:t>
      </w:r>
      <w:bookmarkEnd w:id="4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0.56</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50" w:name="_Toc15377217"/>
      <w:r>
        <w:rPr>
          <w:rFonts w:hint="eastAsia" w:ascii="仿宋" w:hAnsi="仿宋" w:eastAsia="仿宋"/>
          <w:b/>
          <w:color w:val="000000"/>
          <w:sz w:val="32"/>
          <w:szCs w:val="32"/>
        </w:rPr>
        <w:t>（二）“三公”经费财政拨款支出决算具体情况说明</w:t>
      </w:r>
      <w:bookmarkEnd w:id="50"/>
    </w:p>
    <w:p>
      <w:pPr>
        <w:spacing w:line="600" w:lineRule="exact"/>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 xml:space="preserve">  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0.56</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58240" behindDoc="0" locked="0" layoutInCell="1" allowOverlap="1">
            <wp:simplePos x="0" y="0"/>
            <wp:positionH relativeFrom="margin">
              <wp:posOffset>130810</wp:posOffset>
            </wp:positionH>
            <wp:positionV relativeFrom="paragraph">
              <wp:posOffset>344805</wp:posOffset>
            </wp:positionV>
            <wp:extent cx="5274310" cy="3076575"/>
            <wp:effectExtent l="0" t="0" r="2540" b="9525"/>
            <wp:wrapSquare wrapText="bothSides"/>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rPr>
          <w:rFonts w:ascii="仿宋_GB2312" w:eastAsia="仿宋_GB2312"/>
          <w:b/>
          <w:color w:val="000000"/>
          <w:sz w:val="32"/>
          <w:szCs w:val="32"/>
        </w:rPr>
      </w:pPr>
      <w:r>
        <w:rPr>
          <w:rFonts w:hint="eastAsia" w:ascii="仿宋_GB2312" w:eastAsia="仿宋_GB2312"/>
          <w:b/>
          <w:color w:val="000000"/>
          <w:sz w:val="32"/>
          <w:szCs w:val="32"/>
        </w:rPr>
        <w:t>（1）因公出国（境）经费</w:t>
      </w:r>
    </w:p>
    <w:p>
      <w:pPr>
        <w:spacing w:line="600" w:lineRule="exact"/>
        <w:ind w:firstLine="800" w:firstLineChars="250"/>
        <w:rPr>
          <w:rFonts w:ascii="仿宋_GB2312" w:eastAsia="仿宋_GB2312"/>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年本单位没有因公出国境。</w:t>
      </w:r>
    </w:p>
    <w:p>
      <w:pPr>
        <w:spacing w:line="600" w:lineRule="exact"/>
        <w:rPr>
          <w:rFonts w:ascii="仿宋_GB2312" w:eastAsia="仿宋_GB2312"/>
          <w:b/>
          <w:color w:val="000000"/>
          <w:sz w:val="32"/>
          <w:szCs w:val="32"/>
        </w:rPr>
      </w:pPr>
      <w:r>
        <w:rPr>
          <w:rFonts w:hint="eastAsia" w:ascii="仿宋_GB2312" w:eastAsia="仿宋_GB2312"/>
          <w:b/>
          <w:color w:val="000000"/>
          <w:sz w:val="32"/>
          <w:szCs w:val="32"/>
        </w:rPr>
        <w:t>（</w:t>
      </w: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w:t>
      </w:r>
    </w:p>
    <w:p>
      <w:pPr>
        <w:spacing w:line="600" w:lineRule="exact"/>
        <w:ind w:firstLine="800" w:firstLineChars="250"/>
        <w:rPr>
          <w:rFonts w:hint="eastAsia" w:ascii="仿宋" w:hAnsi="仿宋" w:eastAsia="仿宋"/>
          <w:color w:val="000000"/>
          <w:sz w:val="32"/>
          <w:szCs w:val="32"/>
        </w:rPr>
      </w:pPr>
      <w:r>
        <w:rPr>
          <w:rFonts w:hint="eastAsia" w:ascii="仿宋" w:hAnsi="仿宋" w:eastAsia="仿宋"/>
          <w:color w:val="000000"/>
          <w:sz w:val="32"/>
          <w:szCs w:val="32"/>
        </w:rPr>
        <w:t>单位没有公务用车。</w:t>
      </w:r>
    </w:p>
    <w:p>
      <w:pPr>
        <w:spacing w:line="600" w:lineRule="exact"/>
        <w:rPr>
          <w:rFonts w:ascii="仿宋_GB2312" w:eastAsia="仿宋_GB2312"/>
          <w:b/>
          <w:color w:val="000000"/>
          <w:sz w:val="32"/>
          <w:szCs w:val="32"/>
        </w:rPr>
      </w:pPr>
      <w:r>
        <w:rPr>
          <w:rFonts w:hint="eastAsia" w:ascii="仿宋_GB2312" w:eastAsia="仿宋_GB2312"/>
          <w:b/>
          <w:color w:val="000000"/>
          <w:sz w:val="32"/>
          <w:szCs w:val="32"/>
        </w:rPr>
        <w:t>（2）公务接待费</w:t>
      </w:r>
    </w:p>
    <w:p>
      <w:pPr>
        <w:spacing w:line="600" w:lineRule="exact"/>
        <w:ind w:firstLine="800" w:firstLineChars="250"/>
        <w:rPr>
          <w:rFonts w:hint="eastAsia" w:ascii="仿宋" w:hAnsi="仿宋" w:eastAsia="仿宋"/>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年公务接待费</w:t>
      </w:r>
      <w:r>
        <w:rPr>
          <w:rFonts w:hint="eastAsia" w:ascii="仿宋" w:hAnsi="仿宋" w:eastAsia="仿宋"/>
          <w:color w:val="000000"/>
          <w:sz w:val="32"/>
          <w:szCs w:val="32"/>
          <w:lang w:val="en-US" w:eastAsia="zh-CN"/>
        </w:rPr>
        <w:t>0.56</w:t>
      </w:r>
      <w:r>
        <w:rPr>
          <w:rFonts w:hint="eastAsia" w:ascii="仿宋" w:hAnsi="仿宋" w:eastAsia="仿宋"/>
          <w:color w:val="000000"/>
          <w:sz w:val="32"/>
          <w:szCs w:val="32"/>
        </w:rPr>
        <w:t>万元。201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年公务接待费主要用于执行公务、开展业务活动开支的交通费、住宿费、用餐费等。国内公务接待</w:t>
      </w:r>
      <w:r>
        <w:rPr>
          <w:rFonts w:hint="eastAsia" w:ascii="仿宋" w:hAnsi="仿宋" w:eastAsia="仿宋"/>
          <w:color w:val="000000"/>
          <w:sz w:val="32"/>
          <w:szCs w:val="32"/>
          <w:lang w:val="en-US" w:eastAsia="zh-CN"/>
        </w:rPr>
        <w:t>63</w:t>
      </w:r>
      <w:r>
        <w:rPr>
          <w:rFonts w:hint="eastAsia" w:ascii="仿宋" w:hAnsi="仿宋" w:eastAsia="仿宋"/>
          <w:color w:val="000000"/>
          <w:sz w:val="32"/>
          <w:szCs w:val="32"/>
        </w:rPr>
        <w:t>批次，</w:t>
      </w:r>
      <w:r>
        <w:rPr>
          <w:rFonts w:hint="eastAsia" w:ascii="仿宋" w:hAnsi="仿宋" w:eastAsia="仿宋"/>
          <w:color w:val="000000"/>
          <w:sz w:val="32"/>
          <w:szCs w:val="32"/>
          <w:lang w:val="en-US" w:eastAsia="zh-CN"/>
        </w:rPr>
        <w:t>125</w:t>
      </w:r>
      <w:r>
        <w:rPr>
          <w:rFonts w:hint="eastAsia" w:ascii="仿宋" w:hAnsi="仿宋" w:eastAsia="仿宋"/>
          <w:color w:val="000000"/>
          <w:sz w:val="32"/>
          <w:szCs w:val="32"/>
        </w:rPr>
        <w:t>人次，共计支出</w:t>
      </w:r>
      <w:r>
        <w:rPr>
          <w:rFonts w:hint="eastAsia" w:ascii="仿宋" w:hAnsi="仿宋" w:eastAsia="仿宋"/>
          <w:color w:val="000000"/>
          <w:sz w:val="32"/>
          <w:szCs w:val="32"/>
          <w:lang w:val="en-US" w:eastAsia="zh-CN"/>
        </w:rPr>
        <w:t>0.56</w:t>
      </w:r>
      <w:r>
        <w:rPr>
          <w:rFonts w:hint="eastAsia" w:ascii="仿宋" w:hAnsi="仿宋" w:eastAsia="仿宋"/>
          <w:color w:val="000000"/>
          <w:sz w:val="32"/>
          <w:szCs w:val="32"/>
        </w:rPr>
        <w:t>万元。</w:t>
      </w:r>
    </w:p>
    <w:p>
      <w:pPr>
        <w:spacing w:line="600" w:lineRule="exact"/>
        <w:ind w:firstLine="640"/>
        <w:outlineLvl w:val="1"/>
        <w:rPr>
          <w:rStyle w:val="26"/>
          <w:rFonts w:ascii="黑体" w:hAnsi="黑体" w:eastAsia="黑体"/>
        </w:rPr>
      </w:pPr>
      <w:bookmarkStart w:id="51" w:name="_Toc15396610"/>
      <w:bookmarkStart w:id="52" w:name="_Toc15377218"/>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51"/>
      <w:bookmarkEnd w:id="52"/>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年政府性基金预算拨款支出0万元。</w:t>
      </w:r>
    </w:p>
    <w:p>
      <w:pPr>
        <w:numPr>
          <w:ilvl w:val="0"/>
          <w:numId w:val="2"/>
        </w:numPr>
        <w:spacing w:line="600" w:lineRule="exact"/>
        <w:ind w:firstLine="640"/>
        <w:outlineLvl w:val="1"/>
        <w:rPr>
          <w:rStyle w:val="26"/>
          <w:rFonts w:ascii="黑体" w:hAnsi="黑体" w:eastAsia="黑体"/>
          <w:b w:val="0"/>
        </w:rPr>
      </w:pPr>
      <w:bookmarkStart w:id="53" w:name="_Toc15377219"/>
      <w:bookmarkStart w:id="54" w:name="_Toc15396611"/>
      <w:r>
        <w:rPr>
          <w:rStyle w:val="26"/>
          <w:rFonts w:hint="eastAsia" w:ascii="黑体" w:hAnsi="黑体" w:eastAsia="黑体"/>
          <w:b w:val="0"/>
        </w:rPr>
        <w:t>国有资本经营预算支出决算情况说明</w:t>
      </w:r>
      <w:bookmarkEnd w:id="53"/>
      <w:bookmarkEnd w:id="5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年国有资本经营预算拨款支出0万元。</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年部门整体支出开展绩效自评，从评价情况来看全面完成了预算执行，达到了预期效果。</w:t>
      </w:r>
      <w:r>
        <w:rPr>
          <w:rFonts w:ascii="仿宋_GB2312" w:hAnsi="仿宋_GB2312" w:eastAsia="仿宋_GB2312" w:cs="仿宋_GB2312"/>
          <w:sz w:val="32"/>
          <w:szCs w:val="32"/>
        </w:rPr>
        <w:t xml:space="preserve"> </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本单位201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年度无项目执行情况。</w:t>
      </w: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年部门整体支出绩效评价情况开展自评，《开江县</w:t>
      </w:r>
      <w:r>
        <w:rPr>
          <w:rFonts w:hint="eastAsia" w:ascii="仿宋_GB2312" w:hAnsi="仿宋_GB2312" w:eastAsia="仿宋_GB2312" w:cs="仿宋_GB2312"/>
          <w:sz w:val="32"/>
          <w:szCs w:val="32"/>
          <w:lang w:eastAsia="zh-CN"/>
        </w:rPr>
        <w:t>靖安乡中心小学</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pPr>
        <w:spacing w:line="600" w:lineRule="exact"/>
        <w:ind w:firstLine="800" w:firstLineChars="250"/>
        <w:outlineLvl w:val="1"/>
        <w:rPr>
          <w:rStyle w:val="26"/>
          <w:rFonts w:ascii="黑体" w:hAnsi="黑体" w:eastAsia="黑体"/>
        </w:rPr>
      </w:pPr>
      <w:bookmarkStart w:id="55" w:name="_Toc15396612"/>
      <w:bookmarkStart w:id="56" w:name="_Toc15377221"/>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5"/>
      <w:bookmarkEnd w:id="56"/>
    </w:p>
    <w:p>
      <w:pPr>
        <w:spacing w:line="600" w:lineRule="exact"/>
        <w:ind w:firstLine="643" w:firstLineChars="200"/>
        <w:outlineLvl w:val="2"/>
        <w:rPr>
          <w:rFonts w:ascii="仿宋" w:hAnsi="仿宋" w:eastAsia="仿宋"/>
          <w:color w:val="000000"/>
          <w:sz w:val="32"/>
          <w:szCs w:val="32"/>
        </w:rPr>
      </w:pPr>
      <w:bookmarkStart w:id="57" w:name="_Toc15377222"/>
      <w:r>
        <w:rPr>
          <w:rFonts w:hint="eastAsia" w:ascii="仿宋" w:hAnsi="仿宋" w:eastAsia="仿宋"/>
          <w:b/>
          <w:color w:val="000000"/>
          <w:sz w:val="32"/>
          <w:szCs w:val="32"/>
        </w:rPr>
        <w:t>（一）机关运行经费支出情况</w:t>
      </w:r>
      <w:bookmarkEnd w:id="57"/>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年本单位无此项支出。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8" w:name="_Toc15377223"/>
      <w:r>
        <w:rPr>
          <w:rFonts w:hint="eastAsia" w:ascii="仿宋" w:hAnsi="仿宋" w:eastAsia="仿宋"/>
          <w:b/>
          <w:color w:val="000000"/>
          <w:sz w:val="32"/>
          <w:szCs w:val="32"/>
        </w:rPr>
        <w:t>（二）政府采购支出情况</w:t>
      </w:r>
      <w:bookmarkEnd w:id="58"/>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年，本</w:t>
      </w:r>
      <w:r>
        <w:rPr>
          <w:rFonts w:ascii="仿宋_GB2312" w:eastAsia="仿宋_GB2312"/>
          <w:color w:val="000000"/>
          <w:sz w:val="32"/>
          <w:szCs w:val="32"/>
        </w:rPr>
        <w:t>单位无此项支出</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9" w:name="_Toc15377224"/>
      <w:r>
        <w:rPr>
          <w:rFonts w:hint="eastAsia" w:ascii="仿宋" w:hAnsi="仿宋" w:eastAsia="仿宋"/>
          <w:b/>
          <w:color w:val="000000"/>
          <w:sz w:val="32"/>
          <w:szCs w:val="32"/>
        </w:rPr>
        <w:t>（三）国有资产占有使用情况</w:t>
      </w:r>
      <w:bookmarkEnd w:id="59"/>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日，本单位无国有资产占有使用情况。</w:t>
      </w:r>
    </w:p>
    <w:p>
      <w:pPr>
        <w:rPr>
          <w:rFonts w:ascii="仿宋_GB2312"/>
          <w:color w:val="000000"/>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9960"/>
      </w:tblGrid>
      <w:tr>
        <w:tblPrEx>
          <w:tblCellMar>
            <w:top w:w="0" w:type="dxa"/>
            <w:left w:w="0" w:type="dxa"/>
            <w:bottom w:w="0" w:type="dxa"/>
            <w:right w:w="0" w:type="dxa"/>
          </w:tblCellMar>
        </w:tblPrEx>
        <w:trPr>
          <w:trHeight w:val="1034" w:hRule="atLeast"/>
        </w:trPr>
        <w:tc>
          <w:tcPr>
            <w:tcW w:w="9960" w:type="dxa"/>
            <w:tcMar>
              <w:top w:w="15" w:type="dxa"/>
              <w:left w:w="15" w:type="dxa"/>
              <w:bottom w:w="0" w:type="dxa"/>
              <w:right w:w="15" w:type="dxa"/>
            </w:tcMar>
            <w:vAlign w:val="center"/>
          </w:tcPr>
          <w:p>
            <w:pPr>
              <w:jc w:val="center"/>
              <w:rPr>
                <w:rFonts w:ascii="黑体" w:hAnsi="黑体" w:eastAsia="黑体"/>
                <w:color w:val="000000"/>
                <w:sz w:val="32"/>
                <w:szCs w:val="32"/>
              </w:rPr>
            </w:pPr>
          </w:p>
          <w:p>
            <w:pPr>
              <w:pStyle w:val="24"/>
              <w:widowControl/>
              <w:ind w:left="4173" w:leftChars="1310" w:hanging="1422" w:hangingChars="395"/>
              <w:textAlignment w:val="center"/>
              <w:rPr>
                <w:rFonts w:ascii="黑体" w:hAnsi="黑体" w:eastAsia="黑体" w:cs="宋体"/>
                <w:bCs/>
                <w:color w:val="000000"/>
                <w:kern w:val="0"/>
                <w:sz w:val="36"/>
                <w:szCs w:val="36"/>
                <w:lang w:bidi="ar"/>
              </w:rPr>
            </w:pPr>
          </w:p>
          <w:p>
            <w:pPr>
              <w:pStyle w:val="24"/>
              <w:widowControl/>
              <w:ind w:left="4173" w:leftChars="1310" w:hanging="1422" w:hangingChars="395"/>
              <w:textAlignment w:val="center"/>
              <w:rPr>
                <w:rFonts w:ascii="宋体" w:hAnsi="宋体" w:cs="宋体"/>
                <w:color w:val="000000"/>
                <w:sz w:val="36"/>
                <w:szCs w:val="36"/>
              </w:rPr>
            </w:pPr>
          </w:p>
        </w:tc>
      </w:tr>
    </w:tbl>
    <w:p>
      <w:pPr>
        <w:widowControl/>
        <w:jc w:val="left"/>
        <w:rPr>
          <w:rFonts w:ascii="仿宋_GB2312" w:eastAsia="仿宋_GB2312"/>
          <w:b/>
          <w:color w:val="000000"/>
          <w:sz w:val="32"/>
          <w:szCs w:val="32"/>
        </w:rPr>
      </w:pPr>
    </w:p>
    <w:p>
      <w:pPr>
        <w:numPr>
          <w:ilvl w:val="0"/>
          <w:numId w:val="5"/>
        </w:numPr>
        <w:spacing w:line="600" w:lineRule="exact"/>
        <w:ind w:firstLine="663" w:firstLineChars="150"/>
        <w:jc w:val="center"/>
        <w:outlineLvl w:val="0"/>
        <w:rPr>
          <w:rFonts w:ascii="黑体" w:hAnsi="黑体" w:eastAsia="黑体"/>
          <w:bCs/>
          <w:kern w:val="44"/>
          <w:sz w:val="44"/>
          <w:szCs w:val="44"/>
        </w:rPr>
      </w:pPr>
      <w:bookmarkStart w:id="60" w:name="_Toc15396613"/>
      <w:bookmarkStart w:id="61" w:name="_Toc15377225"/>
      <w:r>
        <w:rPr>
          <w:rFonts w:hint="eastAsia" w:ascii="黑体" w:hAnsi="黑体" w:eastAsia="黑体"/>
          <w:b/>
          <w:color w:val="000000"/>
          <w:sz w:val="44"/>
          <w:szCs w:val="44"/>
        </w:rPr>
        <w:t>名</w:t>
      </w:r>
      <w:r>
        <w:rPr>
          <w:rStyle w:val="25"/>
          <w:rFonts w:hint="eastAsia" w:ascii="黑体" w:hAnsi="黑体" w:eastAsia="黑体"/>
          <w:b w:val="0"/>
        </w:rPr>
        <w:t>词解释</w:t>
      </w:r>
      <w:bookmarkEnd w:id="60"/>
      <w:bookmarkEnd w:id="61"/>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其他收入：指单位取得的除上述收入以外的各项。</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 xml:space="preserve">5. </w:t>
      </w:r>
      <w:r>
        <w:rPr>
          <w:rFonts w:hint="eastAsia" w:ascii="仿宋_GB2312" w:eastAsia="仿宋_GB2312"/>
          <w:sz w:val="32"/>
          <w:szCs w:val="32"/>
        </w:rPr>
        <w:t>年末结转和结余：指单位按有关规定结转到下年或以后年度继续使用的资金。</w:t>
      </w:r>
      <w:r>
        <w:rPr>
          <w:rFonts w:ascii="仿宋_GB2312" w:eastAsia="仿宋_GB2312"/>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800" w:firstLineChars="250"/>
        <w:jc w:val="left"/>
        <w:outlineLvl w:val="0"/>
        <w:rPr>
          <w:rFonts w:ascii="黑体" w:hAnsi="黑体" w:eastAsia="黑体"/>
          <w:color w:val="000000"/>
          <w:sz w:val="44"/>
          <w:szCs w:val="44"/>
        </w:rPr>
      </w:pPr>
      <w:r>
        <w:rPr>
          <w:rFonts w:ascii="仿宋_GB2312" w:eastAsia="仿宋_GB2312"/>
          <w:sz w:val="32"/>
          <w:szCs w:val="32"/>
        </w:rPr>
        <w:t>9.</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黑体" w:hAnsi="黑体" w:eastAsia="黑体"/>
          <w:color w:val="000000"/>
          <w:sz w:val="44"/>
          <w:szCs w:val="44"/>
        </w:rPr>
        <w:t xml:space="preserve"> </w:t>
      </w: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left"/>
        <w:outlineLvl w:val="0"/>
        <w:rPr>
          <w:rFonts w:ascii="黑体" w:hAnsi="黑体" w:eastAsia="黑体"/>
          <w:color w:val="000000"/>
          <w:sz w:val="44"/>
          <w:szCs w:val="44"/>
        </w:rPr>
      </w:pPr>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四部分 附件</w:t>
      </w:r>
    </w:p>
    <w:p>
      <w:pPr>
        <w:spacing w:line="600" w:lineRule="exact"/>
        <w:jc w:val="center"/>
        <w:outlineLvl w:val="0"/>
        <w:rPr>
          <w:rStyle w:val="25"/>
        </w:rPr>
      </w:pPr>
    </w:p>
    <w:p>
      <w:pPr>
        <w:pStyle w:val="3"/>
        <w:rPr>
          <w:rStyle w:val="25"/>
          <w:rFonts w:ascii="仿宋" w:hAnsi="仿宋" w:eastAsia="仿宋"/>
          <w:b w:val="0"/>
          <w:bCs w:val="0"/>
          <w:sz w:val="32"/>
          <w:szCs w:val="32"/>
        </w:rPr>
      </w:pPr>
      <w:bookmarkStart w:id="62" w:name="_Toc15396615"/>
      <w:r>
        <w:rPr>
          <w:rStyle w:val="25"/>
          <w:rFonts w:hint="eastAsia" w:ascii="仿宋" w:hAnsi="仿宋" w:eastAsia="仿宋"/>
          <w:b w:val="0"/>
          <w:bCs w:val="0"/>
          <w:sz w:val="32"/>
          <w:szCs w:val="32"/>
        </w:rPr>
        <w:t>附件1</w:t>
      </w:r>
      <w:bookmarkEnd w:id="62"/>
    </w:p>
    <w:p>
      <w:pPr>
        <w:spacing w:line="600" w:lineRule="exact"/>
        <w:jc w:val="center"/>
        <w:outlineLvl w:val="0"/>
        <w:rPr>
          <w:rFonts w:hint="eastAsia" w:ascii="黑体" w:hAnsi="黑体" w:eastAsia="黑体" w:cs="方正小标宋简体"/>
          <w:sz w:val="36"/>
          <w:szCs w:val="36"/>
          <w:lang w:eastAsia="zh-CN"/>
        </w:rPr>
      </w:pPr>
      <w:bookmarkStart w:id="63" w:name="_Toc15396616"/>
      <w:r>
        <w:rPr>
          <w:rFonts w:hint="eastAsia" w:ascii="黑体" w:hAnsi="黑体" w:eastAsia="黑体" w:cs="方正小标宋简体"/>
          <w:sz w:val="36"/>
          <w:szCs w:val="36"/>
        </w:rPr>
        <w:t>开江县</w:t>
      </w:r>
      <w:r>
        <w:rPr>
          <w:rFonts w:hint="eastAsia" w:ascii="黑体" w:hAnsi="黑体" w:eastAsia="黑体" w:cs="方正小标宋简体"/>
          <w:sz w:val="36"/>
          <w:szCs w:val="36"/>
          <w:lang w:eastAsia="zh-CN"/>
        </w:rPr>
        <w:t>靖安乡中心小学</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63"/>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widowControl/>
        <w:spacing w:line="480" w:lineRule="auto"/>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开</w:t>
      </w:r>
      <w:r>
        <w:rPr>
          <w:rFonts w:hint="eastAsia" w:ascii="仿宋" w:hAnsi="仿宋" w:eastAsia="仿宋"/>
          <w:color w:val="000000"/>
          <w:sz w:val="32"/>
          <w:szCs w:val="32"/>
        </w:rPr>
        <w:t>江县</w:t>
      </w:r>
      <w:r>
        <w:rPr>
          <w:rFonts w:hint="eastAsia" w:ascii="仿宋" w:hAnsi="仿宋" w:eastAsia="仿宋"/>
          <w:color w:val="000000"/>
          <w:sz w:val="32"/>
          <w:szCs w:val="32"/>
          <w:lang w:val="en-US" w:eastAsia="zh-CN"/>
        </w:rPr>
        <w:t>靖安乡中心小学</w:t>
      </w:r>
      <w:r>
        <w:rPr>
          <w:rFonts w:hint="eastAsia" w:ascii="仿宋" w:hAnsi="仿宋" w:eastAsia="仿宋"/>
          <w:color w:val="000000"/>
          <w:sz w:val="32"/>
          <w:szCs w:val="32"/>
        </w:rPr>
        <w:t>是一所乡镇农村完全</w:t>
      </w:r>
      <w:r>
        <w:rPr>
          <w:rFonts w:hint="eastAsia" w:ascii="仿宋" w:hAnsi="仿宋" w:eastAsia="仿宋"/>
          <w:color w:val="000000"/>
          <w:sz w:val="32"/>
          <w:szCs w:val="32"/>
          <w:lang w:val="en-US" w:eastAsia="zh-CN"/>
        </w:rPr>
        <w:t>小</w:t>
      </w:r>
      <w:r>
        <w:rPr>
          <w:rFonts w:hint="eastAsia" w:ascii="仿宋" w:hAnsi="仿宋" w:eastAsia="仿宋"/>
          <w:color w:val="000000"/>
          <w:sz w:val="32"/>
          <w:szCs w:val="32"/>
        </w:rPr>
        <w:t>学，属全额财政拨款事业单位，在职在编教职工</w:t>
      </w:r>
      <w:r>
        <w:rPr>
          <w:rFonts w:hint="eastAsia" w:ascii="仿宋" w:hAnsi="仿宋" w:eastAsia="仿宋"/>
          <w:color w:val="000000"/>
          <w:sz w:val="32"/>
          <w:szCs w:val="32"/>
          <w:lang w:val="en-US" w:eastAsia="zh-CN"/>
        </w:rPr>
        <w:t>65</w:t>
      </w:r>
      <w:r>
        <w:rPr>
          <w:rFonts w:hint="eastAsia" w:ascii="仿宋" w:hAnsi="仿宋" w:eastAsia="仿宋"/>
          <w:color w:val="000000"/>
          <w:sz w:val="32"/>
          <w:szCs w:val="32"/>
        </w:rPr>
        <w:t>人，退休教职工5</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人，</w:t>
      </w:r>
      <w:r>
        <w:rPr>
          <w:rFonts w:hint="eastAsia" w:ascii="仿宋" w:hAnsi="仿宋" w:eastAsia="仿宋"/>
          <w:color w:val="000000"/>
          <w:sz w:val="32"/>
          <w:szCs w:val="32"/>
          <w:lang w:val="en-US" w:eastAsia="zh-CN"/>
        </w:rPr>
        <w:t>在校</w:t>
      </w:r>
      <w:r>
        <w:rPr>
          <w:rFonts w:hint="eastAsia" w:ascii="仿宋" w:hAnsi="仿宋" w:eastAsia="仿宋"/>
          <w:color w:val="000000"/>
          <w:sz w:val="32"/>
          <w:szCs w:val="32"/>
        </w:rPr>
        <w:t>学生</w:t>
      </w:r>
      <w:r>
        <w:rPr>
          <w:rFonts w:hint="eastAsia" w:ascii="仿宋" w:hAnsi="仿宋" w:eastAsia="仿宋"/>
          <w:color w:val="000000"/>
          <w:sz w:val="32"/>
          <w:szCs w:val="32"/>
          <w:lang w:val="en-US" w:eastAsia="zh-CN"/>
        </w:rPr>
        <w:t>804</w:t>
      </w:r>
      <w:r>
        <w:rPr>
          <w:rFonts w:hint="eastAsia" w:ascii="仿宋" w:hAnsi="仿宋" w:eastAsia="仿宋"/>
          <w:color w:val="000000"/>
          <w:sz w:val="32"/>
          <w:szCs w:val="32"/>
        </w:rPr>
        <w:t>人</w:t>
      </w:r>
      <w:r>
        <w:rPr>
          <w:rFonts w:hint="eastAsia" w:ascii="仿宋" w:hAnsi="仿宋" w:eastAsia="仿宋"/>
          <w:color w:val="000000"/>
          <w:sz w:val="32"/>
          <w:szCs w:val="32"/>
          <w:lang w:eastAsia="zh-CN"/>
        </w:rPr>
        <w:t>，</w:t>
      </w:r>
      <w:r>
        <w:rPr>
          <w:rFonts w:hint="eastAsia" w:ascii="仿宋" w:hAnsi="仿宋" w:eastAsia="仿宋"/>
          <w:color w:val="000000"/>
          <w:sz w:val="32"/>
          <w:szCs w:val="32"/>
        </w:rPr>
        <w:t>地处开江县</w:t>
      </w:r>
      <w:r>
        <w:rPr>
          <w:rFonts w:hint="eastAsia" w:ascii="仿宋" w:hAnsi="仿宋" w:eastAsia="仿宋"/>
          <w:color w:val="000000"/>
          <w:sz w:val="32"/>
          <w:szCs w:val="32"/>
          <w:lang w:val="en-US" w:eastAsia="zh-CN"/>
        </w:rPr>
        <w:t>靖安街道290</w:t>
      </w:r>
      <w:r>
        <w:rPr>
          <w:rFonts w:hint="eastAsia" w:ascii="仿宋" w:hAnsi="仿宋" w:eastAsia="仿宋"/>
          <w:color w:val="000000"/>
          <w:sz w:val="32"/>
          <w:szCs w:val="32"/>
        </w:rPr>
        <w:t>号。</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年度收入合计</w:t>
      </w:r>
      <w:r>
        <w:rPr>
          <w:rFonts w:hint="eastAsia" w:ascii="仿宋" w:hAnsi="仿宋" w:eastAsia="仿宋"/>
          <w:color w:val="000000"/>
          <w:sz w:val="32"/>
          <w:szCs w:val="32"/>
          <w:lang w:val="en-US" w:eastAsia="zh-CN"/>
        </w:rPr>
        <w:t>796.26</w:t>
      </w:r>
      <w:r>
        <w:rPr>
          <w:rFonts w:hint="eastAsia" w:ascii="仿宋" w:hAnsi="仿宋" w:eastAsia="仿宋"/>
          <w:color w:val="000000"/>
          <w:sz w:val="32"/>
          <w:szCs w:val="32"/>
        </w:rPr>
        <w:t>万元。本年财政拨款收入</w:t>
      </w:r>
      <w:r>
        <w:rPr>
          <w:rFonts w:hint="eastAsia" w:ascii="仿宋" w:hAnsi="仿宋" w:eastAsia="仿宋"/>
          <w:color w:val="000000"/>
          <w:sz w:val="32"/>
          <w:szCs w:val="32"/>
          <w:lang w:val="en-US" w:eastAsia="zh-CN"/>
        </w:rPr>
        <w:t>796.26</w:t>
      </w:r>
      <w:r>
        <w:rPr>
          <w:rFonts w:hint="eastAsia" w:ascii="仿宋" w:hAnsi="仿宋" w:eastAsia="仿宋"/>
          <w:color w:val="000000"/>
          <w:sz w:val="32"/>
          <w:szCs w:val="32"/>
        </w:rPr>
        <w:t>万元，。2</w:t>
      </w:r>
      <w:r>
        <w:rPr>
          <w:rFonts w:ascii="仿宋" w:hAnsi="仿宋" w:eastAsia="仿宋"/>
          <w:color w:val="000000"/>
          <w:sz w:val="32"/>
          <w:szCs w:val="32"/>
        </w:rPr>
        <w:t>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年度本年支出</w:t>
      </w:r>
      <w:r>
        <w:rPr>
          <w:rFonts w:hint="eastAsia" w:ascii="仿宋" w:hAnsi="仿宋" w:eastAsia="仿宋"/>
          <w:color w:val="000000"/>
          <w:sz w:val="32"/>
          <w:szCs w:val="32"/>
          <w:lang w:val="en-US" w:eastAsia="zh-CN"/>
        </w:rPr>
        <w:t>893.52</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年相比，收入</w:t>
      </w:r>
      <w:r>
        <w:rPr>
          <w:rFonts w:hint="eastAsia" w:ascii="仿宋" w:hAnsi="仿宋" w:eastAsia="仿宋"/>
          <w:color w:val="000000"/>
          <w:sz w:val="32"/>
          <w:szCs w:val="32"/>
          <w:lang w:eastAsia="zh-CN"/>
        </w:rPr>
        <w:t>增加了</w:t>
      </w:r>
      <w:r>
        <w:rPr>
          <w:rFonts w:hint="eastAsia" w:ascii="仿宋" w:hAnsi="仿宋" w:eastAsia="仿宋"/>
          <w:color w:val="000000"/>
          <w:sz w:val="32"/>
          <w:szCs w:val="32"/>
          <w:lang w:val="en-US" w:eastAsia="zh-CN"/>
        </w:rPr>
        <w:t>30.68</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rPr>
        <w:t>了</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。主要变动原</w:t>
      </w:r>
      <w:r>
        <w:rPr>
          <w:rFonts w:hint="eastAsia" w:ascii="仿宋_GB2312" w:eastAsia="仿宋_GB2312"/>
          <w:color w:val="000000"/>
          <w:sz w:val="32"/>
          <w:szCs w:val="32"/>
          <w:lang w:eastAsia="zh-CN"/>
        </w:rPr>
        <w:t>因是</w:t>
      </w:r>
      <w:r>
        <w:rPr>
          <w:rFonts w:hint="eastAsia" w:ascii="仿宋_GB2312" w:eastAsia="仿宋_GB2312"/>
          <w:color w:val="000000"/>
          <w:sz w:val="32"/>
          <w:szCs w:val="32"/>
        </w:rPr>
        <w:t>年初有结余。与2</w:t>
      </w:r>
      <w:r>
        <w:rPr>
          <w:rFonts w:ascii="仿宋_GB2312" w:eastAsia="仿宋_GB2312"/>
          <w:color w:val="000000"/>
          <w:sz w:val="32"/>
          <w:szCs w:val="32"/>
        </w:rPr>
        <w:t>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年相比，支出</w:t>
      </w:r>
      <w:r>
        <w:rPr>
          <w:rFonts w:hint="eastAsia" w:ascii="仿宋_GB2312" w:eastAsia="仿宋_GB2312"/>
          <w:color w:val="000000"/>
          <w:sz w:val="32"/>
          <w:szCs w:val="32"/>
          <w:lang w:eastAsia="zh-CN"/>
        </w:rPr>
        <w:t>减少</w:t>
      </w:r>
      <w:r>
        <w:rPr>
          <w:rFonts w:hint="eastAsia" w:ascii="仿宋_GB2312" w:eastAsia="仿宋_GB2312"/>
          <w:color w:val="000000"/>
          <w:sz w:val="32"/>
          <w:szCs w:val="32"/>
        </w:rPr>
        <w:t>了</w:t>
      </w:r>
      <w:r>
        <w:rPr>
          <w:rFonts w:hint="eastAsia" w:ascii="仿宋_GB2312" w:eastAsia="仿宋_GB2312"/>
          <w:color w:val="000000"/>
          <w:sz w:val="32"/>
          <w:szCs w:val="32"/>
          <w:lang w:val="en-US" w:eastAsia="zh-CN"/>
        </w:rPr>
        <w:t>111.74</w:t>
      </w:r>
      <w:r>
        <w:rPr>
          <w:rFonts w:hint="eastAsia" w:ascii="仿宋_GB2312" w:eastAsia="仿宋_GB2312"/>
          <w:color w:val="000000"/>
          <w:sz w:val="32"/>
          <w:szCs w:val="32"/>
        </w:rPr>
        <w:t>万元。</w:t>
      </w:r>
      <w:r>
        <w:rPr>
          <w:rFonts w:ascii="仿宋" w:hAnsi="仿宋" w:eastAsia="仿宋" w:cs="仿宋_GB2312"/>
          <w:sz w:val="32"/>
          <w:szCs w:val="32"/>
        </w:rPr>
        <w:t>（二）部门财政资金支出情况</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年般公共预算支出决算数为</w:t>
      </w:r>
      <w:r>
        <w:rPr>
          <w:rFonts w:hint="eastAsia" w:ascii="仿宋_GB2312" w:eastAsia="仿宋_GB2312"/>
          <w:color w:val="000000"/>
          <w:sz w:val="32"/>
          <w:szCs w:val="32"/>
          <w:lang w:val="en-US" w:eastAsia="zh-CN"/>
        </w:rPr>
        <w:t>893.52</w:t>
      </w:r>
      <w:r>
        <w:rPr>
          <w:rFonts w:hint="eastAsia" w:ascii="仿宋_GB2312" w:eastAsia="仿宋_GB2312"/>
          <w:color w:val="000000"/>
          <w:sz w:val="32"/>
          <w:szCs w:val="32"/>
        </w:rPr>
        <w:t>，完成预算100%。其中：</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1.教育（类）工资福利支出: 支出决算为</w:t>
      </w:r>
      <w:r>
        <w:rPr>
          <w:rFonts w:hint="eastAsia" w:ascii="仿宋_GB2312" w:eastAsia="仿宋_GB2312"/>
          <w:color w:val="000000"/>
          <w:sz w:val="32"/>
          <w:szCs w:val="32"/>
          <w:lang w:val="en-US" w:eastAsia="zh-CN"/>
        </w:rPr>
        <w:t>747.16</w:t>
      </w:r>
      <w:r>
        <w:rPr>
          <w:rFonts w:hint="eastAsia" w:ascii="仿宋_GB2312" w:eastAsia="仿宋_GB2312"/>
          <w:color w:val="000000"/>
          <w:sz w:val="32"/>
          <w:szCs w:val="32"/>
        </w:rPr>
        <w:t>万元，完成预算100%。</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2.社会保障和就业（类） ： 支出决算为</w:t>
      </w:r>
      <w:r>
        <w:rPr>
          <w:rFonts w:hint="eastAsia" w:ascii="仿宋_GB2312" w:eastAsia="仿宋_GB2312"/>
          <w:color w:val="000000"/>
          <w:sz w:val="32"/>
          <w:szCs w:val="32"/>
          <w:lang w:val="en-US" w:eastAsia="zh-CN"/>
        </w:rPr>
        <w:t>74.69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其中</w:t>
      </w:r>
      <w:r>
        <w:rPr>
          <w:rFonts w:hint="eastAsia" w:ascii="仿宋_GB2312" w:eastAsia="仿宋_GB2312"/>
          <w:color w:val="000000"/>
          <w:sz w:val="32"/>
          <w:szCs w:val="32"/>
        </w:rPr>
        <w:t>机关事业单位基本养老保险缴费支出决算为</w:t>
      </w:r>
      <w:r>
        <w:rPr>
          <w:rFonts w:hint="eastAsia" w:ascii="仿宋_GB2312" w:eastAsia="仿宋_GB2312"/>
          <w:color w:val="000000"/>
          <w:sz w:val="32"/>
          <w:szCs w:val="32"/>
          <w:lang w:val="en-US" w:eastAsia="zh-CN"/>
        </w:rPr>
        <w:t>69.94</w:t>
      </w:r>
      <w:r>
        <w:rPr>
          <w:rFonts w:hint="eastAsia" w:ascii="仿宋_GB2312" w:eastAsia="仿宋_GB2312"/>
          <w:color w:val="000000"/>
          <w:sz w:val="32"/>
          <w:szCs w:val="32"/>
        </w:rPr>
        <w:t>万</w:t>
      </w:r>
      <w:r>
        <w:rPr>
          <w:rFonts w:hint="eastAsia" w:ascii="仿宋_GB2312" w:eastAsia="仿宋_GB2312"/>
          <w:color w:val="000000"/>
          <w:sz w:val="32"/>
          <w:szCs w:val="32"/>
          <w:lang w:eastAsia="zh-CN"/>
        </w:rPr>
        <w:t>元。</w:t>
      </w:r>
      <w:r>
        <w:rPr>
          <w:rFonts w:hint="eastAsia" w:ascii="仿宋_GB2312" w:eastAsia="仿宋_GB2312"/>
          <w:color w:val="000000"/>
          <w:sz w:val="32"/>
          <w:szCs w:val="32"/>
        </w:rPr>
        <w:t xml:space="preserve">完成预算100%。。 </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3.医疗卫生与计划生育（类）事业单位医疗保险及其他保险：支出决算为</w:t>
      </w:r>
      <w:r>
        <w:rPr>
          <w:rFonts w:hint="eastAsia" w:ascii="仿宋_GB2312" w:eastAsia="仿宋_GB2312"/>
          <w:color w:val="000000"/>
          <w:sz w:val="32"/>
          <w:szCs w:val="32"/>
          <w:lang w:val="en-US" w:eastAsia="zh-CN"/>
        </w:rPr>
        <w:t>24.57</w:t>
      </w:r>
      <w:r>
        <w:rPr>
          <w:rFonts w:hint="eastAsia" w:ascii="仿宋_GB2312" w:eastAsia="仿宋_GB2312"/>
          <w:color w:val="000000"/>
          <w:sz w:val="32"/>
          <w:szCs w:val="32"/>
        </w:rPr>
        <w:t xml:space="preserve">万元，完成预算100%。 </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 住房保障支出（类）住房公积金：支出决算为</w:t>
      </w:r>
      <w:r>
        <w:rPr>
          <w:rFonts w:hint="eastAsia" w:ascii="仿宋_GB2312" w:eastAsia="仿宋_GB2312"/>
          <w:color w:val="000000"/>
          <w:sz w:val="32"/>
          <w:szCs w:val="32"/>
          <w:lang w:val="en-US" w:eastAsia="zh-CN"/>
        </w:rPr>
        <w:t>47.10</w:t>
      </w:r>
      <w:r>
        <w:rPr>
          <w:rFonts w:hint="eastAsia" w:ascii="仿宋_GB2312" w:eastAsia="仿宋_GB2312"/>
          <w:color w:val="000000"/>
          <w:sz w:val="32"/>
          <w:szCs w:val="32"/>
        </w:rPr>
        <w:t>万元。完成预算100%。</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5.对个人和家庭的补助：支出决算为</w:t>
      </w:r>
      <w:r>
        <w:rPr>
          <w:rFonts w:hint="eastAsia" w:ascii="仿宋_GB2312" w:eastAsia="仿宋_GB2312"/>
          <w:color w:val="000000"/>
          <w:sz w:val="32"/>
          <w:szCs w:val="32"/>
          <w:lang w:val="en-US" w:eastAsia="zh-CN"/>
        </w:rPr>
        <w:t>160.52</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其中抚恤金</w:t>
      </w:r>
      <w:r>
        <w:rPr>
          <w:rFonts w:hint="eastAsia" w:ascii="仿宋_GB2312" w:eastAsia="仿宋_GB2312"/>
          <w:color w:val="000000"/>
          <w:sz w:val="32"/>
          <w:szCs w:val="32"/>
          <w:lang w:val="en-US" w:eastAsia="zh-CN"/>
        </w:rPr>
        <w:t>4.75万元，</w:t>
      </w:r>
      <w:r>
        <w:rPr>
          <w:rFonts w:hint="eastAsia" w:ascii="仿宋_GB2312" w:eastAsia="仿宋_GB2312"/>
          <w:color w:val="000000"/>
          <w:sz w:val="32"/>
          <w:szCs w:val="32"/>
        </w:rPr>
        <w:t>完成预算100%。</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6.商品和服务支出：支出决算为</w:t>
      </w:r>
      <w:r>
        <w:rPr>
          <w:rFonts w:hint="eastAsia" w:ascii="仿宋_GB2312" w:eastAsia="仿宋_GB2312"/>
          <w:color w:val="000000"/>
          <w:sz w:val="32"/>
          <w:szCs w:val="32"/>
          <w:lang w:val="en-US" w:eastAsia="zh-CN"/>
        </w:rPr>
        <w:t>67.90</w:t>
      </w:r>
      <w:r>
        <w:rPr>
          <w:rFonts w:hint="eastAsia" w:ascii="仿宋_GB2312" w:eastAsia="仿宋_GB2312"/>
          <w:color w:val="000000"/>
          <w:sz w:val="32"/>
          <w:szCs w:val="32"/>
        </w:rPr>
        <w:t>万元。完成预算100%。</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w:t>
      </w:r>
      <w:r>
        <w:rPr>
          <w:rFonts w:hint="eastAsia" w:ascii="仿宋" w:hAnsi="仿宋" w:eastAsia="仿宋" w:cs="仿宋_GB2312"/>
          <w:sz w:val="32"/>
          <w:szCs w:val="32"/>
          <w:lang w:eastAsia="zh-CN"/>
        </w:rPr>
        <w:t>靖安乡</w:t>
      </w:r>
      <w:r>
        <w:rPr>
          <w:rFonts w:hint="eastAsia" w:ascii="仿宋" w:hAnsi="仿宋" w:eastAsia="仿宋" w:cs="仿宋_GB2312"/>
          <w:sz w:val="32"/>
          <w:szCs w:val="32"/>
        </w:rPr>
        <w:t>中心小学</w:t>
      </w:r>
      <w:bookmarkStart w:id="78" w:name="_GoBack"/>
      <w:bookmarkEnd w:id="78"/>
      <w:r>
        <w:rPr>
          <w:rFonts w:hint="eastAsia" w:ascii="仿宋" w:hAnsi="仿宋" w:eastAsia="仿宋" w:cs="仿宋_GB2312"/>
          <w:sz w:val="32"/>
          <w:szCs w:val="32"/>
        </w:rPr>
        <w:t>以“部门职责—工作活动”为依据，确定部门预算项目和预算额度，清晰描述预算项目开支范围和内容，确定预算项目的绩效目标、绩效指标和评价标准，为预算绩效控制、绩效分析、绩效评价打下好的基础。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按规定要求履行了立项手续，可行性研究报告、概算批复文件、专家论证等相关附件资料齐全，项目预算资金科学合理。2、财政资金拨付到位及时。3、已建立项目管理制度并按照项目管理制度要求执行。4、按期保质保量完成建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通过绩效评价，我们认为，201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年度部门预算具有明确的用途和目标，制定了详细的执行计划，资金到位及时并严格按照财政有关规定使用。预算决策、管理、执行等日益规范，能较好地满足工作需要，取得了良好经济效益和社会效益</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1、学校的固定资产管理还有待加强，下年度将按照标准逐步完善。</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2、更加科学合理的编制预算。本年度预算完成率分值被扣4分，下一会计年度努力学习预算制度，更加合理地编制预算，使预算、决算差异更小。</w:t>
      </w:r>
    </w:p>
    <w:p>
      <w:pPr>
        <w:spacing w:line="58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3、部分绩效指标及目标值有待进一步细化和量化。</w:t>
      </w:r>
      <w:r>
        <w:rPr>
          <w:rFonts w:ascii="仿宋_GB2312" w:hAnsi="仿宋_GB2312" w:eastAsia="仿宋_GB2312" w:cs="仿宋_GB2312"/>
          <w:sz w:val="32"/>
          <w:szCs w:val="32"/>
          <w:lang w:val="en"/>
        </w:rPr>
        <w:t>  </w:t>
      </w:r>
    </w:p>
    <w:p>
      <w:pPr>
        <w:spacing w:line="58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4、部门整体预算执行率未达到</w:t>
      </w:r>
      <w:r>
        <w:rPr>
          <w:rFonts w:ascii="仿宋_GB2312" w:hAnsi="仿宋_GB2312" w:eastAsia="仿宋_GB2312" w:cs="仿宋_GB2312"/>
          <w:sz w:val="32"/>
          <w:szCs w:val="32"/>
          <w:lang w:val="en"/>
        </w:rPr>
        <w:t>95%</w:t>
      </w:r>
      <w:r>
        <w:rPr>
          <w:rFonts w:hint="eastAsia" w:ascii="仿宋_GB2312" w:hAnsi="仿宋_GB2312" w:eastAsia="仿宋_GB2312" w:cs="仿宋_GB2312"/>
          <w:sz w:val="32"/>
          <w:szCs w:val="32"/>
          <w:lang w:val="en"/>
        </w:rPr>
        <w:t>，预算执行有待提升。</w:t>
      </w:r>
      <w:r>
        <w:rPr>
          <w:rFonts w:ascii="仿宋_GB2312" w:hAnsi="仿宋_GB2312" w:eastAsia="仿宋_GB2312" w:cs="仿宋_GB2312"/>
          <w:sz w:val="32"/>
          <w:szCs w:val="32"/>
          <w:lang w:val="en"/>
        </w:rPr>
        <w:t> </w:t>
      </w:r>
    </w:p>
    <w:p>
      <w:pPr>
        <w:spacing w:line="58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5、尚未针对绩效考评制定比较明确的实施细则，有待进</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5"/>
          <w:rFonts w:ascii="黑体" w:hAnsi="黑体" w:eastAsia="黑体"/>
          <w:b w:val="0"/>
        </w:rPr>
      </w:pPr>
      <w:bookmarkStart w:id="64"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64"/>
    </w:p>
    <w:p>
      <w:pPr>
        <w:pStyle w:val="3"/>
        <w:rPr>
          <w:rFonts w:ascii="仿宋" w:hAnsi="仿宋" w:eastAsia="仿宋"/>
          <w:color w:val="000000"/>
        </w:rPr>
      </w:pPr>
      <w:bookmarkStart w:id="65"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5"/>
    </w:p>
    <w:p>
      <w:pPr>
        <w:pStyle w:val="3"/>
        <w:rPr>
          <w:rFonts w:ascii="仿宋" w:hAnsi="仿宋" w:eastAsia="仿宋"/>
          <w:color w:val="000000"/>
        </w:rPr>
      </w:pPr>
      <w:bookmarkStart w:id="66"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6"/>
    </w:p>
    <w:p>
      <w:pPr>
        <w:pStyle w:val="3"/>
        <w:rPr>
          <w:rFonts w:ascii="仿宋" w:hAnsi="仿宋" w:eastAsia="仿宋"/>
          <w:color w:val="000000"/>
        </w:rPr>
      </w:pPr>
      <w:bookmarkStart w:id="67"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7"/>
    </w:p>
    <w:p>
      <w:pPr>
        <w:pStyle w:val="3"/>
        <w:rPr>
          <w:rFonts w:ascii="仿宋" w:hAnsi="仿宋" w:eastAsia="仿宋"/>
          <w:b w:val="0"/>
          <w:color w:val="000000"/>
        </w:rPr>
      </w:pPr>
      <w:bookmarkStart w:id="68"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8"/>
    </w:p>
    <w:p>
      <w:pPr>
        <w:pStyle w:val="3"/>
        <w:rPr>
          <w:rFonts w:ascii="仿宋" w:hAnsi="仿宋" w:eastAsia="仿宋"/>
          <w:color w:val="000000"/>
        </w:rPr>
      </w:pPr>
      <w:bookmarkStart w:id="69"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9"/>
    </w:p>
    <w:p>
      <w:pPr>
        <w:pStyle w:val="3"/>
        <w:rPr>
          <w:rFonts w:ascii="仿宋" w:hAnsi="仿宋" w:eastAsia="仿宋"/>
          <w:color w:val="000000"/>
        </w:rPr>
      </w:pPr>
      <w:bookmarkStart w:id="70"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70"/>
    </w:p>
    <w:p>
      <w:pPr>
        <w:pStyle w:val="3"/>
        <w:rPr>
          <w:rFonts w:ascii="仿宋" w:hAnsi="仿宋" w:eastAsia="仿宋"/>
          <w:color w:val="000000"/>
        </w:rPr>
      </w:pPr>
      <w:bookmarkStart w:id="71"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71"/>
    </w:p>
    <w:p>
      <w:pPr>
        <w:pStyle w:val="3"/>
        <w:rPr>
          <w:rFonts w:ascii="仿宋" w:hAnsi="仿宋" w:eastAsia="仿宋"/>
          <w:color w:val="000000"/>
        </w:rPr>
      </w:pPr>
      <w:bookmarkStart w:id="72"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72"/>
    </w:p>
    <w:p>
      <w:pPr>
        <w:pStyle w:val="3"/>
        <w:rPr>
          <w:rFonts w:ascii="仿宋" w:hAnsi="仿宋" w:eastAsia="仿宋"/>
          <w:color w:val="000000"/>
        </w:rPr>
      </w:pPr>
      <w:bookmarkStart w:id="73"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3"/>
    </w:p>
    <w:p>
      <w:pPr>
        <w:pStyle w:val="3"/>
        <w:rPr>
          <w:rFonts w:ascii="仿宋" w:hAnsi="仿宋" w:eastAsia="仿宋"/>
          <w:color w:val="000000"/>
        </w:rPr>
      </w:pPr>
      <w:bookmarkStart w:id="74"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4"/>
    </w:p>
    <w:p>
      <w:pPr>
        <w:pStyle w:val="3"/>
        <w:rPr>
          <w:rFonts w:ascii="仿宋" w:hAnsi="仿宋" w:eastAsia="仿宋"/>
          <w:color w:val="000000"/>
        </w:rPr>
      </w:pPr>
      <w:bookmarkStart w:id="75"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5"/>
    </w:p>
    <w:p>
      <w:pPr>
        <w:pStyle w:val="3"/>
        <w:rPr>
          <w:rFonts w:ascii="仿宋" w:hAnsi="仿宋" w:eastAsia="仿宋"/>
          <w:color w:val="000000"/>
        </w:rPr>
      </w:pPr>
      <w:bookmarkStart w:id="76"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6"/>
    </w:p>
    <w:p>
      <w:pPr>
        <w:pStyle w:val="3"/>
        <w:rPr>
          <w:rStyle w:val="26"/>
          <w:rFonts w:hint="eastAsia" w:ascii="仿宋" w:hAnsi="仿宋" w:eastAsia="仿宋"/>
          <w:b w:val="0"/>
          <w:bCs w:val="0"/>
        </w:rPr>
      </w:pPr>
      <w:bookmarkStart w:id="77"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7"/>
    </w:p>
    <w:p>
      <w:pPr>
        <w:jc w:val="right"/>
        <w:rPr>
          <w:rStyle w:val="26"/>
          <w:rFonts w:hint="eastAsia" w:ascii="仿宋" w:hAnsi="仿宋" w:eastAsia="仿宋"/>
          <w:b w:val="0"/>
          <w:bCs w:val="0"/>
          <w:lang w:val="en-US" w:eastAsia="zh-CN"/>
        </w:rPr>
      </w:pPr>
      <w:r>
        <w:rPr>
          <w:rStyle w:val="26"/>
          <w:rFonts w:hint="eastAsia" w:ascii="仿宋" w:hAnsi="仿宋" w:eastAsia="仿宋"/>
          <w:b w:val="0"/>
          <w:bCs w:val="0"/>
          <w:lang w:eastAsia="zh-CN"/>
        </w:rPr>
        <w:t>开江县靖安乡中心小学</w:t>
      </w:r>
      <w:r>
        <w:rPr>
          <w:rStyle w:val="26"/>
          <w:rFonts w:hint="eastAsia" w:ascii="仿宋" w:hAnsi="仿宋" w:eastAsia="仿宋"/>
          <w:b w:val="0"/>
          <w:bCs w:val="0"/>
          <w:lang w:val="en-US" w:eastAsia="zh-CN"/>
        </w:rPr>
        <w:t xml:space="preserve"> </w:t>
      </w:r>
    </w:p>
    <w:p>
      <w:pPr>
        <w:jc w:val="right"/>
        <w:rPr>
          <w:rFonts w:ascii="仿宋_GB2312" w:eastAsia="仿宋_GB2312"/>
          <w:sz w:val="32"/>
          <w:szCs w:val="32"/>
        </w:rPr>
      </w:pPr>
      <w:r>
        <w:rPr>
          <w:rStyle w:val="26"/>
          <w:rFonts w:hint="eastAsia" w:ascii="仿宋" w:hAnsi="仿宋" w:eastAsia="仿宋"/>
          <w:b w:val="0"/>
          <w:bCs w:val="0"/>
          <w:lang w:val="en-US" w:eastAsia="zh-CN"/>
        </w:rPr>
        <w:t>2020年9月18日</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14195"/>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3298A"/>
    <w:rsid w:val="0014729F"/>
    <w:rsid w:val="00157BAB"/>
    <w:rsid w:val="001654D1"/>
    <w:rsid w:val="0018106D"/>
    <w:rsid w:val="001877A7"/>
    <w:rsid w:val="00191536"/>
    <w:rsid w:val="00196687"/>
    <w:rsid w:val="001A5278"/>
    <w:rsid w:val="001C0962"/>
    <w:rsid w:val="001D7531"/>
    <w:rsid w:val="001E737D"/>
    <w:rsid w:val="001F0592"/>
    <w:rsid w:val="001F7506"/>
    <w:rsid w:val="002006CD"/>
    <w:rsid w:val="00202B36"/>
    <w:rsid w:val="00204B7A"/>
    <w:rsid w:val="0021101A"/>
    <w:rsid w:val="00220536"/>
    <w:rsid w:val="00235629"/>
    <w:rsid w:val="00246DBD"/>
    <w:rsid w:val="00260C38"/>
    <w:rsid w:val="002616C0"/>
    <w:rsid w:val="002662AA"/>
    <w:rsid w:val="00280496"/>
    <w:rsid w:val="0029400B"/>
    <w:rsid w:val="00294780"/>
    <w:rsid w:val="00295495"/>
    <w:rsid w:val="002B2613"/>
    <w:rsid w:val="002F1818"/>
    <w:rsid w:val="002F567B"/>
    <w:rsid w:val="003137A8"/>
    <w:rsid w:val="003216A9"/>
    <w:rsid w:val="003401B4"/>
    <w:rsid w:val="003533CE"/>
    <w:rsid w:val="00354A20"/>
    <w:rsid w:val="0037013F"/>
    <w:rsid w:val="00380C92"/>
    <w:rsid w:val="0038403C"/>
    <w:rsid w:val="003A484F"/>
    <w:rsid w:val="003B0BE0"/>
    <w:rsid w:val="003B0C1B"/>
    <w:rsid w:val="003B688C"/>
    <w:rsid w:val="003C0291"/>
    <w:rsid w:val="003C39AE"/>
    <w:rsid w:val="003C7B60"/>
    <w:rsid w:val="003D1FB2"/>
    <w:rsid w:val="003D66DA"/>
    <w:rsid w:val="003E1310"/>
    <w:rsid w:val="003E6F55"/>
    <w:rsid w:val="00406254"/>
    <w:rsid w:val="004223DE"/>
    <w:rsid w:val="0043255F"/>
    <w:rsid w:val="00434489"/>
    <w:rsid w:val="00437085"/>
    <w:rsid w:val="00443880"/>
    <w:rsid w:val="004464F4"/>
    <w:rsid w:val="004679E6"/>
    <w:rsid w:val="00471401"/>
    <w:rsid w:val="00473F31"/>
    <w:rsid w:val="0048263A"/>
    <w:rsid w:val="00487E5D"/>
    <w:rsid w:val="004A711F"/>
    <w:rsid w:val="004B199D"/>
    <w:rsid w:val="004B4690"/>
    <w:rsid w:val="004C3100"/>
    <w:rsid w:val="004D38F8"/>
    <w:rsid w:val="004E0A2D"/>
    <w:rsid w:val="004E206B"/>
    <w:rsid w:val="004E6DF7"/>
    <w:rsid w:val="004F0FBD"/>
    <w:rsid w:val="005003CC"/>
    <w:rsid w:val="00505A47"/>
    <w:rsid w:val="00512FDA"/>
    <w:rsid w:val="0051345A"/>
    <w:rsid w:val="00520DA0"/>
    <w:rsid w:val="00523F19"/>
    <w:rsid w:val="00531FB8"/>
    <w:rsid w:val="005526A0"/>
    <w:rsid w:val="005664BB"/>
    <w:rsid w:val="0057481D"/>
    <w:rsid w:val="00574D8B"/>
    <w:rsid w:val="0058486E"/>
    <w:rsid w:val="00596C79"/>
    <w:rsid w:val="00597233"/>
    <w:rsid w:val="005D1C8B"/>
    <w:rsid w:val="005D5CED"/>
    <w:rsid w:val="005E1EA2"/>
    <w:rsid w:val="005F149C"/>
    <w:rsid w:val="005F1A4C"/>
    <w:rsid w:val="00605688"/>
    <w:rsid w:val="006070AF"/>
    <w:rsid w:val="00607E6C"/>
    <w:rsid w:val="006101B1"/>
    <w:rsid w:val="00614E44"/>
    <w:rsid w:val="00616027"/>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E6CE1"/>
    <w:rsid w:val="006F020C"/>
    <w:rsid w:val="007127B7"/>
    <w:rsid w:val="007416B6"/>
    <w:rsid w:val="00742AC7"/>
    <w:rsid w:val="00746F48"/>
    <w:rsid w:val="0075404D"/>
    <w:rsid w:val="00761059"/>
    <w:rsid w:val="0076182A"/>
    <w:rsid w:val="00767B7E"/>
    <w:rsid w:val="007770C3"/>
    <w:rsid w:val="00784D24"/>
    <w:rsid w:val="00785FBA"/>
    <w:rsid w:val="00786E4A"/>
    <w:rsid w:val="007875EB"/>
    <w:rsid w:val="0079426B"/>
    <w:rsid w:val="007B1B2B"/>
    <w:rsid w:val="007D312A"/>
    <w:rsid w:val="007D3F19"/>
    <w:rsid w:val="007E23B0"/>
    <w:rsid w:val="007F1991"/>
    <w:rsid w:val="007F2C2F"/>
    <w:rsid w:val="007F55FC"/>
    <w:rsid w:val="007F5665"/>
    <w:rsid w:val="00800112"/>
    <w:rsid w:val="00802349"/>
    <w:rsid w:val="008253BB"/>
    <w:rsid w:val="0083706E"/>
    <w:rsid w:val="008423A5"/>
    <w:rsid w:val="008463C1"/>
    <w:rsid w:val="00850625"/>
    <w:rsid w:val="008526D1"/>
    <w:rsid w:val="00853718"/>
    <w:rsid w:val="00855221"/>
    <w:rsid w:val="00860645"/>
    <w:rsid w:val="00871F71"/>
    <w:rsid w:val="00885AF4"/>
    <w:rsid w:val="008939CD"/>
    <w:rsid w:val="008B768C"/>
    <w:rsid w:val="008C201A"/>
    <w:rsid w:val="008C4DB1"/>
    <w:rsid w:val="008C4EAF"/>
    <w:rsid w:val="008C5176"/>
    <w:rsid w:val="008C7FD0"/>
    <w:rsid w:val="008E1DE7"/>
    <w:rsid w:val="008E707C"/>
    <w:rsid w:val="00900B08"/>
    <w:rsid w:val="00902155"/>
    <w:rsid w:val="00902FA3"/>
    <w:rsid w:val="00923564"/>
    <w:rsid w:val="0092392E"/>
    <w:rsid w:val="009315F9"/>
    <w:rsid w:val="00935096"/>
    <w:rsid w:val="00944800"/>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94DF3"/>
    <w:rsid w:val="00AC3C6A"/>
    <w:rsid w:val="00AD5620"/>
    <w:rsid w:val="00AD7C1B"/>
    <w:rsid w:val="00AE16BA"/>
    <w:rsid w:val="00AE1EBE"/>
    <w:rsid w:val="00B03C9D"/>
    <w:rsid w:val="00B060AE"/>
    <w:rsid w:val="00B07489"/>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96C83"/>
    <w:rsid w:val="00BB4DF0"/>
    <w:rsid w:val="00BC289F"/>
    <w:rsid w:val="00BC5361"/>
    <w:rsid w:val="00BC5460"/>
    <w:rsid w:val="00BC6B50"/>
    <w:rsid w:val="00BD0E25"/>
    <w:rsid w:val="00BF5BD6"/>
    <w:rsid w:val="00C03E31"/>
    <w:rsid w:val="00C33E72"/>
    <w:rsid w:val="00C354B2"/>
    <w:rsid w:val="00C35554"/>
    <w:rsid w:val="00C42709"/>
    <w:rsid w:val="00C533CC"/>
    <w:rsid w:val="00C55398"/>
    <w:rsid w:val="00C5751C"/>
    <w:rsid w:val="00C61BFC"/>
    <w:rsid w:val="00C62B85"/>
    <w:rsid w:val="00C65438"/>
    <w:rsid w:val="00C77B42"/>
    <w:rsid w:val="00C916B6"/>
    <w:rsid w:val="00C91CBB"/>
    <w:rsid w:val="00CA7BAF"/>
    <w:rsid w:val="00CC09B6"/>
    <w:rsid w:val="00CC5A9F"/>
    <w:rsid w:val="00CC666F"/>
    <w:rsid w:val="00CD1E3F"/>
    <w:rsid w:val="00CE44F6"/>
    <w:rsid w:val="00CE49DA"/>
    <w:rsid w:val="00CE7B61"/>
    <w:rsid w:val="00D00095"/>
    <w:rsid w:val="00D20620"/>
    <w:rsid w:val="00D26091"/>
    <w:rsid w:val="00D336BD"/>
    <w:rsid w:val="00D34E7C"/>
    <w:rsid w:val="00D35489"/>
    <w:rsid w:val="00D51276"/>
    <w:rsid w:val="00D7035F"/>
    <w:rsid w:val="00DA65AC"/>
    <w:rsid w:val="00DB1913"/>
    <w:rsid w:val="00DC410D"/>
    <w:rsid w:val="00DC68CA"/>
    <w:rsid w:val="00DC7CBA"/>
    <w:rsid w:val="00DD434E"/>
    <w:rsid w:val="00DD73B7"/>
    <w:rsid w:val="00DF28BC"/>
    <w:rsid w:val="00DF34B9"/>
    <w:rsid w:val="00E01053"/>
    <w:rsid w:val="00E07ACF"/>
    <w:rsid w:val="00E331A1"/>
    <w:rsid w:val="00E33202"/>
    <w:rsid w:val="00E336A9"/>
    <w:rsid w:val="00E50624"/>
    <w:rsid w:val="00E568DF"/>
    <w:rsid w:val="00E64269"/>
    <w:rsid w:val="00E805C6"/>
    <w:rsid w:val="00E82267"/>
    <w:rsid w:val="00EA010F"/>
    <w:rsid w:val="00EC0C35"/>
    <w:rsid w:val="00ED1B63"/>
    <w:rsid w:val="00ED3C1F"/>
    <w:rsid w:val="00ED4085"/>
    <w:rsid w:val="00ED420E"/>
    <w:rsid w:val="00EE00E7"/>
    <w:rsid w:val="00EE2F57"/>
    <w:rsid w:val="00EF4C34"/>
    <w:rsid w:val="00EF76D1"/>
    <w:rsid w:val="00EF77C6"/>
    <w:rsid w:val="00F05438"/>
    <w:rsid w:val="00F1361C"/>
    <w:rsid w:val="00F160C7"/>
    <w:rsid w:val="00F251F2"/>
    <w:rsid w:val="00F36D8F"/>
    <w:rsid w:val="00F417B1"/>
    <w:rsid w:val="00F50E7F"/>
    <w:rsid w:val="00F602DF"/>
    <w:rsid w:val="00F81FD9"/>
    <w:rsid w:val="00F841AA"/>
    <w:rsid w:val="00FA23E8"/>
    <w:rsid w:val="00FD3CC1"/>
    <w:rsid w:val="00FF1E02"/>
    <w:rsid w:val="00FF30B4"/>
    <w:rsid w:val="04B80874"/>
    <w:rsid w:val="098A7E60"/>
    <w:rsid w:val="10C055FF"/>
    <w:rsid w:val="16BB723D"/>
    <w:rsid w:val="2207370D"/>
    <w:rsid w:val="240371BF"/>
    <w:rsid w:val="29FD04D3"/>
    <w:rsid w:val="319F7F4E"/>
    <w:rsid w:val="3315622A"/>
    <w:rsid w:val="3564291E"/>
    <w:rsid w:val="36A20131"/>
    <w:rsid w:val="3B754992"/>
    <w:rsid w:val="415A493E"/>
    <w:rsid w:val="4B4C5146"/>
    <w:rsid w:val="4DD577A3"/>
    <w:rsid w:val="56EB33BD"/>
    <w:rsid w:val="6DAD55F5"/>
    <w:rsid w:val="6F2D5C89"/>
    <w:rsid w:val="728A5D33"/>
    <w:rsid w:val="7AAF16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100" w:beforeAutospacing="1" w:after="100" w:afterAutospacing="1"/>
      <w:jc w:val="left"/>
    </w:pPr>
    <w:rPr>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字符"/>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字符"/>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字符"/>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字符"/>
    <w:basedOn w:val="14"/>
    <w:link w:val="2"/>
    <w:qFormat/>
    <w:uiPriority w:val="9"/>
    <w:rPr>
      <w:rFonts w:ascii="Times New Roman" w:hAnsi="Times New Roman"/>
      <w:b/>
      <w:bCs/>
      <w:kern w:val="44"/>
      <w:sz w:val="44"/>
      <w:szCs w:val="44"/>
    </w:rPr>
  </w:style>
  <w:style w:type="character" w:customStyle="1" w:styleId="26">
    <w:name w:val="标题 2 字符"/>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字符"/>
    <w:basedOn w:val="14"/>
    <w:link w:val="7"/>
    <w:semiHidden/>
    <w:qFormat/>
    <w:uiPriority w:val="99"/>
    <w:rPr>
      <w:rFonts w:ascii="Times New Roman" w:hAnsi="Times New Roman"/>
      <w:kern w:val="2"/>
      <w:sz w:val="18"/>
      <w:szCs w:val="18"/>
    </w:rPr>
  </w:style>
  <w:style w:type="character" w:customStyle="1" w:styleId="29">
    <w:name w:val="标题 3 字符"/>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收入支出决算总体变动情况图</a:t>
            </a:r>
            <a:endParaRPr lang="zh-CN"/>
          </a:p>
        </c:rich>
      </c:tx>
      <c:layout>
        <c:manualLayout>
          <c:xMode val="edge"/>
          <c:yMode val="edge"/>
          <c:x val="0.275945099927763"/>
          <c:y val="0.0247678018575851"/>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2018</c:v>
                </c:pt>
              </c:strCache>
            </c:strRef>
          </c:tx>
          <c:spPr>
            <a:solidFill>
              <a:schemeClr val="accent6"/>
            </a:solidFill>
            <a:ln>
              <a:noFill/>
            </a:ln>
            <a:effectLst/>
          </c:spPr>
          <c:invertIfNegative val="0"/>
          <c:dLbls>
            <c:delete val="1"/>
          </c:dLbls>
          <c:cat>
            <c:strRef>
              <c:f>Sheet1!$A$2:$A$5</c:f>
              <c:strCache>
                <c:ptCount val="4"/>
                <c:pt idx="0">
                  <c:v>收入</c:v>
                </c:pt>
                <c:pt idx="1">
                  <c:v>支出</c:v>
                </c:pt>
              </c:strCache>
            </c:strRef>
          </c:cat>
          <c:val>
            <c:numRef>
              <c:f>Sheet1!$B$2:$B$5</c:f>
              <c:numCache>
                <c:formatCode>General</c:formatCode>
                <c:ptCount val="4"/>
                <c:pt idx="0">
                  <c:v>765.58</c:v>
                </c:pt>
                <c:pt idx="1">
                  <c:v>781.78</c:v>
                </c:pt>
              </c:numCache>
            </c:numRef>
          </c:val>
        </c:ser>
        <c:ser>
          <c:idx val="1"/>
          <c:order val="1"/>
          <c:tx>
            <c:strRef>
              <c:f>Sheet1!$C$1</c:f>
              <c:strCache>
                <c:ptCount val="1"/>
                <c:pt idx="0">
                  <c:v>2019</c:v>
                </c:pt>
              </c:strCache>
            </c:strRef>
          </c:tx>
          <c:spPr>
            <a:solidFill>
              <a:schemeClr val="accent5"/>
            </a:solidFill>
            <a:ln>
              <a:noFill/>
            </a:ln>
            <a:effectLst/>
          </c:spPr>
          <c:invertIfNegative val="0"/>
          <c:dLbls>
            <c:delete val="1"/>
          </c:dLbls>
          <c:cat>
            <c:strRef>
              <c:f>Sheet1!$A$2:$A$5</c:f>
              <c:strCache>
                <c:ptCount val="4"/>
                <c:pt idx="0">
                  <c:v>收入</c:v>
                </c:pt>
                <c:pt idx="1">
                  <c:v>支出</c:v>
                </c:pt>
              </c:strCache>
            </c:strRef>
          </c:cat>
          <c:val>
            <c:numRef>
              <c:f>Sheet1!$C$2:$C$5</c:f>
              <c:numCache>
                <c:formatCode>General</c:formatCode>
                <c:ptCount val="4"/>
                <c:pt idx="0">
                  <c:v>796.26</c:v>
                </c:pt>
                <c:pt idx="1">
                  <c:v>893.52</c:v>
                </c:pt>
              </c:numCache>
            </c:numRef>
          </c:val>
        </c:ser>
        <c:dLbls>
          <c:showLegendKey val="0"/>
          <c:showVal val="0"/>
          <c:showCatName val="0"/>
          <c:showSerName val="0"/>
          <c:showPercent val="0"/>
          <c:showBubbleSize val="0"/>
        </c:dLbls>
        <c:gapWidth val="219"/>
        <c:overlap val="-27"/>
        <c:axId val="499664664"/>
        <c:axId val="495838496"/>
      </c:barChart>
      <c:catAx>
        <c:axId val="499664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5838496"/>
        <c:crosses val="autoZero"/>
        <c:auto val="1"/>
        <c:lblAlgn val="ctr"/>
        <c:lblOffset val="100"/>
        <c:noMultiLvlLbl val="0"/>
      </c:catAx>
      <c:valAx>
        <c:axId val="4958384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96646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spPr/>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Lbls>
            <c:delete val="1"/>
          </c:dLbls>
          <c:cat>
            <c:strRef>
              <c:f>Sheet1!$A$2:$A$3</c:f>
              <c:strCache>
                <c:ptCount val="2"/>
                <c:pt idx="0">
                  <c:v>一般公共预算财政拨款收入</c:v>
                </c:pt>
                <c:pt idx="1">
                  <c:v>年初结转和结余</c:v>
                </c:pt>
              </c:strCache>
            </c:strRef>
          </c:cat>
          <c:val>
            <c:numRef>
              <c:f>Sheet1!$B$2:$B$3</c:f>
              <c:numCache>
                <c:formatCode>General</c:formatCode>
                <c:ptCount val="2"/>
                <c:pt idx="0">
                  <c:v>213.81</c:v>
                </c:pt>
                <c:pt idx="1">
                  <c:v>617.47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6"/>
              </a:solidFill>
              <a:ln>
                <a:noFill/>
              </a:ln>
              <a:effectLst>
                <a:outerShdw blurRad="254000" sx="102000" sy="102000" algn="ctr" rotWithShape="0">
                  <a:prstClr val="black">
                    <a:alpha val="20000"/>
                  </a:prstClr>
                </a:outerShdw>
              </a:effectLst>
            </c:spPr>
          </c:dPt>
          <c:dPt>
            <c:idx val="1"/>
            <c:bubble3D val="0"/>
            <c:spPr>
              <a:solidFill>
                <a:schemeClr val="accent5"/>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776.26</c:v>
                </c:pt>
                <c:pt idx="1">
                  <c:v>117.27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财政拨款收支决算总计变动情况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2018</c:v>
                </c:pt>
              </c:strCache>
            </c:strRef>
          </c:tx>
          <c:spPr>
            <a:solidFill>
              <a:schemeClr val="accent6"/>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995.58</c:v>
                </c:pt>
                <c:pt idx="1">
                  <c:v>781.78</c:v>
                </c:pt>
              </c:numCache>
            </c:numRef>
          </c:val>
        </c:ser>
        <c:ser>
          <c:idx val="1"/>
          <c:order val="1"/>
          <c:tx>
            <c:strRef>
              <c:f>Sheet1!$C$1</c:f>
              <c:strCache>
                <c:ptCount val="1"/>
                <c:pt idx="0">
                  <c:v>2019</c:v>
                </c:pt>
              </c:strCache>
            </c:strRef>
          </c:tx>
          <c:spPr>
            <a:solidFill>
              <a:schemeClr val="accent5"/>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1010.07</c:v>
                </c:pt>
                <c:pt idx="1">
                  <c:v>893.52</c:v>
                </c:pt>
              </c:numCache>
            </c:numRef>
          </c:val>
        </c:ser>
        <c:dLbls>
          <c:showLegendKey val="0"/>
          <c:showVal val="0"/>
          <c:showCatName val="0"/>
          <c:showSerName val="0"/>
          <c:showPercent val="0"/>
          <c:showBubbleSize val="0"/>
        </c:dLbls>
        <c:gapWidth val="219"/>
        <c:overlap val="-27"/>
        <c:axId val="777045000"/>
        <c:axId val="777039752"/>
      </c:barChart>
      <c:catAx>
        <c:axId val="777045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7039752"/>
        <c:crosses val="autoZero"/>
        <c:auto val="1"/>
        <c:lblAlgn val="ctr"/>
        <c:lblOffset val="100"/>
        <c:noMultiLvlLbl val="0"/>
      </c:catAx>
      <c:valAx>
        <c:axId val="777039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70450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一般公共预算财政拨款支出决算变动情况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支出</c:v>
                </c:pt>
              </c:strCache>
            </c:strRef>
          </c:tx>
          <c:spPr>
            <a:solidFill>
              <a:schemeClr val="accent3"/>
            </a:solidFill>
            <a:ln>
              <a:noFill/>
            </a:ln>
            <a:effectLst/>
          </c:spPr>
          <c:invertIfNegative val="0"/>
          <c:dLbls>
            <c:delete val="1"/>
          </c:dLbls>
          <c:cat>
            <c:numRef>
              <c:f>Sheet1!$A$2:$A$3</c:f>
              <c:numCache>
                <c:formatCode>General</c:formatCode>
                <c:ptCount val="2"/>
                <c:pt idx="0">
                  <c:v>2018</c:v>
                </c:pt>
                <c:pt idx="1">
                  <c:v>2019</c:v>
                </c:pt>
              </c:numCache>
            </c:numRef>
          </c:cat>
          <c:val>
            <c:numRef>
              <c:f>Sheet1!$B$2:$B$3</c:f>
              <c:numCache>
                <c:formatCode>General</c:formatCode>
                <c:ptCount val="2"/>
                <c:pt idx="0">
                  <c:v>781.78</c:v>
                </c:pt>
                <c:pt idx="1">
                  <c:v>893.52</c:v>
                </c:pt>
              </c:numCache>
            </c:numRef>
          </c:val>
        </c:ser>
        <c:dLbls>
          <c:showLegendKey val="0"/>
          <c:showVal val="0"/>
          <c:showCatName val="0"/>
          <c:showSerName val="0"/>
          <c:showPercent val="0"/>
          <c:showBubbleSize val="0"/>
        </c:dLbls>
        <c:gapWidth val="219"/>
        <c:overlap val="-27"/>
        <c:axId val="777947512"/>
        <c:axId val="777947184"/>
      </c:barChart>
      <c:catAx>
        <c:axId val="777947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7947184"/>
        <c:crosses val="autoZero"/>
        <c:auto val="1"/>
        <c:lblAlgn val="ctr"/>
        <c:lblOffset val="100"/>
        <c:noMultiLvlLbl val="0"/>
      </c:catAx>
      <c:valAx>
        <c:axId val="777947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79475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一般公共预算财政拨款支出决算结构情况</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3"/>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1">
                  <a:lumMod val="60000"/>
                </a:schemeClr>
              </a:solidFill>
              <a:ln>
                <a:noFill/>
              </a:ln>
              <a:effectLst>
                <a:outerShdw blurRad="254000" sx="102000" sy="102000" algn="ctr" rotWithShape="0">
                  <a:prstClr val="black">
                    <a:alpha val="20000"/>
                  </a:prstClr>
                </a:outerShdw>
              </a:effectLst>
            </c:spPr>
          </c:dPt>
          <c:dLbls>
            <c:delete val="1"/>
          </c:dLbls>
          <c:cat>
            <c:strRef>
              <c:f>Sheet1!$A$2:$A$5</c:f>
              <c:strCache>
                <c:ptCount val="4"/>
                <c:pt idx="0">
                  <c:v>教育支出</c:v>
                </c:pt>
                <c:pt idx="1">
                  <c:v>社会保障缴费</c:v>
                </c:pt>
                <c:pt idx="2">
                  <c:v>医疗卫生支出</c:v>
                </c:pt>
                <c:pt idx="3">
                  <c:v>住房保障支出</c:v>
                </c:pt>
              </c:strCache>
            </c:strRef>
          </c:cat>
          <c:val>
            <c:numRef>
              <c:f>Sheet1!$B$2:$B$5</c:f>
              <c:numCache>
                <c:formatCode>General</c:formatCode>
                <c:ptCount val="4"/>
                <c:pt idx="0">
                  <c:v>747.16</c:v>
                </c:pt>
                <c:pt idx="1">
                  <c:v>74.69</c:v>
                </c:pt>
                <c:pt idx="2">
                  <c:v>24.57</c:v>
                </c:pt>
                <c:pt idx="3">
                  <c:v>47.1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18275945099928"/>
          <c:y val="0.0454076367389061"/>
        </c:manualLayout>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"三公经费”财政拨款支出决算情况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因公出国（境）费</c:v>
                </c:pt>
                <c:pt idx="1">
                  <c:v>公务用车购置及运行维护费</c:v>
                </c:pt>
                <c:pt idx="2">
                  <c:v>公务接待费</c:v>
                </c:pt>
              </c:strCache>
            </c:strRef>
          </c:cat>
          <c:val>
            <c:numRef>
              <c:f>Sheet1!$B$2:$B$5</c:f>
              <c:numCache>
                <c:formatCode>General</c:formatCode>
                <c:ptCount val="4"/>
                <c:pt idx="0">
                  <c:v>0</c:v>
                </c:pt>
                <c:pt idx="1">
                  <c:v>0</c:v>
                </c:pt>
                <c:pt idx="2">
                  <c:v>0.56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58734128255639"/>
          <c:y val="0.872548532052688"/>
          <c:w val="0.764400082664841"/>
          <c:h val="0.0696599302796129"/>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6">
  <a:schemeClr val="accent3"/>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A27803-7599-4C63-BC58-3E0A7D7F3EF3}">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1220</Words>
  <Characters>6954</Characters>
  <Lines>57</Lines>
  <Paragraphs>16</Paragraphs>
  <TotalTime>3</TotalTime>
  <ScaleCrop>false</ScaleCrop>
  <LinksUpToDate>false</LinksUpToDate>
  <CharactersWithSpaces>8158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2019-09-20T00:41:00Z</dcterms:created>
  <dc:creator>张彬茜</dc:creator>
  <cp:lastModifiedBy>Administrator</cp:lastModifiedBy>
  <cp:lastPrinted>2019-08-01T00:48:00Z</cp:lastPrinted>
  <dcterms:modified xsi:type="dcterms:W3CDTF">2020-09-24T14:06:24Z</dcterms:modified>
  <dc:title>四川省***</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