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3404"/>
      <w:bookmarkStart w:id="2" w:name="_Toc15377193"/>
      <w:bookmarkStart w:id="3" w:name="_Toc15396475"/>
      <w:bookmarkStart w:id="4" w:name="_Toc15396597"/>
      <w:bookmarkStart w:id="5" w:name="_Toc15378441"/>
      <w:bookmarkStart w:id="6" w:name="_Toc1537742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476"/>
      <w:bookmarkStart w:id="8" w:name="_Toc15306268"/>
      <w:bookmarkStart w:id="9" w:name="_Toc15378442"/>
      <w:bookmarkStart w:id="10" w:name="_Toc15377194"/>
      <w:bookmarkStart w:id="11" w:name="_Toc15377426"/>
      <w:bookmarkStart w:id="12" w:name="_Toc19044"/>
      <w:bookmarkStart w:id="13" w:name="_Toc15396598"/>
      <w:r>
        <w:rPr>
          <w:rFonts w:hint="eastAsia" w:ascii="方正小标宋简体" w:hAnsi="宋体" w:eastAsia="方正小标宋简体"/>
          <w:color w:val="000000"/>
          <w:sz w:val="72"/>
          <w:szCs w:val="72"/>
        </w:rPr>
        <w:t>四川省达州市开江县骑龙乡中心小学部门决算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0"/>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r>
        <w:rPr>
          <w:rFonts w:hint="eastAsia"/>
        </w:rPr>
        <w:t>公开时间：2020年9月</w:t>
      </w:r>
      <w:r>
        <w:rPr>
          <w:rFonts w:hint="eastAsia"/>
          <w:lang w:val="en-US" w:eastAsia="zh-CN"/>
        </w:rPr>
        <w:t>21</w:t>
      </w:r>
      <w:r>
        <w:rPr>
          <w:rFonts w:hint="eastAsia"/>
        </w:rPr>
        <w:t>日</w:t>
      </w:r>
      <w:bookmarkStart w:id="76" w:name="_GoBack"/>
      <w:bookmarkEnd w:id="76"/>
    </w:p>
    <w:p>
      <w:pPr>
        <w:pStyle w:val="10"/>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_Toc30228 </w:instrText>
      </w:r>
      <w:r>
        <w:rPr>
          <w:rFonts w:ascii="仿宋" w:hAnsi="仿宋" w:eastAsia="仿宋"/>
        </w:rP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_Toc30228 </w:instrText>
      </w:r>
      <w:r>
        <w:fldChar w:fldCharType="separate"/>
      </w:r>
      <w:r>
        <w:t>4</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_Toc24918 </w:instrText>
      </w:r>
      <w:r>
        <w:rPr>
          <w:rFonts w:ascii="仿宋" w:hAnsi="仿宋" w:eastAsia="仿宋"/>
        </w:rP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_Toc24918 </w:instrText>
      </w:r>
      <w:r>
        <w:fldChar w:fldCharType="separate"/>
      </w:r>
      <w:r>
        <w:t>4</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_Toc28045 </w:instrText>
      </w:r>
      <w:r>
        <w:rPr>
          <w:rFonts w:ascii="仿宋" w:hAnsi="仿宋" w:eastAsia="仿宋"/>
        </w:rP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_Toc28045 </w:instrText>
      </w:r>
      <w:r>
        <w:fldChar w:fldCharType="separate"/>
      </w:r>
      <w:r>
        <w:t>4</w:t>
      </w:r>
      <w:r>
        <w:fldChar w:fldCharType="end"/>
      </w:r>
      <w:r>
        <w:rPr>
          <w:rFonts w:ascii="仿宋" w:hAnsi="仿宋" w:eastAsia="仿宋"/>
          <w:color w:val="000000"/>
        </w:rPr>
        <w:fldChar w:fldCharType="end"/>
      </w:r>
    </w:p>
    <w:p>
      <w:pPr>
        <w:pStyle w:val="10"/>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_Toc21540 </w:instrText>
      </w:r>
      <w:r>
        <w:rPr>
          <w:rFonts w:ascii="仿宋" w:hAnsi="仿宋" w:eastAsia="仿宋"/>
        </w:rPr>
        <w:fldChar w:fldCharType="separate"/>
      </w:r>
      <w:r>
        <w:rPr>
          <w:rFonts w:hint="eastAsia" w:ascii="黑体" w:hAnsi="黑体" w:eastAsia="黑体"/>
        </w:rPr>
        <w:t xml:space="preserve">第二部分 </w:t>
      </w:r>
      <w:r>
        <w:rPr>
          <w:rFonts w:hint="eastAsia" w:ascii="黑体" w:hAnsi="黑体" w:eastAsia="黑体"/>
          <w:bCs w:val="0"/>
        </w:rPr>
        <w:t>201</w:t>
      </w:r>
      <w:r>
        <w:rPr>
          <w:rFonts w:hint="eastAsia" w:ascii="黑体" w:hAnsi="黑体" w:eastAsia="黑体"/>
          <w:bCs w:val="0"/>
          <w:lang w:val="en-US" w:eastAsia="zh-CN"/>
        </w:rPr>
        <w:t>9</w:t>
      </w:r>
      <w:r>
        <w:rPr>
          <w:rFonts w:hint="eastAsia" w:ascii="黑体" w:hAnsi="黑体" w:eastAsia="黑体"/>
          <w:bCs w:val="0"/>
        </w:rPr>
        <w:t>年度部门决算情况说明</w:t>
      </w:r>
      <w:r>
        <w:tab/>
      </w:r>
      <w:r>
        <w:fldChar w:fldCharType="begin"/>
      </w:r>
      <w:r>
        <w:instrText xml:space="preserve"> PAGEREF _Toc21540 </w:instrText>
      </w:r>
      <w:r>
        <w:fldChar w:fldCharType="separate"/>
      </w:r>
      <w:r>
        <w:t>5</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_Toc24344 </w:instrText>
      </w:r>
      <w:r>
        <w:rPr>
          <w:rFonts w:ascii="仿宋" w:hAnsi="仿宋" w:eastAsia="仿宋"/>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_Toc24344 </w:instrText>
      </w:r>
      <w:r>
        <w:fldChar w:fldCharType="separate"/>
      </w:r>
      <w:r>
        <w:t>5</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_Toc8388 </w:instrText>
      </w:r>
      <w:r>
        <w:rPr>
          <w:rFonts w:ascii="仿宋" w:hAnsi="仿宋" w:eastAsia="仿宋"/>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_Toc8388 </w:instrText>
      </w:r>
      <w:r>
        <w:fldChar w:fldCharType="separate"/>
      </w:r>
      <w:r>
        <w:t>5</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_Toc4422 </w:instrText>
      </w:r>
      <w:r>
        <w:rPr>
          <w:rFonts w:ascii="仿宋" w:hAnsi="仿宋" w:eastAsia="仿宋"/>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_Toc4422 </w:instrText>
      </w:r>
      <w:r>
        <w:fldChar w:fldCharType="separate"/>
      </w:r>
      <w:r>
        <w:t>6</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_Toc2990 </w:instrText>
      </w:r>
      <w:r>
        <w:rPr>
          <w:rFonts w:ascii="仿宋" w:hAnsi="仿宋" w:eastAsia="仿宋"/>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_Toc2990 </w:instrText>
      </w:r>
      <w:r>
        <w:fldChar w:fldCharType="separate"/>
      </w:r>
      <w:r>
        <w:t>7</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_Toc8271 </w:instrText>
      </w:r>
      <w:r>
        <w:rPr>
          <w:rFonts w:ascii="仿宋" w:hAnsi="仿宋" w:eastAsia="仿宋"/>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_Toc8271 </w:instrText>
      </w:r>
      <w:r>
        <w:fldChar w:fldCharType="separate"/>
      </w:r>
      <w:r>
        <w:t>7</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_Toc30157 </w:instrText>
      </w:r>
      <w:r>
        <w:rPr>
          <w:rFonts w:ascii="仿宋" w:hAnsi="仿宋" w:eastAsia="仿宋"/>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_Toc30157 </w:instrText>
      </w:r>
      <w:r>
        <w:fldChar w:fldCharType="separate"/>
      </w:r>
      <w:r>
        <w:t>9</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_Toc7782 </w:instrText>
      </w:r>
      <w:r>
        <w:rPr>
          <w:rFonts w:ascii="仿宋" w:hAnsi="仿宋" w:eastAsia="仿宋"/>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_Toc7782 </w:instrText>
      </w:r>
      <w:r>
        <w:fldChar w:fldCharType="separate"/>
      </w:r>
      <w:r>
        <w:t>10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_Toc16339 </w:instrText>
      </w:r>
      <w:r>
        <w:rPr>
          <w:rFonts w:ascii="仿宋" w:hAnsi="仿宋" w:eastAsia="仿宋"/>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_Toc16339 </w:instrText>
      </w:r>
      <w:r>
        <w:fldChar w:fldCharType="separate"/>
      </w:r>
      <w:r>
        <w:t>11</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_Toc1684 </w:instrText>
      </w:r>
      <w:r>
        <w:rPr>
          <w:rFonts w:ascii="仿宋" w:hAnsi="仿宋" w:eastAsia="仿宋"/>
        </w:rPr>
        <w:fldChar w:fldCharType="separate"/>
      </w:r>
      <w:r>
        <w:rPr>
          <w:rFonts w:hint="eastAsia" w:ascii="黑体" w:hAnsi="黑体" w:eastAsia="黑体"/>
        </w:rPr>
        <w:t>九、 国有资本经营预算支出决算情况说明</w:t>
      </w:r>
      <w:r>
        <w:tab/>
      </w:r>
      <w:r>
        <w:fldChar w:fldCharType="begin"/>
      </w:r>
      <w:r>
        <w:instrText xml:space="preserve"> PAGEREF _Toc1684 </w:instrText>
      </w:r>
      <w:r>
        <w:fldChar w:fldCharType="separate"/>
      </w:r>
      <w:r>
        <w:t>11</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_Toc31522 </w:instrText>
      </w:r>
      <w:r>
        <w:rPr>
          <w:rFonts w:ascii="仿宋" w:hAnsi="仿宋" w:eastAsia="仿宋"/>
        </w:rP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_Toc31522 </w:instrText>
      </w:r>
      <w:r>
        <w:fldChar w:fldCharType="separate"/>
      </w:r>
      <w:r>
        <w:t>11</w:t>
      </w:r>
      <w:r>
        <w:fldChar w:fldCharType="end"/>
      </w:r>
      <w:r>
        <w:rPr>
          <w:rFonts w:ascii="仿宋" w:hAnsi="仿宋" w:eastAsia="仿宋"/>
          <w:color w:val="000000"/>
        </w:rPr>
        <w:fldChar w:fldCharType="end"/>
      </w:r>
    </w:p>
    <w:p>
      <w:pPr>
        <w:pStyle w:val="10"/>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_Toc9520 </w:instrText>
      </w:r>
      <w:r>
        <w:rPr>
          <w:rFonts w:ascii="仿宋" w:hAnsi="仿宋" w:eastAsia="仿宋"/>
        </w:rPr>
        <w:fldChar w:fldCharType="separate"/>
      </w:r>
      <w:r>
        <w:rPr>
          <w:rFonts w:hint="eastAsia" w:ascii="黑体" w:hAnsi="黑体" w:eastAsia="黑体"/>
          <w:lang w:val="en-US" w:eastAsia="zh-CN"/>
        </w:rPr>
        <w:t xml:space="preserve">第三部分  </w:t>
      </w:r>
      <w:r>
        <w:rPr>
          <w:rFonts w:hint="eastAsia" w:ascii="黑体" w:hAnsi="黑体" w:eastAsia="黑体"/>
        </w:rPr>
        <w:t>名词解释</w:t>
      </w:r>
      <w:r>
        <w:tab/>
      </w:r>
      <w:r>
        <w:fldChar w:fldCharType="begin"/>
      </w:r>
      <w:r>
        <w:instrText xml:space="preserve"> PAGEREF _Toc9520 </w:instrText>
      </w:r>
      <w:r>
        <w:fldChar w:fldCharType="separate"/>
      </w:r>
      <w:r>
        <w:t>13</w:t>
      </w:r>
      <w:r>
        <w:fldChar w:fldCharType="end"/>
      </w:r>
      <w:r>
        <w:rPr>
          <w:rFonts w:ascii="仿宋" w:hAnsi="仿宋" w:eastAsia="仿宋"/>
          <w:color w:val="000000"/>
        </w:rPr>
        <w:fldChar w:fldCharType="end"/>
      </w:r>
    </w:p>
    <w:p>
      <w:pPr>
        <w:pStyle w:val="10"/>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_Toc10576 </w:instrText>
      </w:r>
      <w:r>
        <w:rPr>
          <w:rFonts w:ascii="仿宋" w:hAnsi="仿宋" w:eastAsia="仿宋"/>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_Toc10576 </w:instrText>
      </w:r>
      <w:r>
        <w:fldChar w:fldCharType="separate"/>
      </w:r>
      <w:r>
        <w:t>17</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_Toc2501 </w:instrText>
      </w:r>
      <w:r>
        <w:rPr>
          <w:rFonts w:ascii="仿宋" w:hAnsi="仿宋" w:eastAsia="仿宋"/>
        </w:rPr>
        <w:fldChar w:fldCharType="separate"/>
      </w:r>
      <w:r>
        <w:rPr>
          <w:rFonts w:hint="eastAsia" w:ascii="仿宋" w:hAnsi="仿宋" w:eastAsia="仿宋"/>
          <w:bCs w:val="0"/>
          <w:szCs w:val="32"/>
        </w:rPr>
        <w:t>附件1</w:t>
      </w:r>
      <w:r>
        <w:tab/>
      </w:r>
      <w:r>
        <w:fldChar w:fldCharType="begin"/>
      </w:r>
      <w:r>
        <w:instrText xml:space="preserve"> PAGEREF _Toc2501 </w:instrText>
      </w:r>
      <w:r>
        <w:fldChar w:fldCharType="separate"/>
      </w:r>
      <w:r>
        <w:t>17</w:t>
      </w:r>
      <w:r>
        <w:fldChar w:fldCharType="end"/>
      </w:r>
      <w:r>
        <w:rPr>
          <w:rFonts w:ascii="仿宋" w:hAnsi="仿宋" w:eastAsia="仿宋"/>
          <w:color w:val="000000"/>
        </w:rPr>
        <w:fldChar w:fldCharType="end"/>
      </w:r>
    </w:p>
    <w:p>
      <w:pPr>
        <w:pStyle w:val="10"/>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_Toc1753 </w:instrText>
      </w:r>
      <w:r>
        <w:rPr>
          <w:rFonts w:ascii="仿宋" w:hAnsi="仿宋" w:eastAsia="仿宋"/>
        </w:rPr>
        <w:fldChar w:fldCharType="separate"/>
      </w:r>
      <w:r>
        <w:rPr>
          <w:rFonts w:hint="eastAsia" w:ascii="黑体" w:hAnsi="黑体" w:eastAsia="黑体" w:cs="方正小标宋简体"/>
          <w:szCs w:val="36"/>
        </w:rPr>
        <w:t>开江县骑龙乡中心小学</w:t>
      </w:r>
      <w:r>
        <w:tab/>
      </w:r>
      <w:r>
        <w:fldChar w:fldCharType="begin"/>
      </w:r>
      <w:r>
        <w:instrText xml:space="preserve"> PAGEREF _Toc1753 </w:instrText>
      </w:r>
      <w:r>
        <w:fldChar w:fldCharType="separate"/>
      </w:r>
      <w:r>
        <w:t>17</w:t>
      </w:r>
      <w:r>
        <w:fldChar w:fldCharType="end"/>
      </w:r>
      <w:r>
        <w:rPr>
          <w:rFonts w:ascii="仿宋" w:hAnsi="仿宋" w:eastAsia="仿宋"/>
          <w:color w:val="000000"/>
        </w:rPr>
        <w:fldChar w:fldCharType="end"/>
      </w:r>
    </w:p>
    <w:p>
      <w:pPr>
        <w:pStyle w:val="10"/>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_Toc17782 </w:instrText>
      </w:r>
      <w:r>
        <w:rPr>
          <w:rFonts w:ascii="仿宋" w:hAnsi="仿宋" w:eastAsia="仿宋"/>
        </w:rPr>
        <w:fldChar w:fldCharType="separate"/>
      </w:r>
      <w:r>
        <w:rPr>
          <w:rFonts w:hint="eastAsia" w:ascii="黑体" w:hAnsi="黑体" w:eastAsia="黑体" w:cs="方正小标宋简体"/>
          <w:szCs w:val="36"/>
        </w:rPr>
        <w:t>部门201</w:t>
      </w:r>
      <w:r>
        <w:rPr>
          <w:rFonts w:hint="eastAsia" w:ascii="黑体" w:hAnsi="黑体" w:eastAsia="黑体" w:cs="方正小标宋简体"/>
          <w:szCs w:val="36"/>
          <w:lang w:val="en-US" w:eastAsia="zh-CN"/>
        </w:rPr>
        <w:t>9</w:t>
      </w:r>
      <w:r>
        <w:rPr>
          <w:rFonts w:hint="eastAsia" w:ascii="黑体" w:hAnsi="黑体" w:eastAsia="黑体" w:cs="方正小标宋简体"/>
          <w:szCs w:val="36"/>
        </w:rPr>
        <w:t>年部门整体支出绩效评价报告</w:t>
      </w:r>
      <w:r>
        <w:tab/>
      </w:r>
      <w:r>
        <w:fldChar w:fldCharType="begin"/>
      </w:r>
      <w:r>
        <w:instrText xml:space="preserve"> PAGEREF _Toc17782 </w:instrText>
      </w:r>
      <w:r>
        <w:fldChar w:fldCharType="separate"/>
      </w:r>
      <w:r>
        <w:t>17</w:t>
      </w:r>
      <w:r>
        <w:fldChar w:fldCharType="end"/>
      </w:r>
      <w:r>
        <w:rPr>
          <w:rFonts w:ascii="仿宋" w:hAnsi="仿宋" w:eastAsia="仿宋"/>
          <w:color w:val="000000"/>
        </w:rPr>
        <w:fldChar w:fldCharType="end"/>
      </w:r>
    </w:p>
    <w:p>
      <w:pPr>
        <w:pStyle w:val="10"/>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_Toc29828 </w:instrText>
      </w:r>
      <w:r>
        <w:rPr>
          <w:rFonts w:ascii="仿宋" w:hAnsi="仿宋" w:eastAsia="仿宋"/>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_Toc29828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_Toc16727 </w:instrText>
      </w:r>
      <w:r>
        <w:rPr>
          <w:rFonts w:ascii="仿宋" w:hAnsi="仿宋" w:eastAsia="仿宋"/>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_Toc16727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_Toc15580 </w:instrText>
      </w:r>
      <w:r>
        <w:rPr>
          <w:rFonts w:ascii="仿宋" w:hAnsi="仿宋" w:eastAsia="仿宋"/>
        </w:rPr>
        <w:fldChar w:fldCharType="separate"/>
      </w:r>
      <w:r>
        <w:rPr>
          <w:rFonts w:hint="eastAsia" w:ascii="仿宋" w:hAnsi="仿宋" w:eastAsia="仿宋"/>
        </w:rPr>
        <w:t>二、收</w:t>
      </w:r>
      <w:r>
        <w:rPr>
          <w:rFonts w:hint="eastAsia" w:ascii="仿宋" w:hAnsi="仿宋" w:eastAsia="仿宋"/>
          <w:bCs w:val="0"/>
        </w:rPr>
        <w:t>入总表</w:t>
      </w:r>
      <w:r>
        <w:tab/>
      </w:r>
      <w:r>
        <w:fldChar w:fldCharType="begin"/>
      </w:r>
      <w:r>
        <w:instrText xml:space="preserve"> PAGEREF _Toc15580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_Toc5249 </w:instrText>
      </w:r>
      <w:r>
        <w:rPr>
          <w:rFonts w:ascii="仿宋" w:hAnsi="仿宋" w:eastAsia="仿宋"/>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出总表</w:t>
      </w:r>
      <w:r>
        <w:tab/>
      </w:r>
      <w:r>
        <w:fldChar w:fldCharType="begin"/>
      </w:r>
      <w:r>
        <w:instrText xml:space="preserve"> PAGEREF _Toc5249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_Toc7779 </w:instrText>
      </w:r>
      <w:r>
        <w:rPr>
          <w:rFonts w:ascii="仿宋" w:hAnsi="仿宋" w:eastAsia="仿宋"/>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_Toc7779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_Toc16378 </w:instrText>
      </w:r>
      <w:r>
        <w:rPr>
          <w:rFonts w:ascii="仿宋" w:hAnsi="仿宋" w:eastAsia="仿宋"/>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政拨款支出决算明细表（政府经济分类科目）</w:t>
      </w:r>
      <w:r>
        <w:tab/>
      </w:r>
      <w:r>
        <w:fldChar w:fldCharType="begin"/>
      </w:r>
      <w:r>
        <w:instrText xml:space="preserve"> PAGEREF _Toc16378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_Toc2156 </w:instrText>
      </w:r>
      <w:r>
        <w:rPr>
          <w:rFonts w:ascii="仿宋" w:hAnsi="仿宋" w:eastAsia="仿宋"/>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_Toc2156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_Toc9893 </w:instrText>
      </w:r>
      <w:r>
        <w:rPr>
          <w:rFonts w:ascii="仿宋" w:hAnsi="仿宋" w:eastAsia="仿宋"/>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_Toc9893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_Toc10175 </w:instrText>
      </w:r>
      <w:r>
        <w:rPr>
          <w:rFonts w:ascii="仿宋" w:hAnsi="仿宋" w:eastAsia="仿宋"/>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_Toc10175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_Toc2510 </w:instrText>
      </w:r>
      <w:r>
        <w:rPr>
          <w:rFonts w:ascii="仿宋" w:hAnsi="仿宋" w:eastAsia="仿宋"/>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_Toc2510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_Toc2426 </w:instrText>
      </w:r>
      <w:r>
        <w:rPr>
          <w:rFonts w:ascii="仿宋" w:hAnsi="仿宋" w:eastAsia="仿宋"/>
        </w:rP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_Toc2426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_Toc22296 </w:instrText>
      </w:r>
      <w:r>
        <w:rPr>
          <w:rFonts w:ascii="仿宋" w:hAnsi="仿宋" w:eastAsia="仿宋"/>
        </w:rP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_Toc22296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_Toc3527 </w:instrText>
      </w:r>
      <w:r>
        <w:rPr>
          <w:rFonts w:ascii="仿宋" w:hAnsi="仿宋" w:eastAsia="仿宋"/>
        </w:rP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_Toc3527 </w:instrText>
      </w:r>
      <w:r>
        <w:fldChar w:fldCharType="separate"/>
      </w:r>
      <w:r>
        <w:t>20</w:t>
      </w:r>
      <w:r>
        <w:fldChar w:fldCharType="end"/>
      </w:r>
      <w:r>
        <w:rPr>
          <w:rFonts w:ascii="仿宋" w:hAnsi="仿宋" w:eastAsia="仿宋"/>
          <w:color w:val="000000"/>
        </w:rPr>
        <w:fldChar w:fldCharType="end"/>
      </w:r>
    </w:p>
    <w:p>
      <w:pPr>
        <w:pStyle w:val="11"/>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_Toc15060 </w:instrText>
      </w:r>
      <w:r>
        <w:rPr>
          <w:rFonts w:ascii="仿宋" w:hAnsi="仿宋" w:eastAsia="仿宋"/>
        </w:rP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_Toc15060 </w:instrText>
      </w:r>
      <w:r>
        <w:fldChar w:fldCharType="separate"/>
      </w:r>
      <w:r>
        <w:t>20</w:t>
      </w:r>
      <w:r>
        <w:fldChar w:fldCharType="end"/>
      </w:r>
      <w:r>
        <w:rPr>
          <w:rFonts w:ascii="仿宋" w:hAnsi="仿宋" w:eastAsia="仿宋"/>
          <w:color w:val="000000"/>
        </w:rPr>
        <w:fldChar w:fldCharType="end"/>
      </w:r>
    </w:p>
    <w:p>
      <w:pPr>
        <w:widowControl/>
        <w:jc w:val="left"/>
        <w:rPr>
          <w:rFonts w:ascii="仿宋" w:hAnsi="仿宋" w:eastAsia="仿宋"/>
          <w:color w:val="000000"/>
          <w:sz w:val="24"/>
        </w:rPr>
      </w:pPr>
      <w:r>
        <w:rPr>
          <w:rFonts w:ascii="仿宋" w:hAnsi="仿宋" w:eastAsia="仿宋"/>
          <w:color w:val="000000"/>
        </w:rPr>
        <w:fldChar w:fldCharType="end"/>
      </w:r>
    </w:p>
    <w:p>
      <w:pPr>
        <w:widowControl/>
        <w:jc w:val="left"/>
        <w:rPr>
          <w:rFonts w:ascii="黑体" w:hAnsi="黑体" w:eastAsia="黑体"/>
          <w:bCs/>
          <w:kern w:val="44"/>
          <w:sz w:val="44"/>
          <w:szCs w:val="44"/>
        </w:rPr>
      </w:pPr>
      <w:bookmarkStart w:id="14" w:name="_Toc15377196"/>
      <w:r>
        <w:rPr>
          <w:rFonts w:ascii="黑体" w:hAnsi="黑体" w:eastAsia="黑体"/>
          <w:b/>
        </w:rPr>
        <w:br w:type="page"/>
      </w:r>
    </w:p>
    <w:p>
      <w:pPr>
        <w:pStyle w:val="2"/>
        <w:jc w:val="center"/>
        <w:rPr>
          <w:rStyle w:val="24"/>
          <w:rFonts w:ascii="黑体" w:hAnsi="黑体" w:eastAsia="黑体"/>
          <w:b/>
          <w:bCs w:val="0"/>
        </w:rPr>
      </w:pPr>
      <w:bookmarkStart w:id="15" w:name="_Toc30228"/>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p>
    <w:p>
      <w:pPr>
        <w:widowControl/>
        <w:jc w:val="left"/>
        <w:rPr>
          <w:rFonts w:ascii="黑体" w:eastAsia="黑体"/>
          <w:color w:val="000000"/>
          <w:sz w:val="32"/>
          <w:szCs w:val="32"/>
        </w:rPr>
      </w:pPr>
    </w:p>
    <w:p>
      <w:pPr>
        <w:pStyle w:val="3"/>
        <w:rPr>
          <w:rStyle w:val="25"/>
          <w:rFonts w:ascii="仿宋" w:hAnsi="仿宋" w:eastAsia="仿宋"/>
          <w:b w:val="0"/>
          <w:bCs w:val="0"/>
        </w:rPr>
      </w:pPr>
      <w:bookmarkStart w:id="16" w:name="_Toc24918"/>
      <w:bookmarkStart w:id="17"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8"/>
      <w:bookmarkStart w:id="19" w:name="_Toc15378445"/>
      <w:r>
        <w:rPr>
          <w:rFonts w:hint="eastAsia" w:ascii="仿宋" w:hAnsi="仿宋" w:eastAsia="仿宋"/>
          <w:bCs/>
          <w:color w:val="000000"/>
          <w:sz w:val="32"/>
          <w:szCs w:val="32"/>
        </w:rPr>
        <w:t>（一）主要职能</w:t>
      </w:r>
    </w:p>
    <w:bookmarkEnd w:id="18"/>
    <w:bookmarkEnd w:id="19"/>
    <w:p>
      <w:pPr>
        <w:pStyle w:val="5"/>
        <w:adjustRightInd w:val="0"/>
        <w:snapToGrid w:val="0"/>
        <w:spacing w:before="93" w:line="600" w:lineRule="exact"/>
        <w:ind w:firstLine="672" w:firstLineChars="210"/>
        <w:rPr>
          <w:bCs/>
          <w:color w:val="000000"/>
          <w:sz w:val="32"/>
          <w:szCs w:val="32"/>
        </w:rPr>
      </w:pPr>
      <w:bookmarkStart w:id="20" w:name="_Toc15377199"/>
      <w:bookmarkStart w:id="21" w:name="_Toc15378446"/>
      <w:r>
        <w:rPr>
          <w:rFonts w:hint="eastAsia"/>
          <w:bCs/>
          <w:color w:val="000000"/>
          <w:sz w:val="32"/>
          <w:szCs w:val="32"/>
        </w:rPr>
        <w:t>开江县骑龙乡中心小学是一所完全农村小学，主要实施小学义务教育，促进基础教育发展，进行小学学历教育及相关社会服务。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20"/>
      <w:bookmarkEnd w:id="21"/>
    </w:p>
    <w:p>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学校全面贯彻党的教育方针政策，加强教师队伍建设，加强党的建设，加强义务教育均衡发展建设，加强学生素质能力的培养，提升教学质量，办人民满意教育。</w:t>
      </w:r>
    </w:p>
    <w:p>
      <w:pPr>
        <w:pStyle w:val="3"/>
        <w:rPr>
          <w:rStyle w:val="25"/>
          <w:b w:val="0"/>
          <w:bCs w:val="0"/>
        </w:rPr>
      </w:pPr>
      <w:bookmarkStart w:id="22" w:name="_Toc15377200"/>
      <w:bookmarkStart w:id="23" w:name="_Toc28045"/>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2"/>
      <w:bookmarkEnd w:id="23"/>
    </w:p>
    <w:p>
      <w:pPr>
        <w:pStyle w:val="5"/>
        <w:adjustRightInd w:val="0"/>
        <w:snapToGrid w:val="0"/>
        <w:spacing w:before="93" w:line="600" w:lineRule="exact"/>
        <w:ind w:firstLine="672" w:firstLineChars="210"/>
        <w:rPr>
          <w:color w:val="000000"/>
          <w:sz w:val="32"/>
          <w:szCs w:val="32"/>
        </w:rPr>
      </w:pPr>
      <w:r>
        <w:rPr>
          <w:rFonts w:hint="eastAsia" w:ascii="方正仿宋简体" w:hAnsi="方正仿宋简体" w:eastAsia="方正仿宋简体" w:cs="方正仿宋简体"/>
          <w:sz w:val="32"/>
          <w:szCs w:val="32"/>
        </w:rPr>
        <w:t>开江县骑龙乡中心小学具有独立编制和独立核算的机构1个。小学教学班</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个，学生数</w:t>
      </w:r>
      <w:r>
        <w:rPr>
          <w:rFonts w:hint="eastAsia" w:ascii="方正仿宋简体" w:hAnsi="方正仿宋简体" w:eastAsia="方正仿宋简体" w:cs="方正仿宋简体"/>
          <w:sz w:val="32"/>
          <w:szCs w:val="32"/>
          <w:lang w:val="en-US" w:eastAsia="zh-CN"/>
        </w:rPr>
        <w:t>248</w:t>
      </w:r>
      <w:r>
        <w:rPr>
          <w:rFonts w:hint="eastAsia" w:ascii="方正仿宋简体" w:hAnsi="方正仿宋简体" w:eastAsia="方正仿宋简体" w:cs="方正仿宋简体"/>
          <w:sz w:val="32"/>
          <w:szCs w:val="32"/>
        </w:rPr>
        <w:t>人，定编教职工2</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4" w:name="_Toc15377204"/>
      <w:bookmarkStart w:id="25" w:name="_Toc21540"/>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4"/>
      <w:bookmarkEnd w:id="25"/>
    </w:p>
    <w:p/>
    <w:p>
      <w:pPr>
        <w:pStyle w:val="23"/>
        <w:numPr>
          <w:ilvl w:val="0"/>
          <w:numId w:val="1"/>
        </w:numPr>
        <w:spacing w:line="600" w:lineRule="exact"/>
        <w:ind w:firstLineChars="0"/>
        <w:outlineLvl w:val="1"/>
        <w:rPr>
          <w:rStyle w:val="25"/>
          <w:rFonts w:ascii="黑体" w:hAnsi="黑体" w:eastAsia="黑体"/>
          <w:b w:val="0"/>
        </w:rPr>
      </w:pPr>
      <w:bookmarkStart w:id="26" w:name="_Toc15377205"/>
      <w:bookmarkStart w:id="27" w:name="_Toc24344"/>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6"/>
      <w:bookmarkEnd w:id="27"/>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371.5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val="en-US" w:eastAsia="zh-CN"/>
        </w:rPr>
        <w:t>减少6.37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减少1.7</w:t>
      </w:r>
      <w:r>
        <w:rPr>
          <w:rFonts w:ascii="仿宋" w:hAnsi="仿宋" w:eastAsia="仿宋"/>
          <w:color w:val="000000"/>
          <w:sz w:val="32"/>
          <w:szCs w:val="32"/>
        </w:rPr>
        <w:t>%</w:t>
      </w:r>
      <w:r>
        <w:rPr>
          <w:rFonts w:hint="eastAsia" w:ascii="仿宋" w:hAnsi="仿宋" w:eastAsia="仿宋"/>
          <w:color w:val="000000"/>
          <w:sz w:val="32"/>
          <w:szCs w:val="32"/>
        </w:rPr>
        <w:t>。主要变动原因是人员</w:t>
      </w:r>
      <w:r>
        <w:rPr>
          <w:rFonts w:hint="eastAsia" w:ascii="仿宋" w:hAnsi="仿宋" w:eastAsia="仿宋"/>
          <w:color w:val="000000"/>
          <w:sz w:val="32"/>
          <w:szCs w:val="32"/>
          <w:lang w:val="en-US" w:eastAsia="zh-CN"/>
        </w:rPr>
        <w:t>变动</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8" o:spid="_x0000_s1028" o:spt="75" type="#_x0000_t75" style="position:absolute;left:0pt;margin-left:32.95pt;margin-top:7.8pt;height:297.8pt;width:431.25pt;z-index:251659264;mso-width-relative:page;mso-height-relative:page;" o:ole="t" filled="f" o:preferrelative="t" stroked="f" coordsize="21600,21600">
            <v:path/>
            <v:fill on="f" focussize="0,0"/>
            <v:stroke on="f"/>
            <v:imagedata r:id="rId9" o:title=""/>
            <o:lock v:ext="edit" aspectratio="t"/>
          </v:shape>
          <o:OLEObject Type="Embed" ProgID="Excel.Sheet.8" ShapeID="_x0000_s1028" DrawAspect="Content" ObjectID="_1468075725" r:id="rId8">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6"/>
      <w:bookmarkStart w:id="29" w:name="_Toc8388"/>
      <w:r>
        <w:rPr>
          <w:rFonts w:hint="eastAsia" w:ascii="黑体" w:hAnsi="黑体" w:eastAsia="黑体"/>
          <w:color w:val="000000"/>
          <w:sz w:val="32"/>
          <w:szCs w:val="32"/>
        </w:rPr>
        <w:t>收</w:t>
      </w:r>
      <w:r>
        <w:rPr>
          <w:rStyle w:val="25"/>
          <w:rFonts w:hint="eastAsia" w:ascii="黑体" w:hAnsi="黑体" w:eastAsia="黑体"/>
          <w:b w:val="0"/>
        </w:rPr>
        <w:t>入决算情况说明</w:t>
      </w:r>
      <w:bookmarkEnd w:id="28"/>
      <w:bookmarkEnd w:id="29"/>
    </w:p>
    <w:p>
      <w:pPr>
        <w:spacing w:line="600" w:lineRule="exact"/>
        <w:ind w:firstLine="640" w:firstLineChars="200"/>
        <w:outlineLvl w:val="1"/>
        <w:rPr>
          <w:rFonts w:ascii="仿宋" w:hAnsi="仿宋" w:eastAsia="仿宋"/>
          <w:color w:val="000000"/>
          <w:sz w:val="32"/>
          <w:szCs w:val="32"/>
        </w:rPr>
      </w:pPr>
      <w:bookmarkStart w:id="30" w:name="_Toc6168"/>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年本年收入合计37</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万元，其中：一般公共预算财政拨款收入37</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30"/>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9" o:spid="_x0000_s1029" o:spt="75" type="#_x0000_t75" style="position:absolute;left:0pt;margin-left:-45.75pt;margin-top:24.65pt;height:307.05pt;width:521.55pt;z-index:251661312;mso-width-relative:page;mso-height-relative:page;" o:ole="t" filled="f" o:preferrelative="t" stroked="f" coordsize="21600,21600">
            <v:path/>
            <v:fill on="f" focussize="0,0"/>
            <v:stroke on="f"/>
            <v:imagedata r:id="rId11" o:title=""/>
            <o:lock v:ext="edit" aspectratio="t"/>
          </v:shape>
          <o:OLEObject Type="Embed" ProgID="Excel.Sheet.8" ShapeID="_x0000_s1029" DrawAspect="Content" ObjectID="_1468075726" r:id="rId10">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31" w:name="_Toc15377207"/>
      <w:bookmarkStart w:id="32" w:name="_Toc4422"/>
      <w:r>
        <w:rPr>
          <w:rFonts w:hint="eastAsia" w:ascii="黑体" w:hAnsi="黑体" w:eastAsia="黑体"/>
          <w:color w:val="000000"/>
          <w:sz w:val="32"/>
          <w:szCs w:val="32"/>
        </w:rPr>
        <w:t>支</w:t>
      </w:r>
      <w:r>
        <w:rPr>
          <w:rStyle w:val="25"/>
          <w:rFonts w:hint="eastAsia" w:ascii="黑体" w:hAnsi="黑体" w:eastAsia="黑体"/>
          <w:b w:val="0"/>
        </w:rPr>
        <w:t>出决算情况说明</w:t>
      </w:r>
      <w:bookmarkEnd w:id="31"/>
      <w:bookmarkEnd w:id="32"/>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年本年支出合计37</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366.5</w:t>
      </w:r>
      <w:r>
        <w:rPr>
          <w:rFonts w:hint="eastAsia" w:ascii="仿宋" w:hAnsi="仿宋" w:eastAsia="仿宋"/>
          <w:color w:val="000000"/>
          <w:sz w:val="32"/>
          <w:szCs w:val="32"/>
        </w:rPr>
        <w:t>万元，占9</w:t>
      </w:r>
      <w:r>
        <w:rPr>
          <w:rFonts w:hint="eastAsia" w:ascii="仿宋" w:hAnsi="仿宋" w:eastAsia="仿宋"/>
          <w:color w:val="000000"/>
          <w:sz w:val="32"/>
          <w:szCs w:val="32"/>
          <w:lang w:val="en-US" w:eastAsia="zh-CN"/>
        </w:rPr>
        <w:t>8.65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1.35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30" o:spid="_x0000_s1030" o:spt="75" type="#_x0000_t75" style="position:absolute;left:0pt;margin-left:-11.25pt;margin-top:9.15pt;height:224.25pt;width:475.95pt;z-index:251663360;mso-width-relative:page;mso-height-relative:page;" o:ole="t" filled="f" o:preferrelative="t" stroked="f" coordsize="21600,21600">
            <v:path/>
            <v:fill on="f" focussize="0,0"/>
            <v:stroke on="f"/>
            <v:imagedata r:id="rId13" o:title=""/>
            <o:lock v:ext="edit" aspectratio="t"/>
          </v:shape>
          <o:OLEObject Type="Embed" ProgID="Excel.Sheet.8" ShapeID="_x0000_s1030" DrawAspect="Content" ObjectID="_1468075727" r:id="rId12">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object>
          <v:shape id="_x0000_i1025" o:spt="75" type="#_x0000_t75" style="height:299.25pt;width:447.75pt;" o:ole="t" filled="f" o:preferrelative="t" stroked="f" coordsize="21600,21600">
            <v:path/>
            <v:fill on="f" focussize="0,0"/>
            <v:stroke on="f" joinstyle="miter"/>
            <v:imagedata r:id="rId15" o:title=""/>
            <o:lock v:ext="edit" aspectratio="t"/>
            <w10:wrap type="none"/>
            <w10:anchorlock/>
          </v:shape>
          <o:OLEObject Type="Embed" ProgID="Excel.Sheet.8" ShapeID="_x0000_i1025" DrawAspect="Content" ObjectID="_1468075728" r:id="rId14">
            <o:LockedField>false</o:LockedField>
          </o:OLEObject>
        </w:obje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3" w:name="_Toc2990"/>
      <w:bookmarkStart w:id="34"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3"/>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年财政拨款收、支总计37</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val="en-US" w:eastAsia="zh-CN"/>
        </w:rPr>
        <w:t>减少6.37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减少1.7</w:t>
      </w:r>
      <w:r>
        <w:rPr>
          <w:rFonts w:ascii="仿宋" w:hAnsi="仿宋" w:eastAsia="仿宋"/>
          <w:color w:val="000000"/>
          <w:sz w:val="32"/>
          <w:szCs w:val="32"/>
        </w:rPr>
        <w:t>%</w:t>
      </w:r>
      <w:r>
        <w:rPr>
          <w:rFonts w:hint="eastAsia" w:ascii="仿宋" w:hAnsi="仿宋" w:eastAsia="仿宋"/>
          <w:color w:val="000000"/>
          <w:sz w:val="32"/>
          <w:szCs w:val="32"/>
        </w:rPr>
        <w:t>。主要变动原因是人员</w:t>
      </w:r>
      <w:r>
        <w:rPr>
          <w:rFonts w:hint="eastAsia" w:ascii="仿宋" w:hAnsi="仿宋" w:eastAsia="仿宋"/>
          <w:color w:val="000000"/>
          <w:sz w:val="32"/>
          <w:szCs w:val="32"/>
          <w:lang w:val="en-US" w:eastAsia="zh-CN"/>
        </w:rPr>
        <w:t>变动</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2" o:spid="_x0000_s1032" o:spt="75" type="#_x0000_t75" style="position:absolute;left:0pt;margin-left:-1.45pt;margin-top:7.65pt;height:311.3pt;width:539.3pt;z-index:251665408;mso-width-relative:page;mso-height-relative:page;" o:ole="t" filled="f" o:preferrelative="t" stroked="f" coordsize="21600,21600">
            <v:path/>
            <v:fill on="f" focussize="0,0"/>
            <v:stroke on="f"/>
            <v:imagedata r:id="rId17" o:title=""/>
            <o:lock v:ext="edit" aspectratio="t"/>
          </v:shape>
          <o:OLEObject Type="Embed" ProgID="Excel.Sheet.8" ShapeID="_x0000_s1032" DrawAspect="Content" ObjectID="_1468075729" r:id="rId16">
            <o:LockedField>false</o:LockedField>
          </o:OLEObject>
        </w:pic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5" w:name="_Toc15377209"/>
      <w:bookmarkStart w:id="36" w:name="_Toc8271"/>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5"/>
      <w:bookmarkEnd w:id="36"/>
    </w:p>
    <w:p>
      <w:pPr>
        <w:spacing w:line="600" w:lineRule="exact"/>
        <w:ind w:firstLine="643" w:firstLineChars="200"/>
        <w:outlineLvl w:val="2"/>
        <w:rPr>
          <w:rFonts w:ascii="仿宋" w:hAnsi="仿宋" w:eastAsia="仿宋"/>
          <w:b/>
          <w:color w:val="000000"/>
          <w:sz w:val="32"/>
          <w:szCs w:val="32"/>
        </w:rPr>
      </w:pPr>
      <w:bookmarkStart w:id="37" w:name="_Toc15377210"/>
      <w:r>
        <w:rPr>
          <w:rFonts w:hint="eastAsia" w:ascii="仿宋" w:hAnsi="仿宋" w:eastAsia="仿宋"/>
          <w:b/>
          <w:color w:val="000000"/>
          <w:sz w:val="32"/>
          <w:szCs w:val="32"/>
        </w:rPr>
        <w:t>（一）一般公共预算财政拨款支出决算总体情况</w:t>
      </w:r>
      <w:bookmarkEnd w:id="3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年一般公共预算财政拨款支出37</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减少6.37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减少1.7</w:t>
      </w:r>
      <w:r>
        <w:rPr>
          <w:rFonts w:ascii="仿宋" w:hAnsi="仿宋" w:eastAsia="仿宋"/>
          <w:color w:val="000000"/>
          <w:sz w:val="32"/>
          <w:szCs w:val="32"/>
        </w:rPr>
        <w:t>%</w:t>
      </w:r>
      <w:r>
        <w:rPr>
          <w:rFonts w:hint="eastAsia" w:ascii="仿宋" w:hAnsi="仿宋" w:eastAsia="仿宋"/>
          <w:color w:val="000000"/>
          <w:sz w:val="32"/>
          <w:szCs w:val="32"/>
        </w:rPr>
        <w:t>。主要变动原因是人员</w:t>
      </w:r>
      <w:r>
        <w:rPr>
          <w:rFonts w:hint="eastAsia" w:ascii="仿宋" w:hAnsi="仿宋" w:eastAsia="仿宋"/>
          <w:color w:val="000000"/>
          <w:sz w:val="32"/>
          <w:szCs w:val="32"/>
          <w:lang w:val="en-US" w:eastAsia="zh-CN"/>
        </w:rPr>
        <w:t>变动</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3" o:spid="_x0000_s1033" o:spt="75" type="#_x0000_t75" style="position:absolute;left:0pt;margin-left:-25.5pt;margin-top:12.05pt;height:245.15pt;width:509.55pt;z-index:251667456;mso-width-relative:page;mso-height-relative:page;" o:ole="t" filled="f" o:preferrelative="t" stroked="f" coordsize="21600,21600">
            <v:path/>
            <v:fill on="f" focussize="0,0"/>
            <v:stroke on="f"/>
            <v:imagedata r:id="rId19" o:title=""/>
            <o:lock v:ext="edit" aspectratio="t"/>
          </v:shape>
          <o:OLEObject Type="Embed" ProgID="Excel.Sheet.8" ShapeID="_x0000_s1033" DrawAspect="Content" ObjectID="_1468075730" r:id="rId18">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8" w:name="_Toc15377211"/>
      <w:r>
        <w:rPr>
          <w:rFonts w:hint="eastAsia" w:ascii="仿宋" w:hAnsi="仿宋" w:eastAsia="仿宋"/>
          <w:b/>
          <w:color w:val="000000"/>
          <w:sz w:val="32"/>
          <w:szCs w:val="32"/>
        </w:rPr>
        <w:t>（二）一般公共预算财政拨款支出决算结构情况</w:t>
      </w:r>
      <w:bookmarkEnd w:id="38"/>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政拨款支出37</w:t>
      </w:r>
      <w:r>
        <w:rPr>
          <w:rFonts w:hint="eastAsia" w:ascii="仿宋" w:hAnsi="仿宋" w:eastAsia="仿宋"/>
          <w:color w:val="000000" w:themeColor="text1"/>
          <w:sz w:val="32"/>
          <w:szCs w:val="32"/>
          <w:lang w:val="en-US" w:eastAsia="zh-CN"/>
          <w14:textFill>
            <w14:solidFill>
              <w14:schemeClr w14:val="tx1"/>
            </w14:solidFill>
          </w14:textFill>
        </w:rPr>
        <w:t>1.5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30</w:t>
      </w:r>
      <w:r>
        <w:rPr>
          <w:rFonts w:hint="eastAsia" w:ascii="仿宋" w:hAnsi="仿宋" w:eastAsia="仿宋"/>
          <w:color w:val="000000" w:themeColor="text1"/>
          <w:sz w:val="32"/>
          <w:szCs w:val="32"/>
          <w:lang w:val="en-US" w:eastAsia="zh-CN"/>
          <w14:textFill>
            <w14:solidFill>
              <w14:schemeClr w14:val="tx1"/>
            </w14:solidFill>
          </w14:textFill>
        </w:rPr>
        <w:t>0.11</w:t>
      </w:r>
      <w:r>
        <w:rPr>
          <w:rFonts w:hint="eastAsia" w:ascii="仿宋" w:hAnsi="仿宋" w:eastAsia="仿宋"/>
          <w:color w:val="000000" w:themeColor="text1"/>
          <w:sz w:val="32"/>
          <w:szCs w:val="32"/>
          <w14:textFill>
            <w14:solidFill>
              <w14:schemeClr w14:val="tx1"/>
            </w14:solidFill>
          </w14:textFill>
        </w:rPr>
        <w:t>万元，占80.</w:t>
      </w:r>
      <w:r>
        <w:rPr>
          <w:rFonts w:hint="eastAsia" w:ascii="仿宋" w:hAnsi="仿宋" w:eastAsia="仿宋"/>
          <w:color w:val="000000" w:themeColor="text1"/>
          <w:sz w:val="32"/>
          <w:szCs w:val="32"/>
          <w:lang w:val="en-US" w:eastAsia="zh-CN"/>
          <w14:textFill>
            <w14:solidFill>
              <w14:schemeClr w14:val="tx1"/>
            </w14:solidFill>
          </w14:textFill>
        </w:rPr>
        <w:t>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33.84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卫生健康</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24.02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6.46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4" o:spid="_x0000_s1034" o:spt="75" type="#_x0000_t75" style="position:absolute;left:0pt;margin-left:-11.95pt;margin-top:11.15pt;height:244.15pt;width:465.2pt;z-index:251669504;mso-width-relative:page;mso-height-relative:page;" o:ole="t" filled="f" o:preferrelative="t" stroked="f" coordsize="21600,21600">
            <v:path/>
            <v:fill on="f" focussize="0,0"/>
            <v:stroke on="f"/>
            <v:imagedata r:id="rId21" o:title=""/>
            <o:lock v:ext="edit" aspectratio="t"/>
          </v:shape>
          <o:OLEObject Type="Embed" ProgID="Excel.Sheet.8" ShapeID="_x0000_s1034" DrawAspect="Content" ObjectID="_1468075731" r:id="rId20">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9" w:name="_Toc15377212"/>
      <w:r>
        <w:rPr>
          <w:rFonts w:hint="eastAsia" w:ascii="仿宋" w:hAnsi="仿宋" w:eastAsia="仿宋"/>
          <w:b/>
          <w:color w:val="000000"/>
          <w:sz w:val="32"/>
          <w:szCs w:val="32"/>
        </w:rPr>
        <w:t>（三）一般公共预算财政拨款支出决算具体情况</w:t>
      </w:r>
      <w:bookmarkEnd w:id="39"/>
    </w:p>
    <w:p>
      <w:pPr>
        <w:spacing w:line="600" w:lineRule="exact"/>
        <w:ind w:firstLine="643" w:firstLineChars="200"/>
        <w:outlineLvl w:val="2"/>
        <w:rPr>
          <w:rFonts w:ascii="仿宋" w:hAnsi="仿宋" w:eastAsia="仿宋"/>
          <w:color w:val="FF0000"/>
          <w:sz w:val="32"/>
          <w:szCs w:val="32"/>
        </w:rPr>
      </w:pPr>
      <w:bookmarkStart w:id="40" w:name="_Toc15377213"/>
      <w:bookmarkStart w:id="41" w:name="_Toc15377444"/>
      <w:bookmarkStart w:id="42" w:name="_Toc15378460"/>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年般公共预算支出决算数为37</w:t>
      </w:r>
      <w:r>
        <w:rPr>
          <w:rFonts w:hint="eastAsia" w:ascii="仿宋" w:hAnsi="仿宋" w:eastAsia="仿宋"/>
          <w:b/>
          <w:color w:val="000000" w:themeColor="text1"/>
          <w:sz w:val="32"/>
          <w:szCs w:val="32"/>
          <w:lang w:val="en-US" w:eastAsia="zh-CN"/>
          <w14:textFill>
            <w14:solidFill>
              <w14:schemeClr w14:val="tx1"/>
            </w14:solidFill>
          </w14:textFill>
        </w:rPr>
        <w:t>1.5万元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0"/>
      <w:bookmarkEnd w:id="41"/>
      <w:bookmarkEnd w:id="42"/>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支出决算为30</w:t>
      </w:r>
      <w:r>
        <w:rPr>
          <w:rStyle w:val="14"/>
          <w:rFonts w:hint="eastAsia" w:ascii="仿宋" w:hAnsi="仿宋" w:eastAsia="仿宋"/>
          <w:b w:val="0"/>
          <w:bCs/>
          <w:color w:val="000000"/>
          <w:sz w:val="32"/>
          <w:szCs w:val="32"/>
          <w:lang w:val="en-US" w:eastAsia="zh-CN"/>
        </w:rPr>
        <w:t>0.11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33.84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13.53</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24.02</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25"/>
        </w:rPr>
      </w:pPr>
      <w:bookmarkStart w:id="43" w:name="_Toc30157"/>
      <w:bookmarkStart w:id="44"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3"/>
      <w:bookmarkEnd w:id="44"/>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366.5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327.37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39.13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5" w:name="_Toc7782"/>
      <w:bookmarkStart w:id="46"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5"/>
      <w:bookmarkEnd w:id="46"/>
    </w:p>
    <w:p>
      <w:pPr>
        <w:spacing w:line="600" w:lineRule="exact"/>
        <w:ind w:firstLine="640"/>
        <w:outlineLvl w:val="2"/>
        <w:rPr>
          <w:rFonts w:ascii="仿宋" w:hAnsi="仿宋" w:eastAsia="仿宋"/>
          <w:b/>
          <w:color w:val="000000"/>
          <w:sz w:val="32"/>
          <w:szCs w:val="32"/>
        </w:rPr>
      </w:pPr>
      <w:bookmarkStart w:id="47" w:name="_Toc15377216"/>
      <w:r>
        <w:rPr>
          <w:rFonts w:hint="eastAsia" w:ascii="仿宋" w:hAnsi="仿宋" w:eastAsia="仿宋"/>
          <w:b/>
          <w:color w:val="000000"/>
          <w:sz w:val="32"/>
          <w:szCs w:val="32"/>
        </w:rPr>
        <w:t>（一）“三公”经费财政拨款支出决算总体情况说明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年“三公”经费财政拨款支出决算为0.</w:t>
      </w:r>
      <w:r>
        <w:rPr>
          <w:rFonts w:hint="eastAsia" w:ascii="仿宋" w:hAnsi="仿宋" w:eastAsia="仿宋"/>
          <w:color w:val="000000"/>
          <w:sz w:val="32"/>
          <w:szCs w:val="32"/>
          <w:lang w:val="en-US" w:eastAsia="zh-CN"/>
        </w:rPr>
        <w:t>53</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8" w:name="_Toc15377217"/>
      <w:r>
        <w:rPr>
          <w:rFonts w:hint="eastAsia" w:ascii="仿宋" w:hAnsi="仿宋" w:eastAsia="仿宋"/>
          <w:b/>
          <w:color w:val="000000"/>
          <w:sz w:val="32"/>
          <w:szCs w:val="32"/>
        </w:rPr>
        <w:t>（二）“三公”经费财政拨款支出决算具体情况说明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w:t>
      </w:r>
      <w:r>
        <w:rPr>
          <w:rFonts w:hint="eastAsia" w:ascii="仿宋" w:hAnsi="仿宋" w:eastAsia="仿宋"/>
          <w:color w:val="000000"/>
          <w:sz w:val="32"/>
          <w:szCs w:val="32"/>
          <w:lang w:val="en-US" w:eastAsia="zh-CN"/>
        </w:rPr>
        <w:t>53</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1035" o:spid="_x0000_s1035" o:spt="75" type="#_x0000_t75" style="position:absolute;left:0pt;margin-left:-0.75pt;margin-top:1.05pt;height:275pt;width:428.65pt;z-index:251671552;mso-width-relative:page;mso-height-relative:page;" o:ole="t" filled="f" o:preferrelative="t" stroked="f" coordsize="21600,21600">
            <v:path/>
            <v:fill on="f" focussize="0,0"/>
            <v:stroke on="f"/>
            <v:imagedata r:id="rId23" o:title=""/>
            <o:lock v:ext="edit" aspectratio="t"/>
          </v:shape>
          <o:OLEObject Type="Embed" ProgID="Excel.Sheet.8" ShapeID="_x0000_s1035" DrawAspect="Content" ObjectID="_1468075732" r:id="rId22">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w:t>
      </w:r>
      <w:r>
        <w:rPr>
          <w:rFonts w:hint="eastAsia" w:ascii="仿宋_GB2312" w:eastAsia="仿宋_GB2312"/>
          <w:color w:val="000000"/>
          <w:sz w:val="32"/>
          <w:szCs w:val="32"/>
        </w:rPr>
        <w:t>0.04万元，</w:t>
      </w:r>
      <w:r>
        <w:rPr>
          <w:rFonts w:hint="eastAsia" w:ascii="仿宋_GB2312" w:eastAsia="仿宋_GB2312"/>
          <w:color w:val="000000"/>
          <w:sz w:val="32"/>
          <w:szCs w:val="32"/>
          <w:lang w:val="en-US" w:eastAsia="zh-CN"/>
        </w:rPr>
        <w:t>增长8.16</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val="en-US" w:eastAsia="zh-CN"/>
        </w:rPr>
        <w:t>业务活动增加及退休人员座谈会等</w:t>
      </w:r>
      <w:r>
        <w:rPr>
          <w:rFonts w:hint="eastAsia" w:ascii="仿宋_GB2312" w:eastAsia="仿宋_GB2312"/>
          <w:color w:val="000000"/>
          <w:sz w:val="32"/>
          <w:szCs w:val="32"/>
        </w:rPr>
        <w:t>。</w:t>
      </w:r>
    </w:p>
    <w:p>
      <w:pPr>
        <w:numPr>
          <w:ilvl w:val="0"/>
          <w:numId w:val="2"/>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主要用于执行公务、开展业务活动开支的交通费、住宿费、用餐费等。国内公务接待5</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批次，1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2人次（不包括陪同人员），共计支出0.</w:t>
      </w:r>
      <w:r>
        <w:rPr>
          <w:rFonts w:hint="eastAsia" w:ascii="仿宋_GB2312" w:eastAsia="仿宋_GB2312"/>
          <w:color w:val="000000"/>
          <w:sz w:val="32"/>
          <w:szCs w:val="32"/>
          <w:lang w:val="en-US" w:eastAsia="zh-CN"/>
        </w:rPr>
        <w:t>53</w:t>
      </w:r>
      <w:r>
        <w:rPr>
          <w:rFonts w:hint="eastAsia" w:ascii="仿宋_GB2312" w:eastAsia="仿宋_GB2312"/>
          <w:color w:val="000000"/>
          <w:sz w:val="32"/>
          <w:szCs w:val="32"/>
        </w:rPr>
        <w:t>万元，具体内容包括：级来校指导工作、开展业务活动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老人节活动</w:t>
      </w:r>
      <w:r>
        <w:rPr>
          <w:rFonts w:hint="eastAsia" w:ascii="仿宋_GB2312" w:eastAsia="仿宋_GB2312"/>
          <w:color w:val="000000"/>
          <w:sz w:val="32"/>
          <w:szCs w:val="32"/>
        </w:rPr>
        <w:t>等工作餐支出0.</w:t>
      </w:r>
      <w:r>
        <w:rPr>
          <w:rFonts w:hint="eastAsia" w:ascii="仿宋_GB2312" w:eastAsia="仿宋_GB2312"/>
          <w:color w:val="000000"/>
          <w:sz w:val="32"/>
          <w:szCs w:val="32"/>
          <w:lang w:val="en-US" w:eastAsia="zh-CN"/>
        </w:rPr>
        <w:t>53</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49" w:name="_Toc15377218"/>
      <w:bookmarkStart w:id="50" w:name="_Toc16339"/>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年政府性基金预算拨款支出0万元。</w:t>
      </w:r>
    </w:p>
    <w:p>
      <w:pPr>
        <w:numPr>
          <w:ilvl w:val="0"/>
          <w:numId w:val="3"/>
        </w:numPr>
        <w:spacing w:line="600" w:lineRule="exact"/>
        <w:ind w:firstLine="640"/>
        <w:outlineLvl w:val="1"/>
        <w:rPr>
          <w:rStyle w:val="25"/>
          <w:rFonts w:ascii="黑体" w:hAnsi="黑体" w:eastAsia="黑体"/>
          <w:b w:val="0"/>
        </w:rPr>
      </w:pPr>
      <w:bookmarkStart w:id="51" w:name="_Toc15377219"/>
      <w:bookmarkStart w:id="52" w:name="_Toc1684"/>
      <w:r>
        <w:rPr>
          <w:rStyle w:val="25"/>
          <w:rFonts w:hint="eastAsia" w:ascii="黑体" w:hAnsi="黑体" w:eastAsia="黑体"/>
          <w:b w:val="0"/>
        </w:rPr>
        <w:t>国有资本经营预算支出决算情况说明</w:t>
      </w:r>
      <w:bookmarkEnd w:id="51"/>
      <w:bookmarkEnd w:id="52"/>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Style w:val="25"/>
          <w:rFonts w:ascii="黑体" w:hAnsi="黑体" w:eastAsia="黑体"/>
        </w:rPr>
      </w:pPr>
      <w:bookmarkStart w:id="53" w:name="_Toc3152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3"/>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 w:hAnsi="仿宋" w:eastAsia="仿宋"/>
          <w:b/>
          <w:color w:val="auto"/>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开江县骑龙乡中心小学</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2.03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0.04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8.16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退休人员活动增加。</w:t>
      </w: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开江县骑龙乡中心小学寻</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开江县骑龙乡中心小学</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年部门整体支出开展绩效自评，从评价情况来看全面完成了预算执行，达到了预期效果。</w:t>
      </w:r>
      <w:r>
        <w:rPr>
          <w:rFonts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本部门无专项预算项目，因此未组织开展项目支出绩效评价。</w:t>
      </w:r>
    </w:p>
    <w:p>
      <w:pPr>
        <w:spacing w:line="580" w:lineRule="exact"/>
        <w:ind w:firstLine="640" w:firstLineChars="20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val="en-US" w:eastAsia="zh-CN"/>
        </w:rPr>
        <w:t>开江县骑龙乡中心小学</w:t>
      </w:r>
      <w:r>
        <w:rPr>
          <w:rFonts w:hint="eastAsia" w:ascii="仿宋_GB2312" w:hAnsi="仿宋_GB2312" w:eastAsia="仿宋_GB2312" w:cs="仿宋_GB2312"/>
          <w:sz w:val="32"/>
          <w:szCs w:val="32"/>
        </w:rPr>
        <w:t>部门2019年部门整体支出绩效评价报告》见附件（附件1）。</w:t>
      </w:r>
    </w:p>
    <w:p>
      <w:pPr>
        <w:widowControl/>
        <w:jc w:val="left"/>
        <w:rPr>
          <w:rFonts w:ascii="仿宋_GB2312" w:eastAsia="仿宋_GB2312"/>
          <w:b/>
          <w:color w:val="000000"/>
          <w:sz w:val="32"/>
          <w:szCs w:val="32"/>
        </w:rPr>
      </w:pPr>
    </w:p>
    <w:p>
      <w:pPr>
        <w:spacing w:line="600" w:lineRule="exact"/>
        <w:ind w:firstLine="640"/>
        <w:jc w:val="center"/>
        <w:rPr>
          <w:rStyle w:val="24"/>
          <w:rFonts w:hint="eastAsia" w:ascii="黑体" w:hAnsi="黑体" w:eastAsia="黑体"/>
          <w:b w:val="0"/>
        </w:rPr>
      </w:pPr>
      <w:bookmarkStart w:id="54" w:name="_Toc9520"/>
      <w:r>
        <w:rPr>
          <w:rStyle w:val="24"/>
          <w:rFonts w:hint="eastAsia" w:ascii="黑体" w:hAnsi="黑体" w:eastAsia="黑体"/>
          <w:b w:val="0"/>
          <w:lang w:val="en-US" w:eastAsia="zh-CN"/>
        </w:rPr>
        <w:t>第三部分</w:t>
      </w:r>
      <w:bookmarkStart w:id="55" w:name="_Toc15377225"/>
      <w:r>
        <w:rPr>
          <w:rStyle w:val="24"/>
          <w:rFonts w:hint="eastAsia" w:ascii="黑体" w:hAnsi="黑体" w:eastAsia="黑体"/>
          <w:b w:val="0"/>
          <w:lang w:val="en-US" w:eastAsia="zh-CN"/>
        </w:rPr>
        <w:t xml:space="preserve">  </w:t>
      </w:r>
      <w:r>
        <w:rPr>
          <w:rStyle w:val="24"/>
          <w:rFonts w:hint="eastAsia" w:ascii="黑体" w:hAnsi="黑体" w:eastAsia="黑体"/>
          <w:b w:val="0"/>
        </w:rPr>
        <w:t>名词解释</w:t>
      </w:r>
      <w:bookmarkEnd w:id="55"/>
    </w:p>
    <w:bookmarkEnd w:id="54"/>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6"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bookmarkStart w:id="57" w:name="_Toc10576"/>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8" w:name="_Toc2501"/>
      <w:r>
        <w:rPr>
          <w:rStyle w:val="24"/>
          <w:rFonts w:hint="eastAsia" w:ascii="仿宋" w:hAnsi="仿宋" w:eastAsia="仿宋"/>
          <w:b w:val="0"/>
          <w:bCs w:val="0"/>
          <w:sz w:val="32"/>
          <w:szCs w:val="32"/>
        </w:rPr>
        <w:t>附件1</w:t>
      </w:r>
      <w:bookmarkEnd w:id="58"/>
    </w:p>
    <w:p>
      <w:pPr>
        <w:spacing w:line="600" w:lineRule="exact"/>
        <w:jc w:val="center"/>
        <w:outlineLvl w:val="0"/>
        <w:rPr>
          <w:rFonts w:hint="eastAsia" w:ascii="黑体" w:hAnsi="黑体" w:eastAsia="黑体" w:cs="方正小标宋简体"/>
          <w:sz w:val="36"/>
          <w:szCs w:val="36"/>
        </w:rPr>
      </w:pPr>
      <w:bookmarkStart w:id="59" w:name="_Toc1753"/>
      <w:bookmarkStart w:id="60" w:name="_Toc15396616"/>
      <w:r>
        <w:rPr>
          <w:rFonts w:hint="eastAsia" w:ascii="黑体" w:hAnsi="黑体" w:eastAsia="黑体" w:cs="方正小标宋简体"/>
          <w:sz w:val="36"/>
          <w:szCs w:val="36"/>
        </w:rPr>
        <w:t>开江县骑龙乡中心小学</w:t>
      </w:r>
      <w:bookmarkEnd w:id="59"/>
    </w:p>
    <w:p>
      <w:pPr>
        <w:spacing w:line="600" w:lineRule="exact"/>
        <w:jc w:val="center"/>
        <w:outlineLvl w:val="0"/>
        <w:rPr>
          <w:rFonts w:ascii="黑体" w:hAnsi="黑体" w:eastAsia="黑体" w:cs="方正小标宋简体"/>
          <w:sz w:val="36"/>
          <w:szCs w:val="36"/>
        </w:rPr>
      </w:pPr>
      <w:bookmarkStart w:id="61" w:name="_Toc17782"/>
      <w:r>
        <w:rPr>
          <w:rFonts w:hint="eastAsia" w:ascii="黑体" w:hAnsi="黑体" w:eastAsia="黑体" w:cs="方正小标宋简体"/>
          <w:sz w:val="36"/>
          <w:szCs w:val="36"/>
        </w:rPr>
        <w:t>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0"/>
      <w:bookmarkEnd w:id="61"/>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widowControl/>
        <w:spacing w:line="480" w:lineRule="auto"/>
        <w:ind w:firstLine="480"/>
        <w:rPr>
          <w:rFonts w:hint="eastAsia" w:ascii="方正仿宋简体" w:hAnsi="方正仿宋简体" w:eastAsia="方正仿宋简体" w:cs="方正仿宋简体"/>
          <w:color w:val="333333"/>
          <w:kern w:val="0"/>
          <w:sz w:val="32"/>
          <w:szCs w:val="32"/>
          <w:lang w:val="en"/>
        </w:rPr>
      </w:pPr>
      <w:r>
        <w:rPr>
          <w:rFonts w:hint="eastAsia" w:ascii="方正仿宋简体" w:hAnsi="方正仿宋简体" w:eastAsia="方正仿宋简体" w:cs="方正仿宋简体"/>
          <w:color w:val="333333"/>
          <w:kern w:val="0"/>
          <w:sz w:val="32"/>
          <w:szCs w:val="32"/>
          <w:lang w:val="en"/>
        </w:rPr>
        <w:t>我校是一所农村义务教育学校，创办于1952年9月，位于骑龙乡巨龙街46号，辖区目前有沙河村小学和石葫村小学两所村级小学。</w:t>
      </w:r>
    </w:p>
    <w:p>
      <w:pPr>
        <w:widowControl/>
        <w:spacing w:line="480" w:lineRule="auto"/>
        <w:ind w:firstLine="480"/>
        <w:rPr>
          <w:rFonts w:hint="eastAsia" w:ascii="方正仿宋简体" w:hAnsi="方正仿宋简体" w:eastAsia="方正仿宋简体" w:cs="方正仿宋简体"/>
          <w:color w:val="333333"/>
          <w:kern w:val="0"/>
          <w:sz w:val="32"/>
          <w:szCs w:val="32"/>
          <w:lang w:val="en"/>
        </w:rPr>
      </w:pPr>
      <w:r>
        <w:rPr>
          <w:rFonts w:hint="eastAsia" w:ascii="方正仿宋简体" w:hAnsi="方正仿宋简体" w:eastAsia="方正仿宋简体" w:cs="方正仿宋简体"/>
          <w:color w:val="333333"/>
          <w:kern w:val="0"/>
          <w:sz w:val="32"/>
          <w:szCs w:val="32"/>
          <w:lang w:val="en"/>
        </w:rPr>
        <w:t>单位职责主要是实施小学义务教育，促进教育事业发展。</w:t>
      </w:r>
    </w:p>
    <w:p>
      <w:pPr>
        <w:widowControl/>
        <w:spacing w:line="480" w:lineRule="auto"/>
        <w:ind w:firstLine="480"/>
        <w:rPr>
          <w:rFonts w:hint="eastAsia" w:ascii="方正仿宋简体" w:hAnsi="方正仿宋简体" w:eastAsia="方正仿宋简体" w:cs="方正仿宋简体"/>
          <w:color w:val="333333"/>
          <w:kern w:val="0"/>
          <w:sz w:val="32"/>
          <w:szCs w:val="32"/>
          <w:lang w:val="en"/>
        </w:rPr>
      </w:pPr>
      <w:r>
        <w:rPr>
          <w:rFonts w:hint="eastAsia" w:ascii="方正仿宋简体" w:hAnsi="方正仿宋简体" w:eastAsia="方正仿宋简体" w:cs="方正仿宋简体"/>
          <w:color w:val="333333"/>
          <w:kern w:val="0"/>
          <w:sz w:val="32"/>
          <w:szCs w:val="32"/>
          <w:lang w:val="en"/>
        </w:rPr>
        <w:t>我校是独立核算的财政全额拨款事业单位，执行事业单位会计制度，编制部门给我校核定事业编制2</w:t>
      </w:r>
      <w:r>
        <w:rPr>
          <w:rFonts w:hint="eastAsia" w:ascii="方正仿宋简体" w:hAnsi="方正仿宋简体" w:eastAsia="方正仿宋简体" w:cs="方正仿宋简体"/>
          <w:color w:val="333333"/>
          <w:kern w:val="0"/>
          <w:sz w:val="32"/>
          <w:szCs w:val="32"/>
          <w:lang w:val="en-US" w:eastAsia="zh-CN"/>
        </w:rPr>
        <w:t>8</w:t>
      </w:r>
      <w:r>
        <w:rPr>
          <w:rFonts w:hint="eastAsia" w:ascii="方正仿宋简体" w:hAnsi="方正仿宋简体" w:eastAsia="方正仿宋简体" w:cs="方正仿宋简体"/>
          <w:color w:val="333333"/>
          <w:kern w:val="0"/>
          <w:sz w:val="32"/>
          <w:szCs w:val="32"/>
          <w:lang w:val="en"/>
        </w:rPr>
        <w:t>个，201</w:t>
      </w:r>
      <w:r>
        <w:rPr>
          <w:rFonts w:hint="eastAsia" w:ascii="方正仿宋简体" w:hAnsi="方正仿宋简体" w:eastAsia="方正仿宋简体" w:cs="方正仿宋简体"/>
          <w:color w:val="333333"/>
          <w:kern w:val="0"/>
          <w:sz w:val="32"/>
          <w:szCs w:val="32"/>
          <w:lang w:val="en-US" w:eastAsia="zh-CN"/>
        </w:rPr>
        <w:t>9</w:t>
      </w:r>
      <w:r>
        <w:rPr>
          <w:rFonts w:hint="eastAsia" w:ascii="方正仿宋简体" w:hAnsi="方正仿宋简体" w:eastAsia="方正仿宋简体" w:cs="方正仿宋简体"/>
          <w:color w:val="333333"/>
          <w:kern w:val="0"/>
          <w:sz w:val="32"/>
          <w:szCs w:val="32"/>
          <w:lang w:val="en"/>
        </w:rPr>
        <w:t>年末我校共有在职教职员工31人，退休人,30人。</w:t>
      </w:r>
    </w:p>
    <w:p>
      <w:pPr>
        <w:widowControl/>
        <w:spacing w:line="480" w:lineRule="auto"/>
        <w:ind w:firstLine="480"/>
        <w:rPr>
          <w:rFonts w:hint="eastAsia" w:ascii="方正仿宋简体" w:hAnsi="方正仿宋简体" w:eastAsia="方正仿宋简体" w:cs="方正仿宋简体"/>
          <w:color w:val="333333"/>
          <w:kern w:val="0"/>
          <w:sz w:val="32"/>
          <w:szCs w:val="32"/>
          <w:lang w:val="en"/>
        </w:rPr>
      </w:pPr>
      <w:r>
        <w:rPr>
          <w:rFonts w:hint="eastAsia" w:ascii="方正仿宋简体" w:hAnsi="方正仿宋简体" w:eastAsia="方正仿宋简体" w:cs="方正仿宋简体"/>
          <w:color w:val="333333"/>
          <w:kern w:val="0"/>
          <w:sz w:val="32"/>
          <w:szCs w:val="32"/>
          <w:lang w:val="en"/>
        </w:rPr>
        <w:t>单位内设机构：教务处、政教处、财务室、大队部、工会等5个科室。</w:t>
      </w:r>
    </w:p>
    <w:p>
      <w:pPr>
        <w:widowControl/>
        <w:spacing w:line="480" w:lineRule="auto"/>
        <w:ind w:firstLine="480"/>
        <w:rPr>
          <w:rFonts w:hint="eastAsia" w:ascii="方正仿宋简体" w:hAnsi="方正仿宋简体" w:eastAsia="方正仿宋简体" w:cs="方正仿宋简体"/>
          <w:color w:val="333333"/>
          <w:kern w:val="0"/>
          <w:sz w:val="32"/>
          <w:szCs w:val="32"/>
          <w:lang w:val="en"/>
        </w:rPr>
      </w:pPr>
      <w:r>
        <w:rPr>
          <w:rFonts w:hint="eastAsia" w:ascii="方正仿宋简体" w:hAnsi="方正仿宋简体" w:eastAsia="方正仿宋简体" w:cs="方正仿宋简体"/>
          <w:color w:val="333333"/>
          <w:kern w:val="0"/>
          <w:sz w:val="32"/>
          <w:szCs w:val="32"/>
          <w:lang w:val="en"/>
        </w:rPr>
        <w:t>我校共有</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lang w:val="en"/>
        </w:rPr>
        <w:t>个教学班，</w:t>
      </w:r>
      <w:r>
        <w:rPr>
          <w:rFonts w:hint="eastAsia" w:ascii="方正仿宋简体" w:hAnsi="方正仿宋简体" w:eastAsia="方正仿宋简体" w:cs="方正仿宋简体"/>
          <w:color w:val="333333"/>
          <w:kern w:val="0"/>
          <w:sz w:val="32"/>
          <w:szCs w:val="32"/>
          <w:lang w:val="en-US" w:eastAsia="zh-CN"/>
        </w:rPr>
        <w:t>248</w:t>
      </w:r>
      <w:r>
        <w:rPr>
          <w:rFonts w:hint="eastAsia" w:ascii="方正仿宋简体" w:hAnsi="方正仿宋简体" w:eastAsia="方正仿宋简体" w:cs="方正仿宋简体"/>
          <w:color w:val="333333"/>
          <w:kern w:val="0"/>
          <w:sz w:val="32"/>
          <w:szCs w:val="32"/>
          <w:lang w:val="en"/>
        </w:rPr>
        <w:t>名学生。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（一）部门财政资金收入情况</w:t>
      </w:r>
    </w:p>
    <w:p>
      <w:pPr>
        <w:spacing w:line="580" w:lineRule="exact"/>
        <w:ind w:firstLine="640" w:firstLineChars="200"/>
        <w:rPr>
          <w:rFonts w:hint="eastAsia" w:ascii="方正仿宋简体" w:hAnsi="方正仿宋简体" w:eastAsia="方正仿宋简体" w:cs="方正仿宋简体"/>
          <w:sz w:val="32"/>
          <w:szCs w:val="32"/>
          <w:lang w:val="en"/>
        </w:rPr>
      </w:pPr>
      <w:r>
        <w:rPr>
          <w:rFonts w:hint="eastAsia" w:ascii="方正仿宋简体" w:hAnsi="方正仿宋简体" w:eastAsia="方正仿宋简体" w:cs="方正仿宋简体"/>
          <w:sz w:val="32"/>
          <w:szCs w:val="32"/>
          <w:lang w:val="en"/>
        </w:rPr>
        <w:t>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val="en"/>
        </w:rPr>
        <w:t>年度我校总收入：3</w:t>
      </w:r>
      <w:r>
        <w:rPr>
          <w:rFonts w:hint="eastAsia" w:ascii="方正仿宋简体" w:hAnsi="方正仿宋简体" w:eastAsia="方正仿宋简体" w:cs="方正仿宋简体"/>
          <w:sz w:val="32"/>
          <w:szCs w:val="32"/>
          <w:lang w:val="en-US" w:eastAsia="zh-CN"/>
        </w:rPr>
        <w:t>71.5</w:t>
      </w:r>
      <w:r>
        <w:rPr>
          <w:rFonts w:hint="eastAsia" w:ascii="方正仿宋简体" w:hAnsi="方正仿宋简体" w:eastAsia="方正仿宋简体" w:cs="方正仿宋简体"/>
          <w:sz w:val="32"/>
          <w:szCs w:val="32"/>
          <w:lang w:val="en"/>
        </w:rPr>
        <w:t>万元（财政补助收入3</w:t>
      </w:r>
      <w:r>
        <w:rPr>
          <w:rFonts w:hint="eastAsia" w:ascii="方正仿宋简体" w:hAnsi="方正仿宋简体" w:eastAsia="方正仿宋简体" w:cs="方正仿宋简体"/>
          <w:sz w:val="32"/>
          <w:szCs w:val="32"/>
          <w:lang w:val="en-US" w:eastAsia="zh-CN"/>
        </w:rPr>
        <w:t>71.5</w:t>
      </w:r>
      <w:r>
        <w:rPr>
          <w:rFonts w:hint="eastAsia" w:ascii="方正仿宋简体" w:hAnsi="方正仿宋简体" w:eastAsia="方正仿宋简体" w:cs="方正仿宋简体"/>
          <w:sz w:val="32"/>
          <w:szCs w:val="32"/>
          <w:lang w:val="en"/>
        </w:rPr>
        <w:t>万元），结转上年资金0万元，全年总支出37</w:t>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lang w:val="en"/>
        </w:rPr>
        <w:t>万元。</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（二）部门财政资金支出情况</w:t>
      </w:r>
    </w:p>
    <w:p>
      <w:pPr>
        <w:spacing w:line="580" w:lineRule="exact"/>
        <w:ind w:firstLine="640" w:firstLineChars="200"/>
        <w:rPr>
          <w:rFonts w:hint="eastAsia" w:ascii="方正仿宋简体" w:hAnsi="方正仿宋简体" w:eastAsia="方正仿宋简体" w:cs="方正仿宋简体"/>
          <w:sz w:val="32"/>
          <w:szCs w:val="32"/>
          <w:lang w:val="en"/>
        </w:rPr>
      </w:pPr>
      <w:r>
        <w:rPr>
          <w:rFonts w:hint="eastAsia" w:ascii="方正仿宋简体" w:hAnsi="方正仿宋简体" w:eastAsia="方正仿宋简体" w:cs="方正仿宋简体"/>
          <w:sz w:val="32"/>
          <w:szCs w:val="32"/>
          <w:lang w:val="en"/>
        </w:rPr>
        <w:t>教育支出30</w:t>
      </w:r>
      <w:r>
        <w:rPr>
          <w:rFonts w:hint="eastAsia" w:ascii="方正仿宋简体" w:hAnsi="方正仿宋简体" w:eastAsia="方正仿宋简体" w:cs="方正仿宋简体"/>
          <w:sz w:val="32"/>
          <w:szCs w:val="32"/>
          <w:lang w:val="en-US" w:eastAsia="zh-CN"/>
        </w:rPr>
        <w:t>0.11</w:t>
      </w:r>
      <w:r>
        <w:rPr>
          <w:rFonts w:hint="eastAsia" w:ascii="方正仿宋简体" w:hAnsi="方正仿宋简体" w:eastAsia="方正仿宋简体" w:cs="方正仿宋简体"/>
          <w:sz w:val="32"/>
          <w:szCs w:val="32"/>
          <w:lang w:val="en"/>
        </w:rPr>
        <w:t>万元，社会保障和就业支出（基本养老保险）</w:t>
      </w:r>
      <w:r>
        <w:rPr>
          <w:rFonts w:hint="eastAsia" w:ascii="方正仿宋简体" w:hAnsi="方正仿宋简体" w:eastAsia="方正仿宋简体" w:cs="方正仿宋简体"/>
          <w:sz w:val="32"/>
          <w:szCs w:val="32"/>
          <w:lang w:val="en-US" w:eastAsia="zh-CN"/>
        </w:rPr>
        <w:t>33.84</w:t>
      </w:r>
      <w:r>
        <w:rPr>
          <w:rFonts w:hint="eastAsia" w:ascii="方正仿宋简体" w:hAnsi="方正仿宋简体" w:eastAsia="方正仿宋简体" w:cs="方正仿宋简体"/>
          <w:sz w:val="32"/>
          <w:szCs w:val="32"/>
          <w:lang w:val="en"/>
        </w:rPr>
        <w:t>万元，医疗卫生支出（基本医疗保险）1</w:t>
      </w:r>
      <w:r>
        <w:rPr>
          <w:rFonts w:hint="eastAsia" w:ascii="方正仿宋简体" w:hAnsi="方正仿宋简体" w:eastAsia="方正仿宋简体" w:cs="方正仿宋简体"/>
          <w:sz w:val="32"/>
          <w:szCs w:val="32"/>
          <w:lang w:val="en-US" w:eastAsia="zh-CN"/>
        </w:rPr>
        <w:t>3.53</w:t>
      </w:r>
      <w:r>
        <w:rPr>
          <w:rFonts w:hint="eastAsia" w:ascii="方正仿宋简体" w:hAnsi="方正仿宋简体" w:eastAsia="方正仿宋简体" w:cs="方正仿宋简体"/>
          <w:sz w:val="32"/>
          <w:szCs w:val="32"/>
          <w:lang w:val="en"/>
        </w:rPr>
        <w:t>万元，住房保障支出（住房公积金）</w:t>
      </w:r>
      <w:r>
        <w:rPr>
          <w:rFonts w:hint="eastAsia" w:ascii="方正仿宋简体" w:hAnsi="方正仿宋简体" w:eastAsia="方正仿宋简体" w:cs="方正仿宋简体"/>
          <w:sz w:val="32"/>
          <w:szCs w:val="32"/>
          <w:lang w:val="en-US" w:eastAsia="zh-CN"/>
        </w:rPr>
        <w:t>24.02</w:t>
      </w:r>
      <w:r>
        <w:rPr>
          <w:rFonts w:hint="eastAsia" w:ascii="方正仿宋简体" w:hAnsi="方正仿宋简体" w:eastAsia="方正仿宋简体" w:cs="方正仿宋简体"/>
          <w:sz w:val="32"/>
          <w:szCs w:val="32"/>
          <w:lang w:val="en"/>
        </w:rPr>
        <w:t>万元。其中基本支出36</w:t>
      </w:r>
      <w:r>
        <w:rPr>
          <w:rFonts w:hint="eastAsia" w:ascii="方正仿宋简体" w:hAnsi="方正仿宋简体" w:eastAsia="方正仿宋简体" w:cs="方正仿宋简体"/>
          <w:sz w:val="32"/>
          <w:szCs w:val="32"/>
          <w:lang w:val="en-US" w:eastAsia="zh-CN"/>
        </w:rPr>
        <w:t>6.5</w:t>
      </w:r>
      <w:r>
        <w:rPr>
          <w:rFonts w:hint="eastAsia" w:ascii="方正仿宋简体" w:hAnsi="方正仿宋简体" w:eastAsia="方正仿宋简体" w:cs="方正仿宋简体"/>
          <w:sz w:val="32"/>
          <w:szCs w:val="32"/>
          <w:lang w:val="en"/>
        </w:rPr>
        <w:t>万元，项目支出</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val="en"/>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（一）部门预算管理</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预算绩效管理要求，骑龙乡中心小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（二）专项预算管理</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（三）结果应用情况</w:t>
      </w:r>
    </w:p>
    <w:p>
      <w:pPr>
        <w:spacing w:line="58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通过绩效评价，我们认为，201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r>
        <w:rPr>
          <w:rFonts w:hint="eastAsia" w:ascii="方正仿宋简体" w:hAnsi="方正仿宋简体" w:eastAsia="方正仿宋简体" w:cs="方正仿宋简体"/>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1、学校的固定资产管理还有待加强，下年度将按照标准逐步完善。</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2、更加科学合理的编制预算。本年度预算完成率分值被扣</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分，下一会计年度努力学习预算制度，更加合理地编制预算，使预算、决算差异更小。</w:t>
      </w:r>
    </w:p>
    <w:p>
      <w:pPr>
        <w:spacing w:line="580" w:lineRule="exact"/>
        <w:ind w:firstLine="640" w:firstLineChars="200"/>
        <w:rPr>
          <w:rFonts w:hint="eastAsia" w:ascii="方正仿宋简体" w:hAnsi="方正仿宋简体" w:eastAsia="方正仿宋简体" w:cs="方正仿宋简体"/>
          <w:sz w:val="32"/>
          <w:szCs w:val="32"/>
          <w:lang w:val="en"/>
        </w:rPr>
      </w:pPr>
      <w:r>
        <w:rPr>
          <w:rFonts w:hint="eastAsia" w:ascii="方正仿宋简体" w:hAnsi="方正仿宋简体" w:eastAsia="方正仿宋简体" w:cs="方正仿宋简体"/>
          <w:sz w:val="32"/>
          <w:szCs w:val="32"/>
          <w:lang w:val="en"/>
        </w:rPr>
        <w:t>3、部分绩效指标及目标值有待进一步细化和量化。  </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
        </w:rPr>
        <w:t>4、部门整体预算执行率未达到9</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val="en"/>
        </w:rPr>
        <w:t>%，预算执行有待提升。 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val="en"/>
        </w:rPr>
        <w:t>5、尚未针对绩效考评制定比较明确的实施细则，有待进</w:t>
      </w:r>
      <w:r>
        <w:rPr>
          <w:rFonts w:hint="eastAsia" w:ascii="方正仿宋简体" w:hAnsi="方正仿宋简体" w:eastAsia="方正仿宋简体" w:cs="方正仿宋简体"/>
          <w:sz w:val="32"/>
          <w:szCs w:val="32"/>
          <w:lang w:val="en-US" w:eastAsia="zh-CN"/>
        </w:rPr>
        <w:t>一步加强。</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2" w:name="_Toc29828"/>
      <w:r>
        <w:rPr>
          <w:rFonts w:hint="eastAsia" w:ascii="黑体" w:hAnsi="黑体" w:eastAsia="黑体"/>
          <w:color w:val="000000"/>
          <w:sz w:val="44"/>
          <w:szCs w:val="44"/>
        </w:rPr>
        <w:t>第</w:t>
      </w:r>
      <w:r>
        <w:rPr>
          <w:rStyle w:val="24"/>
          <w:rFonts w:hint="eastAsia" w:ascii="黑体" w:hAnsi="黑体" w:eastAsia="黑体"/>
          <w:b w:val="0"/>
        </w:rPr>
        <w:t>五部分 附表</w:t>
      </w:r>
      <w:bookmarkEnd w:id="56"/>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6727"/>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58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5249"/>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7779"/>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6378"/>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2156"/>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9893"/>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0175"/>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2510"/>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2426"/>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22296"/>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3527"/>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060"/>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1D1E9"/>
    <w:multiLevelType w:val="singleLevel"/>
    <w:tmpl w:val="8D71D1E9"/>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30B4"/>
    <w:rsid w:val="10C055FF"/>
    <w:rsid w:val="16BB723D"/>
    <w:rsid w:val="1E963AF4"/>
    <w:rsid w:val="1F9B7344"/>
    <w:rsid w:val="240371BF"/>
    <w:rsid w:val="24D44752"/>
    <w:rsid w:val="2687326E"/>
    <w:rsid w:val="29074F87"/>
    <w:rsid w:val="29FD04D3"/>
    <w:rsid w:val="2F98226A"/>
    <w:rsid w:val="30BC07C3"/>
    <w:rsid w:val="319F7F4E"/>
    <w:rsid w:val="342F40AA"/>
    <w:rsid w:val="358F40AB"/>
    <w:rsid w:val="3AE00169"/>
    <w:rsid w:val="544E417B"/>
    <w:rsid w:val="57493966"/>
    <w:rsid w:val="61FD15A2"/>
    <w:rsid w:val="6D7D0612"/>
    <w:rsid w:val="749655E3"/>
    <w:rsid w:val="7C4427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emf"/><Relationship Id="rId22" Type="http://schemas.openxmlformats.org/officeDocument/2006/relationships/oleObject" Target="embeddings/oleObject8.bin"/><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5163</Words>
  <Characters>2740</Characters>
  <Lines>22</Lines>
  <Paragraphs>15</Paragraphs>
  <TotalTime>1</TotalTime>
  <ScaleCrop>false</ScaleCrop>
  <LinksUpToDate>false</LinksUpToDate>
  <CharactersWithSpaces>7888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Xiao</cp:lastModifiedBy>
  <cp:lastPrinted>2019-08-01T00:48:00Z</cp:lastPrinted>
  <dcterms:modified xsi:type="dcterms:W3CDTF">2020-09-22T09:05:51Z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